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C5ED" w14:textId="7D8AA310" w:rsidR="004A6F22" w:rsidRDefault="004634F1" w:rsidP="00D4676B">
      <w:pPr>
        <w:pStyle w:val="Title"/>
        <w:keepLines/>
        <w:widowControl/>
        <w:rPr>
          <w:rFonts w:cs="Times New Roman"/>
          <w:b/>
          <w:bCs/>
          <w:szCs w:val="32"/>
        </w:rPr>
      </w:pPr>
      <w:r>
        <w:rPr>
          <w:noProof/>
        </w:rPr>
        <mc:AlternateContent>
          <mc:Choice Requires="wps">
            <w:drawing>
              <wp:anchor distT="45720" distB="45720" distL="114300" distR="114300" simplePos="0" relativeHeight="251659264" behindDoc="0" locked="0" layoutInCell="1" allowOverlap="1" wp14:anchorId="30A1F0BF" wp14:editId="59054F2E">
                <wp:simplePos x="0" y="0"/>
                <wp:positionH relativeFrom="column">
                  <wp:posOffset>-228893</wp:posOffset>
                </wp:positionH>
                <wp:positionV relativeFrom="paragraph">
                  <wp:posOffset>952500</wp:posOffset>
                </wp:positionV>
                <wp:extent cx="6534150" cy="140462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404620"/>
                        </a:xfrm>
                        <a:prstGeom prst="rect">
                          <a:avLst/>
                        </a:prstGeom>
                        <a:solidFill>
                          <a:srgbClr val="FFFFFF"/>
                        </a:solidFill>
                        <a:ln w="19050">
                          <a:solidFill>
                            <a:srgbClr val="000000"/>
                          </a:solidFill>
                          <a:miter lim="800000"/>
                          <a:headEnd/>
                          <a:tailEnd/>
                        </a:ln>
                      </wps:spPr>
                      <wps:txbx>
                        <w:txbxContent>
                          <w:p w14:paraId="4614E816" w14:textId="63AD1333" w:rsidR="006075B5" w:rsidRPr="004634F1" w:rsidRDefault="006075B5" w:rsidP="004634F1">
                            <w:pPr>
                              <w:jc w:val="center"/>
                              <w:rPr>
                                <w:rFonts w:ascii="Times New Roman" w:hAnsi="Times New Roman" w:cs="Times New Roman"/>
                                <w:b/>
                                <w:bCs/>
                                <w:sz w:val="32"/>
                                <w:szCs w:val="32"/>
                              </w:rPr>
                            </w:pPr>
                            <w:r w:rsidRPr="004634F1">
                              <w:rPr>
                                <w:rFonts w:ascii="Times New Roman" w:hAnsi="Times New Roman" w:cs="Times New Roman"/>
                                <w:b/>
                                <w:bCs/>
                                <w:sz w:val="32"/>
                                <w:szCs w:val="32"/>
                              </w:rPr>
                              <w:t>WARNING</w:t>
                            </w:r>
                          </w:p>
                          <w:p w14:paraId="015DA57B" w14:textId="04623196" w:rsidR="006075B5" w:rsidRPr="0026327A" w:rsidRDefault="006075B5" w:rsidP="004634F1">
                            <w:pPr>
                              <w:jc w:val="both"/>
                              <w:rPr>
                                <w:rFonts w:ascii="Times New Roman" w:hAnsi="Times New Roman" w:cs="Times New Roman"/>
                              </w:rPr>
                            </w:pPr>
                            <w:r w:rsidRPr="0026327A">
                              <w:rPr>
                                <w:rFonts w:ascii="Times New Roman" w:hAnsi="Times New Roman" w:cs="Times New Roman"/>
                              </w:rPr>
                              <w:t>Estrogens and progestogens should not be used for the prevention of cardiovascular disease or dementia.</w:t>
                            </w:r>
                          </w:p>
                          <w:p w14:paraId="33883F23" w14:textId="77777777" w:rsidR="006075B5" w:rsidRPr="0026327A" w:rsidRDefault="006075B5" w:rsidP="004634F1">
                            <w:pPr>
                              <w:jc w:val="both"/>
                              <w:rPr>
                                <w:rFonts w:ascii="Times New Roman" w:hAnsi="Times New Roman" w:cs="Times New Roman"/>
                              </w:rPr>
                            </w:pPr>
                          </w:p>
                          <w:p w14:paraId="2E91365D" w14:textId="5E76D7EF" w:rsidR="006075B5" w:rsidRPr="0026327A" w:rsidRDefault="006075B5" w:rsidP="004634F1">
                            <w:pPr>
                              <w:jc w:val="both"/>
                              <w:rPr>
                                <w:rFonts w:ascii="Times New Roman" w:hAnsi="Times New Roman" w:cs="Times New Roman"/>
                              </w:rPr>
                            </w:pPr>
                            <w:r w:rsidRPr="0026327A">
                              <w:rPr>
                                <w:rFonts w:ascii="Times New Roman" w:hAnsi="Times New Roman" w:cs="Times New Roman"/>
                              </w:rPr>
                              <w:t xml:space="preserve">The Women’s Health Initiative (WHI) study reported increased risks of myocardial infarction, stroke, invasive breast cancer, pulmonary emboli, and deep vein thrombosis in postmenopausal women (50 to 79 years of age) during 5 years of treatment with conjugated estrogens (0.625 mg) combined with medroxyprogesterone acetate (2.5 mg) relative to placebo (see Section </w:t>
                            </w:r>
                            <w:r w:rsidRPr="0026327A">
                              <w:rPr>
                                <w:rFonts w:ascii="Times New Roman" w:hAnsi="Times New Roman" w:cs="Times New Roman"/>
                              </w:rPr>
                              <w:fldChar w:fldCharType="begin"/>
                            </w:r>
                            <w:r w:rsidRPr="0026327A">
                              <w:rPr>
                                <w:rFonts w:ascii="Times New Roman" w:hAnsi="Times New Roman" w:cs="Times New Roman"/>
                              </w:rPr>
                              <w:instrText xml:space="preserve"> REF _Ref69888012 \r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Pr>
                                <w:rFonts w:ascii="Times New Roman" w:hAnsi="Times New Roman" w:cs="Times New Roman"/>
                              </w:rPr>
                              <w:t>5.1</w:t>
                            </w:r>
                            <w:r w:rsidRPr="0026327A">
                              <w:rPr>
                                <w:rFonts w:ascii="Times New Roman" w:hAnsi="Times New Roman" w:cs="Times New Roman"/>
                              </w:rPr>
                              <w:fldChar w:fldCharType="end"/>
                            </w:r>
                            <w:r w:rsidRPr="0026327A">
                              <w:rPr>
                                <w:rFonts w:ascii="Times New Roman" w:hAnsi="Times New Roman" w:cs="Times New Roman"/>
                              </w:rPr>
                              <w:t xml:space="preserve"> </w:t>
                            </w:r>
                            <w:r w:rsidRPr="0026327A">
                              <w:rPr>
                                <w:rFonts w:ascii="Times New Roman" w:hAnsi="Times New Roman" w:cs="Times New Roman"/>
                              </w:rPr>
                              <w:fldChar w:fldCharType="begin"/>
                            </w:r>
                            <w:r w:rsidRPr="0026327A">
                              <w:rPr>
                                <w:rFonts w:ascii="Times New Roman" w:hAnsi="Times New Roman" w:cs="Times New Roman"/>
                              </w:rPr>
                              <w:instrText xml:space="preserve"> REF _Ref69888012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sidRPr="00551C94">
                              <w:rPr>
                                <w:rFonts w:ascii="Times New Roman" w:hAnsi="Times New Roman" w:cs="Times New Roman"/>
                              </w:rPr>
                              <w:t>Pharmacodynamic properties</w:t>
                            </w:r>
                            <w:r w:rsidRPr="0026327A">
                              <w:rPr>
                                <w:rFonts w:ascii="Times New Roman" w:hAnsi="Times New Roman" w:cs="Times New Roman"/>
                              </w:rPr>
                              <w:fldChar w:fldCharType="end"/>
                            </w:r>
                            <w:r w:rsidRPr="0026327A">
                              <w:rPr>
                                <w:rFonts w:ascii="Times New Roman" w:hAnsi="Times New Roman" w:cs="Times New Roman"/>
                              </w:rPr>
                              <w:t xml:space="preserve">– </w:t>
                            </w:r>
                            <w:r w:rsidRPr="0026327A">
                              <w:rPr>
                                <w:rFonts w:ascii="Times New Roman" w:hAnsi="Times New Roman" w:cs="Times New Roman"/>
                              </w:rPr>
                              <w:fldChar w:fldCharType="begin"/>
                            </w:r>
                            <w:r w:rsidRPr="0026327A">
                              <w:rPr>
                                <w:rFonts w:ascii="Times New Roman" w:hAnsi="Times New Roman" w:cs="Times New Roman"/>
                              </w:rPr>
                              <w:instrText xml:space="preserve"> REF _Ref69888038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sidRPr="00551C94">
                              <w:rPr>
                                <w:rFonts w:ascii="Times New Roman" w:hAnsi="Times New Roman" w:cs="Times New Roman"/>
                              </w:rPr>
                              <w:t>Clinical trials</w:t>
                            </w:r>
                            <w:r w:rsidRPr="0026327A">
                              <w:rPr>
                                <w:rFonts w:ascii="Times New Roman" w:hAnsi="Times New Roman" w:cs="Times New Roman"/>
                              </w:rPr>
                              <w:fldChar w:fldCharType="end"/>
                            </w:r>
                            <w:r w:rsidRPr="0026327A">
                              <w:rPr>
                                <w:rFonts w:ascii="Times New Roman" w:hAnsi="Times New Roman" w:cs="Times New Roman"/>
                              </w:rPr>
                              <w:t xml:space="preserve"> and Section </w:t>
                            </w:r>
                            <w:r w:rsidRPr="0026327A">
                              <w:rPr>
                                <w:rFonts w:ascii="Times New Roman" w:hAnsi="Times New Roman" w:cs="Times New Roman"/>
                              </w:rPr>
                              <w:fldChar w:fldCharType="begin"/>
                            </w:r>
                            <w:r w:rsidRPr="0026327A">
                              <w:rPr>
                                <w:rFonts w:ascii="Times New Roman" w:hAnsi="Times New Roman" w:cs="Times New Roman"/>
                              </w:rPr>
                              <w:instrText xml:space="preserve"> REF _Ref69885430 \r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Pr>
                                <w:rFonts w:ascii="Times New Roman" w:hAnsi="Times New Roman" w:cs="Times New Roman"/>
                              </w:rPr>
                              <w:t>4.4</w:t>
                            </w:r>
                            <w:r w:rsidRPr="0026327A">
                              <w:rPr>
                                <w:rFonts w:ascii="Times New Roman" w:hAnsi="Times New Roman" w:cs="Times New Roman"/>
                              </w:rPr>
                              <w:fldChar w:fldCharType="end"/>
                            </w:r>
                            <w:r w:rsidRPr="0026327A">
                              <w:rPr>
                                <w:rFonts w:ascii="Times New Roman" w:hAnsi="Times New Roman" w:cs="Times New Roman"/>
                              </w:rPr>
                              <w:t xml:space="preserve"> </w:t>
                            </w:r>
                            <w:r w:rsidRPr="0026327A">
                              <w:rPr>
                                <w:rFonts w:ascii="Times New Roman" w:hAnsi="Times New Roman" w:cs="Times New Roman"/>
                              </w:rPr>
                              <w:fldChar w:fldCharType="begin"/>
                            </w:r>
                            <w:r w:rsidRPr="0026327A">
                              <w:rPr>
                                <w:rFonts w:ascii="Times New Roman" w:hAnsi="Times New Roman" w:cs="Times New Roman"/>
                              </w:rPr>
                              <w:instrText xml:space="preserve"> REF _Ref69885430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sidRPr="00551C94">
                              <w:rPr>
                                <w:rFonts w:ascii="Times New Roman" w:hAnsi="Times New Roman" w:cs="Times New Roman"/>
                              </w:rPr>
                              <w:t>Special warnings and precautions for use</w:t>
                            </w:r>
                            <w:r w:rsidRPr="0026327A">
                              <w:rPr>
                                <w:rFonts w:ascii="Times New Roman" w:hAnsi="Times New Roman" w:cs="Times New Roman"/>
                              </w:rPr>
                              <w:fldChar w:fldCharType="end"/>
                            </w:r>
                            <w:r w:rsidRPr="0026327A">
                              <w:rPr>
                                <w:rFonts w:ascii="Times New Roman" w:hAnsi="Times New Roman" w:cs="Times New Roman"/>
                              </w:rPr>
                              <w:t xml:space="preserve">). </w:t>
                            </w:r>
                          </w:p>
                          <w:p w14:paraId="7C8037D4" w14:textId="77777777" w:rsidR="006075B5" w:rsidRPr="0026327A" w:rsidRDefault="006075B5" w:rsidP="004634F1">
                            <w:pPr>
                              <w:jc w:val="both"/>
                              <w:rPr>
                                <w:rFonts w:ascii="Times New Roman" w:hAnsi="Times New Roman" w:cs="Times New Roman"/>
                              </w:rPr>
                            </w:pPr>
                          </w:p>
                          <w:p w14:paraId="00A21E7A" w14:textId="040FECE8" w:rsidR="006075B5" w:rsidRPr="0026327A" w:rsidRDefault="006075B5" w:rsidP="004634F1">
                            <w:pPr>
                              <w:jc w:val="both"/>
                              <w:rPr>
                                <w:rFonts w:ascii="Times New Roman" w:hAnsi="Times New Roman" w:cs="Times New Roman"/>
                              </w:rPr>
                            </w:pPr>
                            <w:r w:rsidRPr="0026327A">
                              <w:rPr>
                                <w:rFonts w:ascii="Times New Roman" w:hAnsi="Times New Roman" w:cs="Times New Roman"/>
                              </w:rPr>
                              <w:t xml:space="preserve">The WHI study reported increased risks of stroke and deep vein thrombosis in postmenopausal women (50 to 79 years of age) during 6.8 years of treatment with conjugated estrogens (0.625 mg) relative to placebo (see Section 5.1 </w:t>
                            </w:r>
                            <w:r w:rsidRPr="0026327A">
                              <w:rPr>
                                <w:rFonts w:ascii="Times New Roman" w:hAnsi="Times New Roman" w:cs="Times New Roman"/>
                              </w:rPr>
                              <w:fldChar w:fldCharType="begin"/>
                            </w:r>
                            <w:r w:rsidRPr="0026327A">
                              <w:rPr>
                                <w:rFonts w:ascii="Times New Roman" w:hAnsi="Times New Roman" w:cs="Times New Roman"/>
                              </w:rPr>
                              <w:instrText xml:space="preserve"> REF _Ref69888012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sidRPr="00551C94">
                              <w:rPr>
                                <w:rFonts w:ascii="Times New Roman" w:hAnsi="Times New Roman" w:cs="Times New Roman"/>
                              </w:rPr>
                              <w:t>Pharmacodynamic properties</w:t>
                            </w:r>
                            <w:r w:rsidRPr="0026327A">
                              <w:rPr>
                                <w:rFonts w:ascii="Times New Roman" w:hAnsi="Times New Roman" w:cs="Times New Roman"/>
                              </w:rPr>
                              <w:fldChar w:fldCharType="end"/>
                            </w:r>
                            <w:r w:rsidRPr="0026327A">
                              <w:rPr>
                                <w:rFonts w:ascii="Times New Roman" w:hAnsi="Times New Roman" w:cs="Times New Roman"/>
                              </w:rPr>
                              <w:t xml:space="preserve">- </w:t>
                            </w:r>
                            <w:r w:rsidRPr="0026327A">
                              <w:rPr>
                                <w:rFonts w:ascii="Times New Roman" w:hAnsi="Times New Roman" w:cs="Times New Roman"/>
                              </w:rPr>
                              <w:fldChar w:fldCharType="begin"/>
                            </w:r>
                            <w:r w:rsidRPr="0026327A">
                              <w:rPr>
                                <w:rFonts w:ascii="Times New Roman" w:hAnsi="Times New Roman" w:cs="Times New Roman"/>
                              </w:rPr>
                              <w:instrText xml:space="preserve"> REF _Ref69888038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sidRPr="00551C94">
                              <w:rPr>
                                <w:rFonts w:ascii="Times New Roman" w:hAnsi="Times New Roman" w:cs="Times New Roman"/>
                              </w:rPr>
                              <w:t>Clinical trials</w:t>
                            </w:r>
                            <w:r w:rsidRPr="0026327A">
                              <w:rPr>
                                <w:rFonts w:ascii="Times New Roman" w:hAnsi="Times New Roman" w:cs="Times New Roman"/>
                              </w:rPr>
                              <w:fldChar w:fldCharType="end"/>
                            </w:r>
                            <w:r w:rsidRPr="0026327A">
                              <w:rPr>
                                <w:rFonts w:ascii="Times New Roman" w:hAnsi="Times New Roman" w:cs="Times New Roman"/>
                              </w:rPr>
                              <w:t xml:space="preserve"> and Section 4.4 </w:t>
                            </w:r>
                            <w:r w:rsidRPr="0026327A">
                              <w:rPr>
                                <w:rFonts w:ascii="Times New Roman" w:hAnsi="Times New Roman" w:cs="Times New Roman"/>
                              </w:rPr>
                              <w:fldChar w:fldCharType="begin"/>
                            </w:r>
                            <w:r w:rsidRPr="0026327A">
                              <w:rPr>
                                <w:rFonts w:ascii="Times New Roman" w:hAnsi="Times New Roman" w:cs="Times New Roman"/>
                              </w:rPr>
                              <w:instrText xml:space="preserve"> REF _Ref69885430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sidRPr="00551C94">
                              <w:rPr>
                                <w:rFonts w:ascii="Times New Roman" w:hAnsi="Times New Roman" w:cs="Times New Roman"/>
                              </w:rPr>
                              <w:t>Special warnings and precautions for use</w:t>
                            </w:r>
                            <w:r w:rsidRPr="0026327A">
                              <w:rPr>
                                <w:rFonts w:ascii="Times New Roman" w:hAnsi="Times New Roman" w:cs="Times New Roman"/>
                              </w:rPr>
                              <w:fldChar w:fldCharType="end"/>
                            </w:r>
                            <w:r w:rsidRPr="0026327A">
                              <w:rPr>
                                <w:rFonts w:ascii="Times New Roman" w:hAnsi="Times New Roman" w:cs="Times New Roman"/>
                              </w:rPr>
                              <w:t>).</w:t>
                            </w:r>
                          </w:p>
                          <w:p w14:paraId="2EE67B11" w14:textId="77777777" w:rsidR="006075B5" w:rsidRPr="0026327A" w:rsidRDefault="006075B5" w:rsidP="004634F1">
                            <w:pPr>
                              <w:jc w:val="both"/>
                              <w:rPr>
                                <w:rFonts w:ascii="Times New Roman" w:hAnsi="Times New Roman" w:cs="Times New Roman"/>
                              </w:rPr>
                            </w:pPr>
                          </w:p>
                          <w:p w14:paraId="6677EA0A" w14:textId="4F90464A" w:rsidR="006075B5" w:rsidRPr="0026327A" w:rsidRDefault="006075B5" w:rsidP="004634F1">
                            <w:pPr>
                              <w:jc w:val="both"/>
                              <w:rPr>
                                <w:rFonts w:ascii="Times New Roman" w:hAnsi="Times New Roman" w:cs="Times New Roman"/>
                              </w:rPr>
                            </w:pPr>
                            <w:r w:rsidRPr="0026327A">
                              <w:rPr>
                                <w:rFonts w:ascii="Times New Roman" w:hAnsi="Times New Roman" w:cs="Times New Roman"/>
                              </w:rPr>
                              <w:t xml:space="preserve">The Women’s Health Initiative Memory Study (WHIMS), a sub-study of WHI, reported increased risk of developing probable dementia in postmenopausal women 65 years of age or older during 4 to 5.2 years of treatment with conjugated estrogens, with or without medroxyprogesterone acetate, relative to placebo. It is unknown whether this finding applies to younger postmenopausal women (see Section 5.1 Pharmacodynamic properties – </w:t>
                            </w:r>
                            <w:r w:rsidRPr="0026327A">
                              <w:rPr>
                                <w:rFonts w:ascii="Times New Roman" w:hAnsi="Times New Roman" w:cs="Times New Roman"/>
                              </w:rPr>
                              <w:fldChar w:fldCharType="begin"/>
                            </w:r>
                            <w:r w:rsidRPr="0026327A">
                              <w:rPr>
                                <w:rFonts w:ascii="Times New Roman" w:hAnsi="Times New Roman" w:cs="Times New Roman"/>
                              </w:rPr>
                              <w:instrText xml:space="preserve"> REF _Ref69888038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sidRPr="00551C94">
                              <w:rPr>
                                <w:rFonts w:ascii="Times New Roman" w:hAnsi="Times New Roman" w:cs="Times New Roman"/>
                              </w:rPr>
                              <w:t>Clinical trials</w:t>
                            </w:r>
                            <w:r w:rsidRPr="0026327A">
                              <w:rPr>
                                <w:rFonts w:ascii="Times New Roman" w:hAnsi="Times New Roman" w:cs="Times New Roman"/>
                              </w:rPr>
                              <w:fldChar w:fldCharType="end"/>
                            </w:r>
                            <w:r w:rsidRPr="0026327A">
                              <w:rPr>
                                <w:rFonts w:ascii="Times New Roman" w:hAnsi="Times New Roman" w:cs="Times New Roman"/>
                              </w:rPr>
                              <w:t xml:space="preserve"> and Section 4.4 </w:t>
                            </w:r>
                            <w:r w:rsidRPr="0026327A">
                              <w:rPr>
                                <w:rFonts w:ascii="Times New Roman" w:hAnsi="Times New Roman" w:cs="Times New Roman"/>
                              </w:rPr>
                              <w:fldChar w:fldCharType="begin"/>
                            </w:r>
                            <w:r w:rsidRPr="0026327A">
                              <w:rPr>
                                <w:rFonts w:ascii="Times New Roman" w:hAnsi="Times New Roman" w:cs="Times New Roman"/>
                              </w:rPr>
                              <w:instrText xml:space="preserve"> REF _Ref69885430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sidRPr="00551C94">
                              <w:rPr>
                                <w:rFonts w:ascii="Times New Roman" w:hAnsi="Times New Roman" w:cs="Times New Roman"/>
                              </w:rPr>
                              <w:t>Special warnings and precautions for use</w:t>
                            </w:r>
                            <w:r w:rsidRPr="0026327A">
                              <w:rPr>
                                <w:rFonts w:ascii="Times New Roman" w:hAnsi="Times New Roman" w:cs="Times New Roman"/>
                              </w:rPr>
                              <w:fldChar w:fldCharType="end"/>
                            </w:r>
                            <w:r w:rsidRPr="0026327A">
                              <w:rPr>
                                <w:rFonts w:ascii="Times New Roman" w:hAnsi="Times New Roman" w:cs="Times New Roman"/>
                              </w:rPr>
                              <w:t>).</w:t>
                            </w:r>
                          </w:p>
                          <w:p w14:paraId="79BD0A0D" w14:textId="77777777" w:rsidR="006075B5" w:rsidRPr="0026327A" w:rsidRDefault="006075B5" w:rsidP="004634F1">
                            <w:pPr>
                              <w:jc w:val="both"/>
                              <w:rPr>
                                <w:rFonts w:ascii="Times New Roman" w:hAnsi="Times New Roman" w:cs="Times New Roman"/>
                              </w:rPr>
                            </w:pPr>
                          </w:p>
                          <w:p w14:paraId="215A5E0F" w14:textId="77777777" w:rsidR="006075B5" w:rsidRPr="0026327A" w:rsidRDefault="006075B5" w:rsidP="004634F1">
                            <w:pPr>
                              <w:jc w:val="both"/>
                              <w:rPr>
                                <w:rFonts w:ascii="Times New Roman" w:hAnsi="Times New Roman" w:cs="Times New Roman"/>
                              </w:rPr>
                            </w:pPr>
                            <w:r w:rsidRPr="0026327A">
                              <w:rPr>
                                <w:rFonts w:ascii="Times New Roman" w:hAnsi="Times New Roman" w:cs="Times New Roman"/>
                              </w:rPr>
                              <w:t xml:space="preserve">Other doses of conjugated estrogens and medroxyprogesterone acetate, and other combinations and dosage forms of estrogens and progestogens were not studied in the WHI clinical </w:t>
                            </w:r>
                            <w:proofErr w:type="gramStart"/>
                            <w:r w:rsidRPr="0026327A">
                              <w:rPr>
                                <w:rFonts w:ascii="Times New Roman" w:hAnsi="Times New Roman" w:cs="Times New Roman"/>
                              </w:rPr>
                              <w:t>trials</w:t>
                            </w:r>
                            <w:proofErr w:type="gramEnd"/>
                            <w:r w:rsidRPr="0026327A">
                              <w:rPr>
                                <w:rFonts w:ascii="Times New Roman" w:hAnsi="Times New Roman" w:cs="Times New Roman"/>
                              </w:rPr>
                              <w:t xml:space="preserve"> and, in the absence of comparable data, these risks should be assumed to be similar. Because of these risks, estrogens with or without progestogens should be prescribed at the lowest effective doses and for the shortest duration consistent with treatment goals and risks for the individual woman.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0A1F0BF" id="_x0000_t202" coordsize="21600,21600" o:spt="202" path="m,l,21600r21600,l21600,xe">
                <v:stroke joinstyle="miter"/>
                <v:path gradientshapeok="t" o:connecttype="rect"/>
              </v:shapetype>
              <v:shape id="Text Box 2" o:spid="_x0000_s1026" type="#_x0000_t202" style="position:absolute;margin-left:-18pt;margin-top:75pt;width:51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cEtJAIAAEgEAAAOAAAAZHJzL2Uyb0RvYy54bWysVMtu2zAQvBfoPxC815Jc2UkEy0Hq1EWB&#10;9AEk/YAVRVlE+SpJW0q/PkvKcY206KGoDgTJXQ5nZ5ZaXY9KkgN3Xhhd02KWU8I1M63Qu5p+e9i+&#10;uaTEB9AtSKN5TR+5p9fr169Wg6343PRGttwRBNG+GmxN+xBslWWe9VyBnxnLNQY74xQEXLpd1joY&#10;EF3JbJ7ny2wwrrXOMO497t5OQbpO+F3HWfjSdZ4HImuK3EIaXRqbOGbrFVQ7B7YX7EgD/oGFAqHx&#10;0hPULQQgeyd+g1KCOeNNF2bMqMx0nWA81YDVFPmLau57sDzVguJ4e5LJ/z9Y9vnw1RHR1nReXFCi&#10;QaFJD3wM5J0ZyTzqM1hfYdq9xcQw4jb6nGr19s6w755os+lB7/iNc2boObTIr4gns7OjE46PIM3w&#10;ybR4DeyDSUBj51QUD+UgiI4+PZ68iVQYbi4Xb8tigSGGsaLMy+U8uZdB9XzcOh8+cKNInNTUofkJ&#10;Hg53PkQ6UD2nxNu8kaLdCinTwu2ajXTkANgo2/SlCl6kSU0GvP4qRyZ/x8jT9ycMJQK2vBSqppen&#10;JKiicO91mxoygJDTHDlLfVQyijfJGMZmPDrTmPYRNXVmam18ijjpjftJyYBtXVP/Yw+OUyI/avTl&#10;qijL+A7SolxcoIjEnUea8whohlA1DZRM001IbyeVbm/Qv61IykajJyZHrtiuSfDj04rv4Xydsn79&#10;ANZPAAAA//8DAFBLAwQUAAYACAAAACEAJS8DGt0AAAALAQAADwAAAGRycy9kb3ducmV2LnhtbExP&#10;y07DMBC8I/EP1iJxa500Im1CnKpFcARB6YXbNjZJRLyOYqc1f89ygtus5rEz1TbaQZzN5HtHCtJl&#10;AsJQ43RPrYLj+9NiA8IHJI2DI6Pg23jY1tdXFZbaXejNnA+hFRxCvkQFXQhjKaVvOmPRL91oiLlP&#10;N1kMfE6t1BNeONwOcpUkubTYE3/ocDQPnWm+DrPlGh/7gjY5xt1rv36eX+LjPtVHpW5v4u4eRDAx&#10;/Inhtz57oOZOJzeT9mJQsMhy3hKYuEsYsKIoMgYnBdk6XYGsK/l/Q/0DAAD//wMAUEsBAi0AFAAG&#10;AAgAAAAhALaDOJL+AAAA4QEAABMAAAAAAAAAAAAAAAAAAAAAAFtDb250ZW50X1R5cGVzXS54bWxQ&#10;SwECLQAUAAYACAAAACEAOP0h/9YAAACUAQAACwAAAAAAAAAAAAAAAAAvAQAAX3JlbHMvLnJlbHNQ&#10;SwECLQAUAAYACAAAACEA5lnBLSQCAABIBAAADgAAAAAAAAAAAAAAAAAuAgAAZHJzL2Uyb0RvYy54&#10;bWxQSwECLQAUAAYACAAAACEAJS8DGt0AAAALAQAADwAAAAAAAAAAAAAAAAB+BAAAZHJzL2Rvd25y&#10;ZXYueG1sUEsFBgAAAAAEAAQA8wAAAIgFAAAAAA==&#10;" strokeweight="1.5pt">
                <v:textbox style="mso-fit-shape-to-text:t">
                  <w:txbxContent>
                    <w:p w14:paraId="4614E816" w14:textId="63AD1333" w:rsidR="006075B5" w:rsidRPr="004634F1" w:rsidRDefault="006075B5" w:rsidP="004634F1">
                      <w:pPr>
                        <w:jc w:val="center"/>
                        <w:rPr>
                          <w:rFonts w:ascii="Times New Roman" w:hAnsi="Times New Roman" w:cs="Times New Roman"/>
                          <w:b/>
                          <w:bCs/>
                          <w:sz w:val="32"/>
                          <w:szCs w:val="32"/>
                        </w:rPr>
                      </w:pPr>
                      <w:r w:rsidRPr="004634F1">
                        <w:rPr>
                          <w:rFonts w:ascii="Times New Roman" w:hAnsi="Times New Roman" w:cs="Times New Roman"/>
                          <w:b/>
                          <w:bCs/>
                          <w:sz w:val="32"/>
                          <w:szCs w:val="32"/>
                        </w:rPr>
                        <w:t>WARNING</w:t>
                      </w:r>
                    </w:p>
                    <w:p w14:paraId="015DA57B" w14:textId="04623196" w:rsidR="006075B5" w:rsidRPr="0026327A" w:rsidRDefault="006075B5" w:rsidP="004634F1">
                      <w:pPr>
                        <w:jc w:val="both"/>
                        <w:rPr>
                          <w:rFonts w:ascii="Times New Roman" w:hAnsi="Times New Roman" w:cs="Times New Roman"/>
                        </w:rPr>
                      </w:pPr>
                      <w:r w:rsidRPr="0026327A">
                        <w:rPr>
                          <w:rFonts w:ascii="Times New Roman" w:hAnsi="Times New Roman" w:cs="Times New Roman"/>
                        </w:rPr>
                        <w:t>Estrogens and progestogens should not be used for the prevention of cardiovascular disease or dementia.</w:t>
                      </w:r>
                    </w:p>
                    <w:p w14:paraId="33883F23" w14:textId="77777777" w:rsidR="006075B5" w:rsidRPr="0026327A" w:rsidRDefault="006075B5" w:rsidP="004634F1">
                      <w:pPr>
                        <w:jc w:val="both"/>
                        <w:rPr>
                          <w:rFonts w:ascii="Times New Roman" w:hAnsi="Times New Roman" w:cs="Times New Roman"/>
                        </w:rPr>
                      </w:pPr>
                    </w:p>
                    <w:p w14:paraId="2E91365D" w14:textId="5E76D7EF" w:rsidR="006075B5" w:rsidRPr="0026327A" w:rsidRDefault="006075B5" w:rsidP="004634F1">
                      <w:pPr>
                        <w:jc w:val="both"/>
                        <w:rPr>
                          <w:rFonts w:ascii="Times New Roman" w:hAnsi="Times New Roman" w:cs="Times New Roman"/>
                        </w:rPr>
                      </w:pPr>
                      <w:r w:rsidRPr="0026327A">
                        <w:rPr>
                          <w:rFonts w:ascii="Times New Roman" w:hAnsi="Times New Roman" w:cs="Times New Roman"/>
                        </w:rPr>
                        <w:t xml:space="preserve">The Women’s Health Initiative (WHI) study reported increased risks of myocardial infarction, stroke, invasive breast cancer, pulmonary emboli, and deep vein thrombosis in postmenopausal women (50 to 79 years of age) during 5 years of treatment with conjugated estrogens (0.625 mg) combined with medroxyprogesterone acetate (2.5 mg) relative to placebo (see Section </w:t>
                      </w:r>
                      <w:r w:rsidRPr="0026327A">
                        <w:rPr>
                          <w:rFonts w:ascii="Times New Roman" w:hAnsi="Times New Roman" w:cs="Times New Roman"/>
                        </w:rPr>
                        <w:fldChar w:fldCharType="begin"/>
                      </w:r>
                      <w:r w:rsidRPr="0026327A">
                        <w:rPr>
                          <w:rFonts w:ascii="Times New Roman" w:hAnsi="Times New Roman" w:cs="Times New Roman"/>
                        </w:rPr>
                        <w:instrText xml:space="preserve"> REF _Ref69888012 \r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Pr>
                          <w:rFonts w:ascii="Times New Roman" w:hAnsi="Times New Roman" w:cs="Times New Roman"/>
                        </w:rPr>
                        <w:t>5.1</w:t>
                      </w:r>
                      <w:r w:rsidRPr="0026327A">
                        <w:rPr>
                          <w:rFonts w:ascii="Times New Roman" w:hAnsi="Times New Roman" w:cs="Times New Roman"/>
                        </w:rPr>
                        <w:fldChar w:fldCharType="end"/>
                      </w:r>
                      <w:r w:rsidRPr="0026327A">
                        <w:rPr>
                          <w:rFonts w:ascii="Times New Roman" w:hAnsi="Times New Roman" w:cs="Times New Roman"/>
                        </w:rPr>
                        <w:t xml:space="preserve"> </w:t>
                      </w:r>
                      <w:r w:rsidRPr="0026327A">
                        <w:rPr>
                          <w:rFonts w:ascii="Times New Roman" w:hAnsi="Times New Roman" w:cs="Times New Roman"/>
                        </w:rPr>
                        <w:fldChar w:fldCharType="begin"/>
                      </w:r>
                      <w:r w:rsidRPr="0026327A">
                        <w:rPr>
                          <w:rFonts w:ascii="Times New Roman" w:hAnsi="Times New Roman" w:cs="Times New Roman"/>
                        </w:rPr>
                        <w:instrText xml:space="preserve"> REF _Ref69888012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sidRPr="00551C94">
                        <w:rPr>
                          <w:rFonts w:ascii="Times New Roman" w:hAnsi="Times New Roman" w:cs="Times New Roman"/>
                        </w:rPr>
                        <w:t>Pharmacodynamic properties</w:t>
                      </w:r>
                      <w:r w:rsidRPr="0026327A">
                        <w:rPr>
                          <w:rFonts w:ascii="Times New Roman" w:hAnsi="Times New Roman" w:cs="Times New Roman"/>
                        </w:rPr>
                        <w:fldChar w:fldCharType="end"/>
                      </w:r>
                      <w:r w:rsidRPr="0026327A">
                        <w:rPr>
                          <w:rFonts w:ascii="Times New Roman" w:hAnsi="Times New Roman" w:cs="Times New Roman"/>
                        </w:rPr>
                        <w:t xml:space="preserve">– </w:t>
                      </w:r>
                      <w:r w:rsidRPr="0026327A">
                        <w:rPr>
                          <w:rFonts w:ascii="Times New Roman" w:hAnsi="Times New Roman" w:cs="Times New Roman"/>
                        </w:rPr>
                        <w:fldChar w:fldCharType="begin"/>
                      </w:r>
                      <w:r w:rsidRPr="0026327A">
                        <w:rPr>
                          <w:rFonts w:ascii="Times New Roman" w:hAnsi="Times New Roman" w:cs="Times New Roman"/>
                        </w:rPr>
                        <w:instrText xml:space="preserve"> REF _Ref69888038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sidRPr="00551C94">
                        <w:rPr>
                          <w:rFonts w:ascii="Times New Roman" w:hAnsi="Times New Roman" w:cs="Times New Roman"/>
                        </w:rPr>
                        <w:t>Clinical trials</w:t>
                      </w:r>
                      <w:r w:rsidRPr="0026327A">
                        <w:rPr>
                          <w:rFonts w:ascii="Times New Roman" w:hAnsi="Times New Roman" w:cs="Times New Roman"/>
                        </w:rPr>
                        <w:fldChar w:fldCharType="end"/>
                      </w:r>
                      <w:r w:rsidRPr="0026327A">
                        <w:rPr>
                          <w:rFonts w:ascii="Times New Roman" w:hAnsi="Times New Roman" w:cs="Times New Roman"/>
                        </w:rPr>
                        <w:t xml:space="preserve"> and Section </w:t>
                      </w:r>
                      <w:r w:rsidRPr="0026327A">
                        <w:rPr>
                          <w:rFonts w:ascii="Times New Roman" w:hAnsi="Times New Roman" w:cs="Times New Roman"/>
                        </w:rPr>
                        <w:fldChar w:fldCharType="begin"/>
                      </w:r>
                      <w:r w:rsidRPr="0026327A">
                        <w:rPr>
                          <w:rFonts w:ascii="Times New Roman" w:hAnsi="Times New Roman" w:cs="Times New Roman"/>
                        </w:rPr>
                        <w:instrText xml:space="preserve"> REF _Ref69885430 \r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Pr>
                          <w:rFonts w:ascii="Times New Roman" w:hAnsi="Times New Roman" w:cs="Times New Roman"/>
                        </w:rPr>
                        <w:t>4.4</w:t>
                      </w:r>
                      <w:r w:rsidRPr="0026327A">
                        <w:rPr>
                          <w:rFonts w:ascii="Times New Roman" w:hAnsi="Times New Roman" w:cs="Times New Roman"/>
                        </w:rPr>
                        <w:fldChar w:fldCharType="end"/>
                      </w:r>
                      <w:r w:rsidRPr="0026327A">
                        <w:rPr>
                          <w:rFonts w:ascii="Times New Roman" w:hAnsi="Times New Roman" w:cs="Times New Roman"/>
                        </w:rPr>
                        <w:t xml:space="preserve"> </w:t>
                      </w:r>
                      <w:r w:rsidRPr="0026327A">
                        <w:rPr>
                          <w:rFonts w:ascii="Times New Roman" w:hAnsi="Times New Roman" w:cs="Times New Roman"/>
                        </w:rPr>
                        <w:fldChar w:fldCharType="begin"/>
                      </w:r>
                      <w:r w:rsidRPr="0026327A">
                        <w:rPr>
                          <w:rFonts w:ascii="Times New Roman" w:hAnsi="Times New Roman" w:cs="Times New Roman"/>
                        </w:rPr>
                        <w:instrText xml:space="preserve"> REF _Ref69885430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sidRPr="00551C94">
                        <w:rPr>
                          <w:rFonts w:ascii="Times New Roman" w:hAnsi="Times New Roman" w:cs="Times New Roman"/>
                        </w:rPr>
                        <w:t>Special warnings and precautions for use</w:t>
                      </w:r>
                      <w:r w:rsidRPr="0026327A">
                        <w:rPr>
                          <w:rFonts w:ascii="Times New Roman" w:hAnsi="Times New Roman" w:cs="Times New Roman"/>
                        </w:rPr>
                        <w:fldChar w:fldCharType="end"/>
                      </w:r>
                      <w:r w:rsidRPr="0026327A">
                        <w:rPr>
                          <w:rFonts w:ascii="Times New Roman" w:hAnsi="Times New Roman" w:cs="Times New Roman"/>
                        </w:rPr>
                        <w:t xml:space="preserve">). </w:t>
                      </w:r>
                    </w:p>
                    <w:p w14:paraId="7C8037D4" w14:textId="77777777" w:rsidR="006075B5" w:rsidRPr="0026327A" w:rsidRDefault="006075B5" w:rsidP="004634F1">
                      <w:pPr>
                        <w:jc w:val="both"/>
                        <w:rPr>
                          <w:rFonts w:ascii="Times New Roman" w:hAnsi="Times New Roman" w:cs="Times New Roman"/>
                        </w:rPr>
                      </w:pPr>
                    </w:p>
                    <w:p w14:paraId="00A21E7A" w14:textId="040FECE8" w:rsidR="006075B5" w:rsidRPr="0026327A" w:rsidRDefault="006075B5" w:rsidP="004634F1">
                      <w:pPr>
                        <w:jc w:val="both"/>
                        <w:rPr>
                          <w:rFonts w:ascii="Times New Roman" w:hAnsi="Times New Roman" w:cs="Times New Roman"/>
                        </w:rPr>
                      </w:pPr>
                      <w:r w:rsidRPr="0026327A">
                        <w:rPr>
                          <w:rFonts w:ascii="Times New Roman" w:hAnsi="Times New Roman" w:cs="Times New Roman"/>
                        </w:rPr>
                        <w:t xml:space="preserve">The WHI study reported increased risks of stroke and deep vein thrombosis in postmenopausal women (50 to 79 years of age) during 6.8 years of treatment with conjugated estrogens (0.625 mg) relative to placebo (see Section 5.1 </w:t>
                      </w:r>
                      <w:r w:rsidRPr="0026327A">
                        <w:rPr>
                          <w:rFonts w:ascii="Times New Roman" w:hAnsi="Times New Roman" w:cs="Times New Roman"/>
                        </w:rPr>
                        <w:fldChar w:fldCharType="begin"/>
                      </w:r>
                      <w:r w:rsidRPr="0026327A">
                        <w:rPr>
                          <w:rFonts w:ascii="Times New Roman" w:hAnsi="Times New Roman" w:cs="Times New Roman"/>
                        </w:rPr>
                        <w:instrText xml:space="preserve"> REF _Ref69888012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sidRPr="00551C94">
                        <w:rPr>
                          <w:rFonts w:ascii="Times New Roman" w:hAnsi="Times New Roman" w:cs="Times New Roman"/>
                        </w:rPr>
                        <w:t>Pharmacodynamic properties</w:t>
                      </w:r>
                      <w:r w:rsidRPr="0026327A">
                        <w:rPr>
                          <w:rFonts w:ascii="Times New Roman" w:hAnsi="Times New Roman" w:cs="Times New Roman"/>
                        </w:rPr>
                        <w:fldChar w:fldCharType="end"/>
                      </w:r>
                      <w:r w:rsidRPr="0026327A">
                        <w:rPr>
                          <w:rFonts w:ascii="Times New Roman" w:hAnsi="Times New Roman" w:cs="Times New Roman"/>
                        </w:rPr>
                        <w:t xml:space="preserve">- </w:t>
                      </w:r>
                      <w:r w:rsidRPr="0026327A">
                        <w:rPr>
                          <w:rFonts w:ascii="Times New Roman" w:hAnsi="Times New Roman" w:cs="Times New Roman"/>
                        </w:rPr>
                        <w:fldChar w:fldCharType="begin"/>
                      </w:r>
                      <w:r w:rsidRPr="0026327A">
                        <w:rPr>
                          <w:rFonts w:ascii="Times New Roman" w:hAnsi="Times New Roman" w:cs="Times New Roman"/>
                        </w:rPr>
                        <w:instrText xml:space="preserve"> REF _Ref69888038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sidRPr="00551C94">
                        <w:rPr>
                          <w:rFonts w:ascii="Times New Roman" w:hAnsi="Times New Roman" w:cs="Times New Roman"/>
                        </w:rPr>
                        <w:t>Clinical trials</w:t>
                      </w:r>
                      <w:r w:rsidRPr="0026327A">
                        <w:rPr>
                          <w:rFonts w:ascii="Times New Roman" w:hAnsi="Times New Roman" w:cs="Times New Roman"/>
                        </w:rPr>
                        <w:fldChar w:fldCharType="end"/>
                      </w:r>
                      <w:r w:rsidRPr="0026327A">
                        <w:rPr>
                          <w:rFonts w:ascii="Times New Roman" w:hAnsi="Times New Roman" w:cs="Times New Roman"/>
                        </w:rPr>
                        <w:t xml:space="preserve"> and Section 4.4 </w:t>
                      </w:r>
                      <w:r w:rsidRPr="0026327A">
                        <w:rPr>
                          <w:rFonts w:ascii="Times New Roman" w:hAnsi="Times New Roman" w:cs="Times New Roman"/>
                        </w:rPr>
                        <w:fldChar w:fldCharType="begin"/>
                      </w:r>
                      <w:r w:rsidRPr="0026327A">
                        <w:rPr>
                          <w:rFonts w:ascii="Times New Roman" w:hAnsi="Times New Roman" w:cs="Times New Roman"/>
                        </w:rPr>
                        <w:instrText xml:space="preserve"> REF _Ref69885430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sidRPr="00551C94">
                        <w:rPr>
                          <w:rFonts w:ascii="Times New Roman" w:hAnsi="Times New Roman" w:cs="Times New Roman"/>
                        </w:rPr>
                        <w:t>Special warnings and precautions for use</w:t>
                      </w:r>
                      <w:r w:rsidRPr="0026327A">
                        <w:rPr>
                          <w:rFonts w:ascii="Times New Roman" w:hAnsi="Times New Roman" w:cs="Times New Roman"/>
                        </w:rPr>
                        <w:fldChar w:fldCharType="end"/>
                      </w:r>
                      <w:r w:rsidRPr="0026327A">
                        <w:rPr>
                          <w:rFonts w:ascii="Times New Roman" w:hAnsi="Times New Roman" w:cs="Times New Roman"/>
                        </w:rPr>
                        <w:t>).</w:t>
                      </w:r>
                    </w:p>
                    <w:p w14:paraId="2EE67B11" w14:textId="77777777" w:rsidR="006075B5" w:rsidRPr="0026327A" w:rsidRDefault="006075B5" w:rsidP="004634F1">
                      <w:pPr>
                        <w:jc w:val="both"/>
                        <w:rPr>
                          <w:rFonts w:ascii="Times New Roman" w:hAnsi="Times New Roman" w:cs="Times New Roman"/>
                        </w:rPr>
                      </w:pPr>
                    </w:p>
                    <w:p w14:paraId="6677EA0A" w14:textId="4F90464A" w:rsidR="006075B5" w:rsidRPr="0026327A" w:rsidRDefault="006075B5" w:rsidP="004634F1">
                      <w:pPr>
                        <w:jc w:val="both"/>
                        <w:rPr>
                          <w:rFonts w:ascii="Times New Roman" w:hAnsi="Times New Roman" w:cs="Times New Roman"/>
                        </w:rPr>
                      </w:pPr>
                      <w:r w:rsidRPr="0026327A">
                        <w:rPr>
                          <w:rFonts w:ascii="Times New Roman" w:hAnsi="Times New Roman" w:cs="Times New Roman"/>
                        </w:rPr>
                        <w:t xml:space="preserve">The Women’s Health Initiative Memory Study (WHIMS), a sub-study of WHI, reported increased risk of developing probable dementia in postmenopausal women 65 years of age or older during 4 to 5.2 years of treatment with conjugated estrogens, with or without medroxyprogesterone acetate, relative to placebo. It is unknown whether this finding applies to younger postmenopausal women (see Section 5.1 Pharmacodynamic properties – </w:t>
                      </w:r>
                      <w:r w:rsidRPr="0026327A">
                        <w:rPr>
                          <w:rFonts w:ascii="Times New Roman" w:hAnsi="Times New Roman" w:cs="Times New Roman"/>
                        </w:rPr>
                        <w:fldChar w:fldCharType="begin"/>
                      </w:r>
                      <w:r w:rsidRPr="0026327A">
                        <w:rPr>
                          <w:rFonts w:ascii="Times New Roman" w:hAnsi="Times New Roman" w:cs="Times New Roman"/>
                        </w:rPr>
                        <w:instrText xml:space="preserve"> REF _Ref69888038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sidRPr="00551C94">
                        <w:rPr>
                          <w:rFonts w:ascii="Times New Roman" w:hAnsi="Times New Roman" w:cs="Times New Roman"/>
                        </w:rPr>
                        <w:t>Clinical trials</w:t>
                      </w:r>
                      <w:r w:rsidRPr="0026327A">
                        <w:rPr>
                          <w:rFonts w:ascii="Times New Roman" w:hAnsi="Times New Roman" w:cs="Times New Roman"/>
                        </w:rPr>
                        <w:fldChar w:fldCharType="end"/>
                      </w:r>
                      <w:r w:rsidRPr="0026327A">
                        <w:rPr>
                          <w:rFonts w:ascii="Times New Roman" w:hAnsi="Times New Roman" w:cs="Times New Roman"/>
                        </w:rPr>
                        <w:t xml:space="preserve"> and Section 4.4 </w:t>
                      </w:r>
                      <w:r w:rsidRPr="0026327A">
                        <w:rPr>
                          <w:rFonts w:ascii="Times New Roman" w:hAnsi="Times New Roman" w:cs="Times New Roman"/>
                        </w:rPr>
                        <w:fldChar w:fldCharType="begin"/>
                      </w:r>
                      <w:r w:rsidRPr="0026327A">
                        <w:rPr>
                          <w:rFonts w:ascii="Times New Roman" w:hAnsi="Times New Roman" w:cs="Times New Roman"/>
                        </w:rPr>
                        <w:instrText xml:space="preserve"> REF _Ref69885430 \h </w:instrText>
                      </w:r>
                      <w:r>
                        <w:rPr>
                          <w:rFonts w:ascii="Times New Roman" w:hAnsi="Times New Roman" w:cs="Times New Roman"/>
                        </w:rPr>
                        <w:instrText xml:space="preserve"> \* MERGEFORMAT </w:instrText>
                      </w:r>
                      <w:r w:rsidRPr="0026327A">
                        <w:rPr>
                          <w:rFonts w:ascii="Times New Roman" w:hAnsi="Times New Roman" w:cs="Times New Roman"/>
                        </w:rPr>
                      </w:r>
                      <w:r w:rsidRPr="0026327A">
                        <w:rPr>
                          <w:rFonts w:ascii="Times New Roman" w:hAnsi="Times New Roman" w:cs="Times New Roman"/>
                        </w:rPr>
                        <w:fldChar w:fldCharType="separate"/>
                      </w:r>
                      <w:r w:rsidR="00551C94" w:rsidRPr="00551C94">
                        <w:rPr>
                          <w:rFonts w:ascii="Times New Roman" w:hAnsi="Times New Roman" w:cs="Times New Roman"/>
                        </w:rPr>
                        <w:t>Special warnings and precautions for use</w:t>
                      </w:r>
                      <w:r w:rsidRPr="0026327A">
                        <w:rPr>
                          <w:rFonts w:ascii="Times New Roman" w:hAnsi="Times New Roman" w:cs="Times New Roman"/>
                        </w:rPr>
                        <w:fldChar w:fldCharType="end"/>
                      </w:r>
                      <w:r w:rsidRPr="0026327A">
                        <w:rPr>
                          <w:rFonts w:ascii="Times New Roman" w:hAnsi="Times New Roman" w:cs="Times New Roman"/>
                        </w:rPr>
                        <w:t>).</w:t>
                      </w:r>
                    </w:p>
                    <w:p w14:paraId="79BD0A0D" w14:textId="77777777" w:rsidR="006075B5" w:rsidRPr="0026327A" w:rsidRDefault="006075B5" w:rsidP="004634F1">
                      <w:pPr>
                        <w:jc w:val="both"/>
                        <w:rPr>
                          <w:rFonts w:ascii="Times New Roman" w:hAnsi="Times New Roman" w:cs="Times New Roman"/>
                        </w:rPr>
                      </w:pPr>
                    </w:p>
                    <w:p w14:paraId="215A5E0F" w14:textId="77777777" w:rsidR="006075B5" w:rsidRPr="0026327A" w:rsidRDefault="006075B5" w:rsidP="004634F1">
                      <w:pPr>
                        <w:jc w:val="both"/>
                        <w:rPr>
                          <w:rFonts w:ascii="Times New Roman" w:hAnsi="Times New Roman" w:cs="Times New Roman"/>
                        </w:rPr>
                      </w:pPr>
                      <w:r w:rsidRPr="0026327A">
                        <w:rPr>
                          <w:rFonts w:ascii="Times New Roman" w:hAnsi="Times New Roman" w:cs="Times New Roman"/>
                        </w:rPr>
                        <w:t xml:space="preserve">Other doses of conjugated estrogens and medroxyprogesterone acetate, and other combinations and dosage forms of estrogens and progestogens were not studied in the WHI clinical </w:t>
                      </w:r>
                      <w:proofErr w:type="gramStart"/>
                      <w:r w:rsidRPr="0026327A">
                        <w:rPr>
                          <w:rFonts w:ascii="Times New Roman" w:hAnsi="Times New Roman" w:cs="Times New Roman"/>
                        </w:rPr>
                        <w:t>trials</w:t>
                      </w:r>
                      <w:proofErr w:type="gramEnd"/>
                      <w:r w:rsidRPr="0026327A">
                        <w:rPr>
                          <w:rFonts w:ascii="Times New Roman" w:hAnsi="Times New Roman" w:cs="Times New Roman"/>
                        </w:rPr>
                        <w:t xml:space="preserve"> and, in the absence of comparable data, these risks should be assumed to be similar. Because of these risks, estrogens with or without progestogens should be prescribed at the lowest effective doses and for the shortest duration consistent with treatment goals and risks for the individual woman.</w:t>
                      </w:r>
                    </w:p>
                  </w:txbxContent>
                </v:textbox>
                <w10:wrap type="square"/>
              </v:shape>
            </w:pict>
          </mc:Fallback>
        </mc:AlternateContent>
      </w:r>
      <w:r w:rsidR="003B0D62" w:rsidRPr="002A3596">
        <w:rPr>
          <w:rFonts w:cs="Times New Roman"/>
          <w:b/>
          <w:bCs/>
          <w:szCs w:val="32"/>
        </w:rPr>
        <w:t xml:space="preserve">AUSTRALIAN PI – </w:t>
      </w:r>
      <w:r w:rsidR="0062298C">
        <w:rPr>
          <w:rFonts w:cs="Times New Roman"/>
          <w:b/>
          <w:bCs/>
          <w:szCs w:val="32"/>
        </w:rPr>
        <w:t>BIJUVA</w:t>
      </w:r>
      <w:r w:rsidR="00291C58" w:rsidRPr="002A3596">
        <w:rPr>
          <w:rFonts w:cs="Times New Roman"/>
          <w:b/>
          <w:bCs/>
          <w:szCs w:val="32"/>
          <w:vertAlign w:val="superscript"/>
        </w:rPr>
        <w:t>®</w:t>
      </w:r>
      <w:r w:rsidR="0062298C">
        <w:rPr>
          <w:rFonts w:cs="Times New Roman"/>
          <w:b/>
          <w:bCs/>
          <w:szCs w:val="32"/>
        </w:rPr>
        <w:t xml:space="preserve"> 1/100</w:t>
      </w:r>
      <w:r w:rsidR="003B0D62" w:rsidRPr="002A3596">
        <w:rPr>
          <w:rFonts w:cs="Times New Roman"/>
          <w:b/>
          <w:bCs/>
          <w:szCs w:val="32"/>
        </w:rPr>
        <w:t xml:space="preserve"> (</w:t>
      </w:r>
      <w:proofErr w:type="spellStart"/>
      <w:r w:rsidR="00235B8A" w:rsidRPr="002A3596">
        <w:rPr>
          <w:rFonts w:cs="Times New Roman"/>
          <w:b/>
          <w:bCs/>
          <w:szCs w:val="32"/>
        </w:rPr>
        <w:t>estradiol</w:t>
      </w:r>
      <w:proofErr w:type="spellEnd"/>
      <w:r w:rsidR="00235B8A" w:rsidRPr="002A3596">
        <w:rPr>
          <w:rFonts w:cs="Times New Roman"/>
          <w:b/>
          <w:bCs/>
          <w:szCs w:val="32"/>
        </w:rPr>
        <w:t xml:space="preserve"> (as hemihydrate) and progesterone)</w:t>
      </w:r>
      <w:r w:rsidR="009E0F3F" w:rsidRPr="009E0F3F">
        <w:rPr>
          <w:rFonts w:cs="Times New Roman"/>
          <w:b/>
          <w:bCs/>
          <w:szCs w:val="32"/>
        </w:rPr>
        <w:t xml:space="preserve"> </w:t>
      </w:r>
      <w:r w:rsidR="009E0F3F">
        <w:rPr>
          <w:rFonts w:cs="Times New Roman"/>
          <w:b/>
          <w:bCs/>
          <w:szCs w:val="32"/>
        </w:rPr>
        <w:t>SOFT</w:t>
      </w:r>
      <w:r w:rsidR="00235B8A" w:rsidRPr="002A3596">
        <w:rPr>
          <w:rFonts w:cs="Times New Roman"/>
          <w:b/>
          <w:bCs/>
          <w:szCs w:val="32"/>
        </w:rPr>
        <w:t xml:space="preserve"> CAPSULES</w:t>
      </w:r>
      <w:r w:rsidR="00013312">
        <w:rPr>
          <w:rFonts w:cs="Times New Roman"/>
          <w:b/>
          <w:bCs/>
          <w:szCs w:val="32"/>
        </w:rPr>
        <w:t xml:space="preserve"> </w:t>
      </w:r>
    </w:p>
    <w:p w14:paraId="34FA4CB6" w14:textId="6434EF83" w:rsidR="004634F1" w:rsidRPr="004634F1" w:rsidRDefault="004634F1" w:rsidP="004634F1"/>
    <w:p w14:paraId="74900CC1" w14:textId="6BB6F456" w:rsidR="004A6F22" w:rsidRPr="002A3596" w:rsidRDefault="003B0D62" w:rsidP="005664F5">
      <w:pPr>
        <w:pStyle w:val="Heading1"/>
      </w:pPr>
      <w:bookmarkStart w:id="0" w:name="_Ref69885253"/>
      <w:r w:rsidRPr="002A3596">
        <w:t>NAME OF THE MEDICINE</w:t>
      </w:r>
      <w:bookmarkEnd w:id="0"/>
    </w:p>
    <w:p w14:paraId="4E6660C0" w14:textId="08DD6879" w:rsidR="00036F30" w:rsidRPr="002A3596" w:rsidRDefault="007448A7" w:rsidP="00B309C5">
      <w:pPr>
        <w:pStyle w:val="BodyText"/>
      </w:pPr>
      <w:proofErr w:type="spellStart"/>
      <w:r>
        <w:t>E</w:t>
      </w:r>
      <w:r w:rsidR="00235B8A" w:rsidRPr="002A3596">
        <w:t>stradiol</w:t>
      </w:r>
      <w:proofErr w:type="spellEnd"/>
      <w:r w:rsidR="00235B8A" w:rsidRPr="002A3596">
        <w:t xml:space="preserve"> (as hemihydrate) and progesterone</w:t>
      </w:r>
    </w:p>
    <w:p w14:paraId="0BFE3570" w14:textId="3242A7A2" w:rsidR="004A6F22" w:rsidRPr="002A3596" w:rsidRDefault="003B0D62" w:rsidP="005664F5">
      <w:pPr>
        <w:pStyle w:val="Heading1"/>
      </w:pPr>
      <w:r w:rsidRPr="002A3596">
        <w:t>QUALITATIVE AND QUANTITATIVE COMPOSITION</w:t>
      </w:r>
    </w:p>
    <w:p w14:paraId="61894955" w14:textId="5242AE85" w:rsidR="00235B8A" w:rsidRPr="002A3596" w:rsidRDefault="00235B8A" w:rsidP="00235B8A">
      <w:pPr>
        <w:pStyle w:val="BodyText"/>
      </w:pPr>
      <w:r w:rsidRPr="002A3596">
        <w:t xml:space="preserve">Each </w:t>
      </w:r>
      <w:r w:rsidR="00BD2E1D">
        <w:t xml:space="preserve">soft </w:t>
      </w:r>
      <w:r w:rsidRPr="002A3596">
        <w:t xml:space="preserve">capsule contains 1 mg of </w:t>
      </w:r>
      <w:proofErr w:type="spellStart"/>
      <w:r w:rsidRPr="002A3596">
        <w:t>estradiol</w:t>
      </w:r>
      <w:proofErr w:type="spellEnd"/>
      <w:r w:rsidRPr="002A3596">
        <w:t xml:space="preserve"> (as hemihydrate) and 100 mg of progesterone.</w:t>
      </w:r>
    </w:p>
    <w:p w14:paraId="762C39F9" w14:textId="19BFE4AC" w:rsidR="004A6F22" w:rsidRPr="002A3596" w:rsidRDefault="003B0D62" w:rsidP="00D4676B">
      <w:pPr>
        <w:pStyle w:val="BodyText"/>
      </w:pPr>
      <w:r w:rsidRPr="002A3596">
        <w:t xml:space="preserve">For the full list of excipients, see Section </w:t>
      </w:r>
      <w:r w:rsidR="005E4084">
        <w:fldChar w:fldCharType="begin"/>
      </w:r>
      <w:r w:rsidR="005E4084">
        <w:instrText xml:space="preserve"> REF _Ref69885210 \r \h </w:instrText>
      </w:r>
      <w:r w:rsidR="005E4084">
        <w:fldChar w:fldCharType="separate"/>
      </w:r>
      <w:r w:rsidR="00551C94">
        <w:t>6.1</w:t>
      </w:r>
      <w:r w:rsidR="005E4084">
        <w:fldChar w:fldCharType="end"/>
      </w:r>
      <w:r w:rsidR="005E4084">
        <w:t xml:space="preserve"> </w:t>
      </w:r>
      <w:r w:rsidR="005E4084">
        <w:fldChar w:fldCharType="begin"/>
      </w:r>
      <w:r w:rsidR="005E4084">
        <w:instrText xml:space="preserve"> REF _Ref69885210 \h </w:instrText>
      </w:r>
      <w:r w:rsidR="005E4084">
        <w:fldChar w:fldCharType="separate"/>
      </w:r>
      <w:r w:rsidR="00551C94" w:rsidRPr="002A3596">
        <w:t>List of</w:t>
      </w:r>
      <w:r w:rsidR="00551C94" w:rsidRPr="002A3596">
        <w:rPr>
          <w:spacing w:val="1"/>
        </w:rPr>
        <w:t xml:space="preserve"> </w:t>
      </w:r>
      <w:r w:rsidR="00551C94" w:rsidRPr="002A3596">
        <w:t>excipients</w:t>
      </w:r>
      <w:r w:rsidR="005E4084">
        <w:fldChar w:fldCharType="end"/>
      </w:r>
    </w:p>
    <w:p w14:paraId="19B8F7CD" w14:textId="77777777" w:rsidR="004A6F22" w:rsidRPr="002A3596" w:rsidRDefault="003B0D62" w:rsidP="005664F5">
      <w:pPr>
        <w:pStyle w:val="Heading1"/>
      </w:pPr>
      <w:r w:rsidRPr="002A3596">
        <w:t>PHARMACEUTICAL FORM</w:t>
      </w:r>
    </w:p>
    <w:p w14:paraId="68072E24" w14:textId="11044B50" w:rsidR="008B5858" w:rsidRPr="002A3596" w:rsidRDefault="008B5858" w:rsidP="008B5858">
      <w:pPr>
        <w:pStyle w:val="BodyText"/>
      </w:pPr>
      <w:r w:rsidRPr="002A3596">
        <w:t>Soft capsule</w:t>
      </w:r>
    </w:p>
    <w:p w14:paraId="4F009C85" w14:textId="15D91CAE" w:rsidR="00DA1129" w:rsidRPr="002A3596" w:rsidRDefault="00250DF8" w:rsidP="00DA1129">
      <w:pPr>
        <w:pStyle w:val="BodyText"/>
        <w:ind w:left="113"/>
      </w:pPr>
      <w:r>
        <w:lastRenderedPageBreak/>
        <w:t>BIJUVA 1/100</w:t>
      </w:r>
      <w:r w:rsidR="008B5858" w:rsidRPr="002A3596">
        <w:rPr>
          <w:vertAlign w:val="superscript"/>
        </w:rPr>
        <w:t xml:space="preserve"> </w:t>
      </w:r>
      <w:r w:rsidR="00BD2E1D">
        <w:t xml:space="preserve">soft </w:t>
      </w:r>
      <w:r w:rsidR="00DA1129" w:rsidRPr="002A3596">
        <w:t>capsules are oval and opaque, light pink on one side and dark pink on the other side with the marking “1C1” printed in white ink.</w:t>
      </w:r>
    </w:p>
    <w:p w14:paraId="2E1C59C8" w14:textId="37E70CF5" w:rsidR="008B5858" w:rsidRPr="002A3596" w:rsidRDefault="00DA1129" w:rsidP="00DA1129">
      <w:pPr>
        <w:pStyle w:val="BodyText"/>
        <w:ind w:left="113"/>
      </w:pPr>
      <w:r w:rsidRPr="002A3596">
        <w:t xml:space="preserve">Capsules are oval and approximately 5.2 – </w:t>
      </w:r>
      <w:r w:rsidR="0054668B" w:rsidRPr="002A3596">
        <w:t>6 mm</w:t>
      </w:r>
      <w:r w:rsidRPr="002A3596">
        <w:t xml:space="preserve"> in size.</w:t>
      </w:r>
    </w:p>
    <w:p w14:paraId="2FA5E9E3" w14:textId="77777777" w:rsidR="004A6F22" w:rsidRPr="002A3596" w:rsidRDefault="003B0D62" w:rsidP="005664F5">
      <w:pPr>
        <w:pStyle w:val="Heading1"/>
      </w:pPr>
      <w:r w:rsidRPr="002A3596">
        <w:t>CLINICAL PARTICULARS</w:t>
      </w:r>
    </w:p>
    <w:p w14:paraId="2BD95C88" w14:textId="190E900C" w:rsidR="004A6F22" w:rsidRPr="002A3596" w:rsidRDefault="003B0D62" w:rsidP="00944662">
      <w:pPr>
        <w:pStyle w:val="Heading2"/>
      </w:pPr>
      <w:r w:rsidRPr="002A3596">
        <w:t>Therapeutic indications</w:t>
      </w:r>
    </w:p>
    <w:p w14:paraId="7AC0BD08" w14:textId="79974AB4" w:rsidR="004A6F22" w:rsidRPr="002A3596" w:rsidRDefault="00250DF8" w:rsidP="00D4676B">
      <w:pPr>
        <w:pStyle w:val="BodyText"/>
      </w:pPr>
      <w:r>
        <w:t>BIJUVA 1/100</w:t>
      </w:r>
      <w:r w:rsidR="003B0D62" w:rsidRPr="002A3596">
        <w:t xml:space="preserve"> is</w:t>
      </w:r>
      <w:r w:rsidR="003B0D62" w:rsidRPr="002A3596">
        <w:rPr>
          <w:spacing w:val="-2"/>
        </w:rPr>
        <w:t xml:space="preserve"> </w:t>
      </w:r>
      <w:r w:rsidR="003B0D62" w:rsidRPr="002A3596">
        <w:t>indicated</w:t>
      </w:r>
      <w:r w:rsidR="003B0D62" w:rsidRPr="002A3596">
        <w:rPr>
          <w:spacing w:val="-2"/>
        </w:rPr>
        <w:t xml:space="preserve"> </w:t>
      </w:r>
      <w:r w:rsidR="003B0D62" w:rsidRPr="002A3596">
        <w:t>for</w:t>
      </w:r>
      <w:r w:rsidR="003B0D62" w:rsidRPr="002A3596">
        <w:rPr>
          <w:spacing w:val="-2"/>
        </w:rPr>
        <w:t xml:space="preserve"> </w:t>
      </w:r>
      <w:r w:rsidR="0054668B" w:rsidRPr="002A3596">
        <w:t>use during continuous combined hormone replacement therapy (HRT) for estrogen deficiency symptoms in postmenopausal women with an intact uterus and with at least 12 months since last menses.</w:t>
      </w:r>
    </w:p>
    <w:p w14:paraId="385E8A4D" w14:textId="77777777" w:rsidR="004A6F22" w:rsidRPr="002A3596" w:rsidRDefault="003B0D62" w:rsidP="00944662">
      <w:pPr>
        <w:pStyle w:val="Heading2"/>
      </w:pPr>
      <w:r w:rsidRPr="002A3596">
        <w:t>Dose and method of</w:t>
      </w:r>
      <w:r w:rsidRPr="002A3596">
        <w:rPr>
          <w:spacing w:val="1"/>
        </w:rPr>
        <w:t xml:space="preserve"> </w:t>
      </w:r>
      <w:r w:rsidRPr="002A3596">
        <w:t>administration</w:t>
      </w:r>
    </w:p>
    <w:p w14:paraId="1651E8AD" w14:textId="1B51AC92" w:rsidR="004A6F22" w:rsidRPr="002A3596" w:rsidRDefault="00250DF8" w:rsidP="003D2E66">
      <w:pPr>
        <w:pStyle w:val="BodyText"/>
      </w:pPr>
      <w:bookmarkStart w:id="1" w:name="_Hlk67559550"/>
      <w:r>
        <w:t>BIJUVA 1/100</w:t>
      </w:r>
      <w:bookmarkEnd w:id="1"/>
      <w:r w:rsidR="001D2504" w:rsidRPr="002A3596">
        <w:t xml:space="preserve"> is a combined HRT. The recommended oral dose for the initiation and continuation of treatment of postmenopausal symptoms </w:t>
      </w:r>
      <w:r w:rsidR="00284F88" w:rsidRPr="002A3596">
        <w:t xml:space="preserve">should be </w:t>
      </w:r>
      <w:r w:rsidR="001D2504" w:rsidRPr="002A3596">
        <w:t>the lowest effective dose,</w:t>
      </w:r>
      <w:r w:rsidR="00284F88" w:rsidRPr="002A3596">
        <w:t xml:space="preserve"> taken for the shortest duration (see also Section </w:t>
      </w:r>
      <w:r w:rsidR="002D0BCA">
        <w:fldChar w:fldCharType="begin"/>
      </w:r>
      <w:r w:rsidR="002D0BCA">
        <w:instrText xml:space="preserve"> REF _Ref69885430 \r \h </w:instrText>
      </w:r>
      <w:r w:rsidR="002D0BCA">
        <w:fldChar w:fldCharType="separate"/>
      </w:r>
      <w:r w:rsidR="00551C94">
        <w:t>4.4</w:t>
      </w:r>
      <w:r w:rsidR="002D0BCA">
        <w:fldChar w:fldCharType="end"/>
      </w:r>
      <w:r w:rsidR="005E4084">
        <w:t xml:space="preserve"> </w:t>
      </w:r>
      <w:r w:rsidR="005E4084">
        <w:fldChar w:fldCharType="begin"/>
      </w:r>
      <w:r w:rsidR="005E4084">
        <w:instrText xml:space="preserve"> REF _Ref69885430 \h </w:instrText>
      </w:r>
      <w:r w:rsidR="005E4084">
        <w:fldChar w:fldCharType="separate"/>
      </w:r>
      <w:r w:rsidR="00551C94" w:rsidRPr="002A3596">
        <w:t>Special warnings and precautions for use</w:t>
      </w:r>
      <w:r w:rsidR="005E4084">
        <w:fldChar w:fldCharType="end"/>
      </w:r>
      <w:r w:rsidR="00284F88" w:rsidRPr="002A3596">
        <w:t xml:space="preserve">). </w:t>
      </w:r>
      <w:r w:rsidR="00C32CA2">
        <w:t>Take one capsule each evening with food.</w:t>
      </w:r>
    </w:p>
    <w:p w14:paraId="06562068" w14:textId="69E3A005" w:rsidR="004A6F22" w:rsidRPr="002A3596" w:rsidRDefault="00284F88" w:rsidP="00D4676B">
      <w:pPr>
        <w:pStyle w:val="BodyText"/>
      </w:pPr>
      <w:r w:rsidRPr="002A3596">
        <w:t xml:space="preserve">Continuous combined treatment may be started with </w:t>
      </w:r>
      <w:r w:rsidR="00250DF8">
        <w:t>BIJUVA 1/100</w:t>
      </w:r>
      <w:r w:rsidRPr="002A3596">
        <w:rPr>
          <w:vertAlign w:val="superscript"/>
        </w:rPr>
        <w:t xml:space="preserve"> </w:t>
      </w:r>
      <w:r w:rsidRPr="002A3596">
        <w:t xml:space="preserve">depending on the time since menopause and severity of symptoms. Women experiencing a natural menopause should commence treatment with </w:t>
      </w:r>
      <w:r w:rsidR="00250DF8">
        <w:t>BIJUVA 1/100</w:t>
      </w:r>
      <w:r w:rsidRPr="002A3596">
        <w:rPr>
          <w:vertAlign w:val="superscript"/>
        </w:rPr>
        <w:t xml:space="preserve"> </w:t>
      </w:r>
      <w:r w:rsidRPr="002A3596">
        <w:t xml:space="preserve">12 months after their last natural menstrual bleed. For surgically induced menopause, treatment may start immediately. Patients changing from a continuous sequential or cyclical preparation should complete the 28-day cycle and then change to </w:t>
      </w:r>
      <w:r w:rsidR="00250DF8">
        <w:t>BIJUVA 1/100</w:t>
      </w:r>
      <w:r w:rsidRPr="002A3596">
        <w:t>.</w:t>
      </w:r>
    </w:p>
    <w:p w14:paraId="7CF5056F" w14:textId="5C5D4EC4" w:rsidR="00B82A8E" w:rsidRDefault="00B82A8E" w:rsidP="003F279E">
      <w:pPr>
        <w:pStyle w:val="subheading4BOLD"/>
      </w:pPr>
      <w:r w:rsidRPr="00B82A8E">
        <w:t xml:space="preserve">Management of missed </w:t>
      </w:r>
      <w:r w:rsidR="003D701C">
        <w:t>capsules</w:t>
      </w:r>
    </w:p>
    <w:p w14:paraId="6D25E04F" w14:textId="02A3A826" w:rsidR="00214FF4" w:rsidRPr="002A3596" w:rsidRDefault="00214FF4" w:rsidP="00D4676B">
      <w:pPr>
        <w:pStyle w:val="BodyText"/>
      </w:pPr>
      <w:r w:rsidRPr="002A3596">
        <w:t xml:space="preserve">If a dose has been forgotten, it should be taken as soon as possible. If more than 12 hours have elapsed, treatment should be continued with the next </w:t>
      </w:r>
      <w:r w:rsidR="003D701C">
        <w:t>capsule</w:t>
      </w:r>
      <w:r w:rsidR="003D701C" w:rsidRPr="002A3596">
        <w:t xml:space="preserve"> </w:t>
      </w:r>
      <w:r w:rsidRPr="002A3596">
        <w:t>without taking the forgotten capsule. The likelihood of breakthrough bleeding or spotting may be increased.</w:t>
      </w:r>
    </w:p>
    <w:p w14:paraId="15D48B9D" w14:textId="5861F2EE" w:rsidR="00284F88" w:rsidRPr="002A3596" w:rsidRDefault="00284F88" w:rsidP="003F279E">
      <w:pPr>
        <w:pStyle w:val="subheading4BOLD"/>
      </w:pPr>
      <w:r w:rsidRPr="002A3596">
        <w:t>Special Patient Groups</w:t>
      </w:r>
    </w:p>
    <w:p w14:paraId="40B16F59" w14:textId="5C7ED574" w:rsidR="00284F88" w:rsidRPr="002A3596" w:rsidRDefault="0003305C" w:rsidP="00284F88">
      <w:pPr>
        <w:pStyle w:val="BodyText"/>
      </w:pPr>
      <w:r w:rsidRPr="002A3596">
        <w:t xml:space="preserve">Patients changing from another </w:t>
      </w:r>
      <w:r w:rsidR="00C054CA" w:rsidRPr="002A3596">
        <w:t>continu</w:t>
      </w:r>
      <w:r w:rsidR="00C054CA">
        <w:t>ous</w:t>
      </w:r>
      <w:r w:rsidR="00C054CA" w:rsidRPr="002A3596">
        <w:t xml:space="preserve"> </w:t>
      </w:r>
      <w:r w:rsidRPr="002A3596">
        <w:t xml:space="preserve">combined preparation may start therapy at any time. </w:t>
      </w:r>
    </w:p>
    <w:p w14:paraId="6D360686" w14:textId="53682BD3" w:rsidR="0003305C" w:rsidRPr="002A3596" w:rsidRDefault="00250DF8" w:rsidP="00284F88">
      <w:pPr>
        <w:pStyle w:val="BodyText"/>
      </w:pPr>
      <w:r>
        <w:t>BIJUVA 1/100</w:t>
      </w:r>
      <w:r w:rsidR="0003305C" w:rsidRPr="002A3596">
        <w:t xml:space="preserve"> is not indicated for use in children.</w:t>
      </w:r>
    </w:p>
    <w:p w14:paraId="5EDA1ECC" w14:textId="3A01E606" w:rsidR="0003305C" w:rsidRPr="002A3596" w:rsidRDefault="00214FF4" w:rsidP="00284F88">
      <w:pPr>
        <w:pStyle w:val="BodyText"/>
      </w:pPr>
      <w:r w:rsidRPr="002A3596">
        <w:t xml:space="preserve">Experience in treating women &gt; 65 years with </w:t>
      </w:r>
      <w:r w:rsidR="00250DF8">
        <w:t>BIJUVA 1/100</w:t>
      </w:r>
      <w:r w:rsidRPr="002A3596">
        <w:t xml:space="preserve"> is limited.</w:t>
      </w:r>
    </w:p>
    <w:p w14:paraId="16E5557A" w14:textId="77777777" w:rsidR="004A6F22" w:rsidRPr="002A3596" w:rsidRDefault="003B0D62" w:rsidP="00944662">
      <w:pPr>
        <w:pStyle w:val="Heading2"/>
      </w:pPr>
      <w:bookmarkStart w:id="2" w:name="_Ref69885839"/>
      <w:r w:rsidRPr="002A3596">
        <w:t>Contraindications</w:t>
      </w:r>
      <w:bookmarkEnd w:id="2"/>
    </w:p>
    <w:p w14:paraId="3898B7A8" w14:textId="5DBEBCB8" w:rsidR="00EF7D76" w:rsidRPr="002A3596" w:rsidRDefault="00250DF8" w:rsidP="00D4676B">
      <w:pPr>
        <w:pStyle w:val="BodyText"/>
      </w:pPr>
      <w:r>
        <w:t>BIJUVA 1/100</w:t>
      </w:r>
      <w:r w:rsidR="00EF7D76" w:rsidRPr="002A3596">
        <w:t xml:space="preserve"> is contradicted in patients with:</w:t>
      </w:r>
    </w:p>
    <w:p w14:paraId="41F3368C" w14:textId="06DFD358" w:rsidR="00EF7D76" w:rsidRPr="002A3596" w:rsidRDefault="00EF7D76" w:rsidP="00EF7D76">
      <w:pPr>
        <w:pStyle w:val="ListParagraph"/>
      </w:pPr>
      <w:r w:rsidRPr="002A3596">
        <w:lastRenderedPageBreak/>
        <w:t xml:space="preserve">known, past or suspected breast </w:t>
      </w:r>
      <w:proofErr w:type="gramStart"/>
      <w:r w:rsidRPr="002A3596">
        <w:t>cancer;</w:t>
      </w:r>
      <w:proofErr w:type="gramEnd"/>
      <w:r w:rsidRPr="002A3596">
        <w:t xml:space="preserve"> </w:t>
      </w:r>
    </w:p>
    <w:p w14:paraId="2A805E52" w14:textId="12010B23" w:rsidR="00EF7D76" w:rsidRPr="002A3596" w:rsidRDefault="00EF7D76" w:rsidP="00EF7D76">
      <w:pPr>
        <w:pStyle w:val="ListParagraph"/>
      </w:pPr>
      <w:r w:rsidRPr="002A3596">
        <w:t>known or suspected estrogen-dependent malignant tumours (e.g.</w:t>
      </w:r>
      <w:r w:rsidR="006075B5">
        <w:t>,</w:t>
      </w:r>
      <w:r w:rsidRPr="002A3596">
        <w:t xml:space="preserve"> endometrial cancer</w:t>
      </w:r>
      <w:proofErr w:type="gramStart"/>
      <w:r w:rsidRPr="002A3596">
        <w:t>);</w:t>
      </w:r>
      <w:proofErr w:type="gramEnd"/>
    </w:p>
    <w:p w14:paraId="19AF31E1" w14:textId="7CBB9828" w:rsidR="00EF7D76" w:rsidRPr="002A3596" w:rsidRDefault="00EF7D76" w:rsidP="00EF7D76">
      <w:pPr>
        <w:pStyle w:val="ListParagraph"/>
      </w:pPr>
      <w:r w:rsidRPr="002A3596">
        <w:t xml:space="preserve">undiagnosed genital </w:t>
      </w:r>
      <w:proofErr w:type="gramStart"/>
      <w:r w:rsidRPr="002A3596">
        <w:t>bleeding;</w:t>
      </w:r>
      <w:proofErr w:type="gramEnd"/>
    </w:p>
    <w:p w14:paraId="71194027" w14:textId="6AF34EC1" w:rsidR="00EF7D76" w:rsidRPr="002A3596" w:rsidRDefault="00EF7D76" w:rsidP="00EF7D76">
      <w:pPr>
        <w:pStyle w:val="ListParagraph"/>
      </w:pPr>
      <w:r w:rsidRPr="002A3596">
        <w:t xml:space="preserve">untreated endometrial </w:t>
      </w:r>
      <w:proofErr w:type="gramStart"/>
      <w:r w:rsidRPr="002A3596">
        <w:t>hyperplasia;</w:t>
      </w:r>
      <w:proofErr w:type="gramEnd"/>
    </w:p>
    <w:p w14:paraId="70BF19F1" w14:textId="7E6A0A33" w:rsidR="00EF7D76" w:rsidRPr="002A3596" w:rsidRDefault="00EF7D76" w:rsidP="00EF7D76">
      <w:pPr>
        <w:pStyle w:val="ListParagraph"/>
      </w:pPr>
      <w:r w:rsidRPr="002A3596">
        <w:t>previous or current venous thromboembolism (deep vein thrombosis, pulmonary embolism</w:t>
      </w:r>
      <w:proofErr w:type="gramStart"/>
      <w:r w:rsidRPr="002A3596">
        <w:t>);</w:t>
      </w:r>
      <w:proofErr w:type="gramEnd"/>
    </w:p>
    <w:p w14:paraId="6E532377" w14:textId="19ED46B2" w:rsidR="00EF7D76" w:rsidRPr="002A3596" w:rsidRDefault="00EF7D76" w:rsidP="00EF7D76">
      <w:pPr>
        <w:pStyle w:val="ListParagraph"/>
      </w:pPr>
      <w:r w:rsidRPr="002A3596">
        <w:t xml:space="preserve">known </w:t>
      </w:r>
      <w:proofErr w:type="spellStart"/>
      <w:r w:rsidRPr="002A3596">
        <w:t>thrombophilic</w:t>
      </w:r>
      <w:proofErr w:type="spellEnd"/>
      <w:r w:rsidRPr="002A3596">
        <w:t xml:space="preserve"> disorders (e.g.</w:t>
      </w:r>
      <w:r w:rsidR="00F91B0B">
        <w:t>,</w:t>
      </w:r>
      <w:r w:rsidRPr="002A3596">
        <w:t xml:space="preserve"> protein C, protein S, or antithrombin deficiency, see </w:t>
      </w:r>
      <w:r w:rsidR="004259AA">
        <w:t>S</w:t>
      </w:r>
      <w:r w:rsidRPr="002A3596">
        <w:t xml:space="preserve">ection </w:t>
      </w:r>
      <w:r w:rsidR="00E91DDA">
        <w:fldChar w:fldCharType="begin"/>
      </w:r>
      <w:r w:rsidR="00E91DDA">
        <w:instrText xml:space="preserve"> REF _Ref69885430 \r \h </w:instrText>
      </w:r>
      <w:r w:rsidR="00E91DDA">
        <w:fldChar w:fldCharType="separate"/>
      </w:r>
      <w:r w:rsidR="00551C94">
        <w:t>4.4</w:t>
      </w:r>
      <w:r w:rsidR="00E91DDA">
        <w:fldChar w:fldCharType="end"/>
      </w:r>
      <w:r w:rsidR="006B186A">
        <w:t xml:space="preserve"> </w:t>
      </w:r>
      <w:r w:rsidR="004259AA">
        <w:fldChar w:fldCharType="begin"/>
      </w:r>
      <w:r w:rsidR="004259AA">
        <w:instrText xml:space="preserve"> REF _Ref69885430 \h </w:instrText>
      </w:r>
      <w:r w:rsidR="004259AA">
        <w:fldChar w:fldCharType="separate"/>
      </w:r>
      <w:r w:rsidR="00551C94" w:rsidRPr="002A3596">
        <w:t>Special warnings and precautions for use</w:t>
      </w:r>
      <w:r w:rsidR="004259AA">
        <w:fldChar w:fldCharType="end"/>
      </w:r>
      <w:proofErr w:type="gramStart"/>
      <w:r w:rsidRPr="002A3596">
        <w:t>);</w:t>
      </w:r>
      <w:proofErr w:type="gramEnd"/>
    </w:p>
    <w:p w14:paraId="0684823F" w14:textId="71953915" w:rsidR="00EF7D76" w:rsidRPr="002A3596" w:rsidRDefault="00EF7D76" w:rsidP="00EF7D76">
      <w:pPr>
        <w:pStyle w:val="ListParagraph"/>
      </w:pPr>
      <w:r w:rsidRPr="002A3596">
        <w:t>active or recent arterial thromboembolic disease (e.g.</w:t>
      </w:r>
      <w:r w:rsidR="00F91B0B">
        <w:t>,</w:t>
      </w:r>
      <w:r w:rsidRPr="002A3596">
        <w:t xml:space="preserve"> angina, myocardial infarction</w:t>
      </w:r>
      <w:proofErr w:type="gramStart"/>
      <w:r w:rsidRPr="002A3596">
        <w:t>);</w:t>
      </w:r>
      <w:proofErr w:type="gramEnd"/>
    </w:p>
    <w:p w14:paraId="248561A9" w14:textId="43702419" w:rsidR="00EF7D76" w:rsidRPr="002A3596" w:rsidRDefault="00EF7D76" w:rsidP="00EF7D76">
      <w:pPr>
        <w:pStyle w:val="ListParagraph"/>
      </w:pPr>
      <w:r w:rsidRPr="002A3596">
        <w:t xml:space="preserve">acute liver disease or a history of liver disease as long as liver function tests have failed to return to </w:t>
      </w:r>
      <w:proofErr w:type="gramStart"/>
      <w:r w:rsidRPr="002A3596">
        <w:t>normal;</w:t>
      </w:r>
      <w:proofErr w:type="gramEnd"/>
    </w:p>
    <w:p w14:paraId="2C0061C5" w14:textId="5C36295E" w:rsidR="00EF7D76" w:rsidRPr="002A3596" w:rsidRDefault="00EF7D76" w:rsidP="00EF7D76">
      <w:pPr>
        <w:pStyle w:val="ListParagraph"/>
      </w:pPr>
      <w:proofErr w:type="gramStart"/>
      <w:r w:rsidRPr="002A3596">
        <w:t>Porphyria;</w:t>
      </w:r>
      <w:proofErr w:type="gramEnd"/>
    </w:p>
    <w:p w14:paraId="0382F258" w14:textId="6A8B8865" w:rsidR="004A6F22" w:rsidRPr="002A3596" w:rsidRDefault="00EF7D76" w:rsidP="00545EA0">
      <w:pPr>
        <w:pStyle w:val="ListParagraph"/>
      </w:pPr>
      <w:r w:rsidRPr="002A3596">
        <w:t>known hypersensitivity to the active substances or to any of the excipients</w:t>
      </w:r>
      <w:r w:rsidR="003B0D62" w:rsidRPr="002A3596">
        <w:t>.</w:t>
      </w:r>
    </w:p>
    <w:p w14:paraId="489475DE" w14:textId="77777777" w:rsidR="004A6F22" w:rsidRPr="002A3596" w:rsidRDefault="003B0D62" w:rsidP="00944662">
      <w:pPr>
        <w:pStyle w:val="Heading2"/>
      </w:pPr>
      <w:bookmarkStart w:id="3" w:name="_Ref69885430"/>
      <w:r w:rsidRPr="002A3596">
        <w:t>Special warnings and precautions for use</w:t>
      </w:r>
      <w:bookmarkEnd w:id="3"/>
    </w:p>
    <w:p w14:paraId="38280ED9" w14:textId="77777777" w:rsidR="004A6F22" w:rsidRPr="002A3596" w:rsidRDefault="003B0D62" w:rsidP="002D0BCA">
      <w:pPr>
        <w:pStyle w:val="Heading3"/>
      </w:pPr>
      <w:r w:rsidRPr="002A3596">
        <w:t>General</w:t>
      </w:r>
    </w:p>
    <w:p w14:paraId="4D4C8FD5" w14:textId="333E5BCF" w:rsidR="0056180F" w:rsidRPr="002A3596" w:rsidRDefault="00250DF8" w:rsidP="0056180F">
      <w:pPr>
        <w:pStyle w:val="BodyText"/>
      </w:pPr>
      <w:r>
        <w:t>BIJUVA 1/100</w:t>
      </w:r>
      <w:r w:rsidR="0056180F" w:rsidRPr="002A3596">
        <w:t xml:space="preserve"> is indicated for the treatment of postmenopausal symptoms, HRT should only be initiated for symptoms that adversely affect quality of life. In all cases, a careful appraisal of the risks and benefits should be undertaken at least annually, and HRT should only be continued if the benefit outweighs the risk.</w:t>
      </w:r>
    </w:p>
    <w:p w14:paraId="4ECF9C28" w14:textId="7BF6FEA4" w:rsidR="004A6F22" w:rsidRPr="002A3596" w:rsidRDefault="0056180F" w:rsidP="0056180F">
      <w:pPr>
        <w:pStyle w:val="BodyText"/>
      </w:pPr>
      <w:r w:rsidRPr="002A3596">
        <w:t>Evidence regarding the risks associated with HRT in the treatment of premature menopause is limited. Due to the low level of absolute risk in younger women, however, the balance of benefits and risks for these women may be more favourable than in older women</w:t>
      </w:r>
      <w:r w:rsidR="003B0D62" w:rsidRPr="002A3596">
        <w:t>.</w:t>
      </w:r>
    </w:p>
    <w:p w14:paraId="07AC4167" w14:textId="77777777" w:rsidR="004A6F22" w:rsidRPr="002A3596" w:rsidRDefault="003B0D62" w:rsidP="002D0BCA">
      <w:pPr>
        <w:pStyle w:val="Heading3"/>
      </w:pPr>
      <w:bookmarkStart w:id="4" w:name="Identified_precautions"/>
      <w:bookmarkEnd w:id="4"/>
      <w:r w:rsidRPr="002A3596">
        <w:t>Identified precautions</w:t>
      </w:r>
    </w:p>
    <w:p w14:paraId="5114785B" w14:textId="2AC21E8A" w:rsidR="004A6F22" w:rsidRPr="002A3596" w:rsidRDefault="0056180F" w:rsidP="00D4676B">
      <w:pPr>
        <w:pStyle w:val="subheading4BOLD"/>
      </w:pPr>
      <w:r w:rsidRPr="002A3596">
        <w:t>Medical Examination/follow up</w:t>
      </w:r>
    </w:p>
    <w:p w14:paraId="741A5A7D" w14:textId="4B877F80" w:rsidR="0056180F" w:rsidRPr="002A3596" w:rsidRDefault="0056180F" w:rsidP="0056180F">
      <w:pPr>
        <w:pStyle w:val="BodyText"/>
      </w:pPr>
      <w:r w:rsidRPr="002A3596">
        <w:t xml:space="preserve">Before initiating or reinstituting HRT, a complete personal and family medical history should be taken. Physical (including pelvic and breast) examination should be guided by this and by the contraindications and warnings for use. During treatment, periodic check-ups are recommended of a frequency and nature adapted to the individual woman. Women should be advised what changes in their breasts should be reported to their doctor or nurse (see </w:t>
      </w:r>
      <w:r w:rsidR="002D0BCA">
        <w:fldChar w:fldCharType="begin"/>
      </w:r>
      <w:r w:rsidR="002D0BCA">
        <w:instrText xml:space="preserve"> REF _Ref69885723 \h </w:instrText>
      </w:r>
      <w:r w:rsidR="002D0BCA">
        <w:fldChar w:fldCharType="separate"/>
      </w:r>
      <w:r w:rsidR="00551C94" w:rsidRPr="002A3596">
        <w:t>Breast cancer risk</w:t>
      </w:r>
      <w:r w:rsidR="002D0BCA">
        <w:fldChar w:fldCharType="end"/>
      </w:r>
      <w:r w:rsidR="002D0BCA">
        <w:t xml:space="preserve"> </w:t>
      </w:r>
      <w:r w:rsidRPr="002A3596">
        <w:t>below). Investigations, including appropriate imaging tools, e.g.</w:t>
      </w:r>
      <w:r w:rsidR="006075B5">
        <w:t>,</w:t>
      </w:r>
      <w:r w:rsidRPr="002A3596">
        <w:t xml:space="preserve"> mammography, should be </w:t>
      </w:r>
      <w:r w:rsidRPr="002A3596">
        <w:lastRenderedPageBreak/>
        <w:t>carried out in accordance with currently accepted screening practices, modified to the clinical needs of the individual.</w:t>
      </w:r>
    </w:p>
    <w:p w14:paraId="5632518D" w14:textId="271BC1BC" w:rsidR="00897685" w:rsidRPr="002A3596" w:rsidRDefault="00897685" w:rsidP="00897685">
      <w:pPr>
        <w:pStyle w:val="subheading4BOLD"/>
      </w:pPr>
      <w:r w:rsidRPr="002A3596">
        <w:t>Conditions Requiring Supervision</w:t>
      </w:r>
    </w:p>
    <w:p w14:paraId="6EE40397" w14:textId="5B28BFA6" w:rsidR="00897685" w:rsidRPr="002A3596" w:rsidRDefault="00897685" w:rsidP="00897685">
      <w:pPr>
        <w:pStyle w:val="BodyText"/>
      </w:pPr>
      <w:r w:rsidRPr="002A3596">
        <w:t xml:space="preserve">If any of the following conditions are present, have occurred previously, and/or have been aggravated during pregnancy or previous hormone treatment, the patient should be closely supervised. It should be </w:t>
      </w:r>
      <w:proofErr w:type="gramStart"/>
      <w:r w:rsidRPr="002A3596">
        <w:t>taken into account</w:t>
      </w:r>
      <w:proofErr w:type="gramEnd"/>
      <w:r w:rsidRPr="002A3596">
        <w:t xml:space="preserve"> that these conditions may recur or be aggravated during treatment with </w:t>
      </w:r>
      <w:r w:rsidR="00250DF8">
        <w:t>BIJUVA 1/100</w:t>
      </w:r>
      <w:r w:rsidRPr="002A3596">
        <w:t>, in particular:</w:t>
      </w:r>
    </w:p>
    <w:p w14:paraId="2FA6FE3C" w14:textId="2EC318DF" w:rsidR="00897685" w:rsidRPr="002A3596" w:rsidRDefault="00897685" w:rsidP="00897685">
      <w:pPr>
        <w:pStyle w:val="ListParagraph"/>
      </w:pPr>
      <w:r w:rsidRPr="002A3596">
        <w:t>Leiomyoma (uterine fibroids) or endometriosis</w:t>
      </w:r>
    </w:p>
    <w:p w14:paraId="3474000A" w14:textId="0D9DE121" w:rsidR="00897685" w:rsidRPr="002A3596" w:rsidRDefault="00897685" w:rsidP="00897685">
      <w:pPr>
        <w:pStyle w:val="ListParagraph"/>
      </w:pPr>
      <w:r w:rsidRPr="002A3596">
        <w:t>Risk factors for thromboembolic disorders (see below)</w:t>
      </w:r>
    </w:p>
    <w:p w14:paraId="61325AF8" w14:textId="1092189B" w:rsidR="00897685" w:rsidRPr="002A3596" w:rsidRDefault="00897685" w:rsidP="00897685">
      <w:pPr>
        <w:pStyle w:val="ListParagraph"/>
      </w:pPr>
      <w:r w:rsidRPr="002A3596">
        <w:t>Risk factors for estrogen dependent tumours, e.g.</w:t>
      </w:r>
      <w:r w:rsidR="006075B5">
        <w:t>,</w:t>
      </w:r>
      <w:r w:rsidRPr="002A3596">
        <w:t xml:space="preserve"> 1st degree heredity for breast cancer</w:t>
      </w:r>
    </w:p>
    <w:p w14:paraId="63D8C60A" w14:textId="316DFA7E" w:rsidR="00897685" w:rsidRPr="002A3596" w:rsidRDefault="00897685" w:rsidP="00897685">
      <w:pPr>
        <w:pStyle w:val="ListParagraph"/>
      </w:pPr>
      <w:r w:rsidRPr="002A3596">
        <w:t>Hypertension</w:t>
      </w:r>
    </w:p>
    <w:p w14:paraId="0E3267B2" w14:textId="4FC6A050" w:rsidR="00897685" w:rsidRPr="002A3596" w:rsidRDefault="00897685" w:rsidP="00897685">
      <w:pPr>
        <w:pStyle w:val="ListParagraph"/>
      </w:pPr>
      <w:r w:rsidRPr="002A3596">
        <w:t>Liver disorders (e.g.</w:t>
      </w:r>
      <w:r w:rsidR="006075B5">
        <w:t>,</w:t>
      </w:r>
      <w:r w:rsidRPr="002A3596">
        <w:t xml:space="preserve"> liver adenoma)</w:t>
      </w:r>
    </w:p>
    <w:p w14:paraId="3EC0C705" w14:textId="32D70C05" w:rsidR="00897685" w:rsidRPr="002A3596" w:rsidRDefault="00897685" w:rsidP="00897685">
      <w:pPr>
        <w:pStyle w:val="ListParagraph"/>
      </w:pPr>
      <w:r w:rsidRPr="002A3596">
        <w:t>Diabetes mellitus with or without vascular involvement</w:t>
      </w:r>
    </w:p>
    <w:p w14:paraId="049FDCDE" w14:textId="7EF4D954" w:rsidR="00897685" w:rsidRPr="002A3596" w:rsidRDefault="00897685" w:rsidP="00897685">
      <w:pPr>
        <w:pStyle w:val="ListParagraph"/>
      </w:pPr>
      <w:r w:rsidRPr="002A3596">
        <w:t>Cholelithiasis</w:t>
      </w:r>
    </w:p>
    <w:p w14:paraId="03E8E028" w14:textId="12427097" w:rsidR="00897685" w:rsidRPr="002A3596" w:rsidRDefault="00897685" w:rsidP="00897685">
      <w:pPr>
        <w:pStyle w:val="ListParagraph"/>
      </w:pPr>
      <w:r w:rsidRPr="002A3596">
        <w:t>Migraine or (severe) headache</w:t>
      </w:r>
    </w:p>
    <w:p w14:paraId="17EC1827" w14:textId="19E61B1D" w:rsidR="00897685" w:rsidRPr="002A3596" w:rsidRDefault="00897685" w:rsidP="00897685">
      <w:pPr>
        <w:pStyle w:val="ListParagraph"/>
      </w:pPr>
      <w:r w:rsidRPr="002A3596">
        <w:t>Systemic lupus erythematosus</w:t>
      </w:r>
    </w:p>
    <w:p w14:paraId="57675DCB" w14:textId="2BAADB3D" w:rsidR="00897685" w:rsidRPr="002A3596" w:rsidRDefault="00897685" w:rsidP="00897685">
      <w:pPr>
        <w:pStyle w:val="ListParagraph"/>
      </w:pPr>
      <w:r w:rsidRPr="002A3596">
        <w:t>A history of endometrial hyperplasia (see below)</w:t>
      </w:r>
    </w:p>
    <w:p w14:paraId="3386157B" w14:textId="54A9735F" w:rsidR="00897685" w:rsidRPr="002A3596" w:rsidRDefault="00897685" w:rsidP="00897685">
      <w:pPr>
        <w:pStyle w:val="ListParagraph"/>
      </w:pPr>
      <w:r w:rsidRPr="002A3596">
        <w:t>Epilepsy</w:t>
      </w:r>
    </w:p>
    <w:p w14:paraId="39F2D644" w14:textId="03BBF6E8" w:rsidR="00897685" w:rsidRPr="002A3596" w:rsidRDefault="00897685" w:rsidP="00897685">
      <w:pPr>
        <w:pStyle w:val="ListParagraph"/>
      </w:pPr>
      <w:r w:rsidRPr="002A3596">
        <w:t>Asthma</w:t>
      </w:r>
    </w:p>
    <w:p w14:paraId="5D029CD5" w14:textId="64A7D042" w:rsidR="00897685" w:rsidRPr="002A3596" w:rsidRDefault="00897685" w:rsidP="00897685">
      <w:pPr>
        <w:pStyle w:val="ListParagraph"/>
      </w:pPr>
      <w:r w:rsidRPr="002A3596">
        <w:t>Otosclerosis</w:t>
      </w:r>
    </w:p>
    <w:p w14:paraId="14ED51B7" w14:textId="1E072E32" w:rsidR="00FF41DC" w:rsidRPr="002A3596" w:rsidRDefault="00FF41DC" w:rsidP="00FF41DC">
      <w:pPr>
        <w:pStyle w:val="subheading4BOLD"/>
      </w:pPr>
      <w:r w:rsidRPr="002A3596">
        <w:t>Reasons for Immediate Withdrawal of Therapy</w:t>
      </w:r>
    </w:p>
    <w:p w14:paraId="69F7D260" w14:textId="77777777" w:rsidR="00FF41DC" w:rsidRPr="002A3596" w:rsidRDefault="00FF41DC" w:rsidP="00FF41DC">
      <w:pPr>
        <w:pStyle w:val="BodyText"/>
      </w:pPr>
      <w:r w:rsidRPr="002A3596">
        <w:t>Therapy should be discontinued in cases where a contraindication is discovered and in the following situations:</w:t>
      </w:r>
    </w:p>
    <w:p w14:paraId="634E9A45" w14:textId="67FF7E68" w:rsidR="00FF41DC" w:rsidRPr="002A3596" w:rsidRDefault="00FF41DC" w:rsidP="00FF41DC">
      <w:pPr>
        <w:pStyle w:val="ListParagraph"/>
      </w:pPr>
      <w:r w:rsidRPr="002A3596">
        <w:t>Jaundice or deterioration in liver function</w:t>
      </w:r>
    </w:p>
    <w:p w14:paraId="59812A66" w14:textId="4FA14701" w:rsidR="00FF41DC" w:rsidRPr="002A3596" w:rsidRDefault="00FF41DC" w:rsidP="00FF41DC">
      <w:pPr>
        <w:pStyle w:val="ListParagraph"/>
      </w:pPr>
      <w:r w:rsidRPr="002A3596">
        <w:t>Significant increase in blood pressure</w:t>
      </w:r>
    </w:p>
    <w:p w14:paraId="4B446305" w14:textId="792DC86D" w:rsidR="00FF41DC" w:rsidRPr="002A3596" w:rsidRDefault="00FF41DC" w:rsidP="00FF41DC">
      <w:pPr>
        <w:pStyle w:val="ListParagraph"/>
      </w:pPr>
      <w:r w:rsidRPr="002A3596">
        <w:t>New onset of migraine-type headache</w:t>
      </w:r>
    </w:p>
    <w:p w14:paraId="3D1F16D9" w14:textId="31886A82" w:rsidR="00FF41DC" w:rsidRPr="002A3596" w:rsidRDefault="00FF41DC" w:rsidP="00FF41DC">
      <w:pPr>
        <w:pStyle w:val="ListParagraph"/>
      </w:pPr>
      <w:r w:rsidRPr="002A3596">
        <w:t>Pregnancy</w:t>
      </w:r>
    </w:p>
    <w:p w14:paraId="596AD6FD" w14:textId="05797188" w:rsidR="00FF41DC" w:rsidRPr="002A3596" w:rsidRDefault="00FF41DC" w:rsidP="00FF41DC">
      <w:pPr>
        <w:pStyle w:val="subheading4BOLD"/>
      </w:pPr>
      <w:r w:rsidRPr="002A3596">
        <w:lastRenderedPageBreak/>
        <w:t xml:space="preserve">Endometrial </w:t>
      </w:r>
      <w:r w:rsidR="006736F6" w:rsidRPr="002A3596">
        <w:t>Hyperplasia and Carcinoma</w:t>
      </w:r>
    </w:p>
    <w:p w14:paraId="5017C5E2" w14:textId="20F0774A" w:rsidR="006736F6" w:rsidRPr="002A3596" w:rsidRDefault="006736F6" w:rsidP="006736F6">
      <w:pPr>
        <w:pStyle w:val="BodyText"/>
        <w:rPr>
          <w:u w:color="000000"/>
        </w:rPr>
      </w:pPr>
      <w:r w:rsidRPr="002A3596">
        <w:rPr>
          <w:u w:color="000000"/>
        </w:rPr>
        <w:t xml:space="preserve">In women with an intact uterus the risk of endometrial hyperplasia and carcinoma is increased when estrogens are administered alone for prolonged periods. The reported increase in endometrial cancer risk among estrogen-only users varies from 2- to 12-fold greater compared with non-users, depending on the duration of treatment and estrogen dose (see </w:t>
      </w:r>
      <w:r w:rsidR="002D0BCA">
        <w:rPr>
          <w:u w:color="000000"/>
        </w:rPr>
        <w:t>S</w:t>
      </w:r>
      <w:r w:rsidRPr="002A3596">
        <w:rPr>
          <w:u w:color="000000"/>
        </w:rPr>
        <w:t>ection 4.8</w:t>
      </w:r>
      <w:r w:rsidR="002D0BCA">
        <w:rPr>
          <w:u w:color="000000"/>
        </w:rPr>
        <w:t xml:space="preserve"> </w:t>
      </w:r>
      <w:r w:rsidR="002D0BCA">
        <w:rPr>
          <w:u w:color="000000"/>
        </w:rPr>
        <w:fldChar w:fldCharType="begin"/>
      </w:r>
      <w:r w:rsidR="002D0BCA">
        <w:rPr>
          <w:u w:color="000000"/>
        </w:rPr>
        <w:instrText xml:space="preserve"> REF _Ref69885774 \h </w:instrText>
      </w:r>
      <w:r w:rsidR="002D0BCA">
        <w:rPr>
          <w:u w:color="000000"/>
        </w:rPr>
      </w:r>
      <w:r w:rsidR="002D0BCA">
        <w:rPr>
          <w:u w:color="000000"/>
        </w:rPr>
        <w:fldChar w:fldCharType="separate"/>
      </w:r>
      <w:r w:rsidR="00551C94" w:rsidRPr="002A3596">
        <w:t>Endometrial cancer</w:t>
      </w:r>
      <w:r w:rsidR="002D0BCA">
        <w:rPr>
          <w:u w:color="000000"/>
        </w:rPr>
        <w:fldChar w:fldCharType="end"/>
      </w:r>
      <w:r w:rsidRPr="002A3596">
        <w:rPr>
          <w:u w:color="000000"/>
        </w:rPr>
        <w:t xml:space="preserve">). After stopping treatment risk may remain elevated for at least 10 years. </w:t>
      </w:r>
    </w:p>
    <w:p w14:paraId="3B0F603E" w14:textId="47B2B2E9" w:rsidR="006736F6" w:rsidRPr="002A3596" w:rsidRDefault="006736F6" w:rsidP="006736F6">
      <w:pPr>
        <w:pStyle w:val="BodyText"/>
        <w:rPr>
          <w:u w:color="000000"/>
        </w:rPr>
      </w:pPr>
      <w:r w:rsidRPr="002A3596">
        <w:rPr>
          <w:u w:color="000000"/>
        </w:rPr>
        <w:t>The addition of a progestogen cyclically for at least 12 days per month/</w:t>
      </w:r>
      <w:r w:rsidR="00405C70" w:rsidRPr="002A3596">
        <w:rPr>
          <w:u w:color="000000"/>
        </w:rPr>
        <w:t>28-day</w:t>
      </w:r>
      <w:r w:rsidRPr="002A3596">
        <w:rPr>
          <w:u w:color="000000"/>
        </w:rPr>
        <w:t xml:space="preserve"> cycle or continuous combined estrogen-progestogen therapy in non-hysterectomised women prevents the excess risk associated with estrogen-only HRT.</w:t>
      </w:r>
    </w:p>
    <w:p w14:paraId="57EC0F00" w14:textId="77777777" w:rsidR="006736F6" w:rsidRPr="002A3596" w:rsidRDefault="006736F6" w:rsidP="006736F6">
      <w:pPr>
        <w:pStyle w:val="BodyText"/>
        <w:rPr>
          <w:u w:color="000000"/>
        </w:rPr>
      </w:pPr>
      <w:r w:rsidRPr="002A3596">
        <w:rPr>
          <w:u w:color="000000"/>
        </w:rPr>
        <w:t>Break-through bleeding and spotting may occur during the first months of treatment. If break-through bleeding or spotting appears after some time on therapy, or continues after treatment has been discontinued, the reason should be investigated, which may include endometrial biopsy to exclude endometrial malignancy.</w:t>
      </w:r>
    </w:p>
    <w:p w14:paraId="4548BADA" w14:textId="77777777" w:rsidR="006736F6" w:rsidRPr="002A3596" w:rsidRDefault="006736F6" w:rsidP="006736F6">
      <w:pPr>
        <w:pStyle w:val="subheading4BOLD"/>
      </w:pPr>
      <w:r w:rsidRPr="002A3596">
        <w:t xml:space="preserve">Breast cancer </w:t>
      </w:r>
    </w:p>
    <w:p w14:paraId="05E1C551" w14:textId="0498B298" w:rsidR="006736F6" w:rsidRPr="002A3596" w:rsidRDefault="006736F6" w:rsidP="006736F6">
      <w:pPr>
        <w:pStyle w:val="BodyText"/>
      </w:pPr>
      <w:r w:rsidRPr="002A3596">
        <w:t xml:space="preserve">The overall evidence shows an increased risk of breast cancer in women taking combined estrogen-progestogen or also estrogen-only HRT, that is dependent on the duration of taking HRT. </w:t>
      </w:r>
    </w:p>
    <w:p w14:paraId="0CA0D86D" w14:textId="77777777" w:rsidR="006736F6" w:rsidRPr="002A3596" w:rsidRDefault="006736F6" w:rsidP="006736F6">
      <w:pPr>
        <w:pStyle w:val="Subheading4"/>
      </w:pPr>
      <w:r w:rsidRPr="002A3596">
        <w:t>Combined estrogen-progestogen therapy</w:t>
      </w:r>
    </w:p>
    <w:p w14:paraId="0DFB3B89" w14:textId="33FDC83E" w:rsidR="00F96C81" w:rsidRDefault="006736F6" w:rsidP="002D0C46">
      <w:pPr>
        <w:pStyle w:val="BodyText"/>
        <w:rPr>
          <w:u w:color="000000"/>
        </w:rPr>
      </w:pPr>
      <w:r w:rsidRPr="002A3596">
        <w:rPr>
          <w:u w:color="000000"/>
        </w:rPr>
        <w:t>The randomised placebo-controlled trial the (Women’s Health Initiative study (WHI), and a meta-analysis of prospective</w:t>
      </w:r>
      <w:r w:rsidRPr="002A3596">
        <w:rPr>
          <w:b/>
          <w:bCs/>
          <w:u w:color="000000"/>
        </w:rPr>
        <w:t xml:space="preserve"> </w:t>
      </w:r>
      <w:r w:rsidRPr="002A3596">
        <w:rPr>
          <w:u w:color="000000"/>
        </w:rPr>
        <w:t>epidemiological studies are consistent in finding an increased risk of breast cancer in women taking combined estrogen-progestogen for HRT that becomes apparent after about 3 (1-4)</w:t>
      </w:r>
      <w:r w:rsidRPr="002A3596">
        <w:rPr>
          <w:b/>
          <w:bCs/>
          <w:u w:color="000000"/>
        </w:rPr>
        <w:t xml:space="preserve"> </w:t>
      </w:r>
      <w:r w:rsidRPr="002A3596">
        <w:rPr>
          <w:u w:color="000000"/>
        </w:rPr>
        <w:t xml:space="preserve">years (see section </w:t>
      </w:r>
      <w:r w:rsidR="00E91DDA">
        <w:rPr>
          <w:u w:color="000000"/>
        </w:rPr>
        <w:t>4.8</w:t>
      </w:r>
      <w:r w:rsidR="002D0BCA">
        <w:rPr>
          <w:u w:color="000000"/>
        </w:rPr>
        <w:t xml:space="preserve"> </w:t>
      </w:r>
      <w:r w:rsidR="002D0BCA">
        <w:rPr>
          <w:u w:color="000000"/>
        </w:rPr>
        <w:fldChar w:fldCharType="begin"/>
      </w:r>
      <w:r w:rsidR="002D0BCA">
        <w:rPr>
          <w:u w:color="000000"/>
        </w:rPr>
        <w:instrText xml:space="preserve"> REF _Ref69885723 \h </w:instrText>
      </w:r>
      <w:r w:rsidR="002D0BCA">
        <w:rPr>
          <w:u w:color="000000"/>
        </w:rPr>
      </w:r>
      <w:r w:rsidR="002D0BCA">
        <w:rPr>
          <w:u w:color="000000"/>
        </w:rPr>
        <w:fldChar w:fldCharType="separate"/>
      </w:r>
      <w:r w:rsidR="00551C94" w:rsidRPr="002A3596">
        <w:t>Breast cancer risk</w:t>
      </w:r>
      <w:r w:rsidR="002D0BCA">
        <w:rPr>
          <w:u w:color="000000"/>
        </w:rPr>
        <w:fldChar w:fldCharType="end"/>
      </w:r>
      <w:r w:rsidRPr="002A3596">
        <w:rPr>
          <w:u w:color="000000"/>
        </w:rPr>
        <w:t>).</w:t>
      </w:r>
    </w:p>
    <w:p w14:paraId="5F1CC029" w14:textId="62CD23F4" w:rsidR="00F96C81" w:rsidRPr="004C3E99" w:rsidRDefault="00587179" w:rsidP="00F96C81">
      <w:pPr>
        <w:pStyle w:val="BodyText"/>
      </w:pPr>
      <w:r>
        <w:rPr>
          <w:rStyle w:val="markedcontent"/>
        </w:rPr>
        <w:t xml:space="preserve">In a one year trial, </w:t>
      </w:r>
      <w:r w:rsidR="00F96C81">
        <w:rPr>
          <w:rStyle w:val="markedcontent"/>
        </w:rPr>
        <w:t xml:space="preserve">among 1,684 women who received a combination of </w:t>
      </w:r>
      <w:proofErr w:type="spellStart"/>
      <w:r w:rsidR="00F96C81">
        <w:rPr>
          <w:rStyle w:val="markedcontent"/>
        </w:rPr>
        <w:t>estradiol</w:t>
      </w:r>
      <w:proofErr w:type="spellEnd"/>
      <w:r w:rsidR="00F96C81">
        <w:rPr>
          <w:rStyle w:val="markedcontent"/>
        </w:rPr>
        <w:t xml:space="preserve"> plus progesterone (1 mg </w:t>
      </w:r>
      <w:proofErr w:type="spellStart"/>
      <w:r w:rsidR="00F96C81">
        <w:rPr>
          <w:rStyle w:val="markedcontent"/>
        </w:rPr>
        <w:t>estradiol</w:t>
      </w:r>
      <w:proofErr w:type="spellEnd"/>
      <w:r w:rsidR="00F96C81">
        <w:rPr>
          <w:rStyle w:val="markedcontent"/>
        </w:rPr>
        <w:t xml:space="preserve"> plus 100 mg progesterone or 0.5 mg </w:t>
      </w:r>
      <w:proofErr w:type="spellStart"/>
      <w:r w:rsidR="00F96C81">
        <w:rPr>
          <w:rStyle w:val="markedcontent"/>
        </w:rPr>
        <w:t>estradiol</w:t>
      </w:r>
      <w:proofErr w:type="spellEnd"/>
      <w:r w:rsidR="00F96C81">
        <w:rPr>
          <w:rStyle w:val="markedcontent"/>
        </w:rPr>
        <w:t xml:space="preserve"> plus 100 mg progesterone or 0.5 mg </w:t>
      </w:r>
      <w:proofErr w:type="spellStart"/>
      <w:r w:rsidR="00F96C81">
        <w:rPr>
          <w:rStyle w:val="markedcontent"/>
        </w:rPr>
        <w:t>estradiol</w:t>
      </w:r>
      <w:proofErr w:type="spellEnd"/>
      <w:r w:rsidR="00F96C81">
        <w:rPr>
          <w:rStyle w:val="markedcontent"/>
        </w:rPr>
        <w:t xml:space="preserve"> plus 50 mg progesterone or 0.25 mg </w:t>
      </w:r>
      <w:proofErr w:type="spellStart"/>
      <w:r w:rsidR="00F96C81">
        <w:rPr>
          <w:rStyle w:val="markedcontent"/>
        </w:rPr>
        <w:t>estradiol</w:t>
      </w:r>
      <w:proofErr w:type="spellEnd"/>
      <w:r w:rsidR="00F96C81">
        <w:rPr>
          <w:rStyle w:val="markedcontent"/>
        </w:rPr>
        <w:t xml:space="preserve"> plus 50 mg progesterone) or placebo (n=151), six new cases of br</w:t>
      </w:r>
      <w:r w:rsidR="00F96C81">
        <w:rPr>
          <w:rStyle w:val="highlight"/>
        </w:rPr>
        <w:t>east ca</w:t>
      </w:r>
      <w:r w:rsidR="00F96C81">
        <w:rPr>
          <w:rStyle w:val="markedcontent"/>
        </w:rPr>
        <w:t>ncer were diagnosed, two of which occurred among the group of 424 women treated with BIJUVA (</w:t>
      </w:r>
      <w:proofErr w:type="spellStart"/>
      <w:r w:rsidR="00F96C81">
        <w:rPr>
          <w:rStyle w:val="markedcontent"/>
        </w:rPr>
        <w:t>estradiol</w:t>
      </w:r>
      <w:proofErr w:type="spellEnd"/>
      <w:r w:rsidR="00F96C81">
        <w:rPr>
          <w:rStyle w:val="markedcontent"/>
        </w:rPr>
        <w:t xml:space="preserve"> and progesterone) capsules, 0.5 mg/100 mg, and two of which occurred among the group of 415 women treated with BIJUVA</w:t>
      </w:r>
      <w:r w:rsidR="003A46CA">
        <w:rPr>
          <w:rStyle w:val="markedcontent"/>
        </w:rPr>
        <w:t xml:space="preserve"> </w:t>
      </w:r>
      <w:r w:rsidR="00F96C81">
        <w:rPr>
          <w:rStyle w:val="markedcontent"/>
        </w:rPr>
        <w:t>(</w:t>
      </w:r>
      <w:proofErr w:type="spellStart"/>
      <w:r w:rsidR="00F96C81">
        <w:rPr>
          <w:rStyle w:val="markedcontent"/>
        </w:rPr>
        <w:t>estradiol</w:t>
      </w:r>
      <w:proofErr w:type="spellEnd"/>
      <w:r w:rsidR="00F96C81">
        <w:rPr>
          <w:rStyle w:val="markedcontent"/>
        </w:rPr>
        <w:t xml:space="preserve"> and progesterone) capsules, 1 mg/100 mg. No new cases of breast</w:t>
      </w:r>
      <w:r>
        <w:rPr>
          <w:rStyle w:val="markedcontent"/>
        </w:rPr>
        <w:t xml:space="preserve"> </w:t>
      </w:r>
      <w:r w:rsidR="00F96C81">
        <w:rPr>
          <w:rStyle w:val="markedcontent"/>
        </w:rPr>
        <w:t>cancer were diagnosed in the group of 151 women treated with placebo.</w:t>
      </w:r>
    </w:p>
    <w:p w14:paraId="33A553A7" w14:textId="77777777" w:rsidR="006736F6" w:rsidRPr="002A3596" w:rsidRDefault="006736F6" w:rsidP="006736F6">
      <w:pPr>
        <w:pStyle w:val="Subheading4"/>
      </w:pPr>
      <w:r w:rsidRPr="002A3596">
        <w:t>Estrogen-only therapy</w:t>
      </w:r>
    </w:p>
    <w:p w14:paraId="40F3A245" w14:textId="1C5C7330" w:rsidR="006736F6" w:rsidRPr="002A3596" w:rsidRDefault="006736F6" w:rsidP="006736F6">
      <w:pPr>
        <w:pStyle w:val="BodyText"/>
        <w:rPr>
          <w:u w:color="000000"/>
        </w:rPr>
      </w:pPr>
      <w:r w:rsidRPr="002A3596">
        <w:rPr>
          <w:u w:color="000000"/>
        </w:rPr>
        <w:t xml:space="preserve">The WHI trial found no increase in the risk of breast cancer in hysterectomised women using estrogen-only HRT. Observational studies have mostly reported a small increase in risk of </w:t>
      </w:r>
      <w:r w:rsidRPr="002A3596">
        <w:rPr>
          <w:u w:color="000000"/>
        </w:rPr>
        <w:lastRenderedPageBreak/>
        <w:t>having breast cancer diagnosed that is lower than that found in users of estrogen-progestogen combinations (see section 4.8</w:t>
      </w:r>
      <w:r w:rsidR="002D0BCA">
        <w:rPr>
          <w:u w:color="000000"/>
        </w:rPr>
        <w:t xml:space="preserve"> </w:t>
      </w:r>
      <w:r w:rsidR="002D0BCA">
        <w:rPr>
          <w:u w:color="000000"/>
        </w:rPr>
        <w:fldChar w:fldCharType="begin"/>
      </w:r>
      <w:r w:rsidR="002D0BCA">
        <w:rPr>
          <w:u w:color="000000"/>
        </w:rPr>
        <w:instrText xml:space="preserve"> REF _Ref69885723 \h </w:instrText>
      </w:r>
      <w:r w:rsidR="002D0BCA">
        <w:rPr>
          <w:u w:color="000000"/>
        </w:rPr>
      </w:r>
      <w:r w:rsidR="002D0BCA">
        <w:rPr>
          <w:u w:color="000000"/>
        </w:rPr>
        <w:fldChar w:fldCharType="separate"/>
      </w:r>
      <w:r w:rsidR="00551C94" w:rsidRPr="002A3596">
        <w:t>Breast cancer risk</w:t>
      </w:r>
      <w:r w:rsidR="002D0BCA">
        <w:rPr>
          <w:u w:color="000000"/>
        </w:rPr>
        <w:fldChar w:fldCharType="end"/>
      </w:r>
      <w:r w:rsidRPr="002A3596">
        <w:rPr>
          <w:u w:color="000000"/>
        </w:rPr>
        <w:t>).</w:t>
      </w:r>
    </w:p>
    <w:p w14:paraId="5DA4F64C" w14:textId="77777777" w:rsidR="006736F6" w:rsidRPr="002A3596" w:rsidRDefault="006736F6" w:rsidP="006736F6">
      <w:pPr>
        <w:pStyle w:val="BodyText"/>
        <w:rPr>
          <w:u w:color="000000"/>
        </w:rPr>
      </w:pPr>
      <w:r w:rsidRPr="002A3596">
        <w:rPr>
          <w:u w:color="000000"/>
        </w:rPr>
        <w:t>Results from a large meta-analysis showed that</w:t>
      </w:r>
      <w:r w:rsidRPr="002A3596">
        <w:rPr>
          <w:b/>
          <w:bCs/>
          <w:u w:color="000000"/>
        </w:rPr>
        <w:t xml:space="preserve"> </w:t>
      </w:r>
      <w:r w:rsidRPr="002A3596">
        <w:rPr>
          <w:u w:color="000000"/>
        </w:rPr>
        <w:t>after stopping treatment, the excess risk will decrease with time and the time needed to return to baseline depends on the duration of prior HRT use. When HRT was taken for more than 5 years, the risk may persist for 10 years or more.</w:t>
      </w:r>
    </w:p>
    <w:p w14:paraId="1C89BB85" w14:textId="3DA215FE" w:rsidR="006736F6" w:rsidRDefault="006736F6" w:rsidP="006736F6">
      <w:pPr>
        <w:pStyle w:val="BodyText"/>
        <w:rPr>
          <w:u w:color="000000"/>
        </w:rPr>
      </w:pPr>
      <w:r w:rsidRPr="002A3596">
        <w:rPr>
          <w:u w:color="000000"/>
        </w:rPr>
        <w:t>HRT, especially estrogen-progestogen combined treatment, increases the density of mammographic images which may adversely affect the radiological detection of breast cancer.</w:t>
      </w:r>
    </w:p>
    <w:p w14:paraId="6AEBA518" w14:textId="77777777" w:rsidR="006736F6" w:rsidRPr="002A3596" w:rsidRDefault="006736F6" w:rsidP="006736F6">
      <w:pPr>
        <w:pStyle w:val="subheading4BOLD"/>
      </w:pPr>
      <w:r w:rsidRPr="002A3596">
        <w:t>Ovarian cancer</w:t>
      </w:r>
    </w:p>
    <w:p w14:paraId="6D298A5E" w14:textId="7CDEA190" w:rsidR="006736F6" w:rsidRPr="002A3596" w:rsidRDefault="006736F6" w:rsidP="006736F6">
      <w:pPr>
        <w:pStyle w:val="BodyText"/>
        <w:rPr>
          <w:u w:color="000000"/>
        </w:rPr>
      </w:pPr>
      <w:r w:rsidRPr="002A3596">
        <w:rPr>
          <w:u w:color="000000"/>
        </w:rPr>
        <w:t>Ovarian cancer is much rarer than breast cancer. Epidemiological evidence from a large meta-analysis suggests a slightly increased risk in women taking estrogen-only or combined estrogen-progestogen HRT, which becomes apparent within 5 years of use and diminishes over time after stopping. Some other studies including the WHI trial suggest that use of combined HRTs may be associated with a similar or slightly smaller risk (see Section 4.8</w:t>
      </w:r>
      <w:r w:rsidR="002D0BCA">
        <w:rPr>
          <w:u w:color="000000"/>
        </w:rPr>
        <w:t xml:space="preserve"> </w:t>
      </w:r>
      <w:r w:rsidR="002D0BCA">
        <w:rPr>
          <w:u w:color="000000"/>
        </w:rPr>
        <w:fldChar w:fldCharType="begin"/>
      </w:r>
      <w:r w:rsidR="002D0BCA">
        <w:rPr>
          <w:u w:color="000000"/>
        </w:rPr>
        <w:instrText xml:space="preserve"> REF _Ref69885806 \h </w:instrText>
      </w:r>
      <w:r w:rsidR="002D0BCA">
        <w:rPr>
          <w:u w:color="000000"/>
        </w:rPr>
      </w:r>
      <w:r w:rsidR="002D0BCA">
        <w:rPr>
          <w:u w:color="000000"/>
        </w:rPr>
        <w:fldChar w:fldCharType="separate"/>
      </w:r>
      <w:r w:rsidR="00551C94" w:rsidRPr="002A3596">
        <w:t>Ovarian cancer</w:t>
      </w:r>
      <w:r w:rsidR="002D0BCA">
        <w:rPr>
          <w:u w:color="000000"/>
        </w:rPr>
        <w:fldChar w:fldCharType="end"/>
      </w:r>
      <w:r w:rsidRPr="002A3596">
        <w:rPr>
          <w:u w:color="000000"/>
        </w:rPr>
        <w:t>).</w:t>
      </w:r>
    </w:p>
    <w:p w14:paraId="6B9DFD0B" w14:textId="77777777" w:rsidR="006736F6" w:rsidRPr="002A3596" w:rsidRDefault="006736F6" w:rsidP="006736F6">
      <w:pPr>
        <w:pStyle w:val="subheading4BOLD"/>
      </w:pPr>
      <w:r w:rsidRPr="002A3596">
        <w:t xml:space="preserve">Venous thromboembolism </w:t>
      </w:r>
    </w:p>
    <w:p w14:paraId="2701798C" w14:textId="606C7E82" w:rsidR="006736F6" w:rsidRPr="002A3596" w:rsidRDefault="006736F6" w:rsidP="006736F6">
      <w:pPr>
        <w:pStyle w:val="BodyText"/>
        <w:rPr>
          <w:u w:color="000000"/>
        </w:rPr>
      </w:pPr>
      <w:r w:rsidRPr="002A3596">
        <w:rPr>
          <w:u w:color="000000"/>
        </w:rPr>
        <w:t xml:space="preserve">HRT is associated with a </w:t>
      </w:r>
      <w:r w:rsidR="00405C70" w:rsidRPr="002A3596">
        <w:rPr>
          <w:u w:color="000000"/>
        </w:rPr>
        <w:t>1.3-3-fold</w:t>
      </w:r>
      <w:r w:rsidRPr="002A3596">
        <w:rPr>
          <w:u w:color="000000"/>
        </w:rPr>
        <w:t xml:space="preserve"> risk of developing venous thromboembolism (VTE), i.e.</w:t>
      </w:r>
      <w:r w:rsidR="006075B5">
        <w:rPr>
          <w:u w:color="000000"/>
        </w:rPr>
        <w:t>,</w:t>
      </w:r>
      <w:r w:rsidRPr="002A3596">
        <w:rPr>
          <w:u w:color="000000"/>
        </w:rPr>
        <w:t xml:space="preserve"> deep vein thrombosis or pulmonary embolism. The occurrence of such an event is more likely in the first year of HRT than later.</w:t>
      </w:r>
    </w:p>
    <w:p w14:paraId="7EA0AEB9" w14:textId="574B7158" w:rsidR="006736F6" w:rsidRPr="002A3596" w:rsidRDefault="006736F6" w:rsidP="006736F6">
      <w:pPr>
        <w:pStyle w:val="BodyText"/>
        <w:rPr>
          <w:u w:color="000000"/>
        </w:rPr>
      </w:pPr>
      <w:r w:rsidRPr="002A3596">
        <w:rPr>
          <w:u w:color="000000"/>
        </w:rPr>
        <w:t xml:space="preserve">Patients with known </w:t>
      </w:r>
      <w:proofErr w:type="spellStart"/>
      <w:r w:rsidRPr="002A3596">
        <w:rPr>
          <w:u w:color="000000"/>
        </w:rPr>
        <w:t>thrombophilic</w:t>
      </w:r>
      <w:proofErr w:type="spellEnd"/>
      <w:r w:rsidRPr="002A3596">
        <w:rPr>
          <w:u w:color="000000"/>
        </w:rPr>
        <w:t xml:space="preserve"> states have an increased risk of VTE and HRT may add to this risk. HRT is therefore contraindicated in these patients (see section 4.3</w:t>
      </w:r>
      <w:r w:rsidR="002D0BCA">
        <w:rPr>
          <w:u w:color="000000"/>
        </w:rPr>
        <w:t xml:space="preserve"> </w:t>
      </w:r>
      <w:r w:rsidR="002D0BCA">
        <w:rPr>
          <w:u w:color="000000"/>
        </w:rPr>
        <w:fldChar w:fldCharType="begin"/>
      </w:r>
      <w:r w:rsidR="002D0BCA">
        <w:rPr>
          <w:u w:color="000000"/>
        </w:rPr>
        <w:instrText xml:space="preserve"> REF _Ref69885839 \h </w:instrText>
      </w:r>
      <w:r w:rsidR="002D0BCA">
        <w:rPr>
          <w:u w:color="000000"/>
        </w:rPr>
      </w:r>
      <w:r w:rsidR="002D0BCA">
        <w:rPr>
          <w:u w:color="000000"/>
        </w:rPr>
        <w:fldChar w:fldCharType="separate"/>
      </w:r>
      <w:r w:rsidR="00551C94" w:rsidRPr="002A3596">
        <w:t>Contraindications</w:t>
      </w:r>
      <w:r w:rsidR="002D0BCA">
        <w:rPr>
          <w:u w:color="000000"/>
        </w:rPr>
        <w:fldChar w:fldCharType="end"/>
      </w:r>
      <w:r w:rsidRPr="002A3596">
        <w:rPr>
          <w:u w:color="000000"/>
        </w:rPr>
        <w:t>)</w:t>
      </w:r>
    </w:p>
    <w:p w14:paraId="755BD841" w14:textId="19242627" w:rsidR="006736F6" w:rsidRPr="002A3596" w:rsidRDefault="006736F6" w:rsidP="006736F6">
      <w:pPr>
        <w:pStyle w:val="BodyText"/>
        <w:rPr>
          <w:u w:color="000000"/>
        </w:rPr>
      </w:pPr>
      <w:r w:rsidRPr="002A3596">
        <w:rPr>
          <w:u w:color="000000"/>
        </w:rPr>
        <w:t>Generally recognised risk factors for VTE include, use of estrogens, older ages, major surgery, prolonged immobilisation, obesity (BMI</w:t>
      </w:r>
      <w:r w:rsidR="0058029C" w:rsidRPr="002A3596">
        <w:rPr>
          <w:u w:color="000000"/>
        </w:rPr>
        <w:t xml:space="preserve"> </w:t>
      </w:r>
      <w:r w:rsidRPr="002A3596">
        <w:rPr>
          <w:u w:color="000000"/>
        </w:rPr>
        <w:t>&gt;</w:t>
      </w:r>
      <w:r w:rsidR="0058029C" w:rsidRPr="002A3596">
        <w:rPr>
          <w:u w:color="000000"/>
        </w:rPr>
        <w:t> </w:t>
      </w:r>
      <w:r w:rsidRPr="002A3596">
        <w:rPr>
          <w:u w:color="000000"/>
        </w:rPr>
        <w:t>30</w:t>
      </w:r>
      <w:r w:rsidR="0058029C" w:rsidRPr="002A3596">
        <w:rPr>
          <w:u w:color="000000"/>
        </w:rPr>
        <w:t> </w:t>
      </w:r>
      <w:r w:rsidRPr="002A3596">
        <w:rPr>
          <w:u w:color="000000"/>
        </w:rPr>
        <w:t>kg/</w:t>
      </w:r>
      <w:r w:rsidR="0058029C" w:rsidRPr="002A3596">
        <w:rPr>
          <w:u w:color="000000"/>
        </w:rPr>
        <w:t> </w:t>
      </w:r>
      <w:r w:rsidRPr="002A3596">
        <w:rPr>
          <w:u w:color="000000"/>
        </w:rPr>
        <w:t>m</w:t>
      </w:r>
      <w:r w:rsidR="0058029C" w:rsidRPr="002A3596">
        <w:rPr>
          <w:u w:color="000000"/>
          <w:vertAlign w:val="superscript"/>
        </w:rPr>
        <w:t>2</w:t>
      </w:r>
      <w:r w:rsidRPr="002A3596">
        <w:rPr>
          <w:u w:color="000000"/>
        </w:rPr>
        <w:t>), pregnancy/postpartum period, systemic lupus erythematosus (SLE), and cancer. There is no consensus about the possible role of varicose veins in VTE.</w:t>
      </w:r>
    </w:p>
    <w:p w14:paraId="5F8428ED" w14:textId="77777777" w:rsidR="006736F6" w:rsidRPr="002A3596" w:rsidRDefault="006736F6" w:rsidP="006736F6">
      <w:pPr>
        <w:pStyle w:val="BodyText"/>
        <w:rPr>
          <w:u w:color="000000"/>
        </w:rPr>
      </w:pPr>
      <w:r w:rsidRPr="002A3596">
        <w:rPr>
          <w:u w:color="000000"/>
        </w:rPr>
        <w:t xml:space="preserve">As in all postoperative patients, prophylactic measures need to be considered to prevent VTE following surgery. If prolonged immobilisation is to follow elective surgery temporarily stopping HRT 4 to 6 weeks earlier is recommended. Treatment should not be restarted until the woman is completely mobilised. </w:t>
      </w:r>
    </w:p>
    <w:p w14:paraId="6C22FAEA" w14:textId="04BBD464" w:rsidR="006736F6" w:rsidRPr="002A3596" w:rsidRDefault="006736F6" w:rsidP="006736F6">
      <w:pPr>
        <w:pStyle w:val="BodyText"/>
        <w:rPr>
          <w:u w:color="000000"/>
        </w:rPr>
      </w:pPr>
      <w:r w:rsidRPr="002A3596">
        <w:rPr>
          <w:u w:color="000000"/>
        </w:rPr>
        <w:t xml:space="preserve">In women with no personal history of VTE but with a first degree relative with a history of thrombosis at young age, screening may be offered after careful counselling regarding its limitations (only a proportion of </w:t>
      </w:r>
      <w:proofErr w:type="spellStart"/>
      <w:r w:rsidRPr="002A3596">
        <w:rPr>
          <w:u w:color="000000"/>
        </w:rPr>
        <w:t>thrombophilic</w:t>
      </w:r>
      <w:proofErr w:type="spellEnd"/>
      <w:r w:rsidRPr="002A3596">
        <w:rPr>
          <w:u w:color="000000"/>
        </w:rPr>
        <w:t xml:space="preserve"> defects are identified by screening).</w:t>
      </w:r>
      <w:r w:rsidR="00F91B0B">
        <w:rPr>
          <w:u w:color="000000"/>
        </w:rPr>
        <w:t xml:space="preserve"> </w:t>
      </w:r>
      <w:r w:rsidRPr="002A3596">
        <w:rPr>
          <w:u w:color="000000"/>
        </w:rPr>
        <w:t xml:space="preserve">If a </w:t>
      </w:r>
      <w:proofErr w:type="spellStart"/>
      <w:r w:rsidRPr="002A3596">
        <w:rPr>
          <w:u w:color="000000"/>
        </w:rPr>
        <w:t>thrombophilic</w:t>
      </w:r>
      <w:proofErr w:type="spellEnd"/>
      <w:r w:rsidRPr="002A3596">
        <w:rPr>
          <w:u w:color="000000"/>
        </w:rPr>
        <w:t xml:space="preserve"> defect is identified which segregates with thrombosis in family members or if the defect is 'severe' (e.g.</w:t>
      </w:r>
      <w:r w:rsidR="006075B5">
        <w:rPr>
          <w:u w:color="000000"/>
        </w:rPr>
        <w:t>,</w:t>
      </w:r>
      <w:r w:rsidRPr="002A3596">
        <w:rPr>
          <w:u w:color="000000"/>
        </w:rPr>
        <w:t xml:space="preserve"> antithrombin, protein S, or protein C deficiencies or a combination of defects) HRT is contraindicated.</w:t>
      </w:r>
    </w:p>
    <w:p w14:paraId="1500D5A7" w14:textId="0800247F" w:rsidR="006736F6" w:rsidRPr="002A3596" w:rsidRDefault="006736F6" w:rsidP="006736F6">
      <w:pPr>
        <w:pStyle w:val="BodyText"/>
        <w:rPr>
          <w:u w:color="000000"/>
        </w:rPr>
      </w:pPr>
      <w:r w:rsidRPr="002A3596">
        <w:rPr>
          <w:u w:color="000000"/>
        </w:rPr>
        <w:lastRenderedPageBreak/>
        <w:t>Women already on chronic anticoagulant treatment require careful consideration of the benefit-risk use of HRT.</w:t>
      </w:r>
    </w:p>
    <w:p w14:paraId="5C1117D8" w14:textId="34CFBA40" w:rsidR="006736F6" w:rsidRPr="002A3596" w:rsidRDefault="006736F6" w:rsidP="006736F6">
      <w:pPr>
        <w:pStyle w:val="BodyText"/>
        <w:rPr>
          <w:u w:color="000000"/>
        </w:rPr>
      </w:pPr>
      <w:r w:rsidRPr="002A3596">
        <w:rPr>
          <w:u w:color="000000"/>
        </w:rPr>
        <w:t>If VTE develops after initiating therapy, the drug should be discontinued. Patients should be told to contact their doctors immediately when they are aware of a potential thromboembolic symptom (e.g.</w:t>
      </w:r>
      <w:r w:rsidR="00F91B0B">
        <w:rPr>
          <w:u w:color="000000"/>
        </w:rPr>
        <w:t>,</w:t>
      </w:r>
      <w:r w:rsidRPr="002A3596">
        <w:rPr>
          <w:u w:color="000000"/>
        </w:rPr>
        <w:t xml:space="preserve"> painful swelling of a leg, sudden pain in the chest, dyspnoea).</w:t>
      </w:r>
    </w:p>
    <w:p w14:paraId="0329A1DD" w14:textId="77777777" w:rsidR="006736F6" w:rsidRPr="002A3596" w:rsidRDefault="006736F6" w:rsidP="006736F6">
      <w:pPr>
        <w:pStyle w:val="subheading4BOLD"/>
      </w:pPr>
      <w:r w:rsidRPr="002A3596">
        <w:t xml:space="preserve">Coronary artery disease (CAD) </w:t>
      </w:r>
    </w:p>
    <w:p w14:paraId="6F333AAD" w14:textId="77777777" w:rsidR="006736F6" w:rsidRPr="002A3596" w:rsidRDefault="006736F6" w:rsidP="006736F6">
      <w:pPr>
        <w:pStyle w:val="BodyText"/>
        <w:rPr>
          <w:u w:color="000000"/>
        </w:rPr>
      </w:pPr>
      <w:r w:rsidRPr="002A3596">
        <w:rPr>
          <w:u w:color="000000"/>
        </w:rPr>
        <w:t>There is no evidence from randomised controlled trials of protection against myocardial infarction in women with or without existing CAD who received combined estrogen-progestogen or estrogen-only HRT.</w:t>
      </w:r>
    </w:p>
    <w:p w14:paraId="7EDF7F81" w14:textId="77777777" w:rsidR="006736F6" w:rsidRPr="002A3596" w:rsidRDefault="006736F6" w:rsidP="006736F6">
      <w:pPr>
        <w:pStyle w:val="Subheading4"/>
      </w:pPr>
      <w:r w:rsidRPr="002A3596">
        <w:t xml:space="preserve">Combined estrogen-progestogen therapy </w:t>
      </w:r>
    </w:p>
    <w:p w14:paraId="5F2B6DCD" w14:textId="09CFFE1A" w:rsidR="006736F6" w:rsidRPr="002A3596" w:rsidRDefault="006736F6" w:rsidP="006736F6">
      <w:pPr>
        <w:pStyle w:val="BodyText"/>
        <w:rPr>
          <w:u w:color="000000"/>
        </w:rPr>
      </w:pPr>
      <w:r w:rsidRPr="002A3596">
        <w:rPr>
          <w:u w:color="000000"/>
        </w:rPr>
        <w:t>The relative risk of CAD during use of combined estrogen</w:t>
      </w:r>
      <w:r w:rsidR="0058029C" w:rsidRPr="002A3596">
        <w:rPr>
          <w:u w:color="000000"/>
        </w:rPr>
        <w:t xml:space="preserve"> and </w:t>
      </w:r>
      <w:r w:rsidRPr="002A3596">
        <w:rPr>
          <w:u w:color="000000"/>
        </w:rPr>
        <w:t>progestogen HRT is slightly increased. As the baseline absolute risk of CAD is strongly dependent on age, the number of extra cases of CAD due to estrogen</w:t>
      </w:r>
      <w:r w:rsidR="0058029C" w:rsidRPr="002A3596">
        <w:rPr>
          <w:u w:color="000000"/>
        </w:rPr>
        <w:t xml:space="preserve"> and </w:t>
      </w:r>
      <w:r w:rsidRPr="002A3596">
        <w:rPr>
          <w:u w:color="000000"/>
        </w:rPr>
        <w:t>progestogen use is very low in healthy women close to menopause but will rise with more advanced age.</w:t>
      </w:r>
    </w:p>
    <w:p w14:paraId="73738AA1" w14:textId="77777777" w:rsidR="006736F6" w:rsidRPr="002A3596" w:rsidRDefault="006736F6" w:rsidP="006736F6">
      <w:pPr>
        <w:pStyle w:val="Subheading4"/>
      </w:pPr>
      <w:r w:rsidRPr="002A3596">
        <w:t xml:space="preserve">Estrogen-only </w:t>
      </w:r>
    </w:p>
    <w:p w14:paraId="329A361B" w14:textId="77777777" w:rsidR="006736F6" w:rsidRPr="002A3596" w:rsidRDefault="006736F6" w:rsidP="006736F6">
      <w:pPr>
        <w:pStyle w:val="BodyText"/>
        <w:rPr>
          <w:u w:color="000000"/>
        </w:rPr>
      </w:pPr>
      <w:r w:rsidRPr="002A3596">
        <w:rPr>
          <w:u w:color="000000"/>
        </w:rPr>
        <w:t>Randomised controlled data found no increased risk of CAD in hysterectomised women using estrogen-only therapy.</w:t>
      </w:r>
    </w:p>
    <w:p w14:paraId="057A69DF" w14:textId="77777777" w:rsidR="006736F6" w:rsidRPr="002A3596" w:rsidRDefault="006736F6" w:rsidP="006736F6">
      <w:pPr>
        <w:pStyle w:val="subheading4BOLD"/>
      </w:pPr>
      <w:r w:rsidRPr="002A3596">
        <w:t xml:space="preserve">Ischaemic stroke </w:t>
      </w:r>
    </w:p>
    <w:p w14:paraId="47168DE2" w14:textId="4BAAA5B3" w:rsidR="006736F6" w:rsidRPr="002A3596" w:rsidRDefault="006736F6" w:rsidP="0058029C">
      <w:pPr>
        <w:pStyle w:val="BodyText"/>
        <w:rPr>
          <w:u w:color="000000"/>
        </w:rPr>
      </w:pPr>
      <w:r w:rsidRPr="002A3596">
        <w:rPr>
          <w:u w:color="000000"/>
        </w:rPr>
        <w:t xml:space="preserve">Combined estrogen-progestogen and estrogen-only therapy are associated with an up to 1.5-fold increase in risk of ischaemic stroke. The relative risk does not change with age or time since menopause. However, as the baseline risk of stroke is strongly age-dependent, the overall risk of stroke in women who use HRT will increase with age (see </w:t>
      </w:r>
      <w:r w:rsidR="00E91DDA">
        <w:rPr>
          <w:u w:color="000000"/>
        </w:rPr>
        <w:t>S</w:t>
      </w:r>
      <w:r w:rsidRPr="002A3596">
        <w:rPr>
          <w:u w:color="000000"/>
        </w:rPr>
        <w:t>ection 4.8</w:t>
      </w:r>
      <w:r w:rsidR="002D0BCA">
        <w:rPr>
          <w:u w:color="000000"/>
        </w:rPr>
        <w:t xml:space="preserve"> </w:t>
      </w:r>
      <w:r w:rsidR="002D0BCA">
        <w:rPr>
          <w:u w:color="000000"/>
        </w:rPr>
        <w:fldChar w:fldCharType="begin"/>
      </w:r>
      <w:r w:rsidR="002D0BCA">
        <w:rPr>
          <w:u w:color="000000"/>
        </w:rPr>
        <w:instrText xml:space="preserve"> REF _Ref69885862 \h </w:instrText>
      </w:r>
      <w:r w:rsidR="002D0BCA">
        <w:rPr>
          <w:u w:color="000000"/>
        </w:rPr>
      </w:r>
      <w:r w:rsidR="002D0BCA">
        <w:rPr>
          <w:u w:color="000000"/>
        </w:rPr>
        <w:fldChar w:fldCharType="separate"/>
      </w:r>
      <w:r w:rsidR="00551C94" w:rsidRPr="002A3596">
        <w:t>Risk of ischaemic stroke</w:t>
      </w:r>
      <w:r w:rsidR="002D0BCA">
        <w:rPr>
          <w:u w:color="000000"/>
        </w:rPr>
        <w:fldChar w:fldCharType="end"/>
      </w:r>
      <w:r w:rsidRPr="002A3596">
        <w:rPr>
          <w:u w:color="000000"/>
        </w:rPr>
        <w:t>).</w:t>
      </w:r>
    </w:p>
    <w:p w14:paraId="1CFF6E1B" w14:textId="50A7A3FF" w:rsidR="00405C70" w:rsidRPr="002A3596" w:rsidRDefault="00405C70" w:rsidP="00C05A6D">
      <w:pPr>
        <w:pStyle w:val="subheading4BOLD"/>
      </w:pPr>
      <w:r w:rsidRPr="002A3596">
        <w:t>Thyroid hormone levels</w:t>
      </w:r>
    </w:p>
    <w:p w14:paraId="4A4B5078" w14:textId="2028EC63" w:rsidR="00C05A6D" w:rsidRPr="002A3596" w:rsidRDefault="00C05A6D" w:rsidP="00C05A6D">
      <w:pPr>
        <w:pStyle w:val="BodyText"/>
      </w:pPr>
      <w:r w:rsidRPr="002A3596">
        <w:t xml:space="preserve">Estrogens increase thyroid binding globulin (TBG), leading to increased circulating total thyroid hormone, as measured by protein-bound iodine (PBI), T4 levels (by column or by radioimmunoassay) or T3 levels (by </w:t>
      </w:r>
      <w:r w:rsidR="00631BFA" w:rsidRPr="002A3596">
        <w:t>radioimmunoassay</w:t>
      </w:r>
      <w:r w:rsidRPr="002A3596">
        <w:t>). T3 resin uptake is decreased, reflecting the elevated TBG. Serum concentrations of free T4 and T3 are unaltered. Other binding proteins may be elevated in serum, i.e.</w:t>
      </w:r>
      <w:r w:rsidR="00F91B0B">
        <w:t>,</w:t>
      </w:r>
      <w:r w:rsidRPr="002A3596">
        <w:t xml:space="preserve"> corticoid binding globulin (CBG), sex- hormone-binding globulin (SHBG) leading to increased circulating corticosteroids and sex steroids, respectively. Free or biological active hormone concentrations are unchanged. Other plasma proteins may be increased (angiotensinogen/renin substrate, alpha-1-antitrypsin, ceruloplasmin).</w:t>
      </w:r>
    </w:p>
    <w:p w14:paraId="48708F4D" w14:textId="77777777" w:rsidR="004A6F22" w:rsidRPr="002A3596" w:rsidRDefault="003B0D62" w:rsidP="00C153AE">
      <w:pPr>
        <w:pStyle w:val="subheading4BOLD"/>
      </w:pPr>
      <w:r w:rsidRPr="002A3596">
        <w:lastRenderedPageBreak/>
        <w:t>Use in renal impairment</w:t>
      </w:r>
    </w:p>
    <w:p w14:paraId="77F15991" w14:textId="010604CB" w:rsidR="0058029C" w:rsidRPr="002A3596" w:rsidRDefault="0058029C" w:rsidP="00D4676B">
      <w:pPr>
        <w:pStyle w:val="BodyText"/>
      </w:pPr>
      <w:r w:rsidRPr="002A3596">
        <w:t>Estrogens may cause fluid retention, and therefore patients with cardiac or renal dysfunction should be carefully observed. Women with pre-existing hypertriglyceridemia should be followed closely during estrogen replacement or hormone replacement therapy, since rare cases of large increases of plasma triglycerides leading to pancreatitis have been reported with estrogen therapy in this condition</w:t>
      </w:r>
    </w:p>
    <w:p w14:paraId="3C5CBEDB" w14:textId="77777777" w:rsidR="004A6F22" w:rsidRPr="002A3596" w:rsidRDefault="003B0D62" w:rsidP="0078260E">
      <w:pPr>
        <w:pStyle w:val="subheading4BOLD"/>
      </w:pPr>
      <w:r w:rsidRPr="002A3596">
        <w:t>Use in the elderly</w:t>
      </w:r>
    </w:p>
    <w:p w14:paraId="6A9BC22F" w14:textId="34283733" w:rsidR="004A6F22" w:rsidRPr="002A3596" w:rsidRDefault="003B0D62" w:rsidP="00A227BE">
      <w:pPr>
        <w:pStyle w:val="BodyText"/>
      </w:pPr>
      <w:r w:rsidRPr="002A3596">
        <w:t xml:space="preserve">Clinical experience is limited in patients above 65 years of age. </w:t>
      </w:r>
      <w:r w:rsidR="00A227BE" w:rsidRPr="002A3596">
        <w:t xml:space="preserve">HRT use does not improve cognitive function. </w:t>
      </w:r>
      <w:r w:rsidRPr="002A3596">
        <w:t>The</w:t>
      </w:r>
      <w:r w:rsidR="00A227BE" w:rsidRPr="002A3596">
        <w:t xml:space="preserve">re is some evidence of increased risk of developing dementia in women who start using continuous combined or estrogen-only HRT after the age of 65. </w:t>
      </w:r>
    </w:p>
    <w:p w14:paraId="74757E3B" w14:textId="77777777" w:rsidR="004A6F22" w:rsidRPr="002A3596" w:rsidRDefault="003B0D62" w:rsidP="0078260E">
      <w:pPr>
        <w:pStyle w:val="subheading4BOLD"/>
      </w:pPr>
      <w:r w:rsidRPr="002A3596">
        <w:t>Paediatric use</w:t>
      </w:r>
    </w:p>
    <w:p w14:paraId="5A78929F" w14:textId="5649A70E" w:rsidR="004A6F22" w:rsidRPr="002A3596" w:rsidRDefault="00250DF8" w:rsidP="00D4676B">
      <w:pPr>
        <w:pStyle w:val="BodyText"/>
      </w:pPr>
      <w:r>
        <w:rPr>
          <w:spacing w:val="-2"/>
        </w:rPr>
        <w:t>BIJUVA 1/100</w:t>
      </w:r>
      <w:r w:rsidR="00A227BE" w:rsidRPr="002A3596">
        <w:rPr>
          <w:spacing w:val="-2"/>
          <w:vertAlign w:val="superscript"/>
        </w:rPr>
        <w:t xml:space="preserve"> </w:t>
      </w:r>
      <w:r w:rsidR="00A227BE" w:rsidRPr="002A3596">
        <w:rPr>
          <w:spacing w:val="-2"/>
        </w:rPr>
        <w:t>is not indicated for use in paediatric populations, therefore, t</w:t>
      </w:r>
      <w:r w:rsidR="003B0D62" w:rsidRPr="002A3596">
        <w:rPr>
          <w:spacing w:val="-2"/>
        </w:rPr>
        <w:t xml:space="preserve">he </w:t>
      </w:r>
      <w:r w:rsidR="003B0D62" w:rsidRPr="002A3596">
        <w:t>safety</w:t>
      </w:r>
      <w:r w:rsidR="003B0D62" w:rsidRPr="002A3596">
        <w:rPr>
          <w:spacing w:val="-2"/>
        </w:rPr>
        <w:t xml:space="preserve"> and </w:t>
      </w:r>
      <w:r w:rsidR="003B0D62" w:rsidRPr="002A3596">
        <w:t>efficacy</w:t>
      </w:r>
      <w:r w:rsidR="003B0D62" w:rsidRPr="002A3596">
        <w:rPr>
          <w:spacing w:val="-2"/>
        </w:rPr>
        <w:t xml:space="preserve"> </w:t>
      </w:r>
      <w:r w:rsidR="003B0D62" w:rsidRPr="002A3596">
        <w:t>of</w:t>
      </w:r>
      <w:r w:rsidR="003B0D62" w:rsidRPr="002A3596">
        <w:rPr>
          <w:spacing w:val="-2"/>
        </w:rPr>
        <w:t xml:space="preserve"> </w:t>
      </w:r>
      <w:r w:rsidR="00A227BE" w:rsidRPr="002A3596">
        <w:rPr>
          <w:spacing w:val="-2"/>
        </w:rPr>
        <w:t>estrogen and progesterone</w:t>
      </w:r>
      <w:r w:rsidR="003B0D62" w:rsidRPr="002A3596">
        <w:rPr>
          <w:spacing w:val="-2"/>
        </w:rPr>
        <w:t xml:space="preserve"> </w:t>
      </w:r>
      <w:r w:rsidR="003B0D62" w:rsidRPr="002A3596">
        <w:t>in</w:t>
      </w:r>
      <w:r w:rsidR="003B0D62" w:rsidRPr="002A3596">
        <w:rPr>
          <w:spacing w:val="-2"/>
        </w:rPr>
        <w:t xml:space="preserve"> </w:t>
      </w:r>
      <w:r w:rsidR="003B0D62" w:rsidRPr="002A3596">
        <w:t>patients</w:t>
      </w:r>
      <w:r w:rsidR="003B0D62" w:rsidRPr="002A3596">
        <w:rPr>
          <w:spacing w:val="-2"/>
        </w:rPr>
        <w:t xml:space="preserve"> under </w:t>
      </w:r>
      <w:r w:rsidR="003B0D62" w:rsidRPr="002A3596">
        <w:t>the</w:t>
      </w:r>
      <w:r w:rsidR="003B0D62" w:rsidRPr="002A3596">
        <w:rPr>
          <w:spacing w:val="-2"/>
        </w:rPr>
        <w:t xml:space="preserve"> </w:t>
      </w:r>
      <w:r w:rsidR="003B0D62" w:rsidRPr="002A3596">
        <w:t>age</w:t>
      </w:r>
      <w:r w:rsidR="003B0D62" w:rsidRPr="002A3596">
        <w:rPr>
          <w:spacing w:val="-2"/>
        </w:rPr>
        <w:t xml:space="preserve"> </w:t>
      </w:r>
      <w:r w:rsidR="003B0D62" w:rsidRPr="002A3596">
        <w:t>of</w:t>
      </w:r>
      <w:r w:rsidR="003B0D62" w:rsidRPr="002A3596">
        <w:rPr>
          <w:spacing w:val="-2"/>
        </w:rPr>
        <w:t xml:space="preserve"> </w:t>
      </w:r>
      <w:r w:rsidR="003B0D62" w:rsidRPr="002A3596">
        <w:t>18</w:t>
      </w:r>
      <w:r w:rsidR="003B0D62" w:rsidRPr="002A3596">
        <w:rPr>
          <w:spacing w:val="-2"/>
        </w:rPr>
        <w:t xml:space="preserve"> </w:t>
      </w:r>
      <w:r w:rsidR="003B0D62" w:rsidRPr="002A3596">
        <w:t>years</w:t>
      </w:r>
      <w:r w:rsidR="003B0D62" w:rsidRPr="002A3596">
        <w:rPr>
          <w:spacing w:val="-2"/>
        </w:rPr>
        <w:t xml:space="preserve"> </w:t>
      </w:r>
      <w:r w:rsidR="003B0D62" w:rsidRPr="002A3596">
        <w:t>have</w:t>
      </w:r>
      <w:r w:rsidR="003B0D62" w:rsidRPr="002A3596">
        <w:rPr>
          <w:spacing w:val="-2"/>
        </w:rPr>
        <w:t xml:space="preserve"> </w:t>
      </w:r>
      <w:r w:rsidR="003B0D62" w:rsidRPr="002A3596">
        <w:t>not</w:t>
      </w:r>
      <w:r w:rsidR="003B0D62" w:rsidRPr="002A3596">
        <w:rPr>
          <w:spacing w:val="-2"/>
        </w:rPr>
        <w:t xml:space="preserve"> </w:t>
      </w:r>
      <w:r w:rsidR="003B0D62" w:rsidRPr="002A3596">
        <w:t>been</w:t>
      </w:r>
      <w:r w:rsidR="003B0D62" w:rsidRPr="002A3596">
        <w:rPr>
          <w:spacing w:val="-2"/>
        </w:rPr>
        <w:t xml:space="preserve"> established.</w:t>
      </w:r>
    </w:p>
    <w:p w14:paraId="31C67B05" w14:textId="53336C14" w:rsidR="006D65D0" w:rsidRPr="002A3596" w:rsidRDefault="003B0D62" w:rsidP="0078260E">
      <w:pPr>
        <w:pStyle w:val="subheading4BOLD"/>
        <w:rPr>
          <w:spacing w:val="26"/>
        </w:rPr>
      </w:pPr>
      <w:r w:rsidRPr="002A3596">
        <w:t>Effects on laboratory</w:t>
      </w:r>
      <w:r w:rsidRPr="002A3596">
        <w:rPr>
          <w:spacing w:val="-5"/>
        </w:rPr>
        <w:t xml:space="preserve"> </w:t>
      </w:r>
      <w:r w:rsidRPr="002A3596">
        <w:t>tests</w:t>
      </w:r>
    </w:p>
    <w:p w14:paraId="4F79974D" w14:textId="77D5138E" w:rsidR="00080E9C" w:rsidRPr="002A3596" w:rsidRDefault="00080E9C" w:rsidP="00B309C5">
      <w:pPr>
        <w:pStyle w:val="BodyText"/>
        <w:rPr>
          <w:spacing w:val="26"/>
        </w:rPr>
      </w:pPr>
      <w:r w:rsidRPr="002A3596">
        <w:t>No formal studies</w:t>
      </w:r>
      <w:r>
        <w:t xml:space="preserve"> on the effects on laboratory tests</w:t>
      </w:r>
      <w:r w:rsidRPr="002A3596">
        <w:t xml:space="preserve"> have been conducted with </w:t>
      </w:r>
      <w:r w:rsidR="00250DF8">
        <w:t>BIJUVA 1/100</w:t>
      </w:r>
      <w:r>
        <w:t xml:space="preserve">. </w:t>
      </w:r>
      <w:r w:rsidRPr="00080E9C">
        <w:t>The use of sex steroids may influence the results of certain laboratory tests, including biochemical parameters of liver, thyroid, adrenal</w:t>
      </w:r>
      <w:r>
        <w:t xml:space="preserve">, endocrine </w:t>
      </w:r>
      <w:r w:rsidRPr="00080E9C">
        <w:t>and renal function, plasma levels of (carrier) proteins, e.g.</w:t>
      </w:r>
      <w:r w:rsidR="006075B5">
        <w:t>,</w:t>
      </w:r>
      <w:r w:rsidRPr="00080E9C">
        <w:t xml:space="preserve"> corticosteroid binding globulin and lipid/lipoprotein fractions, parameters of carbohydrate metabolism, and parameters of coagulation and fibrinolysis. Changes generally remain within the normal laboratory range.</w:t>
      </w:r>
    </w:p>
    <w:p w14:paraId="023699FB" w14:textId="77777777" w:rsidR="004A6F22" w:rsidRPr="002A3596" w:rsidRDefault="003B0D62" w:rsidP="00944662">
      <w:pPr>
        <w:pStyle w:val="Heading2"/>
      </w:pPr>
      <w:r w:rsidRPr="002A3596">
        <w:t>Interactions with other medicines and other forms of</w:t>
      </w:r>
      <w:r w:rsidRPr="002A3596">
        <w:rPr>
          <w:spacing w:val="1"/>
        </w:rPr>
        <w:t xml:space="preserve"> </w:t>
      </w:r>
      <w:r w:rsidRPr="002A3596">
        <w:t>interactions</w:t>
      </w:r>
    </w:p>
    <w:p w14:paraId="67113B18" w14:textId="348640B7" w:rsidR="00A227BE" w:rsidRPr="002A3596" w:rsidRDefault="003B0D62" w:rsidP="00CE6B01">
      <w:pPr>
        <w:pStyle w:val="BodyText"/>
      </w:pPr>
      <w:r w:rsidRPr="002A3596">
        <w:t xml:space="preserve">No formal drug interaction studies have been </w:t>
      </w:r>
      <w:r w:rsidR="00A227BE" w:rsidRPr="002A3596">
        <w:t xml:space="preserve">conducted with </w:t>
      </w:r>
      <w:r w:rsidR="00250DF8">
        <w:t>BIJUVA 1/100</w:t>
      </w:r>
      <w:r w:rsidRPr="002A3596">
        <w:t>.</w:t>
      </w:r>
      <w:r w:rsidR="00CE6B01" w:rsidRPr="002A3596">
        <w:t xml:space="preserve"> However, the drug-drug interactions of </w:t>
      </w:r>
      <w:proofErr w:type="spellStart"/>
      <w:r w:rsidR="00CE6B01" w:rsidRPr="002A3596">
        <w:t>estradiol</w:t>
      </w:r>
      <w:proofErr w:type="spellEnd"/>
      <w:r w:rsidR="00CE6B01" w:rsidRPr="002A3596">
        <w:t xml:space="preserve"> and progesterone have been extensively studied and are well established. Both estrogens and progesterone are </w:t>
      </w:r>
      <w:r w:rsidR="00E11BC0">
        <w:t>metabolised</w:t>
      </w:r>
      <w:r w:rsidR="00CE6B01" w:rsidRPr="002A3596">
        <w:t xml:space="preserve"> via cytochrome P450 (CYP450).</w:t>
      </w:r>
    </w:p>
    <w:p w14:paraId="45CCDAB4" w14:textId="7BAC03B8" w:rsidR="00CE6B01" w:rsidRPr="002A3596" w:rsidRDefault="00CE6B01" w:rsidP="005E461C">
      <w:pPr>
        <w:pStyle w:val="subheading4BOLD"/>
      </w:pPr>
      <w:r w:rsidRPr="002A3596">
        <w:t xml:space="preserve">Effects of other medicinal products on </w:t>
      </w:r>
      <w:bookmarkStart w:id="5" w:name="_Hlk67566572"/>
      <w:r w:rsidR="00250DF8">
        <w:t>BIJUVA 1/100</w:t>
      </w:r>
      <w:bookmarkEnd w:id="5"/>
    </w:p>
    <w:p w14:paraId="5EEEF891" w14:textId="3C54632A" w:rsidR="00CE6B01" w:rsidRPr="002A3596" w:rsidRDefault="00CE6B01" w:rsidP="00CE6B01">
      <w:pPr>
        <w:pStyle w:val="BodyText"/>
      </w:pPr>
      <w:r w:rsidRPr="002A3596">
        <w:t>The</w:t>
      </w:r>
      <w:r w:rsidRPr="002A3596" w:rsidDel="00916CCB">
        <w:t xml:space="preserve"> metabolism of estrogens and progestogens may be increased by concomitant use of substances known to induce drug-metaboli</w:t>
      </w:r>
      <w:r w:rsidRPr="002A3596">
        <w:t>z</w:t>
      </w:r>
      <w:r w:rsidRPr="002A3596" w:rsidDel="00916CCB">
        <w:t>ing enzymes, specifically cytochrome P450 enzymes, such as anticonvulsants (e.g.</w:t>
      </w:r>
      <w:r w:rsidR="006075B5">
        <w:t>,</w:t>
      </w:r>
      <w:r w:rsidRPr="002A3596" w:rsidDel="00916CCB">
        <w:t xml:space="preserve"> phenobarbital, phenytoin, carbamazepine) and e.g.</w:t>
      </w:r>
      <w:r w:rsidR="006075B5">
        <w:t>,</w:t>
      </w:r>
      <w:r w:rsidRPr="002A3596" w:rsidDel="00916CCB">
        <w:t xml:space="preserve"> rifampicin, rifabutin, nevirapine, efavirenz</w:t>
      </w:r>
      <w:r w:rsidRPr="002A3596">
        <w:t xml:space="preserve">, and </w:t>
      </w:r>
      <w:r w:rsidRPr="002A3596">
        <w:rPr>
          <w:bCs/>
        </w:rPr>
        <w:t>griseofulvin</w:t>
      </w:r>
      <w:r w:rsidRPr="002A3596" w:rsidDel="00916CCB">
        <w:t>.</w:t>
      </w:r>
      <w:r w:rsidRPr="002A3596">
        <w:t xml:space="preserve"> </w:t>
      </w:r>
      <w:r w:rsidRPr="002A3596" w:rsidDel="00916CCB">
        <w:t xml:space="preserve">Herbal preparations containing St John's Wort (Hypericum </w:t>
      </w:r>
      <w:proofErr w:type="spellStart"/>
      <w:r w:rsidRPr="002A3596" w:rsidDel="00916CCB">
        <w:t>perforatum</w:t>
      </w:r>
      <w:proofErr w:type="spellEnd"/>
      <w:r w:rsidRPr="002A3596" w:rsidDel="00916CCB">
        <w:t>) may induce the metabolism of estrogens and progestogens</w:t>
      </w:r>
      <w:r w:rsidRPr="002A3596">
        <w:t>.</w:t>
      </w:r>
    </w:p>
    <w:p w14:paraId="10C2AFF7" w14:textId="77777777" w:rsidR="00CE6B01" w:rsidRPr="002A3596" w:rsidRDefault="00CE6B01" w:rsidP="00CE6B01">
      <w:pPr>
        <w:pStyle w:val="BodyText"/>
      </w:pPr>
      <w:r w:rsidRPr="002A3596">
        <w:t>Ritonavir and nelfinavir, although known as strong inhibitors, by contrast exhibit inducing properties when used concomitantly with steroid hormones.</w:t>
      </w:r>
    </w:p>
    <w:p w14:paraId="17E54FAE" w14:textId="77777777" w:rsidR="00CE6B01" w:rsidRPr="002A3596" w:rsidRDefault="00CE6B01" w:rsidP="00CE6B01">
      <w:pPr>
        <w:pStyle w:val="BodyText"/>
      </w:pPr>
      <w:r w:rsidRPr="002A3596">
        <w:lastRenderedPageBreak/>
        <w:t>Clinically, an increased metabolism of estrogens and progestogens may lead to decreased effect and changes in the uterine bleeding profile.</w:t>
      </w:r>
    </w:p>
    <w:p w14:paraId="532E7B7C" w14:textId="77777777" w:rsidR="00CE6B01" w:rsidRPr="002A3596" w:rsidRDefault="00CE6B01" w:rsidP="00CE6B01">
      <w:pPr>
        <w:pStyle w:val="BodyText"/>
        <w:rPr>
          <w:b/>
          <w:bCs/>
        </w:rPr>
      </w:pPr>
      <w:r w:rsidRPr="002A3596">
        <w:t>Ketoconazole and other inhibitors of CYP450-3A4 may increase bioavailability of progesterone. Such interactions may increase the incidence of adverse effects such as nausea, breast tenderness, headaches associated with progesterone</w:t>
      </w:r>
    </w:p>
    <w:p w14:paraId="39442382" w14:textId="5AF4840E" w:rsidR="00CE6B01" w:rsidRPr="002A3596" w:rsidRDefault="00CE6B01" w:rsidP="005E461C">
      <w:pPr>
        <w:pStyle w:val="subheading4BOLD"/>
      </w:pPr>
      <w:r w:rsidRPr="002A3596">
        <w:t xml:space="preserve">Effects of </w:t>
      </w:r>
      <w:r w:rsidR="00250DF8">
        <w:t>BIJUVA 1/100</w:t>
      </w:r>
      <w:r w:rsidRPr="002A3596">
        <w:t xml:space="preserve"> on other medicinal products</w:t>
      </w:r>
    </w:p>
    <w:p w14:paraId="0612F571" w14:textId="0C39F991" w:rsidR="00CE6B01" w:rsidRDefault="00CE6B01" w:rsidP="00CE6B01">
      <w:pPr>
        <w:pStyle w:val="BodyText"/>
      </w:pPr>
      <w:r w:rsidRPr="002A3596">
        <w:t>Hormone contraceptives containing estrogens have been shown to significantly decrease plasma concentrations of lamotrigine when co-administered due to induction of lamotrigine glucuronidation. This may reduce seizure control. Although the potential interaction between hormone replacement therapy and lamotrigine has not been studied, it is expected that a similar interaction exists, which may lead to a reduction in seizure control among women taking both medicinal products together.</w:t>
      </w:r>
    </w:p>
    <w:p w14:paraId="2727E2EE" w14:textId="24E2AE14" w:rsidR="00F82E2F" w:rsidRPr="002A3596" w:rsidRDefault="00F82E2F" w:rsidP="00CE6B01">
      <w:pPr>
        <w:pStyle w:val="BodyText"/>
      </w:pPr>
      <w:r w:rsidRPr="00F82E2F">
        <w:t>Progesterone may raise the plasma concentration of ciclosporin.</w:t>
      </w:r>
    </w:p>
    <w:p w14:paraId="737FD53D" w14:textId="77777777" w:rsidR="004A6F22" w:rsidRPr="002A3596" w:rsidRDefault="003B0D62" w:rsidP="00944662">
      <w:pPr>
        <w:pStyle w:val="Heading2"/>
      </w:pPr>
      <w:r w:rsidRPr="002A3596">
        <w:t>Fertility, pregnancy and lactation</w:t>
      </w:r>
    </w:p>
    <w:p w14:paraId="327C9C3B" w14:textId="77777777" w:rsidR="004A6F22" w:rsidRPr="002A3596" w:rsidRDefault="003B0D62" w:rsidP="00C9440A">
      <w:pPr>
        <w:pStyle w:val="subheading4BOLD"/>
      </w:pPr>
      <w:r w:rsidRPr="002A3596">
        <w:t>Effects on fertility</w:t>
      </w:r>
    </w:p>
    <w:p w14:paraId="71825135" w14:textId="5647BFEB" w:rsidR="004A6F22" w:rsidRPr="002A3596" w:rsidRDefault="00250DF8" w:rsidP="00D4676B">
      <w:pPr>
        <w:pStyle w:val="BodyText"/>
      </w:pPr>
      <w:r>
        <w:t>BIJUVA 1/100</w:t>
      </w:r>
      <w:r w:rsidR="00CE6B01" w:rsidRPr="002A3596">
        <w:t xml:space="preserve"> is not indicated for use in women with childbearing potential. </w:t>
      </w:r>
    </w:p>
    <w:p w14:paraId="2F724CED" w14:textId="77777777" w:rsidR="004A6F22" w:rsidRPr="002A3596" w:rsidRDefault="003B0D62" w:rsidP="00C9440A">
      <w:pPr>
        <w:pStyle w:val="subheading4BOLD"/>
      </w:pPr>
      <w:r w:rsidRPr="002A3596">
        <w:t>Use in pregnancy</w:t>
      </w:r>
      <w:r w:rsidRPr="002A3596">
        <w:rPr>
          <w:spacing w:val="-5"/>
        </w:rPr>
        <w:t xml:space="preserve"> </w:t>
      </w:r>
      <w:r w:rsidRPr="002A3596">
        <w:t>–</w:t>
      </w:r>
      <w:r w:rsidRPr="002A3596">
        <w:t xml:space="preserve"> Pregnancy</w:t>
      </w:r>
      <w:r w:rsidRPr="002A3596">
        <w:rPr>
          <w:spacing w:val="-5"/>
        </w:rPr>
        <w:t xml:space="preserve"> </w:t>
      </w:r>
      <w:r w:rsidRPr="002A3596">
        <w:t>Category</w:t>
      </w:r>
      <w:r w:rsidRPr="002A3596">
        <w:rPr>
          <w:spacing w:val="-3"/>
        </w:rPr>
        <w:t xml:space="preserve"> </w:t>
      </w:r>
      <w:r w:rsidRPr="002A3596">
        <w:t>D</w:t>
      </w:r>
    </w:p>
    <w:p w14:paraId="56D692ED" w14:textId="111A8AB8" w:rsidR="00CE6B01" w:rsidRDefault="00250DF8" w:rsidP="00CE6B01">
      <w:pPr>
        <w:pStyle w:val="BodyText"/>
      </w:pPr>
      <w:bookmarkStart w:id="6" w:name="_Hlk67566795"/>
      <w:r>
        <w:t>BIJUVA 1/100</w:t>
      </w:r>
      <w:r w:rsidR="00CE6B01" w:rsidRPr="002A3596">
        <w:rPr>
          <w:rFonts w:eastAsiaTheme="minorHAnsi"/>
        </w:rPr>
        <w:t xml:space="preserve"> </w:t>
      </w:r>
      <w:bookmarkEnd w:id="6"/>
      <w:r w:rsidR="00CE6B01" w:rsidRPr="002A3596">
        <w:t xml:space="preserve">is not indicated during pregnancy. If pregnancy occurs during medication with </w:t>
      </w:r>
      <w:r>
        <w:t>BIJUVA 1/100</w:t>
      </w:r>
      <w:r w:rsidR="00CE6B01" w:rsidRPr="002A3596">
        <w:t xml:space="preserve"> treatment should be withdrawn immediately.</w:t>
      </w:r>
    </w:p>
    <w:p w14:paraId="55FAAAC1" w14:textId="39FE5FAB" w:rsidR="007313F8" w:rsidRPr="002A3596" w:rsidRDefault="007313F8" w:rsidP="00CE6B01">
      <w:pPr>
        <w:pStyle w:val="BodyText"/>
      </w:pPr>
      <w:r>
        <w:t xml:space="preserve">In animal studies, maternal administration of high doses of estrogens has produced urogenital malformations in the offspring. The relevance of these animal findings for the clinical use of </w:t>
      </w:r>
      <w:proofErr w:type="spellStart"/>
      <w:r>
        <w:t>estradiol</w:t>
      </w:r>
      <w:proofErr w:type="spellEnd"/>
      <w:r>
        <w:t xml:space="preserve"> is </w:t>
      </w:r>
      <w:proofErr w:type="gramStart"/>
      <w:r>
        <w:t>uncertain, but</w:t>
      </w:r>
      <w:proofErr w:type="gramEnd"/>
      <w:r>
        <w:t xml:space="preserve"> is considered likely to be low. Animal studies have also shown that high doses of progestogens can cause masculinisation of the female </w:t>
      </w:r>
      <w:proofErr w:type="spellStart"/>
      <w:r>
        <w:t>fetus</w:t>
      </w:r>
      <w:proofErr w:type="spellEnd"/>
      <w:r>
        <w:t>.</w:t>
      </w:r>
    </w:p>
    <w:p w14:paraId="00CF69BD" w14:textId="6E6108C3" w:rsidR="00CE6B01" w:rsidRPr="002A3596" w:rsidRDefault="00CE6B01" w:rsidP="00CE6B01">
      <w:pPr>
        <w:pStyle w:val="BodyText"/>
      </w:pPr>
      <w:r w:rsidRPr="002A3596">
        <w:t xml:space="preserve">The results of most epidemiological studies to date relevant to inadvertent </w:t>
      </w:r>
      <w:proofErr w:type="spellStart"/>
      <w:r w:rsidR="00F93840">
        <w:t>f</w:t>
      </w:r>
      <w:r w:rsidRPr="002A3596">
        <w:t>etal</w:t>
      </w:r>
      <w:proofErr w:type="spellEnd"/>
      <w:r w:rsidRPr="002A3596">
        <w:t xml:space="preserve"> exposure to combinations of estrogens and progestogens indicate no teratogenic or fetotoxic effect.</w:t>
      </w:r>
    </w:p>
    <w:p w14:paraId="3F3B5A53" w14:textId="720EA0B4" w:rsidR="004A6F22" w:rsidRPr="002A3596" w:rsidRDefault="00CE6B01" w:rsidP="00CE6B01">
      <w:pPr>
        <w:pStyle w:val="BodyText"/>
      </w:pPr>
      <w:r w:rsidRPr="002A3596">
        <w:t xml:space="preserve">There are no adequate data from the use of </w:t>
      </w:r>
      <w:proofErr w:type="spellStart"/>
      <w:r w:rsidRPr="002A3596">
        <w:t>estradiol</w:t>
      </w:r>
      <w:proofErr w:type="spellEnd"/>
      <w:r w:rsidRPr="002A3596">
        <w:t>/progesterone in pregnant women.</w:t>
      </w:r>
    </w:p>
    <w:p w14:paraId="6305085A" w14:textId="77777777" w:rsidR="004A6F22" w:rsidRPr="002A3596" w:rsidRDefault="003B0D62" w:rsidP="00C9440A">
      <w:pPr>
        <w:pStyle w:val="subheading4BOLD"/>
      </w:pPr>
      <w:r w:rsidRPr="002A3596">
        <w:t>Use in lactation.</w:t>
      </w:r>
    </w:p>
    <w:p w14:paraId="4EAD2D43" w14:textId="4DF4D1A9" w:rsidR="004A6F22" w:rsidRPr="002A3596" w:rsidRDefault="00250DF8" w:rsidP="00D4676B">
      <w:pPr>
        <w:pStyle w:val="BodyText"/>
      </w:pPr>
      <w:r>
        <w:t>BIJUVA 1/100</w:t>
      </w:r>
      <w:r w:rsidR="002D0BCA">
        <w:t xml:space="preserve"> </w:t>
      </w:r>
      <w:r w:rsidR="00CE6B01" w:rsidRPr="002A3596">
        <w:t>is not indicated for use during lactation.</w:t>
      </w:r>
    </w:p>
    <w:p w14:paraId="0D340AF4" w14:textId="77777777" w:rsidR="004A6F22" w:rsidRPr="002A3596" w:rsidRDefault="003B0D62" w:rsidP="00944662">
      <w:pPr>
        <w:pStyle w:val="Heading2"/>
      </w:pPr>
      <w:r w:rsidRPr="002A3596">
        <w:lastRenderedPageBreak/>
        <w:t>Effects on ability to drive and use machines</w:t>
      </w:r>
    </w:p>
    <w:p w14:paraId="39242438" w14:textId="38DC1781" w:rsidR="00B55692" w:rsidRDefault="00250DF8" w:rsidP="00B55692">
      <w:pPr>
        <w:pStyle w:val="BodyText"/>
      </w:pPr>
      <w:r>
        <w:t>BIJUVA 1/100</w:t>
      </w:r>
      <w:r w:rsidR="0013062A" w:rsidRPr="002A3596">
        <w:t xml:space="preserve"> does not affect the patient’s ability to drive or operate machinery. Patients</w:t>
      </w:r>
      <w:r w:rsidR="003B0D62" w:rsidRPr="002A3596">
        <w:rPr>
          <w:spacing w:val="-2"/>
        </w:rPr>
        <w:t xml:space="preserve"> </w:t>
      </w:r>
      <w:r w:rsidR="003B0D62" w:rsidRPr="002A3596">
        <w:t>experiencing</w:t>
      </w:r>
      <w:r w:rsidR="003B0D62" w:rsidRPr="002A3596">
        <w:rPr>
          <w:spacing w:val="-2"/>
        </w:rPr>
        <w:t xml:space="preserve"> </w:t>
      </w:r>
      <w:r w:rsidR="0013062A" w:rsidRPr="002A3596">
        <w:t>medicine</w:t>
      </w:r>
      <w:r w:rsidR="003B0D62" w:rsidRPr="002A3596">
        <w:t>-related</w:t>
      </w:r>
      <w:r w:rsidR="003B0D62" w:rsidRPr="002A3596">
        <w:rPr>
          <w:spacing w:val="-2"/>
        </w:rPr>
        <w:t xml:space="preserve"> </w:t>
      </w:r>
      <w:r w:rsidR="003B0D62" w:rsidRPr="002A3596">
        <w:t>symptoms</w:t>
      </w:r>
      <w:r w:rsidR="003B0D62" w:rsidRPr="002A3596">
        <w:rPr>
          <w:spacing w:val="-2"/>
        </w:rPr>
        <w:t xml:space="preserve"> </w:t>
      </w:r>
      <w:r w:rsidR="003B0D62" w:rsidRPr="002A3596">
        <w:t>should</w:t>
      </w:r>
      <w:r w:rsidR="003B0D62" w:rsidRPr="002A3596">
        <w:rPr>
          <w:spacing w:val="-2"/>
        </w:rPr>
        <w:t xml:space="preserve"> </w:t>
      </w:r>
      <w:r w:rsidR="003B0D62" w:rsidRPr="002A3596">
        <w:t>be</w:t>
      </w:r>
      <w:r w:rsidR="003B0D62" w:rsidRPr="002A3596">
        <w:rPr>
          <w:spacing w:val="-2"/>
        </w:rPr>
        <w:t xml:space="preserve"> </w:t>
      </w:r>
      <w:r w:rsidR="003B0D62" w:rsidRPr="002A3596">
        <w:t>advised</w:t>
      </w:r>
      <w:r w:rsidR="003B0D62" w:rsidRPr="002A3596">
        <w:rPr>
          <w:spacing w:val="-2"/>
        </w:rPr>
        <w:t xml:space="preserve"> </w:t>
      </w:r>
      <w:r w:rsidR="003B0D62" w:rsidRPr="002A3596">
        <w:t>not</w:t>
      </w:r>
      <w:r w:rsidR="003B0D62" w:rsidRPr="002A3596">
        <w:rPr>
          <w:spacing w:val="-2"/>
        </w:rPr>
        <w:t xml:space="preserve"> </w:t>
      </w:r>
      <w:r w:rsidR="003B0D62" w:rsidRPr="002A3596">
        <w:t>to</w:t>
      </w:r>
      <w:r w:rsidR="003B0D62" w:rsidRPr="002A3596">
        <w:rPr>
          <w:spacing w:val="-2"/>
        </w:rPr>
        <w:t xml:space="preserve"> </w:t>
      </w:r>
      <w:r w:rsidR="003B0D62" w:rsidRPr="002A3596">
        <w:t>drive</w:t>
      </w:r>
      <w:r w:rsidR="003B0D62" w:rsidRPr="002A3596">
        <w:rPr>
          <w:spacing w:val="-2"/>
        </w:rPr>
        <w:t xml:space="preserve"> </w:t>
      </w:r>
      <w:r w:rsidR="003B0D62" w:rsidRPr="002A3596">
        <w:t>or</w:t>
      </w:r>
      <w:r w:rsidR="003B0D62" w:rsidRPr="002A3596">
        <w:rPr>
          <w:spacing w:val="-2"/>
        </w:rPr>
        <w:t xml:space="preserve"> </w:t>
      </w:r>
      <w:r w:rsidR="003B0D62" w:rsidRPr="002A3596">
        <w:t>use</w:t>
      </w:r>
      <w:r w:rsidR="003B0D62" w:rsidRPr="002A3596">
        <w:rPr>
          <w:spacing w:val="-2"/>
        </w:rPr>
        <w:t xml:space="preserve"> </w:t>
      </w:r>
      <w:r w:rsidR="003B0D62" w:rsidRPr="002A3596">
        <w:t>machines until symptoms resolve completely.</w:t>
      </w:r>
    </w:p>
    <w:p w14:paraId="38E0CBBD" w14:textId="6426A210" w:rsidR="00B55692" w:rsidRDefault="00B55692" w:rsidP="00944662">
      <w:pPr>
        <w:pStyle w:val="Heading2"/>
      </w:pPr>
      <w:r w:rsidRPr="002A3596">
        <w:t>Adverse effects (Undesirable effects)</w:t>
      </w:r>
    </w:p>
    <w:p w14:paraId="2C26338B" w14:textId="449C3D19" w:rsidR="00686EAB" w:rsidRPr="00B55692" w:rsidRDefault="00686EAB" w:rsidP="002D0BCA">
      <w:pPr>
        <w:pStyle w:val="Heading3"/>
        <w:rPr>
          <w:rFonts w:eastAsiaTheme="minorEastAsia"/>
        </w:rPr>
      </w:pPr>
      <w:r w:rsidRPr="00B55692">
        <w:rPr>
          <w:rFonts w:eastAsiaTheme="minorEastAsia"/>
        </w:rPr>
        <w:t>Summary of the Safety Profile</w:t>
      </w:r>
    </w:p>
    <w:p w14:paraId="2C960978" w14:textId="0D9D4704" w:rsidR="00607CD7" w:rsidRDefault="0013062A" w:rsidP="00C153AE">
      <w:pPr>
        <w:pStyle w:val="BodyText"/>
      </w:pPr>
      <w:r w:rsidRPr="002A3596">
        <w:t xml:space="preserve">The </w:t>
      </w:r>
      <w:r w:rsidR="0085298D" w:rsidRPr="002A3596">
        <w:t>most reported</w:t>
      </w:r>
      <w:r w:rsidRPr="002A3596">
        <w:t xml:space="preserve"> related adverse drug reactions for </w:t>
      </w:r>
      <w:r w:rsidR="00250DF8">
        <w:t>BIJUVA 1/100</w:t>
      </w:r>
      <w:r w:rsidRPr="002A3596">
        <w:t xml:space="preserve"> in clinical trials were breast tenderness (10.4%), headache (3.4%), nausea (2.2%), pelvic pain (3.1%), vaginal h</w:t>
      </w:r>
      <w:r w:rsidR="00FC59D9">
        <w:t>a</w:t>
      </w:r>
      <w:r w:rsidRPr="002A3596">
        <w:t>emorrhage (3.4%), and vaginal discharge (3.4%).</w:t>
      </w:r>
    </w:p>
    <w:p w14:paraId="5C982972" w14:textId="77777777" w:rsidR="00607CD7" w:rsidRDefault="00607CD7">
      <w:pPr>
        <w:rPr>
          <w:rFonts w:ascii="Times New Roman" w:eastAsia="Times New Roman" w:hAnsi="Times New Roman"/>
          <w:spacing w:val="-1"/>
          <w:sz w:val="24"/>
          <w:szCs w:val="24"/>
        </w:rPr>
      </w:pPr>
      <w:r>
        <w:br w:type="page"/>
      </w:r>
    </w:p>
    <w:p w14:paraId="44DC2A65" w14:textId="7EE9E407" w:rsidR="0013062A" w:rsidRPr="002A3596" w:rsidRDefault="00686EAB" w:rsidP="00C153AE">
      <w:pPr>
        <w:pStyle w:val="Caption"/>
        <w:keepNext w:val="0"/>
        <w:ind w:left="1438" w:hanging="1296"/>
      </w:pPr>
      <w:r w:rsidRPr="002A3596">
        <w:lastRenderedPageBreak/>
        <w:t xml:space="preserve">Table </w:t>
      </w:r>
      <w:r w:rsidRPr="002A3596">
        <w:fldChar w:fldCharType="begin"/>
      </w:r>
      <w:r w:rsidRPr="002A3596">
        <w:instrText xml:space="preserve"> SEQ Table \* ARABIC </w:instrText>
      </w:r>
      <w:r w:rsidRPr="002A3596">
        <w:fldChar w:fldCharType="separate"/>
      </w:r>
      <w:r w:rsidR="00551C94">
        <w:rPr>
          <w:noProof/>
        </w:rPr>
        <w:t>1</w:t>
      </w:r>
      <w:r w:rsidRPr="002A3596">
        <w:fldChar w:fldCharType="end"/>
      </w:r>
      <w:r w:rsidR="00471E27">
        <w:t>:</w:t>
      </w:r>
      <w:r w:rsidRPr="002A3596">
        <w:t xml:space="preserve"> </w:t>
      </w:r>
      <w:r w:rsidRPr="002A3596">
        <w:tab/>
        <w:t>Incidence of Related Treatment Emergent Adverse Events Occurring in ≥ 3% in 1 mg E2/100 mg P Treatment Arm and More Commonly than Placebo (Study TXC12 05)</w:t>
      </w:r>
    </w:p>
    <w:tbl>
      <w:tblPr>
        <w:tblStyle w:val="TableGrid"/>
        <w:tblW w:w="0" w:type="auto"/>
        <w:tblInd w:w="142" w:type="dxa"/>
        <w:tblLayout w:type="fixed"/>
        <w:tblLook w:val="04A0" w:firstRow="1" w:lastRow="0" w:firstColumn="1" w:lastColumn="0" w:noHBand="0" w:noVBand="1"/>
      </w:tblPr>
      <w:tblGrid>
        <w:gridCol w:w="2412"/>
        <w:gridCol w:w="2403"/>
        <w:gridCol w:w="2835"/>
      </w:tblGrid>
      <w:tr w:rsidR="00686EAB" w:rsidRPr="00B55692" w14:paraId="47121767" w14:textId="6286F5B0" w:rsidTr="00686EAB">
        <w:tc>
          <w:tcPr>
            <w:tcW w:w="2412" w:type="dxa"/>
            <w:vAlign w:val="center"/>
          </w:tcPr>
          <w:p w14:paraId="5D0F15F8" w14:textId="77777777" w:rsidR="00686EAB" w:rsidRPr="00B55692" w:rsidRDefault="00686EAB" w:rsidP="00C153AE">
            <w:pPr>
              <w:pStyle w:val="BodyText"/>
              <w:ind w:left="0"/>
              <w:jc w:val="center"/>
              <w:rPr>
                <w:rFonts w:cs="Times New Roman"/>
                <w:sz w:val="20"/>
                <w:szCs w:val="20"/>
              </w:rPr>
            </w:pPr>
          </w:p>
        </w:tc>
        <w:tc>
          <w:tcPr>
            <w:tcW w:w="2403" w:type="dxa"/>
            <w:vAlign w:val="center"/>
          </w:tcPr>
          <w:p w14:paraId="032C103F" w14:textId="6998E0FC" w:rsidR="00686EAB" w:rsidRPr="00B55692" w:rsidRDefault="00250DF8" w:rsidP="001C20A4">
            <w:pPr>
              <w:jc w:val="center"/>
              <w:rPr>
                <w:rFonts w:ascii="Times New Roman" w:hAnsi="Times New Roman" w:cs="Times New Roman"/>
                <w:b/>
                <w:bCs/>
                <w:sz w:val="20"/>
                <w:szCs w:val="20"/>
              </w:rPr>
            </w:pPr>
            <w:r>
              <w:rPr>
                <w:rFonts w:ascii="Times New Roman" w:hAnsi="Times New Roman" w:cs="Times New Roman"/>
                <w:b/>
                <w:bCs/>
                <w:sz w:val="20"/>
                <w:szCs w:val="20"/>
              </w:rPr>
              <w:t>BIJUVA 1/100</w:t>
            </w:r>
            <w:r w:rsidR="001B577B">
              <w:rPr>
                <w:rFonts w:ascii="Times New Roman" w:hAnsi="Times New Roman" w:cs="Times New Roman"/>
                <w:b/>
                <w:bCs/>
                <w:sz w:val="20"/>
                <w:szCs w:val="20"/>
              </w:rPr>
              <w:t xml:space="preserve"> </w:t>
            </w:r>
            <w:r w:rsidR="00686EAB" w:rsidRPr="00B55692">
              <w:rPr>
                <w:rFonts w:ascii="Times New Roman" w:hAnsi="Times New Roman" w:cs="Times New Roman"/>
                <w:b/>
                <w:bCs/>
                <w:sz w:val="20"/>
                <w:szCs w:val="20"/>
              </w:rPr>
              <w:t>1 mg E2/100 mg P</w:t>
            </w:r>
          </w:p>
          <w:p w14:paraId="26CAA469" w14:textId="4C7804EC" w:rsidR="00686EAB" w:rsidRPr="00B55692" w:rsidRDefault="00686EAB" w:rsidP="00C153AE">
            <w:pPr>
              <w:pStyle w:val="BodyText"/>
              <w:ind w:left="0"/>
              <w:jc w:val="center"/>
              <w:rPr>
                <w:rFonts w:cs="Times New Roman"/>
                <w:b/>
                <w:bCs/>
                <w:sz w:val="20"/>
                <w:szCs w:val="20"/>
              </w:rPr>
            </w:pPr>
            <w:r w:rsidRPr="00B55692">
              <w:rPr>
                <w:rFonts w:cs="Times New Roman"/>
                <w:b/>
                <w:bCs/>
                <w:sz w:val="20"/>
                <w:szCs w:val="20"/>
              </w:rPr>
              <w:t>(N=415)</w:t>
            </w:r>
          </w:p>
        </w:tc>
        <w:tc>
          <w:tcPr>
            <w:tcW w:w="2835" w:type="dxa"/>
            <w:vAlign w:val="center"/>
          </w:tcPr>
          <w:p w14:paraId="3361A8E1" w14:textId="77777777" w:rsidR="00686EAB" w:rsidRPr="00B55692" w:rsidRDefault="00686EAB" w:rsidP="001C20A4">
            <w:pPr>
              <w:jc w:val="center"/>
              <w:rPr>
                <w:rFonts w:ascii="Times New Roman" w:hAnsi="Times New Roman" w:cs="Times New Roman"/>
                <w:b/>
                <w:bCs/>
                <w:sz w:val="20"/>
                <w:szCs w:val="20"/>
              </w:rPr>
            </w:pPr>
            <w:r w:rsidRPr="00B55692">
              <w:rPr>
                <w:rFonts w:ascii="Times New Roman" w:hAnsi="Times New Roman" w:cs="Times New Roman"/>
                <w:b/>
                <w:bCs/>
                <w:sz w:val="20"/>
                <w:szCs w:val="20"/>
              </w:rPr>
              <w:t>Placebo</w:t>
            </w:r>
          </w:p>
          <w:p w14:paraId="6E8C5AB2" w14:textId="449893BC" w:rsidR="00686EAB" w:rsidRPr="00B55692" w:rsidRDefault="00686EAB" w:rsidP="00C153AE">
            <w:pPr>
              <w:pStyle w:val="BodyText"/>
              <w:ind w:left="0"/>
              <w:jc w:val="center"/>
              <w:rPr>
                <w:rFonts w:cs="Times New Roman"/>
                <w:b/>
                <w:bCs/>
                <w:sz w:val="20"/>
                <w:szCs w:val="20"/>
              </w:rPr>
            </w:pPr>
            <w:r w:rsidRPr="00B55692">
              <w:rPr>
                <w:rFonts w:cs="Times New Roman"/>
                <w:b/>
                <w:bCs/>
                <w:sz w:val="20"/>
                <w:szCs w:val="20"/>
              </w:rPr>
              <w:t>(N=151)</w:t>
            </w:r>
          </w:p>
        </w:tc>
      </w:tr>
      <w:tr w:rsidR="00686EAB" w:rsidRPr="00B55692" w14:paraId="231B3B3D" w14:textId="19803EE0" w:rsidTr="00686EAB">
        <w:tc>
          <w:tcPr>
            <w:tcW w:w="2412" w:type="dxa"/>
            <w:vAlign w:val="center"/>
          </w:tcPr>
          <w:p w14:paraId="1C189A4B" w14:textId="2C685E87" w:rsidR="00686EAB" w:rsidRPr="00B55692" w:rsidRDefault="00686EAB" w:rsidP="00C153AE">
            <w:pPr>
              <w:pStyle w:val="BodyText"/>
              <w:ind w:left="0"/>
              <w:jc w:val="center"/>
              <w:rPr>
                <w:rFonts w:cs="Times New Roman"/>
                <w:b/>
                <w:bCs/>
                <w:sz w:val="20"/>
                <w:szCs w:val="20"/>
              </w:rPr>
            </w:pPr>
            <w:r w:rsidRPr="00B55692">
              <w:rPr>
                <w:rFonts w:cs="Times New Roman"/>
                <w:b/>
                <w:bCs/>
                <w:sz w:val="20"/>
                <w:szCs w:val="20"/>
              </w:rPr>
              <w:t>Breast tenderness</w:t>
            </w:r>
          </w:p>
        </w:tc>
        <w:tc>
          <w:tcPr>
            <w:tcW w:w="2403" w:type="dxa"/>
            <w:vAlign w:val="center"/>
          </w:tcPr>
          <w:p w14:paraId="76E3FAD9" w14:textId="3AFF229B" w:rsidR="00686EAB" w:rsidRPr="00B55692" w:rsidRDefault="00686EAB" w:rsidP="00C153AE">
            <w:pPr>
              <w:pStyle w:val="BodyText"/>
              <w:ind w:left="0"/>
              <w:jc w:val="center"/>
              <w:rPr>
                <w:rFonts w:cs="Times New Roman"/>
                <w:sz w:val="20"/>
                <w:szCs w:val="20"/>
              </w:rPr>
            </w:pPr>
            <w:r w:rsidRPr="00B55692">
              <w:rPr>
                <w:rFonts w:cs="Times New Roman"/>
                <w:sz w:val="20"/>
                <w:szCs w:val="20"/>
              </w:rPr>
              <w:t>43 (10.4)</w:t>
            </w:r>
          </w:p>
        </w:tc>
        <w:tc>
          <w:tcPr>
            <w:tcW w:w="2835" w:type="dxa"/>
            <w:vAlign w:val="center"/>
          </w:tcPr>
          <w:p w14:paraId="67F8D38A" w14:textId="68DF6BAC" w:rsidR="00686EAB" w:rsidRPr="00B55692" w:rsidRDefault="00686EAB" w:rsidP="00C153AE">
            <w:pPr>
              <w:pStyle w:val="BodyText"/>
              <w:ind w:left="0"/>
              <w:jc w:val="center"/>
              <w:rPr>
                <w:rFonts w:cs="Times New Roman"/>
                <w:sz w:val="20"/>
                <w:szCs w:val="20"/>
              </w:rPr>
            </w:pPr>
            <w:r w:rsidRPr="00B55692">
              <w:rPr>
                <w:rFonts w:cs="Times New Roman"/>
                <w:sz w:val="20"/>
                <w:szCs w:val="20"/>
              </w:rPr>
              <w:t>1 (0.7)</w:t>
            </w:r>
          </w:p>
        </w:tc>
      </w:tr>
      <w:tr w:rsidR="00686EAB" w:rsidRPr="00B55692" w14:paraId="4287BB8D" w14:textId="4FD84FDD" w:rsidTr="00686EAB">
        <w:tc>
          <w:tcPr>
            <w:tcW w:w="2412" w:type="dxa"/>
            <w:vAlign w:val="center"/>
          </w:tcPr>
          <w:p w14:paraId="66BC55EB" w14:textId="5E329DBE" w:rsidR="00686EAB" w:rsidRPr="00B55692" w:rsidRDefault="00686EAB" w:rsidP="00C153AE">
            <w:pPr>
              <w:pStyle w:val="BodyText"/>
              <w:ind w:left="0"/>
              <w:jc w:val="center"/>
              <w:rPr>
                <w:rFonts w:cs="Times New Roman"/>
                <w:b/>
                <w:bCs/>
                <w:sz w:val="20"/>
                <w:szCs w:val="20"/>
              </w:rPr>
            </w:pPr>
            <w:r w:rsidRPr="00B55692">
              <w:rPr>
                <w:rFonts w:cs="Times New Roman"/>
                <w:b/>
                <w:bCs/>
                <w:sz w:val="20"/>
                <w:szCs w:val="20"/>
              </w:rPr>
              <w:t>Headache</w:t>
            </w:r>
          </w:p>
        </w:tc>
        <w:tc>
          <w:tcPr>
            <w:tcW w:w="2403" w:type="dxa"/>
            <w:vAlign w:val="center"/>
          </w:tcPr>
          <w:p w14:paraId="62391281" w14:textId="56DA7051" w:rsidR="00686EAB" w:rsidRPr="00B55692" w:rsidRDefault="00686EAB" w:rsidP="00C153AE">
            <w:pPr>
              <w:pStyle w:val="BodyText"/>
              <w:ind w:left="0"/>
              <w:jc w:val="center"/>
              <w:rPr>
                <w:rFonts w:cs="Times New Roman"/>
                <w:sz w:val="20"/>
                <w:szCs w:val="20"/>
              </w:rPr>
            </w:pPr>
            <w:r w:rsidRPr="00B55692">
              <w:rPr>
                <w:rFonts w:cs="Times New Roman"/>
                <w:sz w:val="20"/>
                <w:szCs w:val="20"/>
              </w:rPr>
              <w:t>14 (3.4)</w:t>
            </w:r>
          </w:p>
        </w:tc>
        <w:tc>
          <w:tcPr>
            <w:tcW w:w="2835" w:type="dxa"/>
            <w:vAlign w:val="center"/>
          </w:tcPr>
          <w:p w14:paraId="387CBF5B" w14:textId="1513BBA7" w:rsidR="00686EAB" w:rsidRPr="00B55692" w:rsidRDefault="00686EAB" w:rsidP="00C153AE">
            <w:pPr>
              <w:pStyle w:val="BodyText"/>
              <w:ind w:left="0"/>
              <w:jc w:val="center"/>
              <w:rPr>
                <w:rFonts w:cs="Times New Roman"/>
                <w:sz w:val="20"/>
                <w:szCs w:val="20"/>
              </w:rPr>
            </w:pPr>
            <w:r w:rsidRPr="00B55692">
              <w:rPr>
                <w:rFonts w:cs="Times New Roman"/>
                <w:sz w:val="20"/>
                <w:szCs w:val="20"/>
              </w:rPr>
              <w:t>1 (0.7)</w:t>
            </w:r>
          </w:p>
        </w:tc>
      </w:tr>
      <w:tr w:rsidR="00686EAB" w:rsidRPr="00B55692" w14:paraId="54D05EE5" w14:textId="24C5D961" w:rsidTr="00686EAB">
        <w:tc>
          <w:tcPr>
            <w:tcW w:w="2412" w:type="dxa"/>
            <w:vAlign w:val="center"/>
          </w:tcPr>
          <w:p w14:paraId="6C32DE25" w14:textId="3112C28C" w:rsidR="00686EAB" w:rsidRPr="00B55692" w:rsidRDefault="00686EAB" w:rsidP="00C153AE">
            <w:pPr>
              <w:pStyle w:val="BodyText"/>
              <w:ind w:left="0"/>
              <w:jc w:val="center"/>
              <w:rPr>
                <w:rFonts w:cs="Times New Roman"/>
                <w:b/>
                <w:bCs/>
                <w:sz w:val="20"/>
                <w:szCs w:val="20"/>
              </w:rPr>
            </w:pPr>
            <w:r w:rsidRPr="00B55692">
              <w:rPr>
                <w:rFonts w:cs="Times New Roman"/>
                <w:b/>
                <w:bCs/>
                <w:sz w:val="20"/>
                <w:szCs w:val="20"/>
              </w:rPr>
              <w:t>Nausea</w:t>
            </w:r>
          </w:p>
        </w:tc>
        <w:tc>
          <w:tcPr>
            <w:tcW w:w="2403" w:type="dxa"/>
            <w:vAlign w:val="center"/>
          </w:tcPr>
          <w:p w14:paraId="76812E0B" w14:textId="37BE3646" w:rsidR="00686EAB" w:rsidRPr="00B55692" w:rsidRDefault="00686EAB" w:rsidP="00C153AE">
            <w:pPr>
              <w:pStyle w:val="BodyText"/>
              <w:ind w:left="0"/>
              <w:jc w:val="center"/>
              <w:rPr>
                <w:rFonts w:cs="Times New Roman"/>
                <w:sz w:val="20"/>
                <w:szCs w:val="20"/>
              </w:rPr>
            </w:pPr>
            <w:r w:rsidRPr="00B55692">
              <w:rPr>
                <w:rFonts w:cs="Times New Roman"/>
                <w:sz w:val="20"/>
                <w:szCs w:val="20"/>
              </w:rPr>
              <w:t>9 (2.2)</w:t>
            </w:r>
          </w:p>
        </w:tc>
        <w:tc>
          <w:tcPr>
            <w:tcW w:w="2835" w:type="dxa"/>
            <w:vAlign w:val="center"/>
          </w:tcPr>
          <w:p w14:paraId="5531377A" w14:textId="1734E4DD" w:rsidR="00686EAB" w:rsidRPr="00B55692" w:rsidRDefault="00686EAB" w:rsidP="00C153AE">
            <w:pPr>
              <w:pStyle w:val="BodyText"/>
              <w:ind w:left="0"/>
              <w:jc w:val="center"/>
              <w:rPr>
                <w:rFonts w:cs="Times New Roman"/>
                <w:sz w:val="20"/>
                <w:szCs w:val="20"/>
              </w:rPr>
            </w:pPr>
            <w:r w:rsidRPr="00B55692">
              <w:rPr>
                <w:rFonts w:cs="Times New Roman"/>
                <w:sz w:val="20"/>
                <w:szCs w:val="20"/>
              </w:rPr>
              <w:t>1 (0.7)</w:t>
            </w:r>
          </w:p>
        </w:tc>
      </w:tr>
      <w:tr w:rsidR="00686EAB" w:rsidRPr="00B55692" w14:paraId="0D5191CA" w14:textId="5C2A29F8" w:rsidTr="00686EAB">
        <w:tc>
          <w:tcPr>
            <w:tcW w:w="2412" w:type="dxa"/>
            <w:vAlign w:val="center"/>
          </w:tcPr>
          <w:p w14:paraId="58D55D9E" w14:textId="633CA60F" w:rsidR="00686EAB" w:rsidRPr="00B55692" w:rsidRDefault="00686EAB" w:rsidP="00C153AE">
            <w:pPr>
              <w:pStyle w:val="BodyText"/>
              <w:ind w:left="0"/>
              <w:jc w:val="center"/>
              <w:rPr>
                <w:rFonts w:cs="Times New Roman"/>
                <w:b/>
                <w:bCs/>
                <w:sz w:val="20"/>
                <w:szCs w:val="20"/>
              </w:rPr>
            </w:pPr>
            <w:r w:rsidRPr="00B55692">
              <w:rPr>
                <w:rFonts w:cs="Times New Roman"/>
                <w:b/>
                <w:bCs/>
                <w:sz w:val="20"/>
                <w:szCs w:val="20"/>
              </w:rPr>
              <w:t>Pelvic pain</w:t>
            </w:r>
          </w:p>
        </w:tc>
        <w:tc>
          <w:tcPr>
            <w:tcW w:w="2403" w:type="dxa"/>
            <w:vAlign w:val="center"/>
          </w:tcPr>
          <w:p w14:paraId="0C755BDB" w14:textId="28BB7AFF" w:rsidR="00686EAB" w:rsidRPr="00B55692" w:rsidRDefault="00686EAB" w:rsidP="00C153AE">
            <w:pPr>
              <w:pStyle w:val="BodyText"/>
              <w:ind w:left="0"/>
              <w:jc w:val="center"/>
              <w:rPr>
                <w:rFonts w:cs="Times New Roman"/>
                <w:sz w:val="20"/>
                <w:szCs w:val="20"/>
              </w:rPr>
            </w:pPr>
            <w:r w:rsidRPr="00B55692">
              <w:rPr>
                <w:rFonts w:cs="Times New Roman"/>
                <w:sz w:val="20"/>
                <w:szCs w:val="20"/>
              </w:rPr>
              <w:t>13 (3.1)</w:t>
            </w:r>
          </w:p>
        </w:tc>
        <w:tc>
          <w:tcPr>
            <w:tcW w:w="2835" w:type="dxa"/>
            <w:vAlign w:val="center"/>
          </w:tcPr>
          <w:p w14:paraId="58990973" w14:textId="3B6A518B" w:rsidR="00686EAB" w:rsidRPr="00B55692" w:rsidRDefault="00686EAB" w:rsidP="00C153AE">
            <w:pPr>
              <w:pStyle w:val="BodyText"/>
              <w:ind w:left="0"/>
              <w:jc w:val="center"/>
              <w:rPr>
                <w:rFonts w:cs="Times New Roman"/>
                <w:sz w:val="20"/>
                <w:szCs w:val="20"/>
              </w:rPr>
            </w:pPr>
            <w:r w:rsidRPr="00B55692">
              <w:rPr>
                <w:rFonts w:cs="Times New Roman"/>
                <w:sz w:val="20"/>
                <w:szCs w:val="20"/>
              </w:rPr>
              <w:t>0 (0)</w:t>
            </w:r>
          </w:p>
        </w:tc>
      </w:tr>
      <w:tr w:rsidR="00686EAB" w:rsidRPr="00B55692" w14:paraId="60E5C1B1" w14:textId="020C725F" w:rsidTr="00686EAB">
        <w:tc>
          <w:tcPr>
            <w:tcW w:w="2412" w:type="dxa"/>
            <w:vAlign w:val="center"/>
          </w:tcPr>
          <w:p w14:paraId="0D52B2D3" w14:textId="78C71137" w:rsidR="00686EAB" w:rsidRPr="00B55692" w:rsidRDefault="00686EAB" w:rsidP="00C153AE">
            <w:pPr>
              <w:pStyle w:val="BodyText"/>
              <w:ind w:left="0"/>
              <w:jc w:val="center"/>
              <w:rPr>
                <w:rFonts w:cs="Times New Roman"/>
                <w:b/>
                <w:bCs/>
                <w:sz w:val="20"/>
                <w:szCs w:val="20"/>
              </w:rPr>
            </w:pPr>
            <w:r w:rsidRPr="00B55692">
              <w:rPr>
                <w:rFonts w:cs="Times New Roman"/>
                <w:b/>
                <w:bCs/>
                <w:sz w:val="20"/>
                <w:szCs w:val="20"/>
              </w:rPr>
              <w:t>Vaginal haemorrhage</w:t>
            </w:r>
          </w:p>
        </w:tc>
        <w:tc>
          <w:tcPr>
            <w:tcW w:w="2403" w:type="dxa"/>
            <w:vAlign w:val="center"/>
          </w:tcPr>
          <w:p w14:paraId="38A30439" w14:textId="07EC7560" w:rsidR="00686EAB" w:rsidRPr="00B55692" w:rsidRDefault="00686EAB" w:rsidP="00C153AE">
            <w:pPr>
              <w:pStyle w:val="BodyText"/>
              <w:ind w:left="0"/>
              <w:jc w:val="center"/>
              <w:rPr>
                <w:rFonts w:cs="Times New Roman"/>
                <w:sz w:val="20"/>
                <w:szCs w:val="20"/>
              </w:rPr>
            </w:pPr>
            <w:r w:rsidRPr="00B55692">
              <w:rPr>
                <w:rFonts w:cs="Times New Roman"/>
                <w:sz w:val="20"/>
                <w:szCs w:val="20"/>
              </w:rPr>
              <w:t>14 (3.4)</w:t>
            </w:r>
          </w:p>
        </w:tc>
        <w:tc>
          <w:tcPr>
            <w:tcW w:w="2835" w:type="dxa"/>
            <w:vAlign w:val="center"/>
          </w:tcPr>
          <w:p w14:paraId="328C6813" w14:textId="155FAA3C" w:rsidR="00686EAB" w:rsidRPr="00B55692" w:rsidRDefault="00686EAB" w:rsidP="00C153AE">
            <w:pPr>
              <w:pStyle w:val="BodyText"/>
              <w:ind w:left="0"/>
              <w:jc w:val="center"/>
              <w:rPr>
                <w:rFonts w:cs="Times New Roman"/>
                <w:sz w:val="20"/>
                <w:szCs w:val="20"/>
              </w:rPr>
            </w:pPr>
            <w:r w:rsidRPr="00B55692">
              <w:rPr>
                <w:rFonts w:cs="Times New Roman"/>
                <w:sz w:val="20"/>
                <w:szCs w:val="20"/>
              </w:rPr>
              <w:t>0 (0)</w:t>
            </w:r>
          </w:p>
        </w:tc>
      </w:tr>
      <w:tr w:rsidR="00686EAB" w:rsidRPr="00B55692" w14:paraId="6950487D" w14:textId="4F817845" w:rsidTr="00686EAB">
        <w:tc>
          <w:tcPr>
            <w:tcW w:w="2412" w:type="dxa"/>
            <w:vAlign w:val="center"/>
          </w:tcPr>
          <w:p w14:paraId="69448BF9" w14:textId="121288C8" w:rsidR="00686EAB" w:rsidRPr="00B55692" w:rsidRDefault="00686EAB" w:rsidP="00C153AE">
            <w:pPr>
              <w:pStyle w:val="BodyText"/>
              <w:ind w:left="0"/>
              <w:jc w:val="center"/>
              <w:rPr>
                <w:rFonts w:cs="Times New Roman"/>
                <w:b/>
                <w:bCs/>
                <w:sz w:val="20"/>
                <w:szCs w:val="20"/>
              </w:rPr>
            </w:pPr>
            <w:r w:rsidRPr="00B55692">
              <w:rPr>
                <w:rFonts w:cs="Times New Roman"/>
                <w:b/>
                <w:bCs/>
                <w:sz w:val="20"/>
                <w:szCs w:val="20"/>
              </w:rPr>
              <w:t>Vaginal discharge</w:t>
            </w:r>
          </w:p>
        </w:tc>
        <w:tc>
          <w:tcPr>
            <w:tcW w:w="2403" w:type="dxa"/>
            <w:vAlign w:val="center"/>
          </w:tcPr>
          <w:p w14:paraId="05BAC626" w14:textId="6C1610FC" w:rsidR="00686EAB" w:rsidRPr="00B55692" w:rsidRDefault="00686EAB" w:rsidP="00C153AE">
            <w:pPr>
              <w:pStyle w:val="BodyText"/>
              <w:ind w:left="0"/>
              <w:jc w:val="center"/>
              <w:rPr>
                <w:rFonts w:cs="Times New Roman"/>
                <w:sz w:val="20"/>
                <w:szCs w:val="20"/>
              </w:rPr>
            </w:pPr>
            <w:r w:rsidRPr="00B55692">
              <w:rPr>
                <w:rFonts w:cs="Times New Roman"/>
                <w:sz w:val="20"/>
                <w:szCs w:val="20"/>
              </w:rPr>
              <w:t>14 (3.4)</w:t>
            </w:r>
          </w:p>
        </w:tc>
        <w:tc>
          <w:tcPr>
            <w:tcW w:w="2835" w:type="dxa"/>
            <w:vAlign w:val="center"/>
          </w:tcPr>
          <w:p w14:paraId="34EFD7F8" w14:textId="25967375" w:rsidR="00686EAB" w:rsidRPr="00B55692" w:rsidRDefault="00686EAB" w:rsidP="00C153AE">
            <w:pPr>
              <w:pStyle w:val="BodyText"/>
              <w:ind w:left="0"/>
              <w:jc w:val="center"/>
              <w:rPr>
                <w:rFonts w:cs="Times New Roman"/>
                <w:sz w:val="20"/>
                <w:szCs w:val="20"/>
              </w:rPr>
            </w:pPr>
            <w:r w:rsidRPr="00B55692">
              <w:rPr>
                <w:rFonts w:cs="Times New Roman"/>
                <w:sz w:val="20"/>
                <w:szCs w:val="20"/>
              </w:rPr>
              <w:t>1 (0.7)</w:t>
            </w:r>
          </w:p>
        </w:tc>
      </w:tr>
    </w:tbl>
    <w:p w14:paraId="575E0BCD" w14:textId="77777777" w:rsidR="00686EAB" w:rsidRPr="002A3596" w:rsidRDefault="00686EAB" w:rsidP="00C153AE">
      <w:pPr>
        <w:pStyle w:val="tablelegends"/>
        <w:keepNext w:val="0"/>
      </w:pPr>
      <w:r w:rsidRPr="002A3596">
        <w:t>Source: TXC12-05 CSR, Table 43</w:t>
      </w:r>
    </w:p>
    <w:p w14:paraId="4DF7AAA3" w14:textId="77777777" w:rsidR="00686EAB" w:rsidRPr="002A3596" w:rsidRDefault="00686EAB" w:rsidP="00C153AE">
      <w:pPr>
        <w:pStyle w:val="tablelegends"/>
        <w:keepNext w:val="0"/>
      </w:pPr>
      <w:r w:rsidRPr="002A3596">
        <w:t>Abbreviations: E2 - 17β-</w:t>
      </w:r>
      <w:proofErr w:type="spellStart"/>
      <w:r w:rsidRPr="002A3596">
        <w:t>estradiol</w:t>
      </w:r>
      <w:proofErr w:type="spellEnd"/>
      <w:r w:rsidRPr="002A3596">
        <w:t>; P – progesterone</w:t>
      </w:r>
    </w:p>
    <w:p w14:paraId="0E928D92" w14:textId="43DF022F" w:rsidR="0013062A" w:rsidRPr="002D0BCA" w:rsidRDefault="00686EAB" w:rsidP="002D0BCA">
      <w:pPr>
        <w:pStyle w:val="Heading3"/>
      </w:pPr>
      <w:r w:rsidRPr="002D0BCA">
        <w:t>Tabulated List of Adverse Reactions</w:t>
      </w:r>
    </w:p>
    <w:p w14:paraId="7147964D" w14:textId="0A21F25F" w:rsidR="0013062A" w:rsidRPr="002A3596" w:rsidRDefault="00686EAB" w:rsidP="00686EAB">
      <w:pPr>
        <w:pStyle w:val="subheading4BOLD"/>
        <w:widowControl w:val="0"/>
      </w:pPr>
      <w:r w:rsidRPr="002A3596">
        <w:t>Clinical trial data</w:t>
      </w:r>
    </w:p>
    <w:p w14:paraId="0AE11656" w14:textId="64E4DD1E" w:rsidR="00686EAB" w:rsidRPr="002A3596" w:rsidRDefault="00686EAB" w:rsidP="00686EAB">
      <w:pPr>
        <w:pStyle w:val="BodyText"/>
        <w:widowControl w:val="0"/>
        <w:rPr>
          <w:u w:color="000000"/>
        </w:rPr>
      </w:pPr>
      <w:r w:rsidRPr="002A3596">
        <w:rPr>
          <w:u w:color="000000"/>
        </w:rPr>
        <w:t xml:space="preserve">The safety of </w:t>
      </w:r>
      <w:proofErr w:type="spellStart"/>
      <w:r w:rsidRPr="002A3596">
        <w:rPr>
          <w:u w:color="000000"/>
        </w:rPr>
        <w:t>estradiol</w:t>
      </w:r>
      <w:proofErr w:type="spellEnd"/>
      <w:r w:rsidRPr="002A3596">
        <w:rPr>
          <w:u w:color="000000"/>
        </w:rPr>
        <w:t xml:space="preserve"> and progesterone capsules was assessed in a 1-year, Phase 3 trial that included 1,835 postmenopausal women (1684 were treated with </w:t>
      </w:r>
      <w:proofErr w:type="spellStart"/>
      <w:r w:rsidRPr="002A3596">
        <w:rPr>
          <w:u w:color="000000"/>
        </w:rPr>
        <w:t>estradiol</w:t>
      </w:r>
      <w:proofErr w:type="spellEnd"/>
      <w:r w:rsidRPr="002A3596">
        <w:rPr>
          <w:u w:color="000000"/>
        </w:rPr>
        <w:t xml:space="preserve"> and progesterone capsules once daily and 151 women received placebo</w:t>
      </w:r>
      <w:r w:rsidR="005F38C2">
        <w:rPr>
          <w:u w:color="000000"/>
        </w:rPr>
        <w:t>)</w:t>
      </w:r>
      <w:r w:rsidRPr="002A3596">
        <w:rPr>
          <w:u w:color="000000"/>
        </w:rPr>
        <w:t xml:space="preserve">. Most women (~70%) in the active treatment groups were treated for ≥ 326 days. </w:t>
      </w:r>
    </w:p>
    <w:p w14:paraId="4955FB95" w14:textId="7BE7A133" w:rsidR="0013062A" w:rsidRPr="002A3596" w:rsidRDefault="00686EAB" w:rsidP="00686EAB">
      <w:pPr>
        <w:pStyle w:val="Caption"/>
        <w:widowControl w:val="0"/>
      </w:pPr>
      <w:r w:rsidRPr="002A3596">
        <w:t xml:space="preserve">Table </w:t>
      </w:r>
      <w:r w:rsidRPr="002A3596">
        <w:fldChar w:fldCharType="begin"/>
      </w:r>
      <w:r w:rsidRPr="002A3596">
        <w:instrText xml:space="preserve"> SEQ Table \* ARABIC </w:instrText>
      </w:r>
      <w:r w:rsidRPr="002A3596">
        <w:fldChar w:fldCharType="separate"/>
      </w:r>
      <w:r w:rsidR="00551C94">
        <w:rPr>
          <w:noProof/>
        </w:rPr>
        <w:t>2</w:t>
      </w:r>
      <w:r w:rsidRPr="002A3596">
        <w:fldChar w:fldCharType="end"/>
      </w:r>
      <w:r w:rsidR="00471E27">
        <w:t>:</w:t>
      </w:r>
      <w:r w:rsidRPr="002A3596">
        <w:t xml:space="preserve"> </w:t>
      </w:r>
      <w:r w:rsidRPr="002A3596">
        <w:tab/>
        <w:t xml:space="preserve">Details of the adverse reactions when taking </w:t>
      </w:r>
      <w:r w:rsidR="00250DF8">
        <w:t>BIJUVA 1/100</w:t>
      </w:r>
      <w:r w:rsidRPr="002A3596">
        <w:t>.</w:t>
      </w:r>
    </w:p>
    <w:tbl>
      <w:tblPr>
        <w:tblStyle w:val="TableGrid"/>
        <w:tblW w:w="0" w:type="auto"/>
        <w:tblLayout w:type="fixed"/>
        <w:tblLook w:val="04A0" w:firstRow="1" w:lastRow="0" w:firstColumn="1" w:lastColumn="0" w:noHBand="0" w:noVBand="1"/>
      </w:tblPr>
      <w:tblGrid>
        <w:gridCol w:w="1980"/>
        <w:gridCol w:w="1701"/>
        <w:gridCol w:w="1843"/>
        <w:gridCol w:w="2268"/>
        <w:gridCol w:w="1726"/>
      </w:tblGrid>
      <w:tr w:rsidR="000E7D3F" w:rsidRPr="002A3596" w14:paraId="7FE28482" w14:textId="77777777" w:rsidTr="000E7D3F">
        <w:trPr>
          <w:tblHeader/>
        </w:trPr>
        <w:tc>
          <w:tcPr>
            <w:tcW w:w="1980" w:type="dxa"/>
            <w:vAlign w:val="center"/>
          </w:tcPr>
          <w:p w14:paraId="120D3F38" w14:textId="30C7B6BC" w:rsidR="00686EAB" w:rsidRPr="002A3596" w:rsidRDefault="00686EAB" w:rsidP="000E7D3F">
            <w:pPr>
              <w:pStyle w:val="BodyText"/>
              <w:jc w:val="center"/>
              <w:rPr>
                <w:rFonts w:cs="Times New Roman"/>
                <w:b/>
                <w:bCs/>
                <w:sz w:val="20"/>
                <w:szCs w:val="20"/>
              </w:rPr>
            </w:pPr>
            <w:r w:rsidRPr="002A3596">
              <w:rPr>
                <w:rFonts w:cs="Times New Roman"/>
                <w:b/>
                <w:bCs/>
                <w:sz w:val="20"/>
                <w:szCs w:val="20"/>
              </w:rPr>
              <w:t>MedDRA</w:t>
            </w:r>
          </w:p>
          <w:p w14:paraId="213F10C7" w14:textId="77777777" w:rsidR="00686EAB" w:rsidRPr="002A3596" w:rsidRDefault="00686EAB" w:rsidP="000E7D3F">
            <w:pPr>
              <w:pStyle w:val="BodyText"/>
              <w:jc w:val="center"/>
              <w:rPr>
                <w:rFonts w:cs="Times New Roman"/>
                <w:b/>
                <w:bCs/>
                <w:sz w:val="20"/>
                <w:szCs w:val="20"/>
              </w:rPr>
            </w:pPr>
            <w:r w:rsidRPr="002A3596">
              <w:rPr>
                <w:rFonts w:cs="Times New Roman"/>
                <w:b/>
                <w:bCs/>
                <w:sz w:val="20"/>
                <w:szCs w:val="20"/>
              </w:rPr>
              <w:t>System Organ Class</w:t>
            </w:r>
          </w:p>
        </w:tc>
        <w:tc>
          <w:tcPr>
            <w:tcW w:w="1701" w:type="dxa"/>
            <w:vAlign w:val="center"/>
          </w:tcPr>
          <w:p w14:paraId="0B735612" w14:textId="77777777" w:rsidR="00686EAB" w:rsidRPr="002A3596" w:rsidRDefault="00686EAB" w:rsidP="000E7D3F">
            <w:pPr>
              <w:pStyle w:val="BodyText"/>
              <w:jc w:val="center"/>
              <w:rPr>
                <w:rFonts w:cs="Times New Roman"/>
                <w:b/>
                <w:bCs/>
                <w:sz w:val="20"/>
                <w:szCs w:val="20"/>
              </w:rPr>
            </w:pPr>
            <w:r w:rsidRPr="002A3596">
              <w:rPr>
                <w:rFonts w:cs="Times New Roman"/>
                <w:b/>
                <w:bCs/>
                <w:sz w:val="20"/>
                <w:szCs w:val="20"/>
              </w:rPr>
              <w:t>Very common</w:t>
            </w:r>
          </w:p>
          <w:p w14:paraId="62B9B7B8" w14:textId="77777777" w:rsidR="00686EAB" w:rsidRPr="002A3596" w:rsidRDefault="00686EAB" w:rsidP="000E7D3F">
            <w:pPr>
              <w:pStyle w:val="BodyText"/>
              <w:jc w:val="center"/>
              <w:rPr>
                <w:rFonts w:cs="Times New Roman"/>
                <w:b/>
                <w:bCs/>
                <w:sz w:val="20"/>
                <w:szCs w:val="20"/>
              </w:rPr>
            </w:pPr>
            <w:r w:rsidRPr="002A3596">
              <w:rPr>
                <w:rFonts w:cs="Times New Roman"/>
                <w:b/>
                <w:bCs/>
                <w:sz w:val="20"/>
                <w:szCs w:val="20"/>
              </w:rPr>
              <w:t>≥ 1/10</w:t>
            </w:r>
          </w:p>
        </w:tc>
        <w:tc>
          <w:tcPr>
            <w:tcW w:w="1843" w:type="dxa"/>
            <w:vAlign w:val="center"/>
          </w:tcPr>
          <w:p w14:paraId="09C9FD1E" w14:textId="77777777" w:rsidR="00686EAB" w:rsidRPr="002A3596" w:rsidRDefault="00686EAB" w:rsidP="000E7D3F">
            <w:pPr>
              <w:pStyle w:val="BodyText"/>
              <w:jc w:val="center"/>
              <w:rPr>
                <w:rFonts w:cs="Times New Roman"/>
                <w:b/>
                <w:bCs/>
                <w:sz w:val="20"/>
                <w:szCs w:val="20"/>
              </w:rPr>
            </w:pPr>
            <w:r w:rsidRPr="002A3596">
              <w:rPr>
                <w:rFonts w:cs="Times New Roman"/>
                <w:b/>
                <w:bCs/>
                <w:sz w:val="20"/>
                <w:szCs w:val="20"/>
              </w:rPr>
              <w:t>Common</w:t>
            </w:r>
          </w:p>
          <w:p w14:paraId="25001143" w14:textId="77777777" w:rsidR="00686EAB" w:rsidRPr="002A3596" w:rsidRDefault="00686EAB" w:rsidP="000E7D3F">
            <w:pPr>
              <w:pStyle w:val="BodyText"/>
              <w:jc w:val="center"/>
              <w:rPr>
                <w:rFonts w:cs="Times New Roman"/>
                <w:b/>
                <w:bCs/>
                <w:sz w:val="20"/>
                <w:szCs w:val="20"/>
              </w:rPr>
            </w:pPr>
            <w:r w:rsidRPr="002A3596">
              <w:rPr>
                <w:rFonts w:cs="Times New Roman"/>
                <w:b/>
                <w:bCs/>
                <w:sz w:val="20"/>
                <w:szCs w:val="20"/>
              </w:rPr>
              <w:t>≥ 1/100, &lt; 1/10</w:t>
            </w:r>
          </w:p>
        </w:tc>
        <w:tc>
          <w:tcPr>
            <w:tcW w:w="2268" w:type="dxa"/>
            <w:vAlign w:val="center"/>
          </w:tcPr>
          <w:p w14:paraId="0EA2F502" w14:textId="77777777" w:rsidR="00686EAB" w:rsidRPr="002A3596" w:rsidRDefault="00686EAB" w:rsidP="000E7D3F">
            <w:pPr>
              <w:pStyle w:val="BodyText"/>
              <w:jc w:val="center"/>
              <w:rPr>
                <w:rFonts w:cs="Times New Roman"/>
                <w:b/>
                <w:bCs/>
                <w:sz w:val="20"/>
                <w:szCs w:val="20"/>
              </w:rPr>
            </w:pPr>
            <w:r w:rsidRPr="002A3596">
              <w:rPr>
                <w:rFonts w:cs="Times New Roman"/>
                <w:b/>
                <w:bCs/>
                <w:sz w:val="20"/>
                <w:szCs w:val="20"/>
              </w:rPr>
              <w:t>Uncommon</w:t>
            </w:r>
          </w:p>
          <w:p w14:paraId="1C9E1403" w14:textId="2378600B" w:rsidR="00686EAB" w:rsidRPr="002A3596" w:rsidRDefault="00686EAB" w:rsidP="000E7D3F">
            <w:pPr>
              <w:pStyle w:val="BodyText"/>
              <w:jc w:val="center"/>
              <w:rPr>
                <w:rFonts w:cs="Times New Roman"/>
                <w:b/>
                <w:bCs/>
                <w:sz w:val="20"/>
                <w:szCs w:val="20"/>
              </w:rPr>
            </w:pPr>
            <w:r w:rsidRPr="002A3596">
              <w:rPr>
                <w:rFonts w:cs="Times New Roman"/>
                <w:b/>
                <w:bCs/>
                <w:sz w:val="20"/>
                <w:szCs w:val="20"/>
              </w:rPr>
              <w:t>≥ 1/1,000, &lt;</w:t>
            </w:r>
            <w:r w:rsidR="000E7D3F" w:rsidRPr="002A3596">
              <w:rPr>
                <w:rFonts w:cs="Times New Roman"/>
                <w:b/>
                <w:bCs/>
                <w:sz w:val="20"/>
                <w:szCs w:val="20"/>
              </w:rPr>
              <w:t> </w:t>
            </w:r>
            <w:r w:rsidRPr="002A3596">
              <w:rPr>
                <w:rFonts w:cs="Times New Roman"/>
                <w:b/>
                <w:bCs/>
                <w:sz w:val="20"/>
                <w:szCs w:val="20"/>
              </w:rPr>
              <w:t>1/100</w:t>
            </w:r>
          </w:p>
        </w:tc>
        <w:tc>
          <w:tcPr>
            <w:tcW w:w="1726" w:type="dxa"/>
            <w:vAlign w:val="center"/>
          </w:tcPr>
          <w:p w14:paraId="77727919" w14:textId="77777777" w:rsidR="00686EAB" w:rsidRPr="002A3596" w:rsidRDefault="00686EAB" w:rsidP="000E7D3F">
            <w:pPr>
              <w:pStyle w:val="BodyText"/>
              <w:jc w:val="center"/>
              <w:rPr>
                <w:rFonts w:cs="Times New Roman"/>
                <w:b/>
                <w:bCs/>
                <w:sz w:val="20"/>
                <w:szCs w:val="20"/>
              </w:rPr>
            </w:pPr>
            <w:r w:rsidRPr="002A3596">
              <w:rPr>
                <w:rFonts w:cs="Times New Roman"/>
                <w:b/>
                <w:bCs/>
                <w:sz w:val="20"/>
                <w:szCs w:val="20"/>
              </w:rPr>
              <w:t>Rare</w:t>
            </w:r>
          </w:p>
          <w:p w14:paraId="7D9CB541" w14:textId="6D1638C7" w:rsidR="00686EAB" w:rsidRPr="002A3596" w:rsidRDefault="00686EAB" w:rsidP="000E7D3F">
            <w:pPr>
              <w:pStyle w:val="BodyText"/>
              <w:jc w:val="center"/>
              <w:rPr>
                <w:rFonts w:cs="Times New Roman"/>
                <w:b/>
                <w:bCs/>
                <w:sz w:val="20"/>
                <w:szCs w:val="20"/>
              </w:rPr>
            </w:pPr>
            <w:r w:rsidRPr="002A3596">
              <w:rPr>
                <w:rFonts w:cs="Times New Roman"/>
                <w:b/>
                <w:bCs/>
                <w:sz w:val="20"/>
                <w:szCs w:val="20"/>
              </w:rPr>
              <w:t>≥ 1/10,000, &lt;</w:t>
            </w:r>
            <w:r w:rsidR="000E7D3F" w:rsidRPr="002A3596">
              <w:rPr>
                <w:rFonts w:cs="Times New Roman"/>
                <w:b/>
                <w:bCs/>
                <w:sz w:val="20"/>
                <w:szCs w:val="20"/>
              </w:rPr>
              <w:t> </w:t>
            </w:r>
            <w:r w:rsidRPr="002A3596">
              <w:rPr>
                <w:rFonts w:cs="Times New Roman"/>
                <w:b/>
                <w:bCs/>
                <w:sz w:val="20"/>
                <w:szCs w:val="20"/>
              </w:rPr>
              <w:t>1/1,000</w:t>
            </w:r>
          </w:p>
        </w:tc>
      </w:tr>
      <w:tr w:rsidR="000E7D3F" w:rsidRPr="002A3596" w14:paraId="77C060AB" w14:textId="77777777" w:rsidTr="00564193">
        <w:trPr>
          <w:trHeight w:val="895"/>
        </w:trPr>
        <w:tc>
          <w:tcPr>
            <w:tcW w:w="1980" w:type="dxa"/>
            <w:vAlign w:val="center"/>
          </w:tcPr>
          <w:p w14:paraId="30025FD8" w14:textId="77777777" w:rsidR="00686EAB" w:rsidRPr="002A3596" w:rsidRDefault="00686EAB" w:rsidP="000E7D3F">
            <w:pPr>
              <w:pStyle w:val="BodyText"/>
              <w:jc w:val="center"/>
              <w:rPr>
                <w:rFonts w:cs="Times New Roman"/>
                <w:sz w:val="20"/>
                <w:szCs w:val="20"/>
              </w:rPr>
            </w:pPr>
            <w:r w:rsidRPr="002A3596">
              <w:rPr>
                <w:rFonts w:cs="Times New Roman"/>
                <w:sz w:val="20"/>
                <w:szCs w:val="20"/>
              </w:rPr>
              <w:t>Blood and lymphatic system disorders</w:t>
            </w:r>
          </w:p>
        </w:tc>
        <w:tc>
          <w:tcPr>
            <w:tcW w:w="1701" w:type="dxa"/>
            <w:vAlign w:val="center"/>
          </w:tcPr>
          <w:p w14:paraId="6623BB9B" w14:textId="77777777" w:rsidR="00686EAB" w:rsidRPr="002A3596" w:rsidRDefault="00686EAB" w:rsidP="000E7D3F">
            <w:pPr>
              <w:pStyle w:val="BodyText"/>
              <w:jc w:val="center"/>
              <w:rPr>
                <w:rFonts w:cs="Times New Roman"/>
                <w:sz w:val="20"/>
                <w:szCs w:val="20"/>
              </w:rPr>
            </w:pPr>
          </w:p>
        </w:tc>
        <w:tc>
          <w:tcPr>
            <w:tcW w:w="1843" w:type="dxa"/>
            <w:vAlign w:val="center"/>
          </w:tcPr>
          <w:p w14:paraId="03E116DC" w14:textId="77777777" w:rsidR="00686EAB" w:rsidRPr="002A3596" w:rsidRDefault="00686EAB" w:rsidP="000E7D3F">
            <w:pPr>
              <w:pStyle w:val="BodyText"/>
              <w:jc w:val="center"/>
              <w:rPr>
                <w:rFonts w:cs="Times New Roman"/>
                <w:sz w:val="20"/>
                <w:szCs w:val="20"/>
              </w:rPr>
            </w:pPr>
          </w:p>
        </w:tc>
        <w:tc>
          <w:tcPr>
            <w:tcW w:w="2268" w:type="dxa"/>
            <w:vAlign w:val="center"/>
          </w:tcPr>
          <w:p w14:paraId="6D369876" w14:textId="78BA1A64" w:rsidR="00686EAB" w:rsidRPr="002A3596" w:rsidRDefault="00686EAB" w:rsidP="000E7D3F">
            <w:pPr>
              <w:pStyle w:val="BodyText"/>
              <w:jc w:val="center"/>
              <w:rPr>
                <w:rFonts w:cs="Times New Roman"/>
                <w:sz w:val="20"/>
                <w:szCs w:val="20"/>
              </w:rPr>
            </w:pPr>
            <w:r w:rsidRPr="002A3596">
              <w:rPr>
                <w:rFonts w:cs="Times New Roman"/>
                <w:sz w:val="20"/>
                <w:szCs w:val="20"/>
              </w:rPr>
              <w:t>Anaemia,</w:t>
            </w:r>
          </w:p>
        </w:tc>
        <w:tc>
          <w:tcPr>
            <w:tcW w:w="1726" w:type="dxa"/>
            <w:vAlign w:val="center"/>
          </w:tcPr>
          <w:p w14:paraId="6283DCF4" w14:textId="77777777" w:rsidR="00686EAB" w:rsidRPr="002A3596" w:rsidRDefault="00686EAB" w:rsidP="000E7D3F">
            <w:pPr>
              <w:pStyle w:val="BodyText"/>
              <w:jc w:val="center"/>
              <w:rPr>
                <w:rFonts w:cs="Times New Roman"/>
                <w:sz w:val="20"/>
                <w:szCs w:val="20"/>
              </w:rPr>
            </w:pPr>
          </w:p>
        </w:tc>
      </w:tr>
      <w:tr w:rsidR="000E7D3F" w:rsidRPr="002A3596" w14:paraId="060E2E01" w14:textId="77777777" w:rsidTr="000E7D3F">
        <w:tc>
          <w:tcPr>
            <w:tcW w:w="1980" w:type="dxa"/>
            <w:vAlign w:val="center"/>
          </w:tcPr>
          <w:p w14:paraId="2A496CC5" w14:textId="77777777" w:rsidR="00686EAB" w:rsidRPr="002A3596" w:rsidRDefault="00686EAB" w:rsidP="000E7D3F">
            <w:pPr>
              <w:pStyle w:val="BodyText"/>
              <w:jc w:val="center"/>
              <w:rPr>
                <w:rFonts w:cs="Times New Roman"/>
                <w:sz w:val="20"/>
                <w:szCs w:val="20"/>
              </w:rPr>
            </w:pPr>
            <w:r w:rsidRPr="002A3596">
              <w:rPr>
                <w:rFonts w:cs="Times New Roman"/>
                <w:sz w:val="20"/>
                <w:szCs w:val="20"/>
              </w:rPr>
              <w:t>Ear and labyrinth disorders</w:t>
            </w:r>
          </w:p>
        </w:tc>
        <w:tc>
          <w:tcPr>
            <w:tcW w:w="1701" w:type="dxa"/>
            <w:vAlign w:val="center"/>
          </w:tcPr>
          <w:p w14:paraId="5DDE83BA" w14:textId="77777777" w:rsidR="00686EAB" w:rsidRPr="002A3596" w:rsidRDefault="00686EAB" w:rsidP="000E7D3F">
            <w:pPr>
              <w:pStyle w:val="BodyText"/>
              <w:jc w:val="center"/>
              <w:rPr>
                <w:rFonts w:cs="Times New Roman"/>
                <w:sz w:val="20"/>
                <w:szCs w:val="20"/>
              </w:rPr>
            </w:pPr>
          </w:p>
        </w:tc>
        <w:tc>
          <w:tcPr>
            <w:tcW w:w="1843" w:type="dxa"/>
            <w:vAlign w:val="center"/>
          </w:tcPr>
          <w:p w14:paraId="3C705F52" w14:textId="77777777" w:rsidR="00686EAB" w:rsidRPr="002A3596" w:rsidRDefault="00686EAB" w:rsidP="000E7D3F">
            <w:pPr>
              <w:pStyle w:val="BodyText"/>
              <w:jc w:val="center"/>
              <w:rPr>
                <w:rFonts w:cs="Times New Roman"/>
                <w:sz w:val="20"/>
                <w:szCs w:val="20"/>
              </w:rPr>
            </w:pPr>
          </w:p>
        </w:tc>
        <w:tc>
          <w:tcPr>
            <w:tcW w:w="2268" w:type="dxa"/>
            <w:vAlign w:val="center"/>
          </w:tcPr>
          <w:p w14:paraId="3E05A415" w14:textId="77777777" w:rsidR="00686EAB" w:rsidRPr="002A3596" w:rsidRDefault="00686EAB" w:rsidP="000E7D3F">
            <w:pPr>
              <w:pStyle w:val="BodyText"/>
              <w:jc w:val="center"/>
              <w:rPr>
                <w:rFonts w:cs="Times New Roman"/>
                <w:sz w:val="20"/>
                <w:szCs w:val="20"/>
              </w:rPr>
            </w:pPr>
            <w:r w:rsidRPr="002A3596">
              <w:rPr>
                <w:rFonts w:cs="Times New Roman"/>
                <w:sz w:val="20"/>
                <w:szCs w:val="20"/>
              </w:rPr>
              <w:t>Vertigo</w:t>
            </w:r>
          </w:p>
        </w:tc>
        <w:tc>
          <w:tcPr>
            <w:tcW w:w="1726" w:type="dxa"/>
            <w:vAlign w:val="center"/>
          </w:tcPr>
          <w:p w14:paraId="7974848E" w14:textId="77777777" w:rsidR="00686EAB" w:rsidRPr="002A3596" w:rsidRDefault="00686EAB" w:rsidP="000E7D3F">
            <w:pPr>
              <w:pStyle w:val="BodyText"/>
              <w:jc w:val="center"/>
              <w:rPr>
                <w:rFonts w:cs="Times New Roman"/>
                <w:sz w:val="20"/>
                <w:szCs w:val="20"/>
              </w:rPr>
            </w:pPr>
          </w:p>
        </w:tc>
      </w:tr>
      <w:tr w:rsidR="000E7D3F" w:rsidRPr="002A3596" w14:paraId="2D392576" w14:textId="77777777" w:rsidTr="000E7D3F">
        <w:tc>
          <w:tcPr>
            <w:tcW w:w="1980" w:type="dxa"/>
            <w:vAlign w:val="center"/>
          </w:tcPr>
          <w:p w14:paraId="69079DEC" w14:textId="77777777" w:rsidR="00686EAB" w:rsidRPr="002A3596" w:rsidRDefault="00686EAB" w:rsidP="000E7D3F">
            <w:pPr>
              <w:pStyle w:val="BodyText"/>
              <w:jc w:val="center"/>
              <w:rPr>
                <w:rFonts w:cs="Times New Roman"/>
                <w:sz w:val="20"/>
                <w:szCs w:val="20"/>
              </w:rPr>
            </w:pPr>
            <w:r w:rsidRPr="002A3596">
              <w:rPr>
                <w:rFonts w:cs="Times New Roman"/>
                <w:sz w:val="20"/>
                <w:szCs w:val="20"/>
              </w:rPr>
              <w:lastRenderedPageBreak/>
              <w:t>Endocrine disorders</w:t>
            </w:r>
          </w:p>
        </w:tc>
        <w:tc>
          <w:tcPr>
            <w:tcW w:w="1701" w:type="dxa"/>
            <w:vAlign w:val="center"/>
          </w:tcPr>
          <w:p w14:paraId="64426476" w14:textId="77777777" w:rsidR="00686EAB" w:rsidRPr="002A3596" w:rsidRDefault="00686EAB" w:rsidP="000E7D3F">
            <w:pPr>
              <w:pStyle w:val="BodyText"/>
              <w:jc w:val="center"/>
              <w:rPr>
                <w:rFonts w:cs="Times New Roman"/>
                <w:sz w:val="20"/>
                <w:szCs w:val="20"/>
              </w:rPr>
            </w:pPr>
          </w:p>
        </w:tc>
        <w:tc>
          <w:tcPr>
            <w:tcW w:w="1843" w:type="dxa"/>
            <w:vAlign w:val="center"/>
          </w:tcPr>
          <w:p w14:paraId="6214FB20" w14:textId="77777777" w:rsidR="00686EAB" w:rsidRPr="002A3596" w:rsidRDefault="00686EAB" w:rsidP="000E7D3F">
            <w:pPr>
              <w:pStyle w:val="BodyText"/>
              <w:jc w:val="center"/>
              <w:rPr>
                <w:rFonts w:cs="Times New Roman"/>
                <w:sz w:val="20"/>
                <w:szCs w:val="20"/>
              </w:rPr>
            </w:pPr>
          </w:p>
        </w:tc>
        <w:tc>
          <w:tcPr>
            <w:tcW w:w="2268" w:type="dxa"/>
            <w:vAlign w:val="center"/>
          </w:tcPr>
          <w:p w14:paraId="59F2E8EB" w14:textId="77777777" w:rsidR="00686EAB" w:rsidRPr="002A3596" w:rsidRDefault="00686EAB" w:rsidP="000E7D3F">
            <w:pPr>
              <w:pStyle w:val="BodyText"/>
              <w:jc w:val="center"/>
              <w:rPr>
                <w:rFonts w:cs="Times New Roman"/>
                <w:sz w:val="20"/>
                <w:szCs w:val="20"/>
              </w:rPr>
            </w:pPr>
            <w:r w:rsidRPr="002A3596">
              <w:rPr>
                <w:rFonts w:cs="Times New Roman"/>
                <w:sz w:val="20"/>
                <w:szCs w:val="20"/>
              </w:rPr>
              <w:t>Hirsutism</w:t>
            </w:r>
          </w:p>
        </w:tc>
        <w:tc>
          <w:tcPr>
            <w:tcW w:w="1726" w:type="dxa"/>
            <w:vAlign w:val="center"/>
          </w:tcPr>
          <w:p w14:paraId="56DE6798" w14:textId="77777777" w:rsidR="00686EAB" w:rsidRPr="002A3596" w:rsidRDefault="00686EAB" w:rsidP="000E7D3F">
            <w:pPr>
              <w:pStyle w:val="BodyText"/>
              <w:jc w:val="center"/>
              <w:rPr>
                <w:rFonts w:cs="Times New Roman"/>
                <w:sz w:val="20"/>
                <w:szCs w:val="20"/>
              </w:rPr>
            </w:pPr>
          </w:p>
        </w:tc>
      </w:tr>
      <w:tr w:rsidR="000E7D3F" w:rsidRPr="002A3596" w14:paraId="2476DA13" w14:textId="77777777" w:rsidTr="000E7D3F">
        <w:tc>
          <w:tcPr>
            <w:tcW w:w="1980" w:type="dxa"/>
            <w:vAlign w:val="center"/>
          </w:tcPr>
          <w:p w14:paraId="045EE149" w14:textId="77777777" w:rsidR="00686EAB" w:rsidRPr="002A3596" w:rsidRDefault="00686EAB" w:rsidP="000E7D3F">
            <w:pPr>
              <w:pStyle w:val="BodyText"/>
              <w:jc w:val="center"/>
              <w:rPr>
                <w:rFonts w:cs="Times New Roman"/>
                <w:sz w:val="20"/>
                <w:szCs w:val="20"/>
              </w:rPr>
            </w:pPr>
            <w:r w:rsidRPr="002A3596">
              <w:rPr>
                <w:rFonts w:cs="Times New Roman"/>
                <w:sz w:val="20"/>
                <w:szCs w:val="20"/>
              </w:rPr>
              <w:t>Eye disorders</w:t>
            </w:r>
          </w:p>
        </w:tc>
        <w:tc>
          <w:tcPr>
            <w:tcW w:w="1701" w:type="dxa"/>
            <w:vAlign w:val="center"/>
          </w:tcPr>
          <w:p w14:paraId="46F55096" w14:textId="77777777" w:rsidR="00686EAB" w:rsidRPr="002A3596" w:rsidRDefault="00686EAB" w:rsidP="000E7D3F">
            <w:pPr>
              <w:pStyle w:val="BodyText"/>
              <w:jc w:val="center"/>
              <w:rPr>
                <w:rFonts w:cs="Times New Roman"/>
                <w:sz w:val="20"/>
                <w:szCs w:val="20"/>
              </w:rPr>
            </w:pPr>
          </w:p>
        </w:tc>
        <w:tc>
          <w:tcPr>
            <w:tcW w:w="1843" w:type="dxa"/>
            <w:vAlign w:val="center"/>
          </w:tcPr>
          <w:p w14:paraId="4C2164A1" w14:textId="77777777" w:rsidR="00686EAB" w:rsidRPr="002A3596" w:rsidRDefault="00686EAB" w:rsidP="000E7D3F">
            <w:pPr>
              <w:pStyle w:val="BodyText"/>
              <w:jc w:val="center"/>
              <w:rPr>
                <w:rFonts w:cs="Times New Roman"/>
                <w:sz w:val="20"/>
                <w:szCs w:val="20"/>
              </w:rPr>
            </w:pPr>
          </w:p>
        </w:tc>
        <w:tc>
          <w:tcPr>
            <w:tcW w:w="2268" w:type="dxa"/>
            <w:vAlign w:val="center"/>
          </w:tcPr>
          <w:p w14:paraId="381E6209" w14:textId="77777777" w:rsidR="00686EAB" w:rsidRPr="002A3596" w:rsidRDefault="00686EAB" w:rsidP="000E7D3F">
            <w:pPr>
              <w:pStyle w:val="BodyText"/>
              <w:jc w:val="center"/>
              <w:rPr>
                <w:rFonts w:cs="Times New Roman"/>
                <w:sz w:val="20"/>
                <w:szCs w:val="20"/>
              </w:rPr>
            </w:pPr>
            <w:r w:rsidRPr="002A3596">
              <w:rPr>
                <w:rFonts w:cs="Times New Roman"/>
                <w:sz w:val="20"/>
                <w:szCs w:val="20"/>
              </w:rPr>
              <w:t>Visual impairment</w:t>
            </w:r>
          </w:p>
        </w:tc>
        <w:tc>
          <w:tcPr>
            <w:tcW w:w="1726" w:type="dxa"/>
            <w:vAlign w:val="center"/>
          </w:tcPr>
          <w:p w14:paraId="00A3BC2E" w14:textId="77777777" w:rsidR="00686EAB" w:rsidRPr="002A3596" w:rsidRDefault="00686EAB" w:rsidP="000E7D3F">
            <w:pPr>
              <w:pStyle w:val="BodyText"/>
              <w:jc w:val="center"/>
              <w:rPr>
                <w:rFonts w:cs="Times New Roman"/>
                <w:sz w:val="20"/>
                <w:szCs w:val="20"/>
              </w:rPr>
            </w:pPr>
          </w:p>
        </w:tc>
      </w:tr>
      <w:tr w:rsidR="000E7D3F" w:rsidRPr="002A3596" w14:paraId="45DBB496" w14:textId="77777777" w:rsidTr="000E7D3F">
        <w:tc>
          <w:tcPr>
            <w:tcW w:w="1980" w:type="dxa"/>
            <w:vAlign w:val="center"/>
          </w:tcPr>
          <w:p w14:paraId="7E98C891" w14:textId="77777777" w:rsidR="00686EAB" w:rsidRPr="002A3596" w:rsidRDefault="00686EAB" w:rsidP="000E7D3F">
            <w:pPr>
              <w:pStyle w:val="BodyText"/>
              <w:jc w:val="center"/>
              <w:rPr>
                <w:rFonts w:cs="Times New Roman"/>
                <w:sz w:val="20"/>
                <w:szCs w:val="20"/>
              </w:rPr>
            </w:pPr>
            <w:r w:rsidRPr="002A3596">
              <w:rPr>
                <w:rFonts w:cs="Times New Roman"/>
                <w:sz w:val="20"/>
                <w:szCs w:val="20"/>
              </w:rPr>
              <w:t>Gastrointestinal disorders</w:t>
            </w:r>
          </w:p>
        </w:tc>
        <w:tc>
          <w:tcPr>
            <w:tcW w:w="1701" w:type="dxa"/>
            <w:vAlign w:val="center"/>
          </w:tcPr>
          <w:p w14:paraId="46535AD3" w14:textId="77777777" w:rsidR="00686EAB" w:rsidRPr="002A3596" w:rsidRDefault="00686EAB" w:rsidP="000E7D3F">
            <w:pPr>
              <w:pStyle w:val="BodyText"/>
              <w:jc w:val="center"/>
              <w:rPr>
                <w:rFonts w:cs="Times New Roman"/>
                <w:sz w:val="20"/>
                <w:szCs w:val="20"/>
              </w:rPr>
            </w:pPr>
          </w:p>
        </w:tc>
        <w:tc>
          <w:tcPr>
            <w:tcW w:w="1843" w:type="dxa"/>
            <w:vAlign w:val="center"/>
          </w:tcPr>
          <w:p w14:paraId="74EC4765" w14:textId="701809A9" w:rsidR="00686EAB" w:rsidRPr="002A3596" w:rsidRDefault="00686EAB" w:rsidP="000E7D3F">
            <w:pPr>
              <w:pStyle w:val="BodyText"/>
              <w:jc w:val="center"/>
              <w:rPr>
                <w:rFonts w:cs="Times New Roman"/>
                <w:sz w:val="20"/>
                <w:szCs w:val="20"/>
              </w:rPr>
            </w:pPr>
            <w:r w:rsidRPr="002A3596">
              <w:rPr>
                <w:rFonts w:cs="Times New Roman"/>
                <w:sz w:val="20"/>
                <w:szCs w:val="20"/>
              </w:rPr>
              <w:t>Abdominal distension, Abdominal pain, Nausea</w:t>
            </w:r>
          </w:p>
        </w:tc>
        <w:tc>
          <w:tcPr>
            <w:tcW w:w="2268" w:type="dxa"/>
            <w:vAlign w:val="center"/>
          </w:tcPr>
          <w:p w14:paraId="277BEE7F" w14:textId="77777777" w:rsidR="00686EAB" w:rsidRPr="002A3596" w:rsidRDefault="00686EAB" w:rsidP="000E7D3F">
            <w:pPr>
              <w:pStyle w:val="BodyText"/>
              <w:jc w:val="center"/>
              <w:rPr>
                <w:rFonts w:cs="Times New Roman"/>
                <w:sz w:val="20"/>
                <w:szCs w:val="20"/>
              </w:rPr>
            </w:pPr>
            <w:r w:rsidRPr="002A3596">
              <w:rPr>
                <w:rFonts w:cs="Times New Roman"/>
                <w:sz w:val="20"/>
                <w:szCs w:val="20"/>
              </w:rPr>
              <w:t>Abdominal discomfort, abdominal tenderness, Constipation, diarrhea, Dyspepsia, Hyperphagia, Dry mouth, oral discomfort, Vomiting, Dysgeusia, Flatulence</w:t>
            </w:r>
          </w:p>
          <w:p w14:paraId="58793AE7" w14:textId="77777777" w:rsidR="00686EAB" w:rsidRPr="002A3596" w:rsidRDefault="00686EAB" w:rsidP="000E7D3F">
            <w:pPr>
              <w:pStyle w:val="BodyText"/>
              <w:jc w:val="center"/>
              <w:rPr>
                <w:rFonts w:cs="Times New Roman"/>
                <w:sz w:val="20"/>
                <w:szCs w:val="20"/>
              </w:rPr>
            </w:pPr>
            <w:r w:rsidRPr="002A3596">
              <w:rPr>
                <w:rFonts w:cs="Times New Roman"/>
                <w:sz w:val="20"/>
                <w:szCs w:val="20"/>
              </w:rPr>
              <w:t>Pancreatitis acute</w:t>
            </w:r>
          </w:p>
        </w:tc>
        <w:tc>
          <w:tcPr>
            <w:tcW w:w="1726" w:type="dxa"/>
            <w:vAlign w:val="center"/>
          </w:tcPr>
          <w:p w14:paraId="3DD595AC" w14:textId="77777777" w:rsidR="00686EAB" w:rsidRPr="002A3596" w:rsidRDefault="00686EAB" w:rsidP="000E7D3F">
            <w:pPr>
              <w:pStyle w:val="BodyText"/>
              <w:jc w:val="center"/>
              <w:rPr>
                <w:rFonts w:cs="Times New Roman"/>
                <w:sz w:val="20"/>
                <w:szCs w:val="20"/>
              </w:rPr>
            </w:pPr>
          </w:p>
        </w:tc>
      </w:tr>
      <w:tr w:rsidR="000E7D3F" w:rsidRPr="002A3596" w14:paraId="63B69EF6" w14:textId="77777777" w:rsidTr="000E7D3F">
        <w:tc>
          <w:tcPr>
            <w:tcW w:w="1980" w:type="dxa"/>
            <w:vAlign w:val="center"/>
          </w:tcPr>
          <w:p w14:paraId="18ABB4D0" w14:textId="77777777" w:rsidR="00686EAB" w:rsidRPr="002A3596" w:rsidRDefault="00686EAB" w:rsidP="000E7D3F">
            <w:pPr>
              <w:pStyle w:val="BodyText"/>
              <w:jc w:val="center"/>
              <w:rPr>
                <w:rFonts w:cs="Times New Roman"/>
                <w:sz w:val="20"/>
                <w:szCs w:val="20"/>
              </w:rPr>
            </w:pPr>
            <w:r w:rsidRPr="002A3596">
              <w:rPr>
                <w:rFonts w:cs="Times New Roman"/>
                <w:sz w:val="20"/>
                <w:szCs w:val="20"/>
              </w:rPr>
              <w:t>General disorders and administration site conditions</w:t>
            </w:r>
          </w:p>
        </w:tc>
        <w:tc>
          <w:tcPr>
            <w:tcW w:w="1701" w:type="dxa"/>
            <w:vAlign w:val="center"/>
          </w:tcPr>
          <w:p w14:paraId="0E444CA2" w14:textId="77777777" w:rsidR="00686EAB" w:rsidRPr="002A3596" w:rsidRDefault="00686EAB" w:rsidP="000E7D3F">
            <w:pPr>
              <w:pStyle w:val="BodyText"/>
              <w:jc w:val="center"/>
              <w:rPr>
                <w:rFonts w:cs="Times New Roman"/>
                <w:sz w:val="20"/>
                <w:szCs w:val="20"/>
              </w:rPr>
            </w:pPr>
          </w:p>
        </w:tc>
        <w:tc>
          <w:tcPr>
            <w:tcW w:w="1843" w:type="dxa"/>
            <w:vAlign w:val="center"/>
          </w:tcPr>
          <w:p w14:paraId="6D3C97C0" w14:textId="77777777" w:rsidR="00686EAB" w:rsidRPr="002A3596" w:rsidRDefault="00686EAB" w:rsidP="000E7D3F">
            <w:pPr>
              <w:pStyle w:val="BodyText"/>
              <w:jc w:val="center"/>
              <w:rPr>
                <w:rFonts w:cs="Times New Roman"/>
                <w:sz w:val="20"/>
                <w:szCs w:val="20"/>
              </w:rPr>
            </w:pPr>
            <w:r w:rsidRPr="002A3596">
              <w:rPr>
                <w:rFonts w:cs="Times New Roman"/>
                <w:sz w:val="20"/>
                <w:szCs w:val="20"/>
              </w:rPr>
              <w:t>Fatigue</w:t>
            </w:r>
          </w:p>
        </w:tc>
        <w:tc>
          <w:tcPr>
            <w:tcW w:w="2268" w:type="dxa"/>
            <w:vAlign w:val="center"/>
          </w:tcPr>
          <w:p w14:paraId="489683BB" w14:textId="77777777" w:rsidR="00686EAB" w:rsidRPr="002A3596" w:rsidRDefault="00686EAB" w:rsidP="000E7D3F">
            <w:pPr>
              <w:pStyle w:val="BodyText"/>
              <w:jc w:val="center"/>
              <w:rPr>
                <w:rFonts w:cs="Times New Roman"/>
                <w:sz w:val="20"/>
                <w:szCs w:val="20"/>
              </w:rPr>
            </w:pPr>
            <w:r w:rsidRPr="002A3596">
              <w:rPr>
                <w:rFonts w:cs="Times New Roman"/>
                <w:sz w:val="20"/>
                <w:szCs w:val="20"/>
              </w:rPr>
              <w:t>Chills</w:t>
            </w:r>
          </w:p>
        </w:tc>
        <w:tc>
          <w:tcPr>
            <w:tcW w:w="1726" w:type="dxa"/>
            <w:vAlign w:val="center"/>
          </w:tcPr>
          <w:p w14:paraId="514874D3" w14:textId="77777777" w:rsidR="00686EAB" w:rsidRPr="002A3596" w:rsidRDefault="00686EAB" w:rsidP="000E7D3F">
            <w:pPr>
              <w:pStyle w:val="BodyText"/>
              <w:jc w:val="center"/>
              <w:rPr>
                <w:rFonts w:cs="Times New Roman"/>
                <w:sz w:val="20"/>
                <w:szCs w:val="20"/>
              </w:rPr>
            </w:pPr>
          </w:p>
        </w:tc>
      </w:tr>
      <w:tr w:rsidR="000E7D3F" w:rsidRPr="002A3596" w14:paraId="618A1620" w14:textId="77777777" w:rsidTr="000E7D3F">
        <w:tc>
          <w:tcPr>
            <w:tcW w:w="1980" w:type="dxa"/>
            <w:vAlign w:val="center"/>
          </w:tcPr>
          <w:p w14:paraId="6FFD3B2D" w14:textId="77777777" w:rsidR="00686EAB" w:rsidRPr="002A3596" w:rsidRDefault="00686EAB" w:rsidP="000E7D3F">
            <w:pPr>
              <w:pStyle w:val="BodyText"/>
              <w:jc w:val="center"/>
              <w:rPr>
                <w:rFonts w:cs="Times New Roman"/>
                <w:sz w:val="20"/>
                <w:szCs w:val="20"/>
              </w:rPr>
            </w:pPr>
            <w:r w:rsidRPr="002A3596">
              <w:rPr>
                <w:rFonts w:cs="Times New Roman"/>
                <w:sz w:val="20"/>
                <w:szCs w:val="20"/>
              </w:rPr>
              <w:t>Immune system disorders</w:t>
            </w:r>
          </w:p>
        </w:tc>
        <w:tc>
          <w:tcPr>
            <w:tcW w:w="1701" w:type="dxa"/>
            <w:vAlign w:val="center"/>
          </w:tcPr>
          <w:p w14:paraId="60D41832" w14:textId="77777777" w:rsidR="00686EAB" w:rsidRPr="002A3596" w:rsidRDefault="00686EAB" w:rsidP="000E7D3F">
            <w:pPr>
              <w:pStyle w:val="BodyText"/>
              <w:jc w:val="center"/>
              <w:rPr>
                <w:rFonts w:cs="Times New Roman"/>
                <w:sz w:val="20"/>
                <w:szCs w:val="20"/>
              </w:rPr>
            </w:pPr>
          </w:p>
        </w:tc>
        <w:tc>
          <w:tcPr>
            <w:tcW w:w="1843" w:type="dxa"/>
            <w:vAlign w:val="center"/>
          </w:tcPr>
          <w:p w14:paraId="43B110E7" w14:textId="77777777" w:rsidR="00686EAB" w:rsidRPr="002A3596" w:rsidRDefault="00686EAB" w:rsidP="000E7D3F">
            <w:pPr>
              <w:pStyle w:val="BodyText"/>
              <w:jc w:val="center"/>
              <w:rPr>
                <w:rFonts w:cs="Times New Roman"/>
                <w:sz w:val="20"/>
                <w:szCs w:val="20"/>
              </w:rPr>
            </w:pPr>
          </w:p>
        </w:tc>
        <w:tc>
          <w:tcPr>
            <w:tcW w:w="2268" w:type="dxa"/>
            <w:vAlign w:val="center"/>
          </w:tcPr>
          <w:p w14:paraId="7AE2467B" w14:textId="77777777" w:rsidR="00686EAB" w:rsidRPr="002A3596" w:rsidRDefault="00686EAB" w:rsidP="000E7D3F">
            <w:pPr>
              <w:pStyle w:val="BodyText"/>
              <w:jc w:val="center"/>
              <w:rPr>
                <w:rFonts w:cs="Times New Roman"/>
                <w:sz w:val="20"/>
                <w:szCs w:val="20"/>
              </w:rPr>
            </w:pPr>
            <w:r w:rsidRPr="002A3596">
              <w:rPr>
                <w:rFonts w:cs="Times New Roman"/>
                <w:sz w:val="20"/>
                <w:szCs w:val="20"/>
              </w:rPr>
              <w:t>Hypersensitivity</w:t>
            </w:r>
          </w:p>
        </w:tc>
        <w:tc>
          <w:tcPr>
            <w:tcW w:w="1726" w:type="dxa"/>
            <w:vAlign w:val="center"/>
          </w:tcPr>
          <w:p w14:paraId="55B6D159" w14:textId="77777777" w:rsidR="00686EAB" w:rsidRPr="002A3596" w:rsidRDefault="00686EAB" w:rsidP="000E7D3F">
            <w:pPr>
              <w:pStyle w:val="BodyText"/>
              <w:jc w:val="center"/>
              <w:rPr>
                <w:rFonts w:cs="Times New Roman"/>
                <w:sz w:val="20"/>
                <w:szCs w:val="20"/>
              </w:rPr>
            </w:pPr>
          </w:p>
        </w:tc>
      </w:tr>
      <w:tr w:rsidR="000E7D3F" w:rsidRPr="002A3596" w14:paraId="70411305" w14:textId="77777777" w:rsidTr="00E91DDA">
        <w:trPr>
          <w:trHeight w:val="2221"/>
        </w:trPr>
        <w:tc>
          <w:tcPr>
            <w:tcW w:w="1980" w:type="dxa"/>
            <w:vAlign w:val="center"/>
          </w:tcPr>
          <w:p w14:paraId="097FBED1" w14:textId="77777777" w:rsidR="00686EAB" w:rsidRPr="002A3596" w:rsidRDefault="00686EAB" w:rsidP="000E7D3F">
            <w:pPr>
              <w:pStyle w:val="BodyText"/>
              <w:jc w:val="center"/>
              <w:rPr>
                <w:rFonts w:cs="Times New Roman"/>
                <w:sz w:val="20"/>
                <w:szCs w:val="20"/>
              </w:rPr>
            </w:pPr>
            <w:r w:rsidRPr="002A3596">
              <w:rPr>
                <w:rFonts w:cs="Times New Roman"/>
                <w:sz w:val="20"/>
                <w:szCs w:val="20"/>
              </w:rPr>
              <w:t>Infections and infestations</w:t>
            </w:r>
          </w:p>
        </w:tc>
        <w:tc>
          <w:tcPr>
            <w:tcW w:w="1701" w:type="dxa"/>
            <w:vAlign w:val="center"/>
          </w:tcPr>
          <w:p w14:paraId="04C80EB4" w14:textId="77777777" w:rsidR="00686EAB" w:rsidRPr="002A3596" w:rsidRDefault="00686EAB" w:rsidP="000E7D3F">
            <w:pPr>
              <w:pStyle w:val="BodyText"/>
              <w:jc w:val="center"/>
              <w:rPr>
                <w:rFonts w:cs="Times New Roman"/>
                <w:sz w:val="20"/>
                <w:szCs w:val="20"/>
              </w:rPr>
            </w:pPr>
          </w:p>
        </w:tc>
        <w:tc>
          <w:tcPr>
            <w:tcW w:w="1843" w:type="dxa"/>
            <w:vAlign w:val="center"/>
          </w:tcPr>
          <w:p w14:paraId="09E8BA67" w14:textId="77777777" w:rsidR="00686EAB" w:rsidRPr="002A3596" w:rsidRDefault="00686EAB" w:rsidP="000E7D3F">
            <w:pPr>
              <w:pStyle w:val="BodyText"/>
              <w:jc w:val="center"/>
              <w:rPr>
                <w:rFonts w:cs="Times New Roman"/>
                <w:sz w:val="20"/>
                <w:szCs w:val="20"/>
              </w:rPr>
            </w:pPr>
          </w:p>
        </w:tc>
        <w:tc>
          <w:tcPr>
            <w:tcW w:w="2268" w:type="dxa"/>
            <w:vAlign w:val="center"/>
          </w:tcPr>
          <w:p w14:paraId="4043BEEF" w14:textId="77777777" w:rsidR="00686EAB" w:rsidRPr="002A3596" w:rsidRDefault="00686EAB" w:rsidP="000E7D3F">
            <w:pPr>
              <w:pStyle w:val="BodyText"/>
              <w:jc w:val="center"/>
              <w:rPr>
                <w:rFonts w:cs="Times New Roman"/>
                <w:sz w:val="20"/>
                <w:szCs w:val="20"/>
              </w:rPr>
            </w:pPr>
            <w:r w:rsidRPr="002A3596">
              <w:rPr>
                <w:rFonts w:cs="Times New Roman"/>
                <w:sz w:val="20"/>
                <w:szCs w:val="20"/>
              </w:rPr>
              <w:t>Gastroenteritis, Furuncle, Vaginal infection, Vulvovaginal candidiasis, Vulvovaginal mycotic infection, Otitis media acute</w:t>
            </w:r>
          </w:p>
        </w:tc>
        <w:tc>
          <w:tcPr>
            <w:tcW w:w="1726" w:type="dxa"/>
            <w:vAlign w:val="center"/>
          </w:tcPr>
          <w:p w14:paraId="0200B58A" w14:textId="77777777" w:rsidR="00686EAB" w:rsidRPr="002A3596" w:rsidRDefault="00686EAB" w:rsidP="000E7D3F">
            <w:pPr>
              <w:pStyle w:val="BodyText"/>
              <w:jc w:val="center"/>
              <w:rPr>
                <w:rFonts w:cs="Times New Roman"/>
                <w:sz w:val="20"/>
                <w:szCs w:val="20"/>
              </w:rPr>
            </w:pPr>
          </w:p>
        </w:tc>
      </w:tr>
      <w:tr w:rsidR="000E7D3F" w:rsidRPr="002A3596" w14:paraId="52012701" w14:textId="77777777" w:rsidTr="000E7D3F">
        <w:tc>
          <w:tcPr>
            <w:tcW w:w="1980" w:type="dxa"/>
            <w:vAlign w:val="center"/>
          </w:tcPr>
          <w:p w14:paraId="0B83A740" w14:textId="77777777" w:rsidR="00686EAB" w:rsidRPr="002A3596" w:rsidRDefault="00686EAB" w:rsidP="000E7D3F">
            <w:pPr>
              <w:pStyle w:val="BodyText"/>
              <w:jc w:val="center"/>
              <w:rPr>
                <w:rFonts w:cs="Times New Roman"/>
                <w:sz w:val="20"/>
                <w:szCs w:val="20"/>
              </w:rPr>
            </w:pPr>
            <w:r w:rsidRPr="002A3596">
              <w:rPr>
                <w:rFonts w:cs="Times New Roman"/>
                <w:sz w:val="20"/>
                <w:szCs w:val="20"/>
              </w:rPr>
              <w:t>Investigations</w:t>
            </w:r>
          </w:p>
        </w:tc>
        <w:tc>
          <w:tcPr>
            <w:tcW w:w="1701" w:type="dxa"/>
            <w:vAlign w:val="center"/>
          </w:tcPr>
          <w:p w14:paraId="54B3F32D" w14:textId="77777777" w:rsidR="00686EAB" w:rsidRPr="002A3596" w:rsidRDefault="00686EAB" w:rsidP="000E7D3F">
            <w:pPr>
              <w:pStyle w:val="BodyText"/>
              <w:jc w:val="center"/>
              <w:rPr>
                <w:rFonts w:cs="Times New Roman"/>
                <w:sz w:val="20"/>
                <w:szCs w:val="20"/>
              </w:rPr>
            </w:pPr>
          </w:p>
        </w:tc>
        <w:tc>
          <w:tcPr>
            <w:tcW w:w="1843" w:type="dxa"/>
            <w:vAlign w:val="center"/>
          </w:tcPr>
          <w:p w14:paraId="1684F6A4" w14:textId="77777777" w:rsidR="00686EAB" w:rsidRPr="002A3596" w:rsidRDefault="00686EAB" w:rsidP="000E7D3F">
            <w:pPr>
              <w:pStyle w:val="BodyText"/>
              <w:jc w:val="center"/>
              <w:rPr>
                <w:rFonts w:cs="Times New Roman"/>
                <w:sz w:val="20"/>
                <w:szCs w:val="20"/>
              </w:rPr>
            </w:pPr>
            <w:r w:rsidRPr="002A3596">
              <w:rPr>
                <w:rFonts w:cs="Times New Roman"/>
                <w:sz w:val="20"/>
                <w:szCs w:val="20"/>
              </w:rPr>
              <w:t>Weight increased</w:t>
            </w:r>
          </w:p>
        </w:tc>
        <w:tc>
          <w:tcPr>
            <w:tcW w:w="2268" w:type="dxa"/>
            <w:vAlign w:val="center"/>
          </w:tcPr>
          <w:p w14:paraId="49B5AA83" w14:textId="77777777" w:rsidR="00E91DDA" w:rsidRDefault="00686EAB" w:rsidP="000E7D3F">
            <w:pPr>
              <w:pStyle w:val="BodyText"/>
              <w:jc w:val="center"/>
              <w:rPr>
                <w:rFonts w:cs="Times New Roman"/>
                <w:sz w:val="20"/>
                <w:szCs w:val="20"/>
              </w:rPr>
            </w:pPr>
            <w:r w:rsidRPr="002A3596">
              <w:rPr>
                <w:rFonts w:cs="Times New Roman"/>
                <w:sz w:val="20"/>
                <w:szCs w:val="20"/>
              </w:rPr>
              <w:t xml:space="preserve">Weight decreased, Prothrombin time prolonged, Protein S increased, Liver function test </w:t>
            </w:r>
          </w:p>
          <w:p w14:paraId="05F6BDA2" w14:textId="7150F436" w:rsidR="00686EAB" w:rsidRPr="002A3596" w:rsidRDefault="00686EAB" w:rsidP="000E7D3F">
            <w:pPr>
              <w:pStyle w:val="BodyText"/>
              <w:jc w:val="center"/>
              <w:rPr>
                <w:rFonts w:cs="Times New Roman"/>
                <w:sz w:val="20"/>
                <w:szCs w:val="20"/>
              </w:rPr>
            </w:pPr>
            <w:r w:rsidRPr="002A3596">
              <w:rPr>
                <w:rFonts w:cs="Times New Roman"/>
                <w:sz w:val="20"/>
                <w:szCs w:val="20"/>
              </w:rPr>
              <w:t xml:space="preserve">abnormal, Blood pressure abnormal, blood fibrinogen </w:t>
            </w:r>
            <w:r w:rsidRPr="002A3596">
              <w:rPr>
                <w:rFonts w:cs="Times New Roman"/>
                <w:sz w:val="20"/>
                <w:szCs w:val="20"/>
              </w:rPr>
              <w:lastRenderedPageBreak/>
              <w:t>increased, blood alkaline phosphatase increased, aspartate aminotransferase increased, alanine aminotransferase increased, activated partial thromboplastin time prolonged</w:t>
            </w:r>
          </w:p>
        </w:tc>
        <w:tc>
          <w:tcPr>
            <w:tcW w:w="1726" w:type="dxa"/>
            <w:vAlign w:val="center"/>
          </w:tcPr>
          <w:p w14:paraId="65D5B156" w14:textId="77777777" w:rsidR="00686EAB" w:rsidRPr="002A3596" w:rsidRDefault="00686EAB" w:rsidP="000E7D3F">
            <w:pPr>
              <w:pStyle w:val="BodyText"/>
              <w:jc w:val="center"/>
              <w:rPr>
                <w:rFonts w:cs="Times New Roman"/>
                <w:sz w:val="20"/>
                <w:szCs w:val="20"/>
              </w:rPr>
            </w:pPr>
          </w:p>
        </w:tc>
      </w:tr>
      <w:tr w:rsidR="000E7D3F" w:rsidRPr="002A3596" w14:paraId="1450CFEB" w14:textId="77777777" w:rsidTr="000E7D3F">
        <w:tc>
          <w:tcPr>
            <w:tcW w:w="1980" w:type="dxa"/>
            <w:vAlign w:val="center"/>
          </w:tcPr>
          <w:p w14:paraId="11422762" w14:textId="77777777" w:rsidR="00686EAB" w:rsidRPr="002A3596" w:rsidRDefault="00686EAB" w:rsidP="000E7D3F">
            <w:pPr>
              <w:pStyle w:val="BodyText"/>
              <w:jc w:val="center"/>
              <w:rPr>
                <w:rFonts w:cs="Times New Roman"/>
                <w:sz w:val="20"/>
                <w:szCs w:val="20"/>
              </w:rPr>
            </w:pPr>
            <w:r w:rsidRPr="002A3596">
              <w:rPr>
                <w:rFonts w:cs="Times New Roman"/>
                <w:sz w:val="20"/>
                <w:szCs w:val="20"/>
              </w:rPr>
              <w:t>Metabolism and nutrition disorders</w:t>
            </w:r>
          </w:p>
        </w:tc>
        <w:tc>
          <w:tcPr>
            <w:tcW w:w="1701" w:type="dxa"/>
            <w:vAlign w:val="center"/>
          </w:tcPr>
          <w:p w14:paraId="31EDA229" w14:textId="77777777" w:rsidR="00686EAB" w:rsidRPr="002A3596" w:rsidRDefault="00686EAB" w:rsidP="000E7D3F">
            <w:pPr>
              <w:pStyle w:val="BodyText"/>
              <w:jc w:val="center"/>
              <w:rPr>
                <w:rFonts w:cs="Times New Roman"/>
                <w:sz w:val="20"/>
                <w:szCs w:val="20"/>
              </w:rPr>
            </w:pPr>
          </w:p>
        </w:tc>
        <w:tc>
          <w:tcPr>
            <w:tcW w:w="1843" w:type="dxa"/>
            <w:vAlign w:val="center"/>
          </w:tcPr>
          <w:p w14:paraId="0472C448" w14:textId="77777777" w:rsidR="00686EAB" w:rsidRPr="002A3596" w:rsidRDefault="00686EAB" w:rsidP="000E7D3F">
            <w:pPr>
              <w:pStyle w:val="BodyText"/>
              <w:jc w:val="center"/>
              <w:rPr>
                <w:rFonts w:cs="Times New Roman"/>
                <w:sz w:val="20"/>
                <w:szCs w:val="20"/>
              </w:rPr>
            </w:pPr>
          </w:p>
        </w:tc>
        <w:tc>
          <w:tcPr>
            <w:tcW w:w="2268" w:type="dxa"/>
            <w:vAlign w:val="center"/>
          </w:tcPr>
          <w:p w14:paraId="41E0B946" w14:textId="77777777" w:rsidR="00686EAB" w:rsidRPr="002A3596" w:rsidRDefault="00686EAB" w:rsidP="000E7D3F">
            <w:pPr>
              <w:pStyle w:val="BodyText"/>
              <w:jc w:val="center"/>
              <w:rPr>
                <w:rFonts w:cs="Times New Roman"/>
                <w:sz w:val="20"/>
                <w:szCs w:val="20"/>
              </w:rPr>
            </w:pPr>
            <w:r w:rsidRPr="002A3596">
              <w:rPr>
                <w:rFonts w:cs="Times New Roman"/>
                <w:sz w:val="20"/>
                <w:szCs w:val="20"/>
              </w:rPr>
              <w:t xml:space="preserve">Fluid retention, </w:t>
            </w:r>
            <w:proofErr w:type="spellStart"/>
            <w:r w:rsidRPr="002A3596">
              <w:rPr>
                <w:rFonts w:cs="Times New Roman"/>
                <w:sz w:val="20"/>
                <w:szCs w:val="20"/>
              </w:rPr>
              <w:t>Hyperlipidemia</w:t>
            </w:r>
            <w:proofErr w:type="spellEnd"/>
            <w:r w:rsidRPr="002A3596">
              <w:rPr>
                <w:rFonts w:cs="Times New Roman"/>
                <w:sz w:val="20"/>
                <w:szCs w:val="20"/>
              </w:rPr>
              <w:t>, Hyperphagia Hyperuricemia</w:t>
            </w:r>
          </w:p>
        </w:tc>
        <w:tc>
          <w:tcPr>
            <w:tcW w:w="1726" w:type="dxa"/>
            <w:vAlign w:val="center"/>
          </w:tcPr>
          <w:p w14:paraId="65309855" w14:textId="77777777" w:rsidR="00686EAB" w:rsidRPr="002A3596" w:rsidRDefault="00686EAB" w:rsidP="000E7D3F">
            <w:pPr>
              <w:pStyle w:val="BodyText"/>
              <w:jc w:val="center"/>
              <w:rPr>
                <w:rFonts w:cs="Times New Roman"/>
                <w:sz w:val="20"/>
                <w:szCs w:val="20"/>
              </w:rPr>
            </w:pPr>
          </w:p>
        </w:tc>
      </w:tr>
      <w:tr w:rsidR="000E7D3F" w:rsidRPr="002A3596" w14:paraId="09DD0AE4" w14:textId="77777777" w:rsidTr="000E7D3F">
        <w:tc>
          <w:tcPr>
            <w:tcW w:w="1980" w:type="dxa"/>
            <w:vAlign w:val="center"/>
          </w:tcPr>
          <w:p w14:paraId="7B453871" w14:textId="77777777" w:rsidR="00686EAB" w:rsidRPr="002A3596" w:rsidRDefault="00686EAB" w:rsidP="000E7D3F">
            <w:pPr>
              <w:pStyle w:val="BodyText"/>
              <w:jc w:val="center"/>
              <w:rPr>
                <w:rFonts w:cs="Times New Roman"/>
                <w:sz w:val="20"/>
                <w:szCs w:val="20"/>
              </w:rPr>
            </w:pPr>
            <w:r w:rsidRPr="002A3596">
              <w:rPr>
                <w:rFonts w:cs="Times New Roman"/>
                <w:sz w:val="20"/>
                <w:szCs w:val="20"/>
              </w:rPr>
              <w:t>Musculoskeletal and connective tissue disorders</w:t>
            </w:r>
          </w:p>
        </w:tc>
        <w:tc>
          <w:tcPr>
            <w:tcW w:w="1701" w:type="dxa"/>
            <w:vAlign w:val="center"/>
          </w:tcPr>
          <w:p w14:paraId="29935198" w14:textId="77777777" w:rsidR="00686EAB" w:rsidRPr="002A3596" w:rsidRDefault="00686EAB" w:rsidP="000E7D3F">
            <w:pPr>
              <w:pStyle w:val="BodyText"/>
              <w:jc w:val="center"/>
              <w:rPr>
                <w:rFonts w:cs="Times New Roman"/>
                <w:sz w:val="20"/>
                <w:szCs w:val="20"/>
              </w:rPr>
            </w:pPr>
          </w:p>
        </w:tc>
        <w:tc>
          <w:tcPr>
            <w:tcW w:w="1843" w:type="dxa"/>
            <w:vAlign w:val="center"/>
          </w:tcPr>
          <w:p w14:paraId="13AE0884" w14:textId="77777777" w:rsidR="00686EAB" w:rsidRPr="002A3596" w:rsidRDefault="00686EAB" w:rsidP="000E7D3F">
            <w:pPr>
              <w:pStyle w:val="BodyText"/>
              <w:jc w:val="center"/>
              <w:rPr>
                <w:rFonts w:cs="Times New Roman"/>
                <w:sz w:val="20"/>
                <w:szCs w:val="20"/>
              </w:rPr>
            </w:pPr>
            <w:r w:rsidRPr="002A3596">
              <w:rPr>
                <w:rFonts w:cs="Times New Roman"/>
                <w:sz w:val="20"/>
                <w:szCs w:val="20"/>
              </w:rPr>
              <w:t>Back pain</w:t>
            </w:r>
          </w:p>
        </w:tc>
        <w:tc>
          <w:tcPr>
            <w:tcW w:w="2268" w:type="dxa"/>
            <w:vAlign w:val="center"/>
          </w:tcPr>
          <w:p w14:paraId="168970B2" w14:textId="77777777" w:rsidR="00686EAB" w:rsidRPr="002A3596" w:rsidRDefault="00686EAB" w:rsidP="000E7D3F">
            <w:pPr>
              <w:pStyle w:val="BodyText"/>
              <w:jc w:val="center"/>
              <w:rPr>
                <w:rFonts w:cs="Times New Roman"/>
                <w:sz w:val="20"/>
                <w:szCs w:val="20"/>
              </w:rPr>
            </w:pPr>
            <w:r w:rsidRPr="002A3596">
              <w:rPr>
                <w:rFonts w:cs="Times New Roman"/>
                <w:sz w:val="20"/>
                <w:szCs w:val="20"/>
              </w:rPr>
              <w:t>Musculoskeletal pain, Pain in extremity, arthralgia, muscle spasms</w:t>
            </w:r>
          </w:p>
        </w:tc>
        <w:tc>
          <w:tcPr>
            <w:tcW w:w="1726" w:type="dxa"/>
            <w:vAlign w:val="center"/>
          </w:tcPr>
          <w:p w14:paraId="31B50DBE" w14:textId="77777777" w:rsidR="00686EAB" w:rsidRPr="002A3596" w:rsidRDefault="00686EAB" w:rsidP="000E7D3F">
            <w:pPr>
              <w:pStyle w:val="BodyText"/>
              <w:jc w:val="center"/>
              <w:rPr>
                <w:rFonts w:cs="Times New Roman"/>
                <w:sz w:val="20"/>
                <w:szCs w:val="20"/>
              </w:rPr>
            </w:pPr>
          </w:p>
        </w:tc>
      </w:tr>
      <w:tr w:rsidR="000E7D3F" w:rsidRPr="002A3596" w14:paraId="41CFFED2" w14:textId="77777777" w:rsidTr="000E7D3F">
        <w:tc>
          <w:tcPr>
            <w:tcW w:w="1980" w:type="dxa"/>
            <w:vAlign w:val="center"/>
          </w:tcPr>
          <w:p w14:paraId="7FF790A2" w14:textId="5F0F7945" w:rsidR="00686EAB" w:rsidRPr="002A3596" w:rsidRDefault="00686EAB" w:rsidP="000E7D3F">
            <w:pPr>
              <w:pStyle w:val="BodyText"/>
              <w:jc w:val="center"/>
              <w:rPr>
                <w:rFonts w:cs="Times New Roman"/>
                <w:sz w:val="20"/>
                <w:szCs w:val="20"/>
              </w:rPr>
            </w:pPr>
            <w:r w:rsidRPr="002A3596">
              <w:rPr>
                <w:rFonts w:cs="Times New Roman"/>
                <w:sz w:val="20"/>
                <w:szCs w:val="20"/>
              </w:rPr>
              <w:t xml:space="preserve">Neoplasms benign, </w:t>
            </w:r>
            <w:r w:rsidR="0085298D" w:rsidRPr="002A3596">
              <w:rPr>
                <w:rFonts w:cs="Times New Roman"/>
                <w:sz w:val="20"/>
                <w:szCs w:val="20"/>
              </w:rPr>
              <w:t>malignant,</w:t>
            </w:r>
            <w:r w:rsidRPr="002A3596">
              <w:rPr>
                <w:rFonts w:cs="Times New Roman"/>
                <w:sz w:val="20"/>
                <w:szCs w:val="20"/>
              </w:rPr>
              <w:t xml:space="preserve"> and unspecified (incl cysts and polyps)</w:t>
            </w:r>
          </w:p>
        </w:tc>
        <w:tc>
          <w:tcPr>
            <w:tcW w:w="1701" w:type="dxa"/>
            <w:vAlign w:val="center"/>
          </w:tcPr>
          <w:p w14:paraId="5774A5D0" w14:textId="77777777" w:rsidR="00686EAB" w:rsidRPr="002A3596" w:rsidRDefault="00686EAB" w:rsidP="000E7D3F">
            <w:pPr>
              <w:pStyle w:val="BodyText"/>
              <w:jc w:val="center"/>
              <w:rPr>
                <w:rFonts w:cs="Times New Roman"/>
                <w:sz w:val="20"/>
                <w:szCs w:val="20"/>
              </w:rPr>
            </w:pPr>
          </w:p>
        </w:tc>
        <w:tc>
          <w:tcPr>
            <w:tcW w:w="1843" w:type="dxa"/>
            <w:vAlign w:val="center"/>
          </w:tcPr>
          <w:p w14:paraId="310A0C48" w14:textId="77777777" w:rsidR="00686EAB" w:rsidRPr="002A3596" w:rsidRDefault="00686EAB" w:rsidP="000E7D3F">
            <w:pPr>
              <w:pStyle w:val="BodyText"/>
              <w:jc w:val="center"/>
              <w:rPr>
                <w:rFonts w:cs="Times New Roman"/>
                <w:sz w:val="20"/>
                <w:szCs w:val="20"/>
              </w:rPr>
            </w:pPr>
          </w:p>
        </w:tc>
        <w:tc>
          <w:tcPr>
            <w:tcW w:w="2268" w:type="dxa"/>
            <w:vAlign w:val="center"/>
          </w:tcPr>
          <w:p w14:paraId="6985F953" w14:textId="77777777" w:rsidR="00686EAB" w:rsidRPr="002A3596" w:rsidRDefault="00686EAB" w:rsidP="000E7D3F">
            <w:pPr>
              <w:pStyle w:val="BodyText"/>
              <w:jc w:val="center"/>
              <w:rPr>
                <w:rFonts w:cs="Times New Roman"/>
                <w:sz w:val="20"/>
                <w:szCs w:val="20"/>
              </w:rPr>
            </w:pPr>
            <w:r w:rsidRPr="002A3596">
              <w:rPr>
                <w:rFonts w:cs="Times New Roman"/>
                <w:sz w:val="20"/>
                <w:szCs w:val="20"/>
              </w:rPr>
              <w:t>Breast cancer, adnexa uteri cyst</w:t>
            </w:r>
          </w:p>
        </w:tc>
        <w:tc>
          <w:tcPr>
            <w:tcW w:w="1726" w:type="dxa"/>
            <w:vAlign w:val="center"/>
          </w:tcPr>
          <w:p w14:paraId="53BAD6D1" w14:textId="77777777" w:rsidR="00686EAB" w:rsidRPr="002A3596" w:rsidRDefault="00686EAB" w:rsidP="000E7D3F">
            <w:pPr>
              <w:pStyle w:val="BodyText"/>
              <w:jc w:val="center"/>
              <w:rPr>
                <w:rFonts w:cs="Times New Roman"/>
                <w:sz w:val="20"/>
                <w:szCs w:val="20"/>
              </w:rPr>
            </w:pPr>
          </w:p>
        </w:tc>
      </w:tr>
      <w:tr w:rsidR="000E7D3F" w:rsidRPr="002A3596" w14:paraId="43AB07CA" w14:textId="77777777" w:rsidTr="000E7D3F">
        <w:tc>
          <w:tcPr>
            <w:tcW w:w="1980" w:type="dxa"/>
            <w:vAlign w:val="center"/>
          </w:tcPr>
          <w:p w14:paraId="636F9188" w14:textId="77777777" w:rsidR="00686EAB" w:rsidRPr="002A3596" w:rsidRDefault="00686EAB" w:rsidP="000E7D3F">
            <w:pPr>
              <w:pStyle w:val="BodyText"/>
              <w:jc w:val="center"/>
              <w:rPr>
                <w:rFonts w:cs="Times New Roman"/>
                <w:sz w:val="20"/>
                <w:szCs w:val="20"/>
              </w:rPr>
            </w:pPr>
            <w:r w:rsidRPr="002A3596">
              <w:rPr>
                <w:rFonts w:cs="Times New Roman"/>
                <w:sz w:val="20"/>
                <w:szCs w:val="20"/>
              </w:rPr>
              <w:t>Nervous system disorders</w:t>
            </w:r>
          </w:p>
        </w:tc>
        <w:tc>
          <w:tcPr>
            <w:tcW w:w="1701" w:type="dxa"/>
            <w:vAlign w:val="center"/>
          </w:tcPr>
          <w:p w14:paraId="4A2F070A" w14:textId="77777777" w:rsidR="00686EAB" w:rsidRPr="002A3596" w:rsidRDefault="00686EAB" w:rsidP="000E7D3F">
            <w:pPr>
              <w:pStyle w:val="BodyText"/>
              <w:jc w:val="center"/>
              <w:rPr>
                <w:rFonts w:cs="Times New Roman"/>
                <w:sz w:val="20"/>
                <w:szCs w:val="20"/>
              </w:rPr>
            </w:pPr>
          </w:p>
        </w:tc>
        <w:tc>
          <w:tcPr>
            <w:tcW w:w="1843" w:type="dxa"/>
            <w:vAlign w:val="center"/>
          </w:tcPr>
          <w:p w14:paraId="092DF569" w14:textId="77777777" w:rsidR="00686EAB" w:rsidRPr="002A3596" w:rsidRDefault="00686EAB" w:rsidP="000E7D3F">
            <w:pPr>
              <w:pStyle w:val="BodyText"/>
              <w:jc w:val="center"/>
              <w:rPr>
                <w:rFonts w:cs="Times New Roman"/>
                <w:sz w:val="20"/>
                <w:szCs w:val="20"/>
              </w:rPr>
            </w:pPr>
            <w:r w:rsidRPr="002A3596">
              <w:rPr>
                <w:rFonts w:cs="Times New Roman"/>
                <w:sz w:val="20"/>
                <w:szCs w:val="20"/>
              </w:rPr>
              <w:t>Dizziness, Headache</w:t>
            </w:r>
          </w:p>
        </w:tc>
        <w:tc>
          <w:tcPr>
            <w:tcW w:w="2268" w:type="dxa"/>
            <w:vAlign w:val="center"/>
          </w:tcPr>
          <w:p w14:paraId="432C6A67" w14:textId="6FAC3F14" w:rsidR="00686EAB" w:rsidRPr="002A3596" w:rsidRDefault="00686EAB" w:rsidP="000E7D3F">
            <w:pPr>
              <w:pStyle w:val="BodyText"/>
              <w:jc w:val="center"/>
              <w:rPr>
                <w:rFonts w:cs="Times New Roman"/>
                <w:sz w:val="20"/>
                <w:szCs w:val="20"/>
              </w:rPr>
            </w:pPr>
            <w:r w:rsidRPr="002A3596">
              <w:rPr>
                <w:rFonts w:cs="Times New Roman"/>
                <w:sz w:val="20"/>
                <w:szCs w:val="20"/>
              </w:rPr>
              <w:t xml:space="preserve">Disturbance in attention, Memory impairment, Migraine with aura, </w:t>
            </w:r>
            <w:r w:rsidR="0085298D" w:rsidRPr="002A3596">
              <w:rPr>
                <w:rFonts w:cs="Times New Roman"/>
                <w:sz w:val="20"/>
                <w:szCs w:val="20"/>
              </w:rPr>
              <w:t>Paraesthesia</w:t>
            </w:r>
            <w:r w:rsidRPr="002A3596">
              <w:rPr>
                <w:rFonts w:cs="Times New Roman"/>
                <w:sz w:val="20"/>
                <w:szCs w:val="20"/>
              </w:rPr>
              <w:t>, Parosmia, Somnolence</w:t>
            </w:r>
          </w:p>
        </w:tc>
        <w:tc>
          <w:tcPr>
            <w:tcW w:w="1726" w:type="dxa"/>
            <w:vAlign w:val="center"/>
          </w:tcPr>
          <w:p w14:paraId="19FAC02C" w14:textId="77777777" w:rsidR="00686EAB" w:rsidRPr="002A3596" w:rsidRDefault="00686EAB" w:rsidP="000E7D3F">
            <w:pPr>
              <w:pStyle w:val="BodyText"/>
              <w:jc w:val="center"/>
              <w:rPr>
                <w:rFonts w:cs="Times New Roman"/>
                <w:sz w:val="20"/>
                <w:szCs w:val="20"/>
              </w:rPr>
            </w:pPr>
          </w:p>
        </w:tc>
      </w:tr>
      <w:tr w:rsidR="000E7D3F" w:rsidRPr="002A3596" w14:paraId="1C72A918" w14:textId="77777777" w:rsidTr="000E7D3F">
        <w:tc>
          <w:tcPr>
            <w:tcW w:w="1980" w:type="dxa"/>
            <w:vAlign w:val="center"/>
          </w:tcPr>
          <w:p w14:paraId="1356A5E1" w14:textId="77777777" w:rsidR="00686EAB" w:rsidRPr="002A3596" w:rsidRDefault="00686EAB" w:rsidP="000E7D3F">
            <w:pPr>
              <w:pStyle w:val="BodyText"/>
              <w:jc w:val="center"/>
              <w:rPr>
                <w:rFonts w:cs="Times New Roman"/>
                <w:sz w:val="20"/>
                <w:szCs w:val="20"/>
              </w:rPr>
            </w:pPr>
            <w:r w:rsidRPr="002A3596">
              <w:rPr>
                <w:rFonts w:cs="Times New Roman"/>
                <w:sz w:val="20"/>
                <w:szCs w:val="20"/>
              </w:rPr>
              <w:t>Psychiatric disorders</w:t>
            </w:r>
          </w:p>
        </w:tc>
        <w:tc>
          <w:tcPr>
            <w:tcW w:w="1701" w:type="dxa"/>
            <w:vAlign w:val="center"/>
          </w:tcPr>
          <w:p w14:paraId="7E2665E0" w14:textId="77777777" w:rsidR="00686EAB" w:rsidRPr="002A3596" w:rsidRDefault="00686EAB" w:rsidP="000E7D3F">
            <w:pPr>
              <w:pStyle w:val="BodyText"/>
              <w:jc w:val="center"/>
              <w:rPr>
                <w:rFonts w:cs="Times New Roman"/>
                <w:sz w:val="20"/>
                <w:szCs w:val="20"/>
              </w:rPr>
            </w:pPr>
          </w:p>
        </w:tc>
        <w:tc>
          <w:tcPr>
            <w:tcW w:w="1843" w:type="dxa"/>
            <w:vAlign w:val="center"/>
          </w:tcPr>
          <w:p w14:paraId="221F4AF9" w14:textId="77777777" w:rsidR="00686EAB" w:rsidRPr="002A3596" w:rsidRDefault="00686EAB" w:rsidP="000E7D3F">
            <w:pPr>
              <w:pStyle w:val="BodyText"/>
              <w:jc w:val="center"/>
              <w:rPr>
                <w:rFonts w:cs="Times New Roman"/>
                <w:sz w:val="20"/>
                <w:szCs w:val="20"/>
              </w:rPr>
            </w:pPr>
          </w:p>
        </w:tc>
        <w:tc>
          <w:tcPr>
            <w:tcW w:w="2268" w:type="dxa"/>
            <w:vAlign w:val="center"/>
          </w:tcPr>
          <w:p w14:paraId="258BEB08" w14:textId="77777777" w:rsidR="00686EAB" w:rsidRPr="002A3596" w:rsidRDefault="00686EAB" w:rsidP="000E7D3F">
            <w:pPr>
              <w:pStyle w:val="BodyText"/>
              <w:jc w:val="center"/>
              <w:rPr>
                <w:rFonts w:cs="Times New Roman"/>
                <w:sz w:val="20"/>
                <w:szCs w:val="20"/>
              </w:rPr>
            </w:pPr>
            <w:r w:rsidRPr="002A3596">
              <w:rPr>
                <w:rFonts w:cs="Times New Roman"/>
                <w:sz w:val="20"/>
                <w:szCs w:val="20"/>
              </w:rPr>
              <w:t>Sleep disorder, Abnormal dreams, Agitation, Anxiety, Depression, Insomnia, Irritability, Mood swings, Libido increased</w:t>
            </w:r>
          </w:p>
        </w:tc>
        <w:tc>
          <w:tcPr>
            <w:tcW w:w="1726" w:type="dxa"/>
            <w:vAlign w:val="center"/>
          </w:tcPr>
          <w:p w14:paraId="03C44AB5" w14:textId="77777777" w:rsidR="00686EAB" w:rsidRPr="002A3596" w:rsidRDefault="00686EAB" w:rsidP="000E7D3F">
            <w:pPr>
              <w:pStyle w:val="BodyText"/>
              <w:jc w:val="center"/>
              <w:rPr>
                <w:rFonts w:cs="Times New Roman"/>
                <w:sz w:val="20"/>
                <w:szCs w:val="20"/>
              </w:rPr>
            </w:pPr>
          </w:p>
        </w:tc>
      </w:tr>
      <w:tr w:rsidR="000E7D3F" w:rsidRPr="002A3596" w14:paraId="605ECC14" w14:textId="77777777" w:rsidTr="000E7D3F">
        <w:tc>
          <w:tcPr>
            <w:tcW w:w="1980" w:type="dxa"/>
            <w:vAlign w:val="center"/>
          </w:tcPr>
          <w:p w14:paraId="75CDBF0E" w14:textId="77777777" w:rsidR="00686EAB" w:rsidRPr="002A3596" w:rsidRDefault="00686EAB" w:rsidP="000E7D3F">
            <w:pPr>
              <w:pStyle w:val="BodyText"/>
              <w:jc w:val="center"/>
              <w:rPr>
                <w:rFonts w:cs="Times New Roman"/>
                <w:sz w:val="20"/>
                <w:szCs w:val="20"/>
              </w:rPr>
            </w:pPr>
            <w:r w:rsidRPr="002A3596">
              <w:rPr>
                <w:rFonts w:cs="Times New Roman"/>
                <w:sz w:val="20"/>
                <w:szCs w:val="20"/>
              </w:rPr>
              <w:lastRenderedPageBreak/>
              <w:t>Reproductive system and breast disorders</w:t>
            </w:r>
          </w:p>
        </w:tc>
        <w:tc>
          <w:tcPr>
            <w:tcW w:w="1701" w:type="dxa"/>
            <w:vAlign w:val="center"/>
          </w:tcPr>
          <w:p w14:paraId="712764E8" w14:textId="77777777" w:rsidR="00686EAB" w:rsidRPr="002A3596" w:rsidRDefault="00686EAB" w:rsidP="000E7D3F">
            <w:pPr>
              <w:pStyle w:val="BodyText"/>
              <w:jc w:val="center"/>
              <w:rPr>
                <w:rFonts w:cs="Times New Roman"/>
                <w:sz w:val="20"/>
                <w:szCs w:val="20"/>
              </w:rPr>
            </w:pPr>
            <w:r w:rsidRPr="002A3596">
              <w:rPr>
                <w:rFonts w:cs="Times New Roman"/>
                <w:sz w:val="20"/>
                <w:szCs w:val="20"/>
              </w:rPr>
              <w:t>Breast tenderness</w:t>
            </w:r>
          </w:p>
        </w:tc>
        <w:tc>
          <w:tcPr>
            <w:tcW w:w="1843" w:type="dxa"/>
            <w:vAlign w:val="center"/>
          </w:tcPr>
          <w:p w14:paraId="0F571CFC" w14:textId="77777777" w:rsidR="00686EAB" w:rsidRPr="002A3596" w:rsidRDefault="00686EAB" w:rsidP="000E7D3F">
            <w:pPr>
              <w:pStyle w:val="BodyText"/>
              <w:jc w:val="center"/>
              <w:rPr>
                <w:rFonts w:cs="Times New Roman"/>
                <w:sz w:val="20"/>
                <w:szCs w:val="20"/>
              </w:rPr>
            </w:pPr>
            <w:r w:rsidRPr="002A3596">
              <w:rPr>
                <w:rFonts w:cs="Times New Roman"/>
                <w:sz w:val="20"/>
                <w:szCs w:val="20"/>
              </w:rPr>
              <w:t>Breast pain, pelvic pain, uterine pain/spasm, vaginal discharge, Vaginal bleeding haemorrhage</w:t>
            </w:r>
          </w:p>
        </w:tc>
        <w:tc>
          <w:tcPr>
            <w:tcW w:w="2268" w:type="dxa"/>
            <w:vAlign w:val="center"/>
          </w:tcPr>
          <w:p w14:paraId="1BFF9709" w14:textId="77777777" w:rsidR="00686EAB" w:rsidRPr="002A3596" w:rsidRDefault="00686EAB" w:rsidP="000E7D3F">
            <w:pPr>
              <w:pStyle w:val="BodyText"/>
              <w:jc w:val="center"/>
              <w:rPr>
                <w:rFonts w:cs="Times New Roman"/>
                <w:sz w:val="20"/>
                <w:szCs w:val="20"/>
              </w:rPr>
            </w:pPr>
            <w:r w:rsidRPr="002A3596">
              <w:rPr>
                <w:rFonts w:cs="Times New Roman"/>
                <w:sz w:val="20"/>
                <w:szCs w:val="20"/>
              </w:rPr>
              <w:t>Breast disorders (calcification, discharge, discomfort, enlargement swelling, fibrocystic disease, nipple pain, benign breast neoplasm, Uterine/Cervical disorders (dysplasia, polyp, cyst, uterine haemorrhage, leiomyoma, uterine polyp, bleeding), Endometrial hypertrophy, abnormal biopsy, hot flush, metrorrhagia, post-menopausal haemorrhage, Vulvovaginal pruritus</w:t>
            </w:r>
          </w:p>
        </w:tc>
        <w:tc>
          <w:tcPr>
            <w:tcW w:w="1726" w:type="dxa"/>
            <w:vAlign w:val="center"/>
          </w:tcPr>
          <w:p w14:paraId="3752038B" w14:textId="77777777" w:rsidR="00686EAB" w:rsidRPr="002A3596" w:rsidRDefault="00686EAB" w:rsidP="000E7D3F">
            <w:pPr>
              <w:pStyle w:val="BodyText"/>
              <w:jc w:val="center"/>
              <w:rPr>
                <w:rFonts w:cs="Times New Roman"/>
                <w:sz w:val="20"/>
                <w:szCs w:val="20"/>
              </w:rPr>
            </w:pPr>
          </w:p>
        </w:tc>
      </w:tr>
      <w:tr w:rsidR="000E7D3F" w:rsidRPr="002A3596" w14:paraId="6863BB8B" w14:textId="77777777" w:rsidTr="000E7D3F">
        <w:tc>
          <w:tcPr>
            <w:tcW w:w="1980" w:type="dxa"/>
            <w:vAlign w:val="center"/>
          </w:tcPr>
          <w:p w14:paraId="2FC7FA47" w14:textId="77777777" w:rsidR="00686EAB" w:rsidRPr="002A3596" w:rsidRDefault="00686EAB" w:rsidP="000E7D3F">
            <w:pPr>
              <w:pStyle w:val="BodyText"/>
              <w:jc w:val="center"/>
              <w:rPr>
                <w:rFonts w:cs="Times New Roman"/>
                <w:sz w:val="20"/>
                <w:szCs w:val="20"/>
              </w:rPr>
            </w:pPr>
            <w:r w:rsidRPr="002A3596">
              <w:rPr>
                <w:rFonts w:cs="Times New Roman"/>
                <w:sz w:val="20"/>
                <w:szCs w:val="20"/>
              </w:rPr>
              <w:t>Skin and subcutaneous tissue disorders</w:t>
            </w:r>
          </w:p>
        </w:tc>
        <w:tc>
          <w:tcPr>
            <w:tcW w:w="1701" w:type="dxa"/>
            <w:vAlign w:val="center"/>
          </w:tcPr>
          <w:p w14:paraId="25D9358F" w14:textId="77777777" w:rsidR="00686EAB" w:rsidRPr="002A3596" w:rsidRDefault="00686EAB" w:rsidP="000E7D3F">
            <w:pPr>
              <w:pStyle w:val="BodyText"/>
              <w:jc w:val="center"/>
              <w:rPr>
                <w:rFonts w:cs="Times New Roman"/>
                <w:sz w:val="20"/>
                <w:szCs w:val="20"/>
              </w:rPr>
            </w:pPr>
          </w:p>
        </w:tc>
        <w:tc>
          <w:tcPr>
            <w:tcW w:w="1843" w:type="dxa"/>
            <w:vAlign w:val="center"/>
          </w:tcPr>
          <w:p w14:paraId="18E87888" w14:textId="77777777" w:rsidR="00686EAB" w:rsidRPr="002A3596" w:rsidRDefault="00686EAB" w:rsidP="000E7D3F">
            <w:pPr>
              <w:pStyle w:val="BodyText"/>
              <w:jc w:val="center"/>
              <w:rPr>
                <w:rFonts w:cs="Times New Roman"/>
                <w:sz w:val="20"/>
                <w:szCs w:val="20"/>
              </w:rPr>
            </w:pPr>
            <w:r w:rsidRPr="002A3596">
              <w:rPr>
                <w:rFonts w:cs="Times New Roman"/>
                <w:sz w:val="20"/>
                <w:szCs w:val="20"/>
              </w:rPr>
              <w:t>Acne, Alopecia</w:t>
            </w:r>
          </w:p>
        </w:tc>
        <w:tc>
          <w:tcPr>
            <w:tcW w:w="2268" w:type="dxa"/>
            <w:vAlign w:val="center"/>
          </w:tcPr>
          <w:p w14:paraId="2964BB1F" w14:textId="77777777" w:rsidR="00686EAB" w:rsidRPr="002A3596" w:rsidRDefault="00686EAB" w:rsidP="000E7D3F">
            <w:pPr>
              <w:pStyle w:val="BodyText"/>
              <w:jc w:val="center"/>
              <w:rPr>
                <w:rFonts w:cs="Times New Roman"/>
                <w:sz w:val="20"/>
                <w:szCs w:val="20"/>
              </w:rPr>
            </w:pPr>
            <w:r w:rsidRPr="002A3596">
              <w:rPr>
                <w:rFonts w:cs="Times New Roman"/>
                <w:sz w:val="20"/>
                <w:szCs w:val="20"/>
              </w:rPr>
              <w:t>Dry skin, Pruritus, Rash, Telangiectasia</w:t>
            </w:r>
          </w:p>
        </w:tc>
        <w:tc>
          <w:tcPr>
            <w:tcW w:w="1726" w:type="dxa"/>
            <w:vAlign w:val="center"/>
          </w:tcPr>
          <w:p w14:paraId="186B5334" w14:textId="77777777" w:rsidR="00686EAB" w:rsidRPr="002A3596" w:rsidRDefault="00686EAB" w:rsidP="000E7D3F">
            <w:pPr>
              <w:pStyle w:val="BodyText"/>
              <w:jc w:val="center"/>
              <w:rPr>
                <w:rFonts w:cs="Times New Roman"/>
                <w:sz w:val="20"/>
                <w:szCs w:val="20"/>
              </w:rPr>
            </w:pPr>
          </w:p>
        </w:tc>
      </w:tr>
      <w:tr w:rsidR="000E7D3F" w:rsidRPr="002A3596" w14:paraId="75BEBC24" w14:textId="77777777" w:rsidTr="000E7D3F">
        <w:tc>
          <w:tcPr>
            <w:tcW w:w="1980" w:type="dxa"/>
            <w:vAlign w:val="center"/>
          </w:tcPr>
          <w:p w14:paraId="551EB28A" w14:textId="77777777" w:rsidR="00686EAB" w:rsidRPr="002A3596" w:rsidRDefault="00686EAB" w:rsidP="000E7D3F">
            <w:pPr>
              <w:pStyle w:val="BodyText"/>
              <w:jc w:val="center"/>
              <w:rPr>
                <w:rFonts w:cs="Times New Roman"/>
                <w:sz w:val="20"/>
                <w:szCs w:val="20"/>
              </w:rPr>
            </w:pPr>
            <w:r w:rsidRPr="002A3596">
              <w:rPr>
                <w:rFonts w:cs="Times New Roman"/>
                <w:sz w:val="20"/>
                <w:szCs w:val="20"/>
              </w:rPr>
              <w:t>Vascular disorders</w:t>
            </w:r>
          </w:p>
        </w:tc>
        <w:tc>
          <w:tcPr>
            <w:tcW w:w="1701" w:type="dxa"/>
            <w:vAlign w:val="center"/>
          </w:tcPr>
          <w:p w14:paraId="15B43951" w14:textId="77777777" w:rsidR="00686EAB" w:rsidRPr="002A3596" w:rsidRDefault="00686EAB" w:rsidP="000E7D3F">
            <w:pPr>
              <w:pStyle w:val="BodyText"/>
              <w:jc w:val="center"/>
              <w:rPr>
                <w:rFonts w:cs="Times New Roman"/>
                <w:sz w:val="20"/>
                <w:szCs w:val="20"/>
              </w:rPr>
            </w:pPr>
          </w:p>
        </w:tc>
        <w:tc>
          <w:tcPr>
            <w:tcW w:w="1843" w:type="dxa"/>
            <w:vAlign w:val="center"/>
          </w:tcPr>
          <w:p w14:paraId="3E07A275" w14:textId="77777777" w:rsidR="00686EAB" w:rsidRPr="002A3596" w:rsidRDefault="00686EAB" w:rsidP="000E7D3F">
            <w:pPr>
              <w:pStyle w:val="BodyText"/>
              <w:jc w:val="center"/>
              <w:rPr>
                <w:rFonts w:cs="Times New Roman"/>
                <w:sz w:val="20"/>
                <w:szCs w:val="20"/>
              </w:rPr>
            </w:pPr>
          </w:p>
        </w:tc>
        <w:tc>
          <w:tcPr>
            <w:tcW w:w="2268" w:type="dxa"/>
            <w:vAlign w:val="center"/>
          </w:tcPr>
          <w:p w14:paraId="45F027AA" w14:textId="77777777" w:rsidR="00686EAB" w:rsidRPr="002A3596" w:rsidRDefault="00686EAB" w:rsidP="000E7D3F">
            <w:pPr>
              <w:pStyle w:val="BodyText"/>
              <w:jc w:val="center"/>
              <w:rPr>
                <w:rFonts w:cs="Times New Roman"/>
                <w:sz w:val="20"/>
                <w:szCs w:val="20"/>
              </w:rPr>
            </w:pPr>
            <w:r w:rsidRPr="002A3596">
              <w:rPr>
                <w:rFonts w:cs="Times New Roman"/>
                <w:sz w:val="20"/>
                <w:szCs w:val="20"/>
              </w:rPr>
              <w:t>Hypertension, Superficial thrombophlebitis</w:t>
            </w:r>
          </w:p>
        </w:tc>
        <w:tc>
          <w:tcPr>
            <w:tcW w:w="1726" w:type="dxa"/>
            <w:vAlign w:val="center"/>
          </w:tcPr>
          <w:p w14:paraId="292E7156" w14:textId="77777777" w:rsidR="00686EAB" w:rsidRPr="002A3596" w:rsidRDefault="00686EAB" w:rsidP="000E7D3F">
            <w:pPr>
              <w:pStyle w:val="BodyText"/>
              <w:jc w:val="center"/>
              <w:rPr>
                <w:rFonts w:cs="Times New Roman"/>
                <w:sz w:val="20"/>
                <w:szCs w:val="20"/>
              </w:rPr>
            </w:pPr>
          </w:p>
        </w:tc>
      </w:tr>
    </w:tbl>
    <w:p w14:paraId="068364B9" w14:textId="2D27426A" w:rsidR="0013062A" w:rsidRPr="002A3596" w:rsidRDefault="00DE723A" w:rsidP="002D0BCA">
      <w:pPr>
        <w:pStyle w:val="Heading3"/>
      </w:pPr>
      <w:bookmarkStart w:id="7" w:name="_Ref69885723"/>
      <w:r w:rsidRPr="002A3596">
        <w:t>Breast cancer risk</w:t>
      </w:r>
      <w:bookmarkEnd w:id="7"/>
    </w:p>
    <w:p w14:paraId="5DFEBABB" w14:textId="77777777" w:rsidR="00DE723A" w:rsidRPr="002A3596" w:rsidRDefault="00DE723A" w:rsidP="00DE723A">
      <w:pPr>
        <w:pStyle w:val="BodyText"/>
      </w:pPr>
      <w:r w:rsidRPr="002A3596">
        <w:t>An up to 2-fold increased risk of having breast cancer diagnosed is reported in women taking combined estrogen-progestogen therapy for more than 5 years.</w:t>
      </w:r>
    </w:p>
    <w:p w14:paraId="104E75AC" w14:textId="64020C9D" w:rsidR="00DE723A" w:rsidRPr="002A3596" w:rsidRDefault="00DE723A" w:rsidP="00DE723A">
      <w:pPr>
        <w:pStyle w:val="BodyText"/>
      </w:pPr>
      <w:r w:rsidRPr="002A3596">
        <w:t>The increased risk in users of estrogen-only therapy is lower than that seen in users of estrogen-progestogen combinations.</w:t>
      </w:r>
    </w:p>
    <w:p w14:paraId="0F304767" w14:textId="04574ACF" w:rsidR="00C054CA" w:rsidRDefault="00DE723A" w:rsidP="00607CD7">
      <w:pPr>
        <w:pStyle w:val="BodyText"/>
      </w:pPr>
      <w:r w:rsidRPr="002A3596">
        <w:t xml:space="preserve">The level of risk is dependent on the duration of use (see </w:t>
      </w:r>
      <w:r w:rsidR="00584413">
        <w:t>S</w:t>
      </w:r>
      <w:r w:rsidRPr="002A3596">
        <w:t xml:space="preserve">ection </w:t>
      </w:r>
      <w:r w:rsidR="00E91DDA">
        <w:fldChar w:fldCharType="begin"/>
      </w:r>
      <w:r w:rsidR="00E91DDA">
        <w:instrText xml:space="preserve"> REF _Ref69885430 \r \h </w:instrText>
      </w:r>
      <w:r w:rsidR="00E91DDA">
        <w:fldChar w:fldCharType="separate"/>
      </w:r>
      <w:r w:rsidR="00551C94">
        <w:t>4.4</w:t>
      </w:r>
      <w:r w:rsidR="00E91DDA">
        <w:fldChar w:fldCharType="end"/>
      </w:r>
      <w:r w:rsidR="00584413">
        <w:t xml:space="preserve"> </w:t>
      </w:r>
      <w:r w:rsidR="00584413">
        <w:fldChar w:fldCharType="begin"/>
      </w:r>
      <w:r w:rsidR="00584413">
        <w:instrText xml:space="preserve"> REF _Ref69885430 \h </w:instrText>
      </w:r>
      <w:r w:rsidR="00584413">
        <w:fldChar w:fldCharType="separate"/>
      </w:r>
      <w:r w:rsidR="00551C94" w:rsidRPr="002A3596">
        <w:t>Special warnings and precautions for use</w:t>
      </w:r>
      <w:r w:rsidR="00584413">
        <w:fldChar w:fldCharType="end"/>
      </w:r>
      <w:r w:rsidRPr="002A3596">
        <w:t>).</w:t>
      </w:r>
    </w:p>
    <w:p w14:paraId="562B98E6" w14:textId="10AB455F" w:rsidR="00DE723A" w:rsidRPr="002A3596" w:rsidRDefault="005A3150" w:rsidP="005A3150">
      <w:pPr>
        <w:pStyle w:val="Caption"/>
        <w:ind w:left="1438" w:hanging="1296"/>
      </w:pPr>
      <w:r w:rsidRPr="002A3596">
        <w:lastRenderedPageBreak/>
        <w:t xml:space="preserve">Table </w:t>
      </w:r>
      <w:r w:rsidRPr="002A3596">
        <w:fldChar w:fldCharType="begin"/>
      </w:r>
      <w:r w:rsidRPr="002A3596">
        <w:instrText xml:space="preserve"> SEQ Table \* ARABIC </w:instrText>
      </w:r>
      <w:r w:rsidRPr="002A3596">
        <w:fldChar w:fldCharType="separate"/>
      </w:r>
      <w:r w:rsidR="00551C94">
        <w:rPr>
          <w:noProof/>
        </w:rPr>
        <w:t>3</w:t>
      </w:r>
      <w:r w:rsidRPr="002A3596">
        <w:fldChar w:fldCharType="end"/>
      </w:r>
      <w:r w:rsidR="00471E27">
        <w:t>:</w:t>
      </w:r>
      <w:r w:rsidRPr="002A3596">
        <w:t xml:space="preserve"> </w:t>
      </w:r>
      <w:r w:rsidRPr="002A3596">
        <w:tab/>
        <w:t>Absolute risk estimations based on results of the largest randomised placebo-controlled trial (WHI-study) and the largest meta-analysis of prospective epidemiological studies (MWS)</w:t>
      </w:r>
      <w:r w:rsidR="00DE723A" w:rsidRPr="002A3596">
        <w:t>.</w:t>
      </w:r>
    </w:p>
    <w:tbl>
      <w:tblPr>
        <w:tblW w:w="5000" w:type="pct"/>
        <w:tblBorders>
          <w:top w:val="outset" w:sz="6" w:space="0" w:color="7B7B7B"/>
          <w:left w:val="outset" w:sz="6" w:space="0" w:color="7B7B7B"/>
          <w:bottom w:val="outset" w:sz="6" w:space="0" w:color="7B7B7B"/>
          <w:right w:val="outset" w:sz="6" w:space="0" w:color="7B7B7B"/>
        </w:tblBorders>
        <w:tblCellMar>
          <w:top w:w="20" w:type="dxa"/>
          <w:left w:w="20" w:type="dxa"/>
          <w:bottom w:w="20" w:type="dxa"/>
          <w:right w:w="20" w:type="dxa"/>
        </w:tblCellMar>
        <w:tblLook w:val="04A0" w:firstRow="1" w:lastRow="0" w:firstColumn="1" w:lastColumn="0" w:noHBand="0" w:noVBand="1"/>
      </w:tblPr>
      <w:tblGrid>
        <w:gridCol w:w="2378"/>
        <w:gridCol w:w="2378"/>
        <w:gridCol w:w="2378"/>
        <w:gridCol w:w="2378"/>
      </w:tblGrid>
      <w:tr w:rsidR="005A3150" w:rsidRPr="00B55692" w14:paraId="0331B5D8" w14:textId="77777777" w:rsidTr="00B4539B">
        <w:trPr>
          <w:trHeight w:val="1372"/>
        </w:trPr>
        <w:tc>
          <w:tcPr>
            <w:tcW w:w="1250"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4AEC7EA6" w14:textId="65128ADB" w:rsidR="005A3150" w:rsidRPr="00B55692" w:rsidRDefault="005A3150" w:rsidP="005A3150">
            <w:pPr>
              <w:pStyle w:val="BodyText"/>
              <w:rPr>
                <w:b/>
                <w:bCs/>
                <w:sz w:val="20"/>
                <w:szCs w:val="20"/>
              </w:rPr>
            </w:pPr>
            <w:r w:rsidRPr="00B55692">
              <w:rPr>
                <w:b/>
                <w:bCs/>
                <w:sz w:val="20"/>
                <w:szCs w:val="20"/>
              </w:rPr>
              <w:t>Age (years)</w:t>
            </w:r>
          </w:p>
          <w:p w14:paraId="04849F11" w14:textId="77777777" w:rsidR="005A3150" w:rsidRDefault="00111C93" w:rsidP="005A3150">
            <w:pPr>
              <w:pStyle w:val="BodyText"/>
              <w:rPr>
                <w:b/>
                <w:bCs/>
                <w:sz w:val="20"/>
                <w:szCs w:val="20"/>
              </w:rPr>
            </w:pPr>
            <w:r w:rsidRPr="00B55692">
              <w:rPr>
                <w:b/>
                <w:bCs/>
                <w:sz w:val="20"/>
                <w:szCs w:val="20"/>
              </w:rPr>
              <w:t>A</w:t>
            </w:r>
            <w:r w:rsidR="005A3150" w:rsidRPr="00B55692">
              <w:rPr>
                <w:b/>
                <w:bCs/>
                <w:sz w:val="20"/>
                <w:szCs w:val="20"/>
              </w:rPr>
              <w:t xml:space="preserve">t start HRT </w:t>
            </w:r>
          </w:p>
          <w:p w14:paraId="7E8E1A4B" w14:textId="2390B76A" w:rsidR="00B4539B" w:rsidRPr="00B4539B" w:rsidRDefault="00B4539B" w:rsidP="00B4539B"/>
        </w:tc>
        <w:tc>
          <w:tcPr>
            <w:tcW w:w="1250"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5F8529D2" w14:textId="05410C4F" w:rsidR="005A3150" w:rsidRPr="00B55692" w:rsidRDefault="005A3150" w:rsidP="005A3150">
            <w:pPr>
              <w:pStyle w:val="BodyText"/>
              <w:rPr>
                <w:b/>
                <w:bCs/>
                <w:sz w:val="20"/>
                <w:szCs w:val="20"/>
              </w:rPr>
            </w:pPr>
            <w:r w:rsidRPr="00B55692">
              <w:rPr>
                <w:b/>
                <w:bCs/>
                <w:sz w:val="20"/>
                <w:szCs w:val="20"/>
              </w:rPr>
              <w:t>Incidence per 1000 never-users of HRT over a 5-year period*</w:t>
            </w:r>
            <w:r w:rsidRPr="00B55692">
              <w:rPr>
                <w:b/>
                <w:bCs/>
                <w:sz w:val="20"/>
                <w:szCs w:val="20"/>
                <w:vertAlign w:val="superscript"/>
              </w:rPr>
              <w:t>1</w:t>
            </w:r>
            <w:r w:rsidRPr="00B55692">
              <w:rPr>
                <w:b/>
                <w:bCs/>
                <w:sz w:val="20"/>
                <w:szCs w:val="20"/>
              </w:rPr>
              <w:t xml:space="preserve"> </w:t>
            </w:r>
          </w:p>
          <w:p w14:paraId="37E0B6D4" w14:textId="4442FDAE" w:rsidR="00B4539B" w:rsidRPr="00B4539B" w:rsidRDefault="005A3150" w:rsidP="00B4539B">
            <w:pPr>
              <w:pStyle w:val="BodyText"/>
              <w:rPr>
                <w:b/>
                <w:bCs/>
                <w:sz w:val="20"/>
                <w:szCs w:val="20"/>
              </w:rPr>
            </w:pPr>
            <w:r w:rsidRPr="00B55692">
              <w:rPr>
                <w:b/>
                <w:bCs/>
                <w:sz w:val="20"/>
                <w:szCs w:val="20"/>
              </w:rPr>
              <w:t xml:space="preserve">(50-54 years) * </w:t>
            </w:r>
          </w:p>
        </w:tc>
        <w:tc>
          <w:tcPr>
            <w:tcW w:w="1250"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42D2C253" w14:textId="77777777" w:rsidR="005A3150" w:rsidRPr="00B55692" w:rsidRDefault="005A3150" w:rsidP="005A3150">
            <w:pPr>
              <w:pStyle w:val="BodyText"/>
              <w:rPr>
                <w:b/>
                <w:bCs/>
                <w:sz w:val="20"/>
                <w:szCs w:val="20"/>
              </w:rPr>
            </w:pPr>
            <w:r w:rsidRPr="00B55692">
              <w:rPr>
                <w:b/>
                <w:bCs/>
                <w:sz w:val="20"/>
                <w:szCs w:val="20"/>
              </w:rPr>
              <w:t xml:space="preserve">Risk ratio </w:t>
            </w:r>
          </w:p>
        </w:tc>
        <w:tc>
          <w:tcPr>
            <w:tcW w:w="1250"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11BF4B82" w14:textId="77777777" w:rsidR="005A3150" w:rsidRDefault="005A3150" w:rsidP="005A3150">
            <w:pPr>
              <w:pStyle w:val="BodyText"/>
              <w:rPr>
                <w:b/>
                <w:bCs/>
                <w:sz w:val="20"/>
                <w:szCs w:val="20"/>
              </w:rPr>
            </w:pPr>
            <w:r w:rsidRPr="00B55692">
              <w:rPr>
                <w:b/>
                <w:bCs/>
                <w:sz w:val="20"/>
                <w:szCs w:val="20"/>
              </w:rPr>
              <w:t xml:space="preserve">Additional cases per 1000 HRT users 5 years </w:t>
            </w:r>
          </w:p>
          <w:p w14:paraId="2A75C5CB" w14:textId="43A132B3" w:rsidR="00B4539B" w:rsidRPr="00B4539B" w:rsidRDefault="00B4539B" w:rsidP="00B4539B"/>
        </w:tc>
      </w:tr>
      <w:tr w:rsidR="005A3150" w:rsidRPr="00B55692" w14:paraId="1A28CAED" w14:textId="77777777" w:rsidTr="005A3150">
        <w:tc>
          <w:tcPr>
            <w:tcW w:w="5000" w:type="pct"/>
            <w:gridSpan w:val="4"/>
            <w:tcBorders>
              <w:top w:val="outset" w:sz="6" w:space="0" w:color="7B7B7B"/>
              <w:left w:val="outset" w:sz="6" w:space="0" w:color="7B7B7B"/>
              <w:bottom w:val="outset" w:sz="6" w:space="0" w:color="7B7B7B"/>
              <w:right w:val="outset" w:sz="6" w:space="0" w:color="7B7B7B"/>
            </w:tcBorders>
            <w:vAlign w:val="center"/>
          </w:tcPr>
          <w:p w14:paraId="6D1A046D" w14:textId="667D00A4" w:rsidR="005A3150" w:rsidRPr="00B55692" w:rsidRDefault="005A3150" w:rsidP="005A3150">
            <w:pPr>
              <w:pStyle w:val="BodyText"/>
              <w:jc w:val="center"/>
              <w:rPr>
                <w:sz w:val="20"/>
                <w:szCs w:val="20"/>
              </w:rPr>
            </w:pPr>
            <w:r w:rsidRPr="00B55692">
              <w:rPr>
                <w:b/>
                <w:bCs/>
                <w:sz w:val="20"/>
                <w:szCs w:val="20"/>
              </w:rPr>
              <w:t>Estrogen only HRT</w:t>
            </w:r>
          </w:p>
        </w:tc>
      </w:tr>
      <w:tr w:rsidR="005A3150" w:rsidRPr="00B55692" w14:paraId="584A1565" w14:textId="77777777" w:rsidTr="005A3150">
        <w:tc>
          <w:tcPr>
            <w:tcW w:w="1250"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68A8B648" w14:textId="77777777" w:rsidR="005A3150" w:rsidRPr="00B55692" w:rsidRDefault="005A3150" w:rsidP="005A3150">
            <w:pPr>
              <w:pStyle w:val="BodyText"/>
              <w:rPr>
                <w:sz w:val="20"/>
                <w:szCs w:val="20"/>
              </w:rPr>
            </w:pPr>
            <w:r w:rsidRPr="00B55692">
              <w:rPr>
                <w:sz w:val="20"/>
                <w:szCs w:val="20"/>
              </w:rPr>
              <w:t>50</w:t>
            </w:r>
          </w:p>
        </w:tc>
        <w:tc>
          <w:tcPr>
            <w:tcW w:w="1250" w:type="pct"/>
            <w:tcBorders>
              <w:top w:val="outset" w:sz="6" w:space="0" w:color="7B7B7B"/>
              <w:left w:val="outset" w:sz="6" w:space="0" w:color="7B7B7B"/>
              <w:bottom w:val="outset" w:sz="6" w:space="0" w:color="7B7B7B"/>
              <w:right w:val="outset" w:sz="6" w:space="0" w:color="7B7B7B"/>
            </w:tcBorders>
            <w:shd w:val="clear" w:color="auto" w:fill="auto"/>
          </w:tcPr>
          <w:p w14:paraId="78CA0194" w14:textId="78AB8F63" w:rsidR="005A3150" w:rsidRPr="00B55692" w:rsidRDefault="005A3150" w:rsidP="005A3150">
            <w:pPr>
              <w:pStyle w:val="BodyText"/>
              <w:rPr>
                <w:sz w:val="20"/>
                <w:szCs w:val="20"/>
              </w:rPr>
            </w:pPr>
            <w:r w:rsidRPr="00B55692">
              <w:rPr>
                <w:sz w:val="20"/>
                <w:szCs w:val="20"/>
              </w:rPr>
              <w:t xml:space="preserve">9-13.3 </w:t>
            </w:r>
          </w:p>
        </w:tc>
        <w:tc>
          <w:tcPr>
            <w:tcW w:w="1250" w:type="pct"/>
            <w:tcBorders>
              <w:top w:val="outset" w:sz="6" w:space="0" w:color="7B7B7B"/>
              <w:left w:val="outset" w:sz="6" w:space="0" w:color="7B7B7B"/>
              <w:bottom w:val="outset" w:sz="6" w:space="0" w:color="7B7B7B"/>
              <w:right w:val="outset" w:sz="6" w:space="0" w:color="7B7B7B"/>
            </w:tcBorders>
            <w:shd w:val="clear" w:color="auto" w:fill="auto"/>
          </w:tcPr>
          <w:p w14:paraId="77E16485" w14:textId="1CDA2BAB" w:rsidR="005A3150" w:rsidRPr="00B55692" w:rsidRDefault="005A3150" w:rsidP="005A3150">
            <w:pPr>
              <w:pStyle w:val="BodyText"/>
              <w:rPr>
                <w:sz w:val="20"/>
                <w:szCs w:val="20"/>
              </w:rPr>
            </w:pPr>
            <w:r w:rsidRPr="00B55692">
              <w:rPr>
                <w:sz w:val="20"/>
                <w:szCs w:val="20"/>
              </w:rPr>
              <w:t xml:space="preserve">1.2 </w:t>
            </w:r>
          </w:p>
        </w:tc>
        <w:tc>
          <w:tcPr>
            <w:tcW w:w="1250" w:type="pct"/>
            <w:tcBorders>
              <w:top w:val="outset" w:sz="6" w:space="0" w:color="7B7B7B"/>
              <w:left w:val="outset" w:sz="6" w:space="0" w:color="7B7B7B"/>
              <w:bottom w:val="outset" w:sz="6" w:space="0" w:color="7B7B7B"/>
              <w:right w:val="outset" w:sz="6" w:space="0" w:color="7B7B7B"/>
            </w:tcBorders>
            <w:shd w:val="clear" w:color="auto" w:fill="auto"/>
          </w:tcPr>
          <w:p w14:paraId="0AE6EE21" w14:textId="07D45584" w:rsidR="005A3150" w:rsidRPr="00B55692" w:rsidRDefault="005A3150" w:rsidP="005A3150">
            <w:pPr>
              <w:pStyle w:val="BodyText"/>
              <w:rPr>
                <w:sz w:val="20"/>
                <w:szCs w:val="20"/>
              </w:rPr>
            </w:pPr>
            <w:r w:rsidRPr="00B55692">
              <w:rPr>
                <w:sz w:val="20"/>
                <w:szCs w:val="20"/>
              </w:rPr>
              <w:t xml:space="preserve"> 2.7</w:t>
            </w:r>
          </w:p>
        </w:tc>
      </w:tr>
      <w:tr w:rsidR="005A3150" w:rsidRPr="00B55692" w14:paraId="21045C81" w14:textId="77777777" w:rsidTr="005A3150">
        <w:tc>
          <w:tcPr>
            <w:tcW w:w="5000" w:type="pct"/>
            <w:gridSpan w:val="4"/>
            <w:tcBorders>
              <w:top w:val="outset" w:sz="6" w:space="0" w:color="7B7B7B"/>
              <w:left w:val="outset" w:sz="6" w:space="0" w:color="7B7B7B"/>
              <w:bottom w:val="outset" w:sz="6" w:space="0" w:color="7B7B7B"/>
              <w:right w:val="outset" w:sz="6" w:space="0" w:color="7B7B7B"/>
            </w:tcBorders>
            <w:vAlign w:val="center"/>
          </w:tcPr>
          <w:p w14:paraId="4ACC772A" w14:textId="648E76B5" w:rsidR="005A3150" w:rsidRPr="00B55692" w:rsidRDefault="005A3150" w:rsidP="005A3150">
            <w:pPr>
              <w:pStyle w:val="BodyText"/>
              <w:jc w:val="center"/>
              <w:rPr>
                <w:sz w:val="20"/>
                <w:szCs w:val="20"/>
              </w:rPr>
            </w:pPr>
            <w:r w:rsidRPr="00B55692">
              <w:rPr>
                <w:b/>
                <w:bCs/>
                <w:sz w:val="20"/>
                <w:szCs w:val="20"/>
              </w:rPr>
              <w:t>Combined estrogen-progestogen</w:t>
            </w:r>
          </w:p>
        </w:tc>
      </w:tr>
      <w:tr w:rsidR="005A3150" w:rsidRPr="00B55692" w14:paraId="386DB346" w14:textId="77777777" w:rsidTr="005A3150">
        <w:tc>
          <w:tcPr>
            <w:tcW w:w="1250"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7FA99ABF" w14:textId="456D040E" w:rsidR="005A3150" w:rsidRPr="00B55692" w:rsidRDefault="005A3150" w:rsidP="005A3150">
            <w:pPr>
              <w:pStyle w:val="BodyText"/>
              <w:rPr>
                <w:sz w:val="20"/>
                <w:szCs w:val="20"/>
              </w:rPr>
            </w:pPr>
            <w:r w:rsidRPr="00B55692">
              <w:rPr>
                <w:sz w:val="20"/>
                <w:szCs w:val="20"/>
              </w:rPr>
              <w:t xml:space="preserve">50-65 </w:t>
            </w:r>
          </w:p>
        </w:tc>
        <w:tc>
          <w:tcPr>
            <w:tcW w:w="1250"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28A29A5B" w14:textId="77777777" w:rsidR="005A3150" w:rsidRPr="00B55692" w:rsidRDefault="005A3150" w:rsidP="005A3150">
            <w:pPr>
              <w:pStyle w:val="BodyText"/>
              <w:rPr>
                <w:sz w:val="20"/>
                <w:szCs w:val="20"/>
              </w:rPr>
            </w:pPr>
            <w:r w:rsidRPr="00B55692">
              <w:rPr>
                <w:sz w:val="20"/>
                <w:szCs w:val="20"/>
              </w:rPr>
              <w:t xml:space="preserve">9-13.3 </w:t>
            </w:r>
          </w:p>
        </w:tc>
        <w:tc>
          <w:tcPr>
            <w:tcW w:w="1250"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01087066" w14:textId="77777777" w:rsidR="005A3150" w:rsidRPr="00B55692" w:rsidRDefault="005A3150" w:rsidP="005A3150">
            <w:pPr>
              <w:pStyle w:val="BodyText"/>
              <w:rPr>
                <w:sz w:val="20"/>
                <w:szCs w:val="20"/>
              </w:rPr>
            </w:pPr>
            <w:r w:rsidRPr="00B55692">
              <w:rPr>
                <w:sz w:val="20"/>
                <w:szCs w:val="20"/>
              </w:rPr>
              <w:t>1.6</w:t>
            </w:r>
          </w:p>
        </w:tc>
        <w:tc>
          <w:tcPr>
            <w:tcW w:w="1250"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3BCCBCA4" w14:textId="77777777" w:rsidR="005A3150" w:rsidRPr="00B55692" w:rsidRDefault="005A3150" w:rsidP="005A3150">
            <w:pPr>
              <w:pStyle w:val="BodyText"/>
              <w:rPr>
                <w:sz w:val="20"/>
                <w:szCs w:val="20"/>
              </w:rPr>
            </w:pPr>
            <w:r w:rsidRPr="00B55692">
              <w:rPr>
                <w:sz w:val="20"/>
                <w:szCs w:val="20"/>
              </w:rPr>
              <w:t xml:space="preserve"> 8 </w:t>
            </w:r>
          </w:p>
        </w:tc>
      </w:tr>
    </w:tbl>
    <w:p w14:paraId="40C6E574" w14:textId="77777777" w:rsidR="00111C93" w:rsidRPr="002A3596" w:rsidRDefault="00111C93" w:rsidP="00111C93">
      <w:pPr>
        <w:pStyle w:val="tablelegends"/>
        <w:keepNext w:val="0"/>
      </w:pPr>
      <w:r w:rsidRPr="002A3596">
        <w:rPr>
          <w:vertAlign w:val="superscript"/>
        </w:rPr>
        <w:t>1</w:t>
      </w:r>
      <w:r w:rsidRPr="002A3596">
        <w:rPr>
          <w:i/>
        </w:rPr>
        <w:t xml:space="preserve">Taken from baseline incidence rates </w:t>
      </w:r>
      <w:r w:rsidRPr="002A3596">
        <w:t>in England in 2015 in women with BMI 27 (kg /m</w:t>
      </w:r>
      <w:r w:rsidRPr="002A3596">
        <w:rPr>
          <w:vertAlign w:val="superscript"/>
        </w:rPr>
        <w:t>2</w:t>
      </w:r>
      <w:r w:rsidRPr="002A3596">
        <w:t>)</w:t>
      </w:r>
    </w:p>
    <w:p w14:paraId="3226CA63" w14:textId="2CF4CC62" w:rsidR="0013062A" w:rsidRPr="002A3596" w:rsidRDefault="005A3150" w:rsidP="00111C93">
      <w:pPr>
        <w:pStyle w:val="tablelegends"/>
        <w:keepNext w:val="0"/>
      </w:pPr>
      <w:r w:rsidRPr="002A3596">
        <w:t>Note: Since the background incidence of breast cancer differs by EU country, the number of additional cases of breast cancer will also change proportionately.</w:t>
      </w:r>
    </w:p>
    <w:p w14:paraId="62899509" w14:textId="45EBD1E8" w:rsidR="005A3150" w:rsidRPr="002A3596" w:rsidRDefault="00111C93" w:rsidP="00111C93">
      <w:pPr>
        <w:pStyle w:val="Caption"/>
        <w:ind w:left="1438" w:hanging="1296"/>
      </w:pPr>
      <w:r w:rsidRPr="002A3596">
        <w:t xml:space="preserve">Table </w:t>
      </w:r>
      <w:r w:rsidRPr="002A3596">
        <w:fldChar w:fldCharType="begin"/>
      </w:r>
      <w:r w:rsidRPr="002A3596">
        <w:instrText xml:space="preserve"> SEQ Table \* ARABIC </w:instrText>
      </w:r>
      <w:r w:rsidRPr="002A3596">
        <w:fldChar w:fldCharType="separate"/>
      </w:r>
      <w:r w:rsidR="00551C94">
        <w:rPr>
          <w:noProof/>
        </w:rPr>
        <w:t>4</w:t>
      </w:r>
      <w:r w:rsidRPr="002A3596">
        <w:fldChar w:fldCharType="end"/>
      </w:r>
      <w:r w:rsidR="00471E27">
        <w:t>:</w:t>
      </w:r>
      <w:r w:rsidRPr="002A3596">
        <w:t xml:space="preserve"> </w:t>
      </w:r>
      <w:r w:rsidRPr="002A3596">
        <w:tab/>
        <w:t>Estimated additional risk of breast cancer after 10 years’ use in women with BMI 27 (kg/m</w:t>
      </w:r>
      <w:r w:rsidRPr="002A3596">
        <w:rPr>
          <w:vertAlign w:val="superscript"/>
        </w:rPr>
        <w:t>2</w:t>
      </w:r>
      <w:r w:rsidRPr="002A3596">
        <w:t>)</w:t>
      </w:r>
    </w:p>
    <w:tbl>
      <w:tblPr>
        <w:tblStyle w:val="TableGrid"/>
        <w:tblW w:w="5000" w:type="pct"/>
        <w:tblLook w:val="04A0" w:firstRow="1" w:lastRow="0" w:firstColumn="1" w:lastColumn="0" w:noHBand="0" w:noVBand="1"/>
      </w:tblPr>
      <w:tblGrid>
        <w:gridCol w:w="2379"/>
        <w:gridCol w:w="2379"/>
        <w:gridCol w:w="2380"/>
        <w:gridCol w:w="2380"/>
      </w:tblGrid>
      <w:tr w:rsidR="00111C93" w:rsidRPr="00B55692" w14:paraId="1FF68C8C" w14:textId="77777777" w:rsidTr="00B4539B">
        <w:trPr>
          <w:trHeight w:val="1177"/>
        </w:trPr>
        <w:tc>
          <w:tcPr>
            <w:tcW w:w="1250" w:type="pct"/>
          </w:tcPr>
          <w:p w14:paraId="76258FA8" w14:textId="0C162615" w:rsidR="00111C93" w:rsidRPr="00B55692" w:rsidRDefault="00111C93" w:rsidP="00111C93">
            <w:pPr>
              <w:keepNext/>
              <w:widowControl/>
              <w:spacing w:after="160" w:line="259" w:lineRule="auto"/>
              <w:rPr>
                <w:rFonts w:ascii="Times New Roman" w:hAnsi="Times New Roman" w:cs="Times New Roman"/>
                <w:b/>
                <w:bCs/>
                <w:sz w:val="20"/>
                <w:szCs w:val="20"/>
              </w:rPr>
            </w:pPr>
            <w:r w:rsidRPr="00B55692">
              <w:rPr>
                <w:rFonts w:ascii="Times New Roman" w:hAnsi="Times New Roman" w:cs="Times New Roman"/>
                <w:b/>
                <w:bCs/>
                <w:sz w:val="20"/>
                <w:szCs w:val="20"/>
              </w:rPr>
              <w:t xml:space="preserve">Age </w:t>
            </w:r>
            <w:r w:rsidRPr="00B55692">
              <w:rPr>
                <w:rFonts w:ascii="Times New Roman" w:hAnsi="Times New Roman" w:cs="Times New Roman"/>
                <w:sz w:val="20"/>
                <w:szCs w:val="20"/>
              </w:rPr>
              <w:t>(years)</w:t>
            </w:r>
          </w:p>
          <w:p w14:paraId="53E41F05" w14:textId="63B8EA10" w:rsidR="00111C93" w:rsidRPr="00B55692" w:rsidRDefault="00111C93" w:rsidP="00111C93">
            <w:pPr>
              <w:keepNext/>
              <w:widowControl/>
              <w:spacing w:after="160" w:line="259" w:lineRule="auto"/>
              <w:rPr>
                <w:rFonts w:ascii="Times New Roman" w:hAnsi="Times New Roman" w:cs="Times New Roman"/>
                <w:sz w:val="20"/>
                <w:szCs w:val="20"/>
              </w:rPr>
            </w:pPr>
            <w:r w:rsidRPr="00B55692">
              <w:rPr>
                <w:rFonts w:ascii="Times New Roman" w:hAnsi="Times New Roman" w:cs="Times New Roman"/>
                <w:b/>
                <w:bCs/>
                <w:sz w:val="20"/>
                <w:szCs w:val="20"/>
              </w:rPr>
              <w:t xml:space="preserve">At start HRT </w:t>
            </w:r>
          </w:p>
          <w:p w14:paraId="7186EE09" w14:textId="531C9F3F" w:rsidR="00111C93" w:rsidRPr="00B55692" w:rsidRDefault="00111C93" w:rsidP="00111C93">
            <w:pPr>
              <w:keepNext/>
              <w:widowControl/>
              <w:spacing w:after="160" w:line="259" w:lineRule="auto"/>
              <w:rPr>
                <w:rFonts w:ascii="Times New Roman" w:hAnsi="Times New Roman" w:cs="Times New Roman"/>
                <w:sz w:val="20"/>
                <w:szCs w:val="20"/>
              </w:rPr>
            </w:pPr>
          </w:p>
        </w:tc>
        <w:tc>
          <w:tcPr>
            <w:tcW w:w="1250" w:type="pct"/>
          </w:tcPr>
          <w:p w14:paraId="62C7CB90" w14:textId="673C8069" w:rsidR="00111C93" w:rsidRPr="00B55692" w:rsidRDefault="00111C93" w:rsidP="00111C93">
            <w:pPr>
              <w:keepNext/>
              <w:widowControl/>
              <w:spacing w:after="160" w:line="259" w:lineRule="auto"/>
              <w:rPr>
                <w:rFonts w:ascii="Times New Roman" w:hAnsi="Times New Roman" w:cs="Times New Roman"/>
                <w:sz w:val="20"/>
                <w:szCs w:val="20"/>
              </w:rPr>
            </w:pPr>
            <w:r w:rsidRPr="00B55692">
              <w:rPr>
                <w:rFonts w:ascii="Times New Roman" w:hAnsi="Times New Roman" w:cs="Times New Roman"/>
                <w:b/>
                <w:bCs/>
                <w:sz w:val="20"/>
                <w:szCs w:val="20"/>
              </w:rPr>
              <w:t>Incidence per 1000 never-users of HRT over a 10-year period (50-59 years) *</w:t>
            </w:r>
          </w:p>
        </w:tc>
        <w:tc>
          <w:tcPr>
            <w:tcW w:w="1250" w:type="pct"/>
          </w:tcPr>
          <w:p w14:paraId="19860D3F" w14:textId="77777777" w:rsidR="00111C93" w:rsidRPr="00B55692" w:rsidRDefault="00111C93" w:rsidP="00111C93">
            <w:pPr>
              <w:keepNext/>
              <w:widowControl/>
              <w:spacing w:after="160" w:line="259" w:lineRule="auto"/>
              <w:rPr>
                <w:rFonts w:ascii="Times New Roman" w:hAnsi="Times New Roman" w:cs="Times New Roman"/>
                <w:b/>
                <w:bCs/>
                <w:sz w:val="20"/>
                <w:szCs w:val="20"/>
              </w:rPr>
            </w:pPr>
            <w:r w:rsidRPr="00B55692">
              <w:rPr>
                <w:rFonts w:ascii="Times New Roman" w:hAnsi="Times New Roman" w:cs="Times New Roman"/>
                <w:b/>
                <w:bCs/>
                <w:sz w:val="20"/>
                <w:szCs w:val="20"/>
              </w:rPr>
              <w:t>Risk Ratio</w:t>
            </w:r>
          </w:p>
        </w:tc>
        <w:tc>
          <w:tcPr>
            <w:tcW w:w="1250" w:type="pct"/>
          </w:tcPr>
          <w:p w14:paraId="268A3A97" w14:textId="1C6B3947" w:rsidR="00111C93" w:rsidRPr="00B55692" w:rsidRDefault="00111C93" w:rsidP="00111C93">
            <w:pPr>
              <w:keepNext/>
              <w:widowControl/>
              <w:spacing w:after="160" w:line="259" w:lineRule="auto"/>
              <w:rPr>
                <w:rFonts w:ascii="Times New Roman" w:hAnsi="Times New Roman" w:cs="Times New Roman"/>
                <w:sz w:val="20"/>
                <w:szCs w:val="20"/>
              </w:rPr>
            </w:pPr>
            <w:r w:rsidRPr="00B55692">
              <w:rPr>
                <w:rFonts w:ascii="Times New Roman" w:hAnsi="Times New Roman" w:cs="Times New Roman"/>
                <w:b/>
                <w:bCs/>
                <w:sz w:val="20"/>
                <w:szCs w:val="20"/>
              </w:rPr>
              <w:t xml:space="preserve">Additional cases per 1000 HRT users after 10 years </w:t>
            </w:r>
          </w:p>
        </w:tc>
      </w:tr>
      <w:tr w:rsidR="00111C93" w:rsidRPr="00B55692" w14:paraId="7D371B47" w14:textId="77777777" w:rsidTr="00111C93">
        <w:tc>
          <w:tcPr>
            <w:tcW w:w="2499" w:type="pct"/>
            <w:gridSpan w:val="2"/>
          </w:tcPr>
          <w:p w14:paraId="0A899ADB" w14:textId="77777777" w:rsidR="00111C93" w:rsidRPr="00B55692" w:rsidRDefault="00111C93" w:rsidP="00111C93">
            <w:pPr>
              <w:spacing w:after="160" w:line="259" w:lineRule="auto"/>
              <w:rPr>
                <w:rFonts w:ascii="Times New Roman" w:hAnsi="Times New Roman" w:cs="Times New Roman"/>
                <w:sz w:val="20"/>
                <w:szCs w:val="20"/>
              </w:rPr>
            </w:pPr>
          </w:p>
        </w:tc>
        <w:tc>
          <w:tcPr>
            <w:tcW w:w="2501" w:type="pct"/>
            <w:gridSpan w:val="2"/>
          </w:tcPr>
          <w:p w14:paraId="5C066AAB" w14:textId="77777777" w:rsidR="00111C93" w:rsidRPr="00B55692" w:rsidRDefault="00111C93" w:rsidP="00111C93">
            <w:pPr>
              <w:spacing w:after="160" w:line="259" w:lineRule="auto"/>
              <w:jc w:val="center"/>
              <w:rPr>
                <w:rFonts w:ascii="Times New Roman" w:hAnsi="Times New Roman" w:cs="Times New Roman"/>
                <w:b/>
                <w:bCs/>
                <w:sz w:val="20"/>
                <w:szCs w:val="20"/>
              </w:rPr>
            </w:pPr>
            <w:r w:rsidRPr="00B55692">
              <w:rPr>
                <w:rFonts w:ascii="Times New Roman" w:hAnsi="Times New Roman" w:cs="Times New Roman"/>
                <w:b/>
                <w:bCs/>
                <w:sz w:val="20"/>
                <w:szCs w:val="20"/>
              </w:rPr>
              <w:t>Estrogen only HRT</w:t>
            </w:r>
          </w:p>
        </w:tc>
      </w:tr>
      <w:tr w:rsidR="00111C93" w:rsidRPr="00B55692" w14:paraId="18791EA4" w14:textId="77777777" w:rsidTr="00111C93">
        <w:tc>
          <w:tcPr>
            <w:tcW w:w="1250" w:type="pct"/>
          </w:tcPr>
          <w:p w14:paraId="461E67FB" w14:textId="77777777" w:rsidR="00111C93" w:rsidRPr="00B55692" w:rsidRDefault="00111C93" w:rsidP="00111C93">
            <w:pPr>
              <w:spacing w:after="160" w:line="259" w:lineRule="auto"/>
              <w:rPr>
                <w:rFonts w:ascii="Times New Roman" w:hAnsi="Times New Roman" w:cs="Times New Roman"/>
                <w:sz w:val="20"/>
                <w:szCs w:val="20"/>
              </w:rPr>
            </w:pPr>
            <w:r w:rsidRPr="00B55692">
              <w:rPr>
                <w:rFonts w:ascii="Times New Roman" w:hAnsi="Times New Roman" w:cs="Times New Roman"/>
                <w:sz w:val="20"/>
                <w:szCs w:val="20"/>
              </w:rPr>
              <w:t>50</w:t>
            </w:r>
          </w:p>
        </w:tc>
        <w:tc>
          <w:tcPr>
            <w:tcW w:w="1250" w:type="pct"/>
          </w:tcPr>
          <w:p w14:paraId="1787E552" w14:textId="77777777" w:rsidR="00111C93" w:rsidRPr="00B55692" w:rsidRDefault="00111C93" w:rsidP="00111C93">
            <w:pPr>
              <w:spacing w:after="160" w:line="259" w:lineRule="auto"/>
              <w:rPr>
                <w:rFonts w:ascii="Times New Roman" w:hAnsi="Times New Roman" w:cs="Times New Roman"/>
                <w:sz w:val="20"/>
                <w:szCs w:val="20"/>
              </w:rPr>
            </w:pPr>
            <w:r w:rsidRPr="00B55692">
              <w:rPr>
                <w:rFonts w:ascii="Times New Roman" w:hAnsi="Times New Roman" w:cs="Times New Roman"/>
                <w:sz w:val="20"/>
                <w:szCs w:val="20"/>
              </w:rPr>
              <w:t>26.6</w:t>
            </w:r>
          </w:p>
        </w:tc>
        <w:tc>
          <w:tcPr>
            <w:tcW w:w="1250" w:type="pct"/>
          </w:tcPr>
          <w:p w14:paraId="53754C29" w14:textId="77777777" w:rsidR="00111C93" w:rsidRPr="00B55692" w:rsidRDefault="00111C93" w:rsidP="00111C93">
            <w:pPr>
              <w:spacing w:after="160" w:line="259" w:lineRule="auto"/>
              <w:rPr>
                <w:rFonts w:ascii="Times New Roman" w:hAnsi="Times New Roman" w:cs="Times New Roman"/>
                <w:sz w:val="20"/>
                <w:szCs w:val="20"/>
              </w:rPr>
            </w:pPr>
            <w:r w:rsidRPr="00B55692">
              <w:rPr>
                <w:rFonts w:ascii="Times New Roman" w:hAnsi="Times New Roman" w:cs="Times New Roman"/>
                <w:sz w:val="20"/>
                <w:szCs w:val="20"/>
              </w:rPr>
              <w:t>1.3</w:t>
            </w:r>
          </w:p>
        </w:tc>
        <w:tc>
          <w:tcPr>
            <w:tcW w:w="1250" w:type="pct"/>
          </w:tcPr>
          <w:p w14:paraId="55F7A4C6" w14:textId="77777777" w:rsidR="00111C93" w:rsidRPr="00B55692" w:rsidRDefault="00111C93" w:rsidP="00111C93">
            <w:pPr>
              <w:spacing w:after="160" w:line="259" w:lineRule="auto"/>
              <w:rPr>
                <w:rFonts w:ascii="Times New Roman" w:hAnsi="Times New Roman" w:cs="Times New Roman"/>
                <w:sz w:val="20"/>
                <w:szCs w:val="20"/>
              </w:rPr>
            </w:pPr>
            <w:r w:rsidRPr="00B55692">
              <w:rPr>
                <w:rFonts w:ascii="Times New Roman" w:hAnsi="Times New Roman" w:cs="Times New Roman"/>
                <w:sz w:val="20"/>
                <w:szCs w:val="20"/>
              </w:rPr>
              <w:t>7.1</w:t>
            </w:r>
          </w:p>
        </w:tc>
      </w:tr>
      <w:tr w:rsidR="00111C93" w:rsidRPr="00B55692" w14:paraId="3BCF4D16" w14:textId="77777777" w:rsidTr="00111C93">
        <w:tc>
          <w:tcPr>
            <w:tcW w:w="2499" w:type="pct"/>
            <w:gridSpan w:val="2"/>
          </w:tcPr>
          <w:p w14:paraId="07CC1C72" w14:textId="77777777" w:rsidR="00111C93" w:rsidRPr="00B55692" w:rsidRDefault="00111C93" w:rsidP="00111C93">
            <w:pPr>
              <w:spacing w:after="160" w:line="259" w:lineRule="auto"/>
              <w:rPr>
                <w:rFonts w:ascii="Times New Roman" w:hAnsi="Times New Roman" w:cs="Times New Roman"/>
                <w:sz w:val="20"/>
                <w:szCs w:val="20"/>
              </w:rPr>
            </w:pPr>
          </w:p>
        </w:tc>
        <w:tc>
          <w:tcPr>
            <w:tcW w:w="2501" w:type="pct"/>
            <w:gridSpan w:val="2"/>
          </w:tcPr>
          <w:p w14:paraId="168D0A42" w14:textId="287D9372" w:rsidR="00111C93" w:rsidRPr="00B55692" w:rsidRDefault="00111C93" w:rsidP="00111C93">
            <w:pPr>
              <w:spacing w:after="160" w:line="259" w:lineRule="auto"/>
              <w:jc w:val="center"/>
              <w:rPr>
                <w:rFonts w:ascii="Times New Roman" w:hAnsi="Times New Roman" w:cs="Times New Roman"/>
                <w:b/>
                <w:bCs/>
                <w:sz w:val="20"/>
                <w:szCs w:val="20"/>
              </w:rPr>
            </w:pPr>
            <w:r w:rsidRPr="00B55692">
              <w:rPr>
                <w:rFonts w:ascii="Times New Roman" w:hAnsi="Times New Roman" w:cs="Times New Roman"/>
                <w:b/>
                <w:bCs/>
                <w:sz w:val="20"/>
                <w:szCs w:val="20"/>
              </w:rPr>
              <w:t>Combined estrogen-progestogen</w:t>
            </w:r>
          </w:p>
        </w:tc>
      </w:tr>
      <w:tr w:rsidR="00111C93" w:rsidRPr="00B55692" w14:paraId="03E5CEE3" w14:textId="77777777" w:rsidTr="00111C93">
        <w:tc>
          <w:tcPr>
            <w:tcW w:w="1250" w:type="pct"/>
          </w:tcPr>
          <w:p w14:paraId="1ACD06EF" w14:textId="77777777" w:rsidR="00111C93" w:rsidRPr="00B55692" w:rsidRDefault="00111C93" w:rsidP="00111C93">
            <w:pPr>
              <w:spacing w:after="160" w:line="259" w:lineRule="auto"/>
              <w:rPr>
                <w:rFonts w:ascii="Times New Roman" w:hAnsi="Times New Roman" w:cs="Times New Roman"/>
                <w:sz w:val="20"/>
                <w:szCs w:val="20"/>
              </w:rPr>
            </w:pPr>
            <w:r w:rsidRPr="00B55692">
              <w:rPr>
                <w:rFonts w:ascii="Times New Roman" w:hAnsi="Times New Roman" w:cs="Times New Roman"/>
                <w:sz w:val="20"/>
                <w:szCs w:val="20"/>
              </w:rPr>
              <w:t>50</w:t>
            </w:r>
          </w:p>
        </w:tc>
        <w:tc>
          <w:tcPr>
            <w:tcW w:w="1250" w:type="pct"/>
          </w:tcPr>
          <w:p w14:paraId="468FAC4E" w14:textId="77777777" w:rsidR="00111C93" w:rsidRPr="00B55692" w:rsidRDefault="00111C93" w:rsidP="00111C93">
            <w:pPr>
              <w:spacing w:after="160" w:line="259" w:lineRule="auto"/>
              <w:rPr>
                <w:rFonts w:ascii="Times New Roman" w:hAnsi="Times New Roman" w:cs="Times New Roman"/>
                <w:sz w:val="20"/>
                <w:szCs w:val="20"/>
              </w:rPr>
            </w:pPr>
            <w:r w:rsidRPr="00B55692">
              <w:rPr>
                <w:rFonts w:ascii="Times New Roman" w:hAnsi="Times New Roman" w:cs="Times New Roman"/>
                <w:sz w:val="20"/>
                <w:szCs w:val="20"/>
              </w:rPr>
              <w:t>26.6</w:t>
            </w:r>
          </w:p>
        </w:tc>
        <w:tc>
          <w:tcPr>
            <w:tcW w:w="1250" w:type="pct"/>
          </w:tcPr>
          <w:p w14:paraId="10D20FFE" w14:textId="77777777" w:rsidR="00111C93" w:rsidRPr="00B55692" w:rsidRDefault="00111C93" w:rsidP="00111C93">
            <w:pPr>
              <w:spacing w:after="160" w:line="259" w:lineRule="auto"/>
              <w:rPr>
                <w:rFonts w:ascii="Times New Roman" w:hAnsi="Times New Roman" w:cs="Times New Roman"/>
                <w:sz w:val="20"/>
                <w:szCs w:val="20"/>
              </w:rPr>
            </w:pPr>
            <w:r w:rsidRPr="00B55692">
              <w:rPr>
                <w:rFonts w:ascii="Times New Roman" w:hAnsi="Times New Roman" w:cs="Times New Roman"/>
                <w:sz w:val="20"/>
                <w:szCs w:val="20"/>
              </w:rPr>
              <w:t>1.8</w:t>
            </w:r>
          </w:p>
        </w:tc>
        <w:tc>
          <w:tcPr>
            <w:tcW w:w="1250" w:type="pct"/>
          </w:tcPr>
          <w:p w14:paraId="65BC4D13" w14:textId="77777777" w:rsidR="00111C93" w:rsidRPr="00B55692" w:rsidRDefault="00111C93" w:rsidP="00111C93">
            <w:pPr>
              <w:spacing w:after="160" w:line="259" w:lineRule="auto"/>
              <w:rPr>
                <w:rFonts w:ascii="Times New Roman" w:hAnsi="Times New Roman" w:cs="Times New Roman"/>
                <w:sz w:val="20"/>
                <w:szCs w:val="20"/>
              </w:rPr>
            </w:pPr>
            <w:r w:rsidRPr="00B55692">
              <w:rPr>
                <w:rFonts w:ascii="Times New Roman" w:hAnsi="Times New Roman" w:cs="Times New Roman"/>
                <w:sz w:val="20"/>
                <w:szCs w:val="20"/>
              </w:rPr>
              <w:t>20.8</w:t>
            </w:r>
          </w:p>
        </w:tc>
      </w:tr>
    </w:tbl>
    <w:p w14:paraId="25A236FD" w14:textId="7FEB6DB2" w:rsidR="00111C93" w:rsidRPr="002A3596" w:rsidRDefault="00111C93" w:rsidP="00111C93">
      <w:pPr>
        <w:pStyle w:val="tablelegends"/>
      </w:pPr>
      <w:r w:rsidRPr="002A3596">
        <w:lastRenderedPageBreak/>
        <w:t>*Taken from baseline incidence rates in England in 2015 in women with BMI 27 (kg/m</w:t>
      </w:r>
      <w:r w:rsidRPr="002A3596">
        <w:rPr>
          <w:vertAlign w:val="superscript"/>
        </w:rPr>
        <w:t>2</w:t>
      </w:r>
      <w:r w:rsidRPr="002A3596">
        <w:t xml:space="preserve">) </w:t>
      </w:r>
    </w:p>
    <w:p w14:paraId="321F52D8" w14:textId="4ECF98B4" w:rsidR="00C054CA" w:rsidRDefault="00111C93" w:rsidP="00607CD7">
      <w:pPr>
        <w:pStyle w:val="tablelegends"/>
      </w:pPr>
      <w:r w:rsidRPr="002A3596">
        <w:t>Note: Since the background incidence of breast cancer differs by EU country, the number of additional cases of breast cancer will also change</w:t>
      </w:r>
      <w:r w:rsidRPr="002A3596">
        <w:rPr>
          <w:b/>
          <w:i/>
        </w:rPr>
        <w:t xml:space="preserve"> </w:t>
      </w:r>
      <w:r w:rsidRPr="002A3596">
        <w:t>proportionately</w:t>
      </w:r>
    </w:p>
    <w:p w14:paraId="4A82D53B" w14:textId="11689C39" w:rsidR="0013062A" w:rsidRPr="002A3596" w:rsidRDefault="00111C93" w:rsidP="00ED7494">
      <w:pPr>
        <w:pStyle w:val="Caption"/>
      </w:pPr>
      <w:r w:rsidRPr="002A3596">
        <w:t xml:space="preserve">Table </w:t>
      </w:r>
      <w:r w:rsidRPr="002A3596">
        <w:fldChar w:fldCharType="begin"/>
      </w:r>
      <w:r w:rsidRPr="002A3596">
        <w:instrText xml:space="preserve"> SEQ Table \* ARABIC </w:instrText>
      </w:r>
      <w:r w:rsidRPr="002A3596">
        <w:fldChar w:fldCharType="separate"/>
      </w:r>
      <w:r w:rsidR="00551C94">
        <w:rPr>
          <w:noProof/>
        </w:rPr>
        <w:t>5</w:t>
      </w:r>
      <w:r w:rsidRPr="002A3596">
        <w:fldChar w:fldCharType="end"/>
      </w:r>
      <w:r w:rsidR="00471E27">
        <w:t>:</w:t>
      </w:r>
      <w:r w:rsidRPr="002A3596">
        <w:t xml:space="preserve"> </w:t>
      </w:r>
      <w:r w:rsidRPr="002A3596">
        <w:tab/>
        <w:t>US WHI studies - additional risk of breast cancer after 5 years' use</w:t>
      </w:r>
    </w:p>
    <w:tbl>
      <w:tblPr>
        <w:tblW w:w="5000" w:type="pct"/>
        <w:tblBorders>
          <w:top w:val="outset" w:sz="6" w:space="0" w:color="7B7B7B"/>
          <w:left w:val="outset" w:sz="6" w:space="0" w:color="7B7B7B"/>
          <w:bottom w:val="outset" w:sz="6" w:space="0" w:color="7B7B7B"/>
          <w:right w:val="outset" w:sz="6" w:space="0" w:color="7B7B7B"/>
        </w:tblBorders>
        <w:tblCellMar>
          <w:top w:w="20" w:type="dxa"/>
          <w:left w:w="20" w:type="dxa"/>
          <w:bottom w:w="20" w:type="dxa"/>
          <w:right w:w="20" w:type="dxa"/>
        </w:tblCellMar>
        <w:tblLook w:val="04A0" w:firstRow="1" w:lastRow="0" w:firstColumn="1" w:lastColumn="0" w:noHBand="0" w:noVBand="1"/>
      </w:tblPr>
      <w:tblGrid>
        <w:gridCol w:w="2078"/>
        <w:gridCol w:w="3118"/>
        <w:gridCol w:w="2077"/>
        <w:gridCol w:w="2239"/>
      </w:tblGrid>
      <w:tr w:rsidR="00111C93" w:rsidRPr="00B55692" w14:paraId="7F3D6CA4" w14:textId="77777777" w:rsidTr="00B4539B">
        <w:trPr>
          <w:trHeight w:val="811"/>
        </w:trPr>
        <w:tc>
          <w:tcPr>
            <w:tcW w:w="1092"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1BCBB7C7" w14:textId="7FEDFCDE" w:rsidR="00111C93" w:rsidRPr="00B55692" w:rsidRDefault="00111C93" w:rsidP="00111C93">
            <w:pPr>
              <w:rPr>
                <w:rFonts w:ascii="Times New Roman" w:hAnsi="Times New Roman" w:cs="Times New Roman"/>
                <w:b/>
                <w:bCs/>
                <w:sz w:val="20"/>
                <w:szCs w:val="20"/>
              </w:rPr>
            </w:pPr>
            <w:r w:rsidRPr="00B55692">
              <w:rPr>
                <w:rFonts w:ascii="Times New Roman" w:hAnsi="Times New Roman" w:cs="Times New Roman"/>
                <w:b/>
                <w:bCs/>
                <w:sz w:val="20"/>
                <w:szCs w:val="20"/>
              </w:rPr>
              <w:t xml:space="preserve">Age range (years) </w:t>
            </w:r>
          </w:p>
        </w:tc>
        <w:tc>
          <w:tcPr>
            <w:tcW w:w="1639"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71561479" w14:textId="77777777" w:rsidR="00111C93" w:rsidRPr="00B55692" w:rsidRDefault="00111C93" w:rsidP="00111C93">
            <w:pPr>
              <w:rPr>
                <w:rFonts w:ascii="Times New Roman" w:hAnsi="Times New Roman" w:cs="Times New Roman"/>
                <w:b/>
                <w:bCs/>
                <w:sz w:val="20"/>
                <w:szCs w:val="20"/>
              </w:rPr>
            </w:pPr>
            <w:r w:rsidRPr="00B55692">
              <w:rPr>
                <w:rFonts w:ascii="Times New Roman" w:hAnsi="Times New Roman" w:cs="Times New Roman"/>
                <w:b/>
                <w:bCs/>
                <w:sz w:val="20"/>
                <w:szCs w:val="20"/>
              </w:rPr>
              <w:t xml:space="preserve">Incidence per 1000 women in placebo arm over 5 years </w:t>
            </w:r>
          </w:p>
        </w:tc>
        <w:tc>
          <w:tcPr>
            <w:tcW w:w="1092"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0E5C553B" w14:textId="77777777" w:rsidR="00111C93" w:rsidRPr="00B55692" w:rsidRDefault="00111C93" w:rsidP="00111C93">
            <w:pPr>
              <w:rPr>
                <w:rFonts w:ascii="Times New Roman" w:hAnsi="Times New Roman" w:cs="Times New Roman"/>
                <w:b/>
                <w:bCs/>
                <w:sz w:val="20"/>
                <w:szCs w:val="20"/>
              </w:rPr>
            </w:pPr>
            <w:r w:rsidRPr="00B55692">
              <w:rPr>
                <w:rFonts w:ascii="Times New Roman" w:hAnsi="Times New Roman" w:cs="Times New Roman"/>
                <w:b/>
                <w:bCs/>
                <w:sz w:val="20"/>
                <w:szCs w:val="20"/>
              </w:rPr>
              <w:t xml:space="preserve">Risk ratio &amp; 95%CI </w:t>
            </w:r>
          </w:p>
        </w:tc>
        <w:tc>
          <w:tcPr>
            <w:tcW w:w="1177"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073E61DF" w14:textId="77777777" w:rsidR="00111C93" w:rsidRPr="00B55692" w:rsidRDefault="00111C93" w:rsidP="00111C93">
            <w:pPr>
              <w:rPr>
                <w:rFonts w:ascii="Times New Roman" w:hAnsi="Times New Roman" w:cs="Times New Roman"/>
                <w:b/>
                <w:bCs/>
                <w:sz w:val="20"/>
                <w:szCs w:val="20"/>
              </w:rPr>
            </w:pPr>
            <w:r w:rsidRPr="00B55692">
              <w:rPr>
                <w:rFonts w:ascii="Times New Roman" w:hAnsi="Times New Roman" w:cs="Times New Roman"/>
                <w:b/>
                <w:bCs/>
                <w:sz w:val="20"/>
                <w:szCs w:val="20"/>
              </w:rPr>
              <w:t xml:space="preserve">Additional cases per 1000 HRT users over 5 years (95%CI) </w:t>
            </w:r>
          </w:p>
        </w:tc>
      </w:tr>
      <w:tr w:rsidR="00111C93" w:rsidRPr="00B55692" w14:paraId="4D50BEFA" w14:textId="77777777" w:rsidTr="00111C93">
        <w:trPr>
          <w:trHeight w:val="437"/>
        </w:trPr>
        <w:tc>
          <w:tcPr>
            <w:tcW w:w="5000" w:type="pct"/>
            <w:gridSpan w:val="4"/>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3A9A5236" w14:textId="57C4F79D" w:rsidR="00111C93" w:rsidRPr="00B55692" w:rsidRDefault="00111C93" w:rsidP="00111C93">
            <w:pPr>
              <w:jc w:val="center"/>
              <w:rPr>
                <w:rFonts w:ascii="Times New Roman" w:hAnsi="Times New Roman" w:cs="Times New Roman"/>
                <w:sz w:val="20"/>
                <w:szCs w:val="20"/>
              </w:rPr>
            </w:pPr>
            <w:r w:rsidRPr="00B55692">
              <w:rPr>
                <w:rFonts w:ascii="Times New Roman" w:hAnsi="Times New Roman" w:cs="Times New Roman"/>
                <w:b/>
                <w:bCs/>
                <w:sz w:val="20"/>
                <w:szCs w:val="20"/>
              </w:rPr>
              <w:t>CEE estrogen-only</w:t>
            </w:r>
          </w:p>
        </w:tc>
      </w:tr>
      <w:tr w:rsidR="00111C93" w:rsidRPr="00B55692" w14:paraId="240FB4ED" w14:textId="77777777" w:rsidTr="00111C93">
        <w:trPr>
          <w:trHeight w:val="437"/>
        </w:trPr>
        <w:tc>
          <w:tcPr>
            <w:tcW w:w="1092"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2DBB6319" w14:textId="77777777" w:rsidR="00111C93" w:rsidRPr="00B55692" w:rsidRDefault="00111C93" w:rsidP="00111C93">
            <w:pPr>
              <w:rPr>
                <w:rFonts w:ascii="Times New Roman" w:hAnsi="Times New Roman" w:cs="Times New Roman"/>
                <w:sz w:val="20"/>
                <w:szCs w:val="20"/>
              </w:rPr>
            </w:pPr>
            <w:r w:rsidRPr="00B55692">
              <w:rPr>
                <w:rFonts w:ascii="Times New Roman" w:hAnsi="Times New Roman" w:cs="Times New Roman"/>
                <w:sz w:val="20"/>
                <w:szCs w:val="20"/>
              </w:rPr>
              <w:t xml:space="preserve">50-79 </w:t>
            </w:r>
          </w:p>
        </w:tc>
        <w:tc>
          <w:tcPr>
            <w:tcW w:w="1639"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08D58D9A" w14:textId="77777777" w:rsidR="00111C93" w:rsidRPr="00B55692" w:rsidRDefault="00111C93" w:rsidP="00111C93">
            <w:pPr>
              <w:rPr>
                <w:rFonts w:ascii="Times New Roman" w:hAnsi="Times New Roman" w:cs="Times New Roman"/>
                <w:sz w:val="20"/>
                <w:szCs w:val="20"/>
              </w:rPr>
            </w:pPr>
            <w:r w:rsidRPr="00B55692">
              <w:rPr>
                <w:rFonts w:ascii="Times New Roman" w:hAnsi="Times New Roman" w:cs="Times New Roman"/>
                <w:sz w:val="20"/>
                <w:szCs w:val="20"/>
              </w:rPr>
              <w:t xml:space="preserve">21 </w:t>
            </w:r>
          </w:p>
        </w:tc>
        <w:tc>
          <w:tcPr>
            <w:tcW w:w="1092"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03A6066B" w14:textId="77777777" w:rsidR="00111C93" w:rsidRPr="00B55692" w:rsidRDefault="00111C93" w:rsidP="00111C93">
            <w:pPr>
              <w:rPr>
                <w:rFonts w:ascii="Times New Roman" w:hAnsi="Times New Roman" w:cs="Times New Roman"/>
                <w:sz w:val="20"/>
                <w:szCs w:val="20"/>
              </w:rPr>
            </w:pPr>
            <w:r w:rsidRPr="00B55692">
              <w:rPr>
                <w:rFonts w:ascii="Times New Roman" w:hAnsi="Times New Roman" w:cs="Times New Roman"/>
                <w:sz w:val="20"/>
                <w:szCs w:val="20"/>
              </w:rPr>
              <w:t xml:space="preserve">0.8 (0.7 – 1.0) </w:t>
            </w:r>
          </w:p>
        </w:tc>
        <w:tc>
          <w:tcPr>
            <w:tcW w:w="1177"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1350F690" w14:textId="37D614EC" w:rsidR="00111C93" w:rsidRPr="00B55692" w:rsidRDefault="00111C93" w:rsidP="00111C93">
            <w:pPr>
              <w:rPr>
                <w:rFonts w:ascii="Times New Roman" w:hAnsi="Times New Roman" w:cs="Times New Roman"/>
                <w:sz w:val="20"/>
                <w:szCs w:val="20"/>
              </w:rPr>
            </w:pPr>
            <w:r w:rsidRPr="00B55692">
              <w:rPr>
                <w:rFonts w:ascii="Times New Roman" w:hAnsi="Times New Roman" w:cs="Times New Roman"/>
                <w:sz w:val="20"/>
                <w:szCs w:val="20"/>
              </w:rPr>
              <w:t>-4 (-6 – 0) *</w:t>
            </w:r>
            <w:r w:rsidRPr="00B55692">
              <w:rPr>
                <w:rFonts w:ascii="Times New Roman" w:hAnsi="Times New Roman" w:cs="Times New Roman"/>
                <w:sz w:val="20"/>
                <w:szCs w:val="20"/>
                <w:vertAlign w:val="superscript"/>
              </w:rPr>
              <w:t>2</w:t>
            </w:r>
            <w:r w:rsidRPr="00B55692">
              <w:rPr>
                <w:rFonts w:ascii="Times New Roman" w:hAnsi="Times New Roman" w:cs="Times New Roman"/>
                <w:sz w:val="20"/>
                <w:szCs w:val="20"/>
              </w:rPr>
              <w:t xml:space="preserve"> </w:t>
            </w:r>
          </w:p>
        </w:tc>
      </w:tr>
      <w:tr w:rsidR="00111C93" w:rsidRPr="00B55692" w14:paraId="5AC96863" w14:textId="77777777" w:rsidTr="00111C93">
        <w:trPr>
          <w:trHeight w:val="437"/>
        </w:trPr>
        <w:tc>
          <w:tcPr>
            <w:tcW w:w="5000" w:type="pct"/>
            <w:gridSpan w:val="4"/>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099CADEF" w14:textId="3A5C392C" w:rsidR="00111C93" w:rsidRPr="00B55692" w:rsidRDefault="00111C93" w:rsidP="00111C93">
            <w:pPr>
              <w:jc w:val="center"/>
              <w:rPr>
                <w:rFonts w:ascii="Times New Roman" w:hAnsi="Times New Roman" w:cs="Times New Roman"/>
                <w:sz w:val="20"/>
                <w:szCs w:val="20"/>
              </w:rPr>
            </w:pPr>
            <w:r w:rsidRPr="00B55692">
              <w:rPr>
                <w:rFonts w:ascii="Times New Roman" w:hAnsi="Times New Roman" w:cs="Times New Roman"/>
                <w:b/>
                <w:bCs/>
                <w:sz w:val="20"/>
                <w:szCs w:val="20"/>
              </w:rPr>
              <w:t>CEE+MPA estrogen &amp; progestogen‡</w:t>
            </w:r>
          </w:p>
        </w:tc>
      </w:tr>
      <w:tr w:rsidR="00111C93" w:rsidRPr="00B55692" w14:paraId="0B06F956" w14:textId="77777777" w:rsidTr="00111C93">
        <w:trPr>
          <w:trHeight w:val="437"/>
        </w:trPr>
        <w:tc>
          <w:tcPr>
            <w:tcW w:w="1092"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7BB69180" w14:textId="77777777" w:rsidR="00111C93" w:rsidRPr="00B55692" w:rsidRDefault="00111C93" w:rsidP="00111C93">
            <w:pPr>
              <w:rPr>
                <w:rFonts w:ascii="Times New Roman" w:hAnsi="Times New Roman" w:cs="Times New Roman"/>
                <w:sz w:val="20"/>
                <w:szCs w:val="20"/>
              </w:rPr>
            </w:pPr>
            <w:r w:rsidRPr="00B55692">
              <w:rPr>
                <w:rFonts w:ascii="Times New Roman" w:hAnsi="Times New Roman" w:cs="Times New Roman"/>
                <w:sz w:val="20"/>
                <w:szCs w:val="20"/>
              </w:rPr>
              <w:t xml:space="preserve">50-79 </w:t>
            </w:r>
          </w:p>
        </w:tc>
        <w:tc>
          <w:tcPr>
            <w:tcW w:w="1639"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25F8DF27" w14:textId="77777777" w:rsidR="00111C93" w:rsidRPr="00B55692" w:rsidRDefault="00111C93" w:rsidP="00111C93">
            <w:pPr>
              <w:rPr>
                <w:rFonts w:ascii="Times New Roman" w:hAnsi="Times New Roman" w:cs="Times New Roman"/>
                <w:sz w:val="20"/>
                <w:szCs w:val="20"/>
              </w:rPr>
            </w:pPr>
            <w:r w:rsidRPr="00B55692">
              <w:rPr>
                <w:rFonts w:ascii="Times New Roman" w:hAnsi="Times New Roman" w:cs="Times New Roman"/>
                <w:sz w:val="20"/>
                <w:szCs w:val="20"/>
              </w:rPr>
              <w:t xml:space="preserve">17 </w:t>
            </w:r>
          </w:p>
        </w:tc>
        <w:tc>
          <w:tcPr>
            <w:tcW w:w="1092"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57959430" w14:textId="77777777" w:rsidR="00111C93" w:rsidRPr="00B55692" w:rsidRDefault="00111C93" w:rsidP="00111C93">
            <w:pPr>
              <w:rPr>
                <w:rFonts w:ascii="Times New Roman" w:hAnsi="Times New Roman" w:cs="Times New Roman"/>
                <w:sz w:val="20"/>
                <w:szCs w:val="20"/>
              </w:rPr>
            </w:pPr>
            <w:r w:rsidRPr="00B55692">
              <w:rPr>
                <w:rFonts w:ascii="Times New Roman" w:hAnsi="Times New Roman" w:cs="Times New Roman"/>
                <w:sz w:val="20"/>
                <w:szCs w:val="20"/>
              </w:rPr>
              <w:t xml:space="preserve">1.2 (1.0 – 1.5) </w:t>
            </w:r>
          </w:p>
        </w:tc>
        <w:tc>
          <w:tcPr>
            <w:tcW w:w="1177"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2062D80C" w14:textId="77777777" w:rsidR="00111C93" w:rsidRPr="00B55692" w:rsidRDefault="00111C93" w:rsidP="00111C93">
            <w:pPr>
              <w:rPr>
                <w:rFonts w:ascii="Times New Roman" w:hAnsi="Times New Roman" w:cs="Times New Roman"/>
                <w:sz w:val="20"/>
                <w:szCs w:val="20"/>
              </w:rPr>
            </w:pPr>
            <w:r w:rsidRPr="00B55692">
              <w:rPr>
                <w:rFonts w:ascii="Times New Roman" w:hAnsi="Times New Roman" w:cs="Times New Roman"/>
                <w:sz w:val="20"/>
                <w:szCs w:val="20"/>
              </w:rPr>
              <w:t xml:space="preserve">+4 (0 – 9) </w:t>
            </w:r>
          </w:p>
        </w:tc>
      </w:tr>
    </w:tbl>
    <w:p w14:paraId="63760DE2" w14:textId="77777777" w:rsidR="00EE6066" w:rsidRPr="00EE6066" w:rsidRDefault="00EE6066" w:rsidP="0093587A">
      <w:pPr>
        <w:pStyle w:val="tablelegends"/>
        <w:keepNext w:val="0"/>
      </w:pPr>
      <w:r w:rsidRPr="00EE6066">
        <w:rPr>
          <w:vertAlign w:val="superscript"/>
        </w:rPr>
        <w:t>2</w:t>
      </w:r>
      <w:r w:rsidRPr="00EE6066">
        <w:rPr>
          <w:i/>
          <w:iCs/>
        </w:rPr>
        <w:t>WHI study in women with no uterus, which did not show an increase in risk of breast cancer</w:t>
      </w:r>
    </w:p>
    <w:p w14:paraId="42FF8A91" w14:textId="77777777" w:rsidR="00EE6066" w:rsidRPr="00EE6066" w:rsidRDefault="00EE6066" w:rsidP="0093587A">
      <w:pPr>
        <w:pStyle w:val="tablelegends"/>
        <w:keepNext w:val="0"/>
      </w:pPr>
      <w:r w:rsidRPr="00EE6066">
        <w:t xml:space="preserve">‡When the analysis was restricted to women who had not used HRT prior to the study there was no increased risk apparent during the first 5 years of treatment: after 5 years the risk was higher than in non-users. </w:t>
      </w:r>
    </w:p>
    <w:p w14:paraId="7ECA5323" w14:textId="77777777" w:rsidR="00EE6066" w:rsidRPr="002A3596" w:rsidRDefault="00EE6066" w:rsidP="002D0BCA">
      <w:pPr>
        <w:pStyle w:val="Heading3"/>
      </w:pPr>
      <w:bookmarkStart w:id="8" w:name="_Ref69885774"/>
      <w:r w:rsidRPr="002A3596">
        <w:t>Endometrial cancer</w:t>
      </w:r>
      <w:bookmarkEnd w:id="8"/>
      <w:r w:rsidRPr="002A3596">
        <w:t xml:space="preserve"> </w:t>
      </w:r>
    </w:p>
    <w:p w14:paraId="32E4670B" w14:textId="77777777" w:rsidR="00EE6066" w:rsidRPr="002A3596" w:rsidRDefault="00EE6066" w:rsidP="0093587A">
      <w:pPr>
        <w:pStyle w:val="subheading4BOLD"/>
      </w:pPr>
      <w:r w:rsidRPr="002A3596">
        <w:t>Postmenopausal women with a uterus</w:t>
      </w:r>
    </w:p>
    <w:p w14:paraId="7F51D840" w14:textId="77777777" w:rsidR="00EE6066" w:rsidRPr="002A3596" w:rsidRDefault="00EE6066" w:rsidP="0093587A">
      <w:pPr>
        <w:pStyle w:val="BodyText"/>
        <w:keepNext/>
        <w:widowControl w:val="0"/>
        <w:spacing w:line="276" w:lineRule="auto"/>
      </w:pPr>
      <w:r w:rsidRPr="002A3596">
        <w:t>The endometrial cancer risk is about 5 in every 1000 women with a uterus not using HRT.</w:t>
      </w:r>
    </w:p>
    <w:p w14:paraId="01E2057E" w14:textId="16474DE3" w:rsidR="00EE6066" w:rsidRPr="002A3596" w:rsidRDefault="00EE6066" w:rsidP="00EE6066">
      <w:pPr>
        <w:pStyle w:val="BodyText"/>
      </w:pPr>
      <w:r w:rsidRPr="002A3596">
        <w:t xml:space="preserve">In women with a uterus, use of estrogen-only HRT is not recommended because it increases the risk of endometrial cancer (see </w:t>
      </w:r>
      <w:r w:rsidR="00584413">
        <w:t>S</w:t>
      </w:r>
      <w:r w:rsidRPr="002A3596">
        <w:t xml:space="preserve">ection </w:t>
      </w:r>
      <w:r w:rsidR="00E91DDA">
        <w:fldChar w:fldCharType="begin"/>
      </w:r>
      <w:r w:rsidR="00E91DDA">
        <w:instrText xml:space="preserve"> REF _Ref69885430 \r \h </w:instrText>
      </w:r>
      <w:r w:rsidR="00E91DDA">
        <w:fldChar w:fldCharType="separate"/>
      </w:r>
      <w:r w:rsidR="00551C94">
        <w:t>4.4</w:t>
      </w:r>
      <w:r w:rsidR="00E91DDA">
        <w:fldChar w:fldCharType="end"/>
      </w:r>
      <w:r w:rsidR="00584413">
        <w:t xml:space="preserve"> </w:t>
      </w:r>
      <w:r w:rsidR="00584413">
        <w:fldChar w:fldCharType="begin"/>
      </w:r>
      <w:r w:rsidR="00584413">
        <w:instrText xml:space="preserve"> REF _Ref69885430 \h </w:instrText>
      </w:r>
      <w:r w:rsidR="00584413">
        <w:fldChar w:fldCharType="separate"/>
      </w:r>
      <w:r w:rsidR="00551C94" w:rsidRPr="002A3596">
        <w:t>Special warnings and precautions for use</w:t>
      </w:r>
      <w:r w:rsidR="00584413">
        <w:fldChar w:fldCharType="end"/>
      </w:r>
      <w:r w:rsidRPr="002A3596">
        <w:t xml:space="preserve">). Depending on the duration of estrogen-only use and estrogen dose, the increase in risk of endometrial cancer in epidemiology studies varied from between 5 and 55 extra cases diagnosed in every 1000 between the ages of 50 and 65. </w:t>
      </w:r>
    </w:p>
    <w:p w14:paraId="56F95829" w14:textId="4E050035" w:rsidR="00EE6066" w:rsidRDefault="00EE6066" w:rsidP="00EE6066">
      <w:pPr>
        <w:pStyle w:val="BodyText"/>
      </w:pPr>
      <w:r w:rsidRPr="002A3596">
        <w:t>Adding a progestogen to estrogen-only therapy for at least 12 days per cycle can prevent this increased risk. In the Million Women Study the use of five years of combined (sequential or continuous) HRT did not increase risk of endometrial cancer (R.R of 1 .0 (0.8-1.2)).</w:t>
      </w:r>
    </w:p>
    <w:p w14:paraId="30E5D5F5" w14:textId="63EE021D" w:rsidR="00AE01E0" w:rsidRDefault="00AE01E0" w:rsidP="00EE6066">
      <w:pPr>
        <w:pStyle w:val="BodyText"/>
      </w:pPr>
      <w:r w:rsidRPr="00AE01E0">
        <w:t>Endometrial hyperplasia (a possible precursor of endometrial cancer) has been reported to occur at a rate of approximately 1 percent or less with BIJUVA</w:t>
      </w:r>
      <w:r>
        <w:t xml:space="preserve"> 1/100</w:t>
      </w:r>
      <w:r w:rsidRPr="00AE01E0">
        <w:t xml:space="preserve"> (</w:t>
      </w:r>
      <w:proofErr w:type="spellStart"/>
      <w:r w:rsidRPr="00AE01E0">
        <w:t>estradiol</w:t>
      </w:r>
      <w:proofErr w:type="spellEnd"/>
      <w:r w:rsidRPr="00AE01E0">
        <w:t xml:space="preserve"> and progesterone) capsules, 1 mg/100 mg</w:t>
      </w:r>
      <w:r>
        <w:t xml:space="preserve"> (see Section 5.1 </w:t>
      </w:r>
      <w:r w:rsidR="003A46CA">
        <w:fldChar w:fldCharType="begin"/>
      </w:r>
      <w:r w:rsidR="003A46CA">
        <w:instrText xml:space="preserve"> REF _Ref59624588 \h </w:instrText>
      </w:r>
      <w:r w:rsidR="003A46CA">
        <w:fldChar w:fldCharType="separate"/>
      </w:r>
      <w:r w:rsidR="00551C94" w:rsidRPr="002A3596">
        <w:t>Pharmacodynamic properties</w:t>
      </w:r>
      <w:r w:rsidR="003A46CA">
        <w:fldChar w:fldCharType="end"/>
      </w:r>
      <w:r>
        <w:t>)</w:t>
      </w:r>
      <w:r w:rsidRPr="00AE01E0">
        <w:t>.</w:t>
      </w:r>
    </w:p>
    <w:p w14:paraId="36B80F3D" w14:textId="77777777" w:rsidR="00EE6066" w:rsidRPr="002A3596" w:rsidRDefault="00EE6066" w:rsidP="002D0BCA">
      <w:pPr>
        <w:pStyle w:val="Heading3"/>
      </w:pPr>
      <w:bookmarkStart w:id="9" w:name="_Ref69885806"/>
      <w:r w:rsidRPr="002A3596">
        <w:lastRenderedPageBreak/>
        <w:t>Ovarian cancer</w:t>
      </w:r>
      <w:bookmarkEnd w:id="9"/>
      <w:r w:rsidRPr="002A3596">
        <w:t xml:space="preserve"> </w:t>
      </w:r>
    </w:p>
    <w:p w14:paraId="4E2D68AE" w14:textId="1B6953DB" w:rsidR="00EE6066" w:rsidRPr="002A3596" w:rsidRDefault="00EE6066" w:rsidP="00EE6066">
      <w:pPr>
        <w:pStyle w:val="BodyText"/>
      </w:pPr>
      <w:r w:rsidRPr="002A3596">
        <w:t xml:space="preserve">Use of estrogen-only or combined estrogen-progestogen HRT has been associated with a slightly increased risk of having ovarian cancer diagnosed (see </w:t>
      </w:r>
      <w:r w:rsidR="00584413">
        <w:t>S</w:t>
      </w:r>
      <w:r w:rsidRPr="002A3596">
        <w:t>ection 4.4</w:t>
      </w:r>
      <w:r w:rsidR="00584413">
        <w:t xml:space="preserve"> </w:t>
      </w:r>
      <w:r w:rsidR="00584413">
        <w:fldChar w:fldCharType="begin"/>
      </w:r>
      <w:r w:rsidR="00584413">
        <w:instrText xml:space="preserve"> REF _Ref69885430 \h </w:instrText>
      </w:r>
      <w:r w:rsidR="00584413">
        <w:fldChar w:fldCharType="separate"/>
      </w:r>
      <w:r w:rsidR="00551C94" w:rsidRPr="002A3596">
        <w:t>Special warnings and precautions for use</w:t>
      </w:r>
      <w:r w:rsidR="00584413">
        <w:fldChar w:fldCharType="end"/>
      </w:r>
      <w:r w:rsidRPr="002A3596">
        <w:t xml:space="preserve">). </w:t>
      </w:r>
    </w:p>
    <w:p w14:paraId="3F15CD07" w14:textId="77777777" w:rsidR="00EE6066" w:rsidRPr="002A3596" w:rsidRDefault="00EE6066" w:rsidP="00EE6066">
      <w:pPr>
        <w:pStyle w:val="BodyText"/>
      </w:pPr>
      <w:r w:rsidRPr="002A3596">
        <w:t>A meta-analysis from 52 epidemiological studies reported an increased risk of ovarian cancer in women currently using HRT compared to women who have never used HRT (RR 1.43, 95% CI 1.31-1.56). For women aged 50 to 54 years taking 5 years of HRT, this results in about 1 extra case per 2000 users. In women aged 50 to 54 who are not taking HRT, about 2 women in 2000 will be diagnosed with ovarian cancer over a 5-year period.</w:t>
      </w:r>
    </w:p>
    <w:p w14:paraId="1A97526B" w14:textId="77777777" w:rsidR="00277A33" w:rsidRPr="00277A33" w:rsidRDefault="00277A33" w:rsidP="00C153AE">
      <w:pPr>
        <w:pStyle w:val="subheading4BOLD"/>
      </w:pPr>
      <w:r w:rsidRPr="00277A33">
        <w:t xml:space="preserve">Risk of venous thromboembolism </w:t>
      </w:r>
    </w:p>
    <w:p w14:paraId="3A419841" w14:textId="1CDD2D16" w:rsidR="00277A33" w:rsidRPr="00277A33" w:rsidRDefault="00277A33" w:rsidP="00277A33">
      <w:pPr>
        <w:pStyle w:val="BodyText"/>
      </w:pPr>
      <w:r w:rsidRPr="00277A33">
        <w:t>HRT is associated with a 1.3-3-fold increased relative risk of developing venous thromboembolism (VTE), i.e.</w:t>
      </w:r>
      <w:r w:rsidR="00F91B0B">
        <w:t>,</w:t>
      </w:r>
      <w:r w:rsidRPr="00277A33">
        <w:t xml:space="preserve"> deep vein thrombosis or pulmonary embolism. The occurrence of such an event is more likely in the first year of using H</w:t>
      </w:r>
      <w:r w:rsidR="000C2F6B">
        <w:t>R</w:t>
      </w:r>
      <w:r w:rsidRPr="00277A33">
        <w:t xml:space="preserve">T (see section </w:t>
      </w:r>
      <w:r w:rsidR="00E91DDA">
        <w:fldChar w:fldCharType="begin"/>
      </w:r>
      <w:r w:rsidR="00E91DDA">
        <w:instrText xml:space="preserve"> REF _Ref69885430 \r \h </w:instrText>
      </w:r>
      <w:r w:rsidR="00E91DDA">
        <w:fldChar w:fldCharType="separate"/>
      </w:r>
      <w:r w:rsidR="00551C94">
        <w:t>4.4</w:t>
      </w:r>
      <w:r w:rsidR="00E91DDA">
        <w:fldChar w:fldCharType="end"/>
      </w:r>
      <w:r w:rsidR="00584413">
        <w:t xml:space="preserve"> </w:t>
      </w:r>
      <w:r w:rsidR="00584413">
        <w:fldChar w:fldCharType="begin"/>
      </w:r>
      <w:r w:rsidR="00584413">
        <w:instrText xml:space="preserve"> REF _Ref69885430 \h </w:instrText>
      </w:r>
      <w:r w:rsidR="00584413">
        <w:fldChar w:fldCharType="separate"/>
      </w:r>
      <w:r w:rsidR="00551C94" w:rsidRPr="002A3596">
        <w:t>Special warnings and precautions for use</w:t>
      </w:r>
      <w:r w:rsidR="00584413">
        <w:fldChar w:fldCharType="end"/>
      </w:r>
      <w:r w:rsidRPr="00277A33">
        <w:t>). Results of the WHI studies are presented</w:t>
      </w:r>
      <w:r w:rsidR="00A12918" w:rsidRPr="002A3596">
        <w:t xml:space="preserve"> in </w:t>
      </w:r>
      <w:r w:rsidR="00584413">
        <w:fldChar w:fldCharType="begin"/>
      </w:r>
      <w:r w:rsidR="00584413">
        <w:instrText xml:space="preserve"> REF _Ref67576168 \h </w:instrText>
      </w:r>
      <w:r w:rsidR="00584413">
        <w:fldChar w:fldCharType="separate"/>
      </w:r>
      <w:r w:rsidR="00551C94" w:rsidRPr="002A3596">
        <w:t xml:space="preserve">Table </w:t>
      </w:r>
      <w:r w:rsidR="00551C94">
        <w:rPr>
          <w:noProof/>
        </w:rPr>
        <w:t>6</w:t>
      </w:r>
      <w:r w:rsidR="00584413">
        <w:fldChar w:fldCharType="end"/>
      </w:r>
      <w:r w:rsidR="00584413">
        <w:t>.</w:t>
      </w:r>
    </w:p>
    <w:p w14:paraId="0BAA1859" w14:textId="033EF61F" w:rsidR="0013062A" w:rsidRPr="002A3596" w:rsidRDefault="00A12918" w:rsidP="00A12918">
      <w:pPr>
        <w:pStyle w:val="Caption"/>
      </w:pPr>
      <w:bookmarkStart w:id="10" w:name="_Ref67576168"/>
      <w:r w:rsidRPr="002A3596">
        <w:t xml:space="preserve">Table </w:t>
      </w:r>
      <w:r w:rsidRPr="002A3596">
        <w:fldChar w:fldCharType="begin"/>
      </w:r>
      <w:r w:rsidRPr="002A3596">
        <w:instrText xml:space="preserve"> SEQ Table \* ARABIC </w:instrText>
      </w:r>
      <w:r w:rsidRPr="002A3596">
        <w:fldChar w:fldCharType="separate"/>
      </w:r>
      <w:r w:rsidR="00551C94">
        <w:rPr>
          <w:noProof/>
        </w:rPr>
        <w:t>6</w:t>
      </w:r>
      <w:r w:rsidRPr="002A3596">
        <w:fldChar w:fldCharType="end"/>
      </w:r>
      <w:bookmarkEnd w:id="10"/>
      <w:r w:rsidR="00471E27">
        <w:t>:</w:t>
      </w:r>
      <w:r w:rsidRPr="002A3596">
        <w:t xml:space="preserve"> </w:t>
      </w:r>
      <w:r w:rsidRPr="002A3596">
        <w:tab/>
        <w:t>Additional risk of VTE over 5 years' use</w:t>
      </w:r>
    </w:p>
    <w:tbl>
      <w:tblPr>
        <w:tblW w:w="5000" w:type="pct"/>
        <w:tblBorders>
          <w:top w:val="outset" w:sz="6" w:space="0" w:color="7B7B7B"/>
          <w:left w:val="outset" w:sz="6" w:space="0" w:color="7B7B7B"/>
          <w:bottom w:val="outset" w:sz="6" w:space="0" w:color="7B7B7B"/>
          <w:right w:val="outset" w:sz="6" w:space="0" w:color="7B7B7B"/>
        </w:tblBorders>
        <w:tblCellMar>
          <w:top w:w="20" w:type="dxa"/>
          <w:left w:w="20" w:type="dxa"/>
          <w:bottom w:w="20" w:type="dxa"/>
          <w:right w:w="20" w:type="dxa"/>
        </w:tblCellMar>
        <w:tblLook w:val="04A0" w:firstRow="1" w:lastRow="0" w:firstColumn="1" w:lastColumn="0" w:noHBand="0" w:noVBand="1"/>
      </w:tblPr>
      <w:tblGrid>
        <w:gridCol w:w="2206"/>
        <w:gridCol w:w="3316"/>
        <w:gridCol w:w="2211"/>
        <w:gridCol w:w="1779"/>
      </w:tblGrid>
      <w:tr w:rsidR="00277A33" w:rsidRPr="00B55692" w14:paraId="617403FA" w14:textId="77777777" w:rsidTr="00B4539B">
        <w:trPr>
          <w:trHeight w:val="904"/>
        </w:trPr>
        <w:tc>
          <w:tcPr>
            <w:tcW w:w="1160"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76961826" w14:textId="77777777" w:rsidR="00277A33" w:rsidRPr="00B55692" w:rsidRDefault="00277A33" w:rsidP="00277A33">
            <w:pPr>
              <w:pStyle w:val="BodyText"/>
              <w:rPr>
                <w:b/>
                <w:bCs/>
                <w:sz w:val="20"/>
                <w:szCs w:val="20"/>
              </w:rPr>
            </w:pPr>
            <w:r w:rsidRPr="00B55692">
              <w:rPr>
                <w:b/>
                <w:bCs/>
                <w:sz w:val="20"/>
                <w:szCs w:val="20"/>
              </w:rPr>
              <w:t xml:space="preserve">Age range (years) </w:t>
            </w:r>
          </w:p>
        </w:tc>
        <w:tc>
          <w:tcPr>
            <w:tcW w:w="1743"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7729667B" w14:textId="77777777" w:rsidR="00277A33" w:rsidRPr="00B55692" w:rsidRDefault="00277A33" w:rsidP="00277A33">
            <w:pPr>
              <w:pStyle w:val="BodyText"/>
              <w:rPr>
                <w:b/>
                <w:bCs/>
                <w:sz w:val="20"/>
                <w:szCs w:val="20"/>
              </w:rPr>
            </w:pPr>
            <w:r w:rsidRPr="00B55692">
              <w:rPr>
                <w:b/>
                <w:bCs/>
                <w:sz w:val="20"/>
                <w:szCs w:val="20"/>
              </w:rPr>
              <w:t xml:space="preserve">Incidence per 1000 women in placebo arm over 5 years </w:t>
            </w:r>
          </w:p>
        </w:tc>
        <w:tc>
          <w:tcPr>
            <w:tcW w:w="1162"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0A4D867B" w14:textId="77777777" w:rsidR="00277A33" w:rsidRPr="00B55692" w:rsidRDefault="00277A33" w:rsidP="00277A33">
            <w:pPr>
              <w:pStyle w:val="BodyText"/>
              <w:rPr>
                <w:b/>
                <w:bCs/>
                <w:sz w:val="20"/>
                <w:szCs w:val="20"/>
              </w:rPr>
            </w:pPr>
            <w:r w:rsidRPr="00B55692">
              <w:rPr>
                <w:b/>
                <w:bCs/>
                <w:sz w:val="20"/>
                <w:szCs w:val="20"/>
              </w:rPr>
              <w:t xml:space="preserve">Risk ratio and 95%CI </w:t>
            </w:r>
          </w:p>
        </w:tc>
        <w:tc>
          <w:tcPr>
            <w:tcW w:w="935"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5B2CD1A8" w14:textId="77777777" w:rsidR="00277A33" w:rsidRPr="00B55692" w:rsidRDefault="00277A33" w:rsidP="00277A33">
            <w:pPr>
              <w:pStyle w:val="BodyText"/>
              <w:rPr>
                <w:b/>
                <w:bCs/>
                <w:sz w:val="20"/>
                <w:szCs w:val="20"/>
              </w:rPr>
            </w:pPr>
            <w:r w:rsidRPr="00B55692">
              <w:rPr>
                <w:b/>
                <w:bCs/>
                <w:sz w:val="20"/>
                <w:szCs w:val="20"/>
              </w:rPr>
              <w:t xml:space="preserve">Additional cases per 1000 HRT users </w:t>
            </w:r>
          </w:p>
        </w:tc>
      </w:tr>
      <w:tr w:rsidR="00277A33" w:rsidRPr="00B55692" w14:paraId="606E9874" w14:textId="77777777" w:rsidTr="00A12918">
        <w:tc>
          <w:tcPr>
            <w:tcW w:w="5000" w:type="pct"/>
            <w:gridSpan w:val="4"/>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3AC987E1" w14:textId="5820D3AF" w:rsidR="00277A33" w:rsidRPr="00B55692" w:rsidRDefault="00277A33" w:rsidP="00277A33">
            <w:pPr>
              <w:pStyle w:val="BodyText"/>
              <w:jc w:val="center"/>
              <w:rPr>
                <w:sz w:val="20"/>
                <w:szCs w:val="20"/>
              </w:rPr>
            </w:pPr>
            <w:r w:rsidRPr="00B55692">
              <w:rPr>
                <w:b/>
                <w:bCs/>
                <w:sz w:val="20"/>
                <w:szCs w:val="20"/>
              </w:rPr>
              <w:t>Oral estrogen-only*</w:t>
            </w:r>
            <w:r w:rsidRPr="00B55692">
              <w:rPr>
                <w:b/>
                <w:bCs/>
                <w:sz w:val="20"/>
                <w:szCs w:val="20"/>
                <w:vertAlign w:val="superscript"/>
              </w:rPr>
              <w:t>3</w:t>
            </w:r>
          </w:p>
        </w:tc>
      </w:tr>
      <w:tr w:rsidR="00277A33" w:rsidRPr="00B55692" w14:paraId="515F3A2A" w14:textId="77777777" w:rsidTr="00A12918">
        <w:trPr>
          <w:trHeight w:val="398"/>
        </w:trPr>
        <w:tc>
          <w:tcPr>
            <w:tcW w:w="1160"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0DDB928E" w14:textId="77777777" w:rsidR="00277A33" w:rsidRPr="00B55692" w:rsidRDefault="00277A33" w:rsidP="00277A33">
            <w:pPr>
              <w:pStyle w:val="BodyText"/>
              <w:rPr>
                <w:sz w:val="20"/>
                <w:szCs w:val="20"/>
              </w:rPr>
            </w:pPr>
            <w:r w:rsidRPr="00B55692">
              <w:rPr>
                <w:sz w:val="20"/>
                <w:szCs w:val="20"/>
              </w:rPr>
              <w:t xml:space="preserve">50-59 </w:t>
            </w:r>
          </w:p>
        </w:tc>
        <w:tc>
          <w:tcPr>
            <w:tcW w:w="1743"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3B920117" w14:textId="77777777" w:rsidR="00277A33" w:rsidRPr="00B55692" w:rsidRDefault="00277A33" w:rsidP="00277A33">
            <w:pPr>
              <w:pStyle w:val="BodyText"/>
              <w:rPr>
                <w:sz w:val="20"/>
                <w:szCs w:val="20"/>
              </w:rPr>
            </w:pPr>
            <w:r w:rsidRPr="00B55692">
              <w:rPr>
                <w:sz w:val="20"/>
                <w:szCs w:val="20"/>
              </w:rPr>
              <w:t xml:space="preserve">7 </w:t>
            </w:r>
          </w:p>
        </w:tc>
        <w:tc>
          <w:tcPr>
            <w:tcW w:w="1162"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6B40AF56" w14:textId="77777777" w:rsidR="00277A33" w:rsidRPr="00B55692" w:rsidRDefault="00277A33" w:rsidP="00277A33">
            <w:pPr>
              <w:pStyle w:val="BodyText"/>
              <w:rPr>
                <w:sz w:val="20"/>
                <w:szCs w:val="20"/>
              </w:rPr>
            </w:pPr>
            <w:r w:rsidRPr="00B55692">
              <w:rPr>
                <w:sz w:val="20"/>
                <w:szCs w:val="20"/>
              </w:rPr>
              <w:t xml:space="preserve">1.2 (0.6-2.4) </w:t>
            </w:r>
          </w:p>
        </w:tc>
        <w:tc>
          <w:tcPr>
            <w:tcW w:w="935"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2B936A3C" w14:textId="77777777" w:rsidR="00277A33" w:rsidRPr="00B55692" w:rsidRDefault="00277A33" w:rsidP="00277A33">
            <w:pPr>
              <w:pStyle w:val="BodyText"/>
              <w:rPr>
                <w:sz w:val="20"/>
                <w:szCs w:val="20"/>
              </w:rPr>
            </w:pPr>
            <w:r w:rsidRPr="00B55692">
              <w:rPr>
                <w:sz w:val="20"/>
                <w:szCs w:val="20"/>
              </w:rPr>
              <w:t xml:space="preserve">1 (-3 – 10) </w:t>
            </w:r>
          </w:p>
        </w:tc>
      </w:tr>
      <w:tr w:rsidR="00277A33" w:rsidRPr="00B55692" w14:paraId="42F68AC7" w14:textId="77777777" w:rsidTr="00A12918">
        <w:tc>
          <w:tcPr>
            <w:tcW w:w="5000" w:type="pct"/>
            <w:gridSpan w:val="4"/>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vAlign w:val="center"/>
            <w:hideMark/>
          </w:tcPr>
          <w:p w14:paraId="4D474A34" w14:textId="7E65C846" w:rsidR="00277A33" w:rsidRPr="00B55692" w:rsidRDefault="00277A33" w:rsidP="00277A33">
            <w:pPr>
              <w:pStyle w:val="BodyText"/>
              <w:jc w:val="center"/>
              <w:rPr>
                <w:sz w:val="20"/>
                <w:szCs w:val="20"/>
              </w:rPr>
            </w:pPr>
            <w:r w:rsidRPr="00B55692">
              <w:rPr>
                <w:b/>
                <w:bCs/>
                <w:sz w:val="20"/>
                <w:szCs w:val="20"/>
              </w:rPr>
              <w:t>Oral combined estrogen-progestogen</w:t>
            </w:r>
          </w:p>
        </w:tc>
      </w:tr>
      <w:tr w:rsidR="00277A33" w:rsidRPr="00B55692" w14:paraId="3A342113" w14:textId="77777777" w:rsidTr="00A12918">
        <w:tc>
          <w:tcPr>
            <w:tcW w:w="1160"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0736BEA0" w14:textId="77777777" w:rsidR="00277A33" w:rsidRPr="00B55692" w:rsidRDefault="00277A33" w:rsidP="00277A33">
            <w:pPr>
              <w:pStyle w:val="BodyText"/>
              <w:rPr>
                <w:sz w:val="20"/>
                <w:szCs w:val="20"/>
              </w:rPr>
            </w:pPr>
            <w:r w:rsidRPr="00B55692">
              <w:rPr>
                <w:sz w:val="20"/>
                <w:szCs w:val="20"/>
              </w:rPr>
              <w:t xml:space="preserve">50-59 </w:t>
            </w:r>
          </w:p>
        </w:tc>
        <w:tc>
          <w:tcPr>
            <w:tcW w:w="1743"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5A3BBACB" w14:textId="77777777" w:rsidR="00277A33" w:rsidRPr="00B55692" w:rsidRDefault="00277A33" w:rsidP="00277A33">
            <w:pPr>
              <w:pStyle w:val="BodyText"/>
              <w:rPr>
                <w:sz w:val="20"/>
                <w:szCs w:val="20"/>
              </w:rPr>
            </w:pPr>
            <w:r w:rsidRPr="00B55692">
              <w:rPr>
                <w:sz w:val="20"/>
                <w:szCs w:val="20"/>
              </w:rPr>
              <w:t xml:space="preserve">4 </w:t>
            </w:r>
          </w:p>
        </w:tc>
        <w:tc>
          <w:tcPr>
            <w:tcW w:w="1162"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4079E034" w14:textId="77777777" w:rsidR="00277A33" w:rsidRPr="00B55692" w:rsidRDefault="00277A33" w:rsidP="00277A33">
            <w:pPr>
              <w:pStyle w:val="BodyText"/>
              <w:rPr>
                <w:sz w:val="20"/>
                <w:szCs w:val="20"/>
              </w:rPr>
            </w:pPr>
            <w:r w:rsidRPr="00B55692">
              <w:rPr>
                <w:sz w:val="20"/>
                <w:szCs w:val="20"/>
              </w:rPr>
              <w:t xml:space="preserve">2.3 (1.2 – 4.3) </w:t>
            </w:r>
          </w:p>
        </w:tc>
        <w:tc>
          <w:tcPr>
            <w:tcW w:w="935"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1E9AF84B" w14:textId="77777777" w:rsidR="00277A33" w:rsidRPr="00B55692" w:rsidRDefault="00277A33" w:rsidP="00277A33">
            <w:pPr>
              <w:pStyle w:val="BodyText"/>
              <w:rPr>
                <w:sz w:val="20"/>
                <w:szCs w:val="20"/>
              </w:rPr>
            </w:pPr>
            <w:r w:rsidRPr="00B55692">
              <w:rPr>
                <w:sz w:val="20"/>
                <w:szCs w:val="20"/>
              </w:rPr>
              <w:t xml:space="preserve">5 (1 - 13) </w:t>
            </w:r>
          </w:p>
        </w:tc>
      </w:tr>
    </w:tbl>
    <w:p w14:paraId="22132520" w14:textId="5CDB7DD1" w:rsidR="00277A33" w:rsidRPr="0093587A" w:rsidRDefault="00A12918" w:rsidP="0093587A">
      <w:pPr>
        <w:pStyle w:val="tablelegends"/>
        <w:keepNext w:val="0"/>
      </w:pPr>
      <w:r w:rsidRPr="0093587A">
        <w:rPr>
          <w:vertAlign w:val="superscript"/>
        </w:rPr>
        <w:t>3</w:t>
      </w:r>
      <w:r w:rsidRPr="0093587A">
        <w:t>Study in women with no uterus</w:t>
      </w:r>
    </w:p>
    <w:p w14:paraId="5071458E" w14:textId="77777777" w:rsidR="00A12918" w:rsidRPr="002A3596" w:rsidRDefault="00A12918" w:rsidP="002D0BCA">
      <w:pPr>
        <w:pStyle w:val="Heading3"/>
      </w:pPr>
      <w:r w:rsidRPr="002A3596">
        <w:t xml:space="preserve">Risk of coronary artery disease </w:t>
      </w:r>
    </w:p>
    <w:p w14:paraId="248648C1" w14:textId="1B22D1DE" w:rsidR="00A12918" w:rsidRPr="002A3596" w:rsidRDefault="00A12918" w:rsidP="00A12918">
      <w:pPr>
        <w:pStyle w:val="BodyText"/>
      </w:pPr>
      <w:r w:rsidRPr="002A3596">
        <w:t xml:space="preserve">The risk of coronary artery disease is slightly increased in users of combined estrogen-progestogen HRT over the age of 60 (see </w:t>
      </w:r>
      <w:r w:rsidR="00584413">
        <w:t>S</w:t>
      </w:r>
      <w:r w:rsidRPr="002A3596">
        <w:t xml:space="preserve">ection </w:t>
      </w:r>
      <w:r w:rsidR="00E91DDA">
        <w:fldChar w:fldCharType="begin"/>
      </w:r>
      <w:r w:rsidR="00E91DDA">
        <w:instrText xml:space="preserve"> REF _Ref69885430 \r \h </w:instrText>
      </w:r>
      <w:r w:rsidR="00E91DDA">
        <w:fldChar w:fldCharType="separate"/>
      </w:r>
      <w:r w:rsidR="00551C94">
        <w:t>4.4</w:t>
      </w:r>
      <w:r w:rsidR="00E91DDA">
        <w:fldChar w:fldCharType="end"/>
      </w:r>
      <w:r w:rsidR="00584413">
        <w:t xml:space="preserve"> </w:t>
      </w:r>
      <w:r w:rsidR="00584413">
        <w:fldChar w:fldCharType="begin"/>
      </w:r>
      <w:r w:rsidR="00584413">
        <w:instrText xml:space="preserve"> REF _Ref69885430 \h </w:instrText>
      </w:r>
      <w:r w:rsidR="00584413">
        <w:fldChar w:fldCharType="separate"/>
      </w:r>
      <w:r w:rsidR="00551C94" w:rsidRPr="002A3596">
        <w:t>Special warnings and precautions for use</w:t>
      </w:r>
      <w:r w:rsidR="00584413">
        <w:fldChar w:fldCharType="end"/>
      </w:r>
      <w:r w:rsidRPr="002A3596">
        <w:t>).</w:t>
      </w:r>
    </w:p>
    <w:p w14:paraId="4EA1EABB" w14:textId="77777777" w:rsidR="00A12918" w:rsidRPr="002A3596" w:rsidRDefault="00A12918" w:rsidP="002D0BCA">
      <w:pPr>
        <w:pStyle w:val="Heading3"/>
      </w:pPr>
      <w:bookmarkStart w:id="11" w:name="_Ref69885862"/>
      <w:r w:rsidRPr="002A3596">
        <w:t>Risk of ischaemic stroke</w:t>
      </w:r>
      <w:bookmarkEnd w:id="11"/>
      <w:r w:rsidRPr="002A3596">
        <w:t xml:space="preserve"> </w:t>
      </w:r>
    </w:p>
    <w:p w14:paraId="365E448C" w14:textId="77777777" w:rsidR="00607CD7" w:rsidRDefault="00A12918" w:rsidP="00607CD7">
      <w:pPr>
        <w:pStyle w:val="BodyText"/>
        <w:keepLines/>
        <w:spacing w:line="276" w:lineRule="auto"/>
      </w:pPr>
      <w:r w:rsidRPr="002A3596">
        <w:t xml:space="preserve">The use of estrogen-only and estrogen + progestogen therapy is associated with an up to </w:t>
      </w:r>
      <w:r w:rsidR="00CF4C52" w:rsidRPr="002A3596">
        <w:t>1.5-fold</w:t>
      </w:r>
      <w:r w:rsidRPr="002A3596">
        <w:t xml:space="preserve"> increased relative risk of ischaemic stroke. The risk of haemorrhagic stroke is not increased during use of HRT.</w:t>
      </w:r>
      <w:r w:rsidR="00607CD7">
        <w:t xml:space="preserve"> </w:t>
      </w:r>
    </w:p>
    <w:p w14:paraId="428CDE6E" w14:textId="16789954" w:rsidR="00CF4C52" w:rsidRDefault="00A12918" w:rsidP="00607CD7">
      <w:pPr>
        <w:pStyle w:val="BodyText"/>
        <w:keepLines/>
        <w:spacing w:line="276" w:lineRule="auto"/>
      </w:pPr>
      <w:r w:rsidRPr="002A3596">
        <w:lastRenderedPageBreak/>
        <w:t>This relative risk is not dependent on age or on duration of use, but as the baseline risk is strongly age-dependent, the overall risk of stroke in women who use HRT will increase with age</w:t>
      </w:r>
      <w:r w:rsidR="00584413">
        <w:t xml:space="preserve"> (</w:t>
      </w:r>
      <w:r w:rsidRPr="002A3596">
        <w:t xml:space="preserve">see </w:t>
      </w:r>
      <w:r w:rsidR="00584413">
        <w:t>S</w:t>
      </w:r>
      <w:r w:rsidRPr="002A3596">
        <w:t xml:space="preserve">ection </w:t>
      </w:r>
      <w:r w:rsidR="00E91DDA">
        <w:fldChar w:fldCharType="begin"/>
      </w:r>
      <w:r w:rsidR="00E91DDA">
        <w:instrText xml:space="preserve"> REF _Ref69885430 \r \h </w:instrText>
      </w:r>
      <w:r w:rsidR="00E91DDA">
        <w:fldChar w:fldCharType="separate"/>
      </w:r>
      <w:r w:rsidR="00551C94">
        <w:t>4.4</w:t>
      </w:r>
      <w:r w:rsidR="00E91DDA">
        <w:fldChar w:fldCharType="end"/>
      </w:r>
      <w:r w:rsidR="00584413">
        <w:t xml:space="preserve"> </w:t>
      </w:r>
      <w:r w:rsidR="00584413">
        <w:fldChar w:fldCharType="begin"/>
      </w:r>
      <w:r w:rsidR="00584413">
        <w:instrText xml:space="preserve"> REF _Ref69885430 \h </w:instrText>
      </w:r>
      <w:r w:rsidR="00584413">
        <w:fldChar w:fldCharType="separate"/>
      </w:r>
      <w:r w:rsidR="00551C94" w:rsidRPr="002A3596">
        <w:t>Special warnings and precautions for use</w:t>
      </w:r>
      <w:r w:rsidR="00584413">
        <w:fldChar w:fldCharType="end"/>
      </w:r>
      <w:r w:rsidR="00584413">
        <w:t>)</w:t>
      </w:r>
      <w:r w:rsidR="00607CD7">
        <w:t>.</w:t>
      </w:r>
    </w:p>
    <w:p w14:paraId="3081C9B3" w14:textId="576CF32B" w:rsidR="00CF4C52" w:rsidRPr="002A3596" w:rsidRDefault="00CF4C52" w:rsidP="00CF4C52">
      <w:pPr>
        <w:pStyle w:val="Caption"/>
      </w:pPr>
      <w:r w:rsidRPr="002A3596">
        <w:t xml:space="preserve">Table </w:t>
      </w:r>
      <w:r w:rsidRPr="002A3596">
        <w:fldChar w:fldCharType="begin"/>
      </w:r>
      <w:r w:rsidRPr="002A3596">
        <w:instrText xml:space="preserve"> SEQ Table \* ARABIC </w:instrText>
      </w:r>
      <w:r w:rsidRPr="002A3596">
        <w:fldChar w:fldCharType="separate"/>
      </w:r>
      <w:r w:rsidR="00551C94">
        <w:rPr>
          <w:noProof/>
        </w:rPr>
        <w:t>7</w:t>
      </w:r>
      <w:r w:rsidRPr="002A3596">
        <w:fldChar w:fldCharType="end"/>
      </w:r>
      <w:r w:rsidRPr="002A3596">
        <w:t xml:space="preserve"> </w:t>
      </w:r>
      <w:r w:rsidRPr="002A3596">
        <w:tab/>
        <w:t>Additional risk of ischaemic stroke*4 over 5 years' use</w:t>
      </w:r>
    </w:p>
    <w:tbl>
      <w:tblPr>
        <w:tblW w:w="5000" w:type="pct"/>
        <w:tblBorders>
          <w:top w:val="outset" w:sz="6" w:space="0" w:color="7B7B7B"/>
          <w:left w:val="outset" w:sz="6" w:space="0" w:color="7B7B7B"/>
          <w:bottom w:val="outset" w:sz="6" w:space="0" w:color="7B7B7B"/>
          <w:right w:val="outset" w:sz="6" w:space="0" w:color="7B7B7B"/>
        </w:tblBorders>
        <w:tblCellMar>
          <w:top w:w="20" w:type="dxa"/>
          <w:left w:w="20" w:type="dxa"/>
          <w:bottom w:w="20" w:type="dxa"/>
          <w:right w:w="20" w:type="dxa"/>
        </w:tblCellMar>
        <w:tblLook w:val="04A0" w:firstRow="1" w:lastRow="0" w:firstColumn="1" w:lastColumn="0" w:noHBand="0" w:noVBand="1"/>
      </w:tblPr>
      <w:tblGrid>
        <w:gridCol w:w="2174"/>
        <w:gridCol w:w="3265"/>
        <w:gridCol w:w="2176"/>
        <w:gridCol w:w="1897"/>
      </w:tblGrid>
      <w:tr w:rsidR="00A12918" w:rsidRPr="00B55692" w14:paraId="26CD074C" w14:textId="77777777" w:rsidTr="00B4539B">
        <w:trPr>
          <w:trHeight w:val="866"/>
        </w:trPr>
        <w:tc>
          <w:tcPr>
            <w:tcW w:w="1143"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509DC106" w14:textId="77777777" w:rsidR="00A12918" w:rsidRPr="00AF4209" w:rsidRDefault="00A12918" w:rsidP="00A12918">
            <w:pPr>
              <w:pStyle w:val="BodyText"/>
              <w:rPr>
                <w:b/>
                <w:bCs/>
                <w:sz w:val="20"/>
                <w:szCs w:val="20"/>
              </w:rPr>
            </w:pPr>
            <w:r w:rsidRPr="00AF4209">
              <w:rPr>
                <w:b/>
                <w:bCs/>
                <w:sz w:val="20"/>
                <w:szCs w:val="20"/>
              </w:rPr>
              <w:t xml:space="preserve">Age range (years) </w:t>
            </w:r>
          </w:p>
        </w:tc>
        <w:tc>
          <w:tcPr>
            <w:tcW w:w="1716"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4F02D227" w14:textId="77777777" w:rsidR="00A12918" w:rsidRPr="00B55692" w:rsidRDefault="00A12918" w:rsidP="00A12918">
            <w:pPr>
              <w:pStyle w:val="BodyText"/>
              <w:rPr>
                <w:b/>
                <w:bCs/>
                <w:sz w:val="20"/>
                <w:szCs w:val="20"/>
              </w:rPr>
            </w:pPr>
            <w:r w:rsidRPr="00B55692">
              <w:rPr>
                <w:b/>
                <w:bCs/>
                <w:sz w:val="20"/>
                <w:szCs w:val="20"/>
              </w:rPr>
              <w:t xml:space="preserve">Incidence per 1000 women in placebo arm over 5 years </w:t>
            </w:r>
          </w:p>
        </w:tc>
        <w:tc>
          <w:tcPr>
            <w:tcW w:w="1144"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3A450D3E" w14:textId="77777777" w:rsidR="00A12918" w:rsidRPr="00B55692" w:rsidRDefault="00A12918" w:rsidP="00A12918">
            <w:pPr>
              <w:pStyle w:val="BodyText"/>
              <w:rPr>
                <w:b/>
                <w:bCs/>
                <w:sz w:val="20"/>
                <w:szCs w:val="20"/>
              </w:rPr>
            </w:pPr>
            <w:r w:rsidRPr="00B55692">
              <w:rPr>
                <w:b/>
                <w:bCs/>
                <w:sz w:val="20"/>
                <w:szCs w:val="20"/>
              </w:rPr>
              <w:t xml:space="preserve">Risk ratio and 95%CI </w:t>
            </w:r>
          </w:p>
        </w:tc>
        <w:tc>
          <w:tcPr>
            <w:tcW w:w="997"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0619CCA8" w14:textId="77777777" w:rsidR="00A12918" w:rsidRPr="00B55692" w:rsidRDefault="00A12918" w:rsidP="00A12918">
            <w:pPr>
              <w:pStyle w:val="BodyText"/>
              <w:rPr>
                <w:b/>
                <w:bCs/>
                <w:sz w:val="20"/>
                <w:szCs w:val="20"/>
              </w:rPr>
            </w:pPr>
            <w:r w:rsidRPr="00B55692">
              <w:rPr>
                <w:b/>
                <w:bCs/>
                <w:sz w:val="20"/>
                <w:szCs w:val="20"/>
              </w:rPr>
              <w:t xml:space="preserve">Additional cases per 1000 HRT users </w:t>
            </w:r>
          </w:p>
        </w:tc>
      </w:tr>
      <w:tr w:rsidR="00A12918" w:rsidRPr="00B55692" w14:paraId="2E72D3E3" w14:textId="77777777" w:rsidTr="00A12918">
        <w:tc>
          <w:tcPr>
            <w:tcW w:w="1143"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229DC647" w14:textId="77777777" w:rsidR="00A12918" w:rsidRPr="00B55692" w:rsidRDefault="00A12918" w:rsidP="00A12918">
            <w:pPr>
              <w:pStyle w:val="BodyText"/>
              <w:rPr>
                <w:sz w:val="20"/>
                <w:szCs w:val="20"/>
              </w:rPr>
            </w:pPr>
            <w:r w:rsidRPr="00B55692">
              <w:rPr>
                <w:sz w:val="20"/>
                <w:szCs w:val="20"/>
              </w:rPr>
              <w:t xml:space="preserve">50-59 </w:t>
            </w:r>
          </w:p>
        </w:tc>
        <w:tc>
          <w:tcPr>
            <w:tcW w:w="1716"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19CC5934" w14:textId="77777777" w:rsidR="00A12918" w:rsidRPr="00B55692" w:rsidRDefault="00A12918" w:rsidP="00A12918">
            <w:pPr>
              <w:pStyle w:val="BodyText"/>
              <w:rPr>
                <w:sz w:val="20"/>
                <w:szCs w:val="20"/>
              </w:rPr>
            </w:pPr>
            <w:r w:rsidRPr="00B55692">
              <w:rPr>
                <w:sz w:val="20"/>
                <w:szCs w:val="20"/>
              </w:rPr>
              <w:t xml:space="preserve">8 </w:t>
            </w:r>
          </w:p>
        </w:tc>
        <w:tc>
          <w:tcPr>
            <w:tcW w:w="1144"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4F86D756" w14:textId="77777777" w:rsidR="00A12918" w:rsidRPr="00B55692" w:rsidRDefault="00A12918" w:rsidP="00A12918">
            <w:pPr>
              <w:pStyle w:val="BodyText"/>
              <w:rPr>
                <w:sz w:val="20"/>
                <w:szCs w:val="20"/>
              </w:rPr>
            </w:pPr>
            <w:r w:rsidRPr="00B55692">
              <w:rPr>
                <w:sz w:val="20"/>
                <w:szCs w:val="20"/>
              </w:rPr>
              <w:t xml:space="preserve">1.3 (1.1-1.6) </w:t>
            </w:r>
          </w:p>
        </w:tc>
        <w:tc>
          <w:tcPr>
            <w:tcW w:w="997" w:type="pct"/>
            <w:tcBorders>
              <w:top w:val="outset" w:sz="6" w:space="0" w:color="7B7B7B"/>
              <w:left w:val="outset" w:sz="6" w:space="0" w:color="7B7B7B"/>
              <w:bottom w:val="outset" w:sz="6" w:space="0" w:color="7B7B7B"/>
              <w:right w:val="outset" w:sz="6" w:space="0" w:color="7B7B7B"/>
            </w:tcBorders>
            <w:shd w:val="clear" w:color="auto" w:fill="auto"/>
            <w:tcMar>
              <w:top w:w="30" w:type="dxa"/>
              <w:left w:w="30" w:type="dxa"/>
              <w:bottom w:w="30" w:type="dxa"/>
              <w:right w:w="30" w:type="dxa"/>
            </w:tcMar>
            <w:hideMark/>
          </w:tcPr>
          <w:p w14:paraId="02FFE7F8" w14:textId="77777777" w:rsidR="00A12918" w:rsidRPr="00B55692" w:rsidRDefault="00A12918" w:rsidP="00A12918">
            <w:pPr>
              <w:pStyle w:val="BodyText"/>
              <w:rPr>
                <w:sz w:val="20"/>
                <w:szCs w:val="20"/>
              </w:rPr>
            </w:pPr>
            <w:r w:rsidRPr="00B55692">
              <w:rPr>
                <w:sz w:val="20"/>
                <w:szCs w:val="20"/>
              </w:rPr>
              <w:t xml:space="preserve">3 (1–5) </w:t>
            </w:r>
          </w:p>
        </w:tc>
      </w:tr>
    </w:tbl>
    <w:p w14:paraId="3D147278" w14:textId="77777777" w:rsidR="00A12918" w:rsidRPr="002A3596" w:rsidRDefault="00A12918" w:rsidP="00A12918">
      <w:pPr>
        <w:pStyle w:val="tablelegends"/>
      </w:pPr>
      <w:r w:rsidRPr="002A3596">
        <w:rPr>
          <w:vertAlign w:val="superscript"/>
        </w:rPr>
        <w:t>4</w:t>
      </w:r>
      <w:r w:rsidRPr="002A3596">
        <w:t>No differentiation was made between ischaemic and haemorrhagic stroke</w:t>
      </w:r>
    </w:p>
    <w:p w14:paraId="2AD15644" w14:textId="77777777" w:rsidR="00A12918" w:rsidRPr="002A3596" w:rsidRDefault="00A12918" w:rsidP="00A12918">
      <w:pPr>
        <w:pStyle w:val="BodyText"/>
        <w:rPr>
          <w:rStyle w:val="Heading3Char"/>
        </w:rPr>
      </w:pPr>
      <w:r w:rsidRPr="00A12918">
        <w:rPr>
          <w:rStyle w:val="Heading3Char"/>
        </w:rPr>
        <w:t>Other adverse reactions</w:t>
      </w:r>
    </w:p>
    <w:p w14:paraId="3BFB3889" w14:textId="4300235E" w:rsidR="00A12918" w:rsidRPr="002A3596" w:rsidRDefault="00A12918" w:rsidP="00A12918">
      <w:pPr>
        <w:pStyle w:val="BodyText"/>
      </w:pPr>
      <w:r w:rsidRPr="002A3596">
        <w:t>Other adverse effects have been reported in association with oestrogen/</w:t>
      </w:r>
      <w:proofErr w:type="spellStart"/>
      <w:r w:rsidRPr="002A3596">
        <w:t>progestagen</w:t>
      </w:r>
      <w:proofErr w:type="spellEnd"/>
      <w:r w:rsidRPr="002A3596">
        <w:t xml:space="preserve"> treatment:</w:t>
      </w:r>
    </w:p>
    <w:p w14:paraId="2FB4B6D6" w14:textId="77777777" w:rsidR="00A12918" w:rsidRPr="002A3596" w:rsidRDefault="00A12918" w:rsidP="00A12918">
      <w:pPr>
        <w:pStyle w:val="ListParagraph"/>
      </w:pPr>
      <w:r w:rsidRPr="002A3596">
        <w:t>Gall bladder disease.</w:t>
      </w:r>
    </w:p>
    <w:p w14:paraId="42D70C21" w14:textId="77777777" w:rsidR="00A12918" w:rsidRPr="002A3596" w:rsidRDefault="00A12918" w:rsidP="00A12918">
      <w:pPr>
        <w:pStyle w:val="ListParagraph"/>
      </w:pPr>
      <w:r w:rsidRPr="002A3596">
        <w:t>Skin and subcutaneous disorders: chloasma, erythema multiforme, erythema nodosum, vascular purpura.</w:t>
      </w:r>
    </w:p>
    <w:p w14:paraId="1DE6D0AF" w14:textId="0165BF4B" w:rsidR="0013062A" w:rsidRPr="002A3596" w:rsidRDefault="00A12918" w:rsidP="00A12918">
      <w:pPr>
        <w:pStyle w:val="ListParagraph"/>
      </w:pPr>
      <w:r w:rsidRPr="002A3596">
        <w:t xml:space="preserve">Probable dementia over the age of 65 (see </w:t>
      </w:r>
      <w:r w:rsidR="00584413">
        <w:t>S</w:t>
      </w:r>
      <w:r w:rsidRPr="002A3596">
        <w:t xml:space="preserve">ection </w:t>
      </w:r>
      <w:r w:rsidR="00E91DDA">
        <w:fldChar w:fldCharType="begin"/>
      </w:r>
      <w:r w:rsidR="00E91DDA">
        <w:instrText xml:space="preserve"> REF _Ref69885430 \r \h </w:instrText>
      </w:r>
      <w:r w:rsidR="00E91DDA">
        <w:fldChar w:fldCharType="separate"/>
      </w:r>
      <w:r w:rsidR="00551C94">
        <w:t>4.4</w:t>
      </w:r>
      <w:r w:rsidR="00E91DDA">
        <w:fldChar w:fldCharType="end"/>
      </w:r>
      <w:r w:rsidR="00584413">
        <w:t xml:space="preserve"> </w:t>
      </w:r>
      <w:r w:rsidR="00584413">
        <w:fldChar w:fldCharType="begin"/>
      </w:r>
      <w:r w:rsidR="00584413">
        <w:instrText xml:space="preserve"> REF _Ref69885430 \h </w:instrText>
      </w:r>
      <w:r w:rsidR="00584413">
        <w:fldChar w:fldCharType="separate"/>
      </w:r>
      <w:r w:rsidR="00551C94" w:rsidRPr="002A3596">
        <w:t>Special warnings and precautions for use</w:t>
      </w:r>
      <w:r w:rsidR="00584413">
        <w:fldChar w:fldCharType="end"/>
      </w:r>
      <w:r w:rsidRPr="002A3596">
        <w:t>).</w:t>
      </w:r>
    </w:p>
    <w:p w14:paraId="1793FA85" w14:textId="77777777" w:rsidR="004A6F22" w:rsidRPr="002A3596" w:rsidRDefault="003B0D62" w:rsidP="002D0BCA">
      <w:pPr>
        <w:pStyle w:val="Heading3"/>
      </w:pPr>
      <w:r w:rsidRPr="002A3596">
        <w:t>Reporting suspected adverse events</w:t>
      </w:r>
    </w:p>
    <w:p w14:paraId="22FE81A8" w14:textId="77777777" w:rsidR="004A6F22" w:rsidRPr="002A3596" w:rsidRDefault="003B0D62" w:rsidP="00D4676B">
      <w:pPr>
        <w:pStyle w:val="BodyText"/>
      </w:pPr>
      <w:r w:rsidRPr="002A3596">
        <w:t>Reporting</w:t>
      </w:r>
      <w:r w:rsidRPr="002A3596">
        <w:rPr>
          <w:spacing w:val="-2"/>
        </w:rPr>
        <w:t xml:space="preserve"> </w:t>
      </w:r>
      <w:r w:rsidRPr="002A3596">
        <w:t>suspected adverse reactions after registration of the medicinal product is important.</w:t>
      </w:r>
      <w:r w:rsidRPr="002A3596">
        <w:rPr>
          <w:spacing w:val="-2"/>
        </w:rPr>
        <w:t xml:space="preserve"> </w:t>
      </w:r>
      <w:r w:rsidRPr="002A3596">
        <w:t>It allows</w:t>
      </w:r>
      <w:r w:rsidRPr="002A3596">
        <w:rPr>
          <w:spacing w:val="-2"/>
        </w:rPr>
        <w:t xml:space="preserve"> </w:t>
      </w:r>
      <w:r w:rsidRPr="002A3596">
        <w:t>continued monitoring</w:t>
      </w:r>
      <w:r w:rsidRPr="002A3596">
        <w:rPr>
          <w:spacing w:val="-2"/>
        </w:rPr>
        <w:t xml:space="preserve"> </w:t>
      </w:r>
      <w:r w:rsidRPr="002A3596">
        <w:t xml:space="preserve">of the benefit-risk balance </w:t>
      </w:r>
      <w:r w:rsidRPr="002A3596">
        <w:rPr>
          <w:spacing w:val="-2"/>
        </w:rPr>
        <w:t>of</w:t>
      </w:r>
      <w:r w:rsidRPr="002A3596">
        <w:t xml:space="preserve"> the medicinal</w:t>
      </w:r>
      <w:r w:rsidRPr="002A3596">
        <w:rPr>
          <w:spacing w:val="-2"/>
        </w:rPr>
        <w:t xml:space="preserve"> </w:t>
      </w:r>
      <w:r w:rsidRPr="002A3596">
        <w:t>product.</w:t>
      </w:r>
    </w:p>
    <w:p w14:paraId="18C0CC7F" w14:textId="6676B3A6" w:rsidR="004A6F22" w:rsidRPr="002A3596" w:rsidRDefault="003B0D62" w:rsidP="00D4676B">
      <w:pPr>
        <w:pStyle w:val="BodyText"/>
      </w:pPr>
      <w:r w:rsidRPr="002A3596">
        <w:t>Healthcare professionals</w:t>
      </w:r>
      <w:r w:rsidRPr="002A3596">
        <w:rPr>
          <w:spacing w:val="-2"/>
        </w:rPr>
        <w:t xml:space="preserve"> </w:t>
      </w:r>
      <w:r w:rsidRPr="002A3596">
        <w:t xml:space="preserve">are asked to report </w:t>
      </w:r>
      <w:r w:rsidRPr="002A3596">
        <w:rPr>
          <w:spacing w:val="-2"/>
        </w:rPr>
        <w:t xml:space="preserve">any </w:t>
      </w:r>
      <w:r w:rsidRPr="002A3596">
        <w:t>suspected adverse</w:t>
      </w:r>
      <w:r w:rsidRPr="002A3596">
        <w:rPr>
          <w:spacing w:val="-2"/>
        </w:rPr>
        <w:t xml:space="preserve"> </w:t>
      </w:r>
      <w:r w:rsidRPr="002A3596">
        <w:t xml:space="preserve">reactions </w:t>
      </w:r>
      <w:r w:rsidR="00DD0040" w:rsidRPr="002A3596">
        <w:t xml:space="preserve">at </w:t>
      </w:r>
      <w:hyperlink r:id="rId12">
        <w:r w:rsidRPr="002A3596">
          <w:rPr>
            <w:color w:val="0000FF"/>
            <w:u w:val="single" w:color="0000FF"/>
          </w:rPr>
          <w:t>www.tga.gov.au/reporting-problems</w:t>
        </w:r>
        <w:r w:rsidRPr="002A3596">
          <w:t>.</w:t>
        </w:r>
      </w:hyperlink>
    </w:p>
    <w:p w14:paraId="26130C14" w14:textId="46D61667" w:rsidR="004A6F22" w:rsidRPr="002A3596" w:rsidRDefault="003B0D62" w:rsidP="00944662">
      <w:pPr>
        <w:pStyle w:val="Heading2"/>
      </w:pPr>
      <w:r w:rsidRPr="002A3596">
        <w:t>Overdose</w:t>
      </w:r>
    </w:p>
    <w:p w14:paraId="483321D3" w14:textId="25030F9C" w:rsidR="00A12918" w:rsidRPr="002A3596" w:rsidRDefault="003B0D62" w:rsidP="00461D8B">
      <w:pPr>
        <w:pStyle w:val="BodyText"/>
      </w:pPr>
      <w:r w:rsidRPr="002A3596">
        <w:t xml:space="preserve">There is </w:t>
      </w:r>
      <w:r w:rsidR="00A12918" w:rsidRPr="002A3596">
        <w:t>little</w:t>
      </w:r>
      <w:r w:rsidRPr="002A3596">
        <w:t xml:space="preserve"> experience with overdose in human clinical trials.</w:t>
      </w:r>
      <w:r w:rsidR="00A12918" w:rsidRPr="002A3596">
        <w:rPr>
          <w:rFonts w:eastAsiaTheme="minorHAnsi"/>
        </w:rPr>
        <w:t xml:space="preserve"> </w:t>
      </w:r>
      <w:r w:rsidR="00A12918" w:rsidRPr="002A3596">
        <w:t xml:space="preserve">Both </w:t>
      </w:r>
      <w:proofErr w:type="spellStart"/>
      <w:r w:rsidR="00A12918" w:rsidRPr="002A3596">
        <w:t>estradiol</w:t>
      </w:r>
      <w:proofErr w:type="spellEnd"/>
      <w:r w:rsidR="00A12918" w:rsidRPr="002A3596">
        <w:t xml:space="preserve"> and progestogen are substances with low toxicity. Symptoms such as nausea, vomiting, breast tenderness, dizziness, abdominal pain, drowsiness/fatigue, and withdrawal bleeding could occur in cases of overdosing. It is unlikely that any specific or symptomatic treatment will be necessary. </w:t>
      </w:r>
    </w:p>
    <w:p w14:paraId="77A7C772" w14:textId="7A9B6A5B" w:rsidR="00A12918" w:rsidRPr="002A3596" w:rsidRDefault="003B0D62" w:rsidP="00461D8B">
      <w:pPr>
        <w:pStyle w:val="BodyText"/>
      </w:pPr>
      <w:r w:rsidRPr="002A3596">
        <w:t>Treatment of overdose should consist of general supportive measures.</w:t>
      </w:r>
    </w:p>
    <w:p w14:paraId="7F1AE3E6" w14:textId="007EFA9A" w:rsidR="00607CD7" w:rsidRDefault="003B0D62" w:rsidP="003D2E66">
      <w:pPr>
        <w:pStyle w:val="BodyText"/>
      </w:pPr>
      <w:r w:rsidRPr="002A3596">
        <w:t>For information on the management of overdose, contact the Poisons Information Centre on 13</w:t>
      </w:r>
      <w:r w:rsidR="00FC3E4D" w:rsidRPr="002A3596">
        <w:t> </w:t>
      </w:r>
      <w:r w:rsidRPr="002A3596">
        <w:t>11 26 (Australia).</w:t>
      </w:r>
    </w:p>
    <w:p w14:paraId="47ED2ABF" w14:textId="3D072678" w:rsidR="004A6F22" w:rsidRPr="002A3596" w:rsidRDefault="003B0D62" w:rsidP="005664F5">
      <w:pPr>
        <w:pStyle w:val="Heading1"/>
      </w:pPr>
      <w:r w:rsidRPr="002A3596">
        <w:lastRenderedPageBreak/>
        <w:t>PHARMACOLOGICAL</w:t>
      </w:r>
      <w:r w:rsidRPr="002A3596">
        <w:rPr>
          <w:spacing w:val="73"/>
        </w:rPr>
        <w:t xml:space="preserve"> </w:t>
      </w:r>
      <w:r w:rsidRPr="002A3596">
        <w:t>PROPERTIES</w:t>
      </w:r>
    </w:p>
    <w:p w14:paraId="38B331A2" w14:textId="4BD8E7D2" w:rsidR="004A6F22" w:rsidRPr="002A3596" w:rsidRDefault="003B0D62" w:rsidP="00944662">
      <w:pPr>
        <w:pStyle w:val="Heading2"/>
      </w:pPr>
      <w:bookmarkStart w:id="12" w:name="_Ref59624588"/>
      <w:bookmarkStart w:id="13" w:name="_Ref69888012"/>
      <w:r w:rsidRPr="002A3596">
        <w:t>Pharmacodynamic properties</w:t>
      </w:r>
      <w:bookmarkEnd w:id="12"/>
      <w:bookmarkEnd w:id="13"/>
      <w:r w:rsidR="009A2195">
        <w:t xml:space="preserve"> </w:t>
      </w:r>
    </w:p>
    <w:p w14:paraId="77907060" w14:textId="56F732B4" w:rsidR="00461D8B" w:rsidRPr="002A3596" w:rsidRDefault="00461D8B" w:rsidP="005664F5">
      <w:pPr>
        <w:pStyle w:val="BodyText"/>
        <w:spacing w:line="276" w:lineRule="auto"/>
      </w:pPr>
      <w:r w:rsidRPr="002A3596">
        <w:t>The ATC code is G03FA04 progesterone and estrogen</w:t>
      </w:r>
    </w:p>
    <w:p w14:paraId="78F2AB56" w14:textId="450C3771" w:rsidR="004A6F22" w:rsidRPr="002A3596" w:rsidRDefault="003B0D62" w:rsidP="002D0BCA">
      <w:pPr>
        <w:pStyle w:val="Heading3"/>
      </w:pPr>
      <w:bookmarkStart w:id="14" w:name="Early_Breast_Cancer"/>
      <w:bookmarkStart w:id="15" w:name="Clinical_trials"/>
      <w:bookmarkStart w:id="16" w:name="Mechanism_of_action"/>
      <w:bookmarkEnd w:id="14"/>
      <w:bookmarkEnd w:id="15"/>
      <w:bookmarkEnd w:id="16"/>
      <w:r w:rsidRPr="002A3596">
        <w:t>Mechanism of action</w:t>
      </w:r>
    </w:p>
    <w:p w14:paraId="00B7C40B" w14:textId="6A72521D" w:rsidR="00461D8B" w:rsidRPr="002A3596" w:rsidRDefault="00461D8B" w:rsidP="00CF4C52">
      <w:pPr>
        <w:pStyle w:val="subheading4BOLD"/>
      </w:pPr>
      <w:proofErr w:type="spellStart"/>
      <w:r w:rsidRPr="002A3596">
        <w:t>Estradiol</w:t>
      </w:r>
      <w:proofErr w:type="spellEnd"/>
    </w:p>
    <w:p w14:paraId="3EC50C56" w14:textId="54A29532" w:rsidR="00461D8B" w:rsidRPr="002A3596" w:rsidRDefault="00461D8B" w:rsidP="00461D8B">
      <w:pPr>
        <w:pStyle w:val="BodyText"/>
        <w:rPr>
          <w:iCs/>
          <w:u w:val="single"/>
        </w:rPr>
      </w:pPr>
      <w:r w:rsidRPr="00461D8B">
        <w:rPr>
          <w:iCs/>
        </w:rPr>
        <w:t>The active ingredient, synthetic 17β-</w:t>
      </w:r>
      <w:proofErr w:type="spellStart"/>
      <w:r w:rsidRPr="00461D8B">
        <w:rPr>
          <w:iCs/>
        </w:rPr>
        <w:t>estradiol</w:t>
      </w:r>
      <w:proofErr w:type="spellEnd"/>
      <w:r w:rsidRPr="00461D8B">
        <w:rPr>
          <w:iCs/>
        </w:rPr>
        <w:t xml:space="preserve">, is chemically and biologically identical to endogenous human </w:t>
      </w:r>
      <w:proofErr w:type="spellStart"/>
      <w:r w:rsidRPr="00461D8B">
        <w:rPr>
          <w:iCs/>
        </w:rPr>
        <w:t>estradiol</w:t>
      </w:r>
      <w:proofErr w:type="spellEnd"/>
      <w:r w:rsidRPr="00461D8B">
        <w:rPr>
          <w:iCs/>
        </w:rPr>
        <w:t xml:space="preserve">. It substitutes for the loss of estrogen production in menopausal </w:t>
      </w:r>
      <w:r w:rsidRPr="002A3596">
        <w:rPr>
          <w:iCs/>
        </w:rPr>
        <w:t>women and</w:t>
      </w:r>
      <w:r w:rsidRPr="00461D8B">
        <w:rPr>
          <w:iCs/>
        </w:rPr>
        <w:t xml:space="preserve"> alleviates menopausal symptoms.</w:t>
      </w:r>
    </w:p>
    <w:p w14:paraId="7907AEF5" w14:textId="7C427999" w:rsidR="00461D8B" w:rsidRPr="002A3596" w:rsidRDefault="00461D8B" w:rsidP="00461D8B">
      <w:pPr>
        <w:pStyle w:val="subheading4BOLD"/>
        <w:keepNext w:val="0"/>
      </w:pPr>
      <w:r w:rsidRPr="002A3596">
        <w:t>Progesterone</w:t>
      </w:r>
    </w:p>
    <w:p w14:paraId="143DA1FC" w14:textId="77777777" w:rsidR="00461D8B" w:rsidRPr="002A3596" w:rsidRDefault="00461D8B" w:rsidP="00461D8B">
      <w:pPr>
        <w:pStyle w:val="BodyText"/>
        <w:rPr>
          <w:u w:val="single"/>
        </w:rPr>
      </w:pPr>
      <w:r w:rsidRPr="002A3596">
        <w:t>The active ingredient, progesterone is a natural progestogen, that is chemically and biologically identical to endogenous human progesterone. As estrogens promote the growth of the endometrium, unopposed estrogens increase the risk of endometrial hyperplasia and cancer. The addition of a progestogen greatly reduces the estrogen-induced risk of endometrial hyperplasia in non-hysterectomised women.</w:t>
      </w:r>
    </w:p>
    <w:p w14:paraId="42712CD6" w14:textId="1329363B" w:rsidR="004A6F22" w:rsidRPr="002A3596" w:rsidRDefault="003B0D62" w:rsidP="002D0BCA">
      <w:pPr>
        <w:pStyle w:val="Heading3"/>
      </w:pPr>
      <w:bookmarkStart w:id="17" w:name="_Ref69888038"/>
      <w:r w:rsidRPr="002A3596">
        <w:t>Clinical trials</w:t>
      </w:r>
      <w:bookmarkEnd w:id="17"/>
    </w:p>
    <w:p w14:paraId="05105F1C" w14:textId="5075D4C9" w:rsidR="00FA5E0D" w:rsidRPr="00FA5E0D" w:rsidRDefault="00FA5E0D" w:rsidP="00A12F60">
      <w:pPr>
        <w:pStyle w:val="BodyText"/>
        <w:rPr>
          <w:bCs/>
        </w:rPr>
      </w:pPr>
      <w:r w:rsidRPr="00FA5E0D">
        <w:rPr>
          <w:bCs/>
        </w:rPr>
        <w:t>The effectiveness and safety of BIJUVA</w:t>
      </w:r>
      <w:r w:rsidR="00A12F60">
        <w:rPr>
          <w:bCs/>
        </w:rPr>
        <w:t xml:space="preserve"> 1/100</w:t>
      </w:r>
      <w:r w:rsidRPr="00FA5E0D">
        <w:rPr>
          <w:bCs/>
        </w:rPr>
        <w:t xml:space="preserve"> (</w:t>
      </w:r>
      <w:proofErr w:type="spellStart"/>
      <w:r w:rsidRPr="00FA5E0D">
        <w:rPr>
          <w:bCs/>
        </w:rPr>
        <w:t>estradiol</w:t>
      </w:r>
      <w:proofErr w:type="spellEnd"/>
      <w:r w:rsidRPr="00FA5E0D">
        <w:rPr>
          <w:bCs/>
        </w:rPr>
        <w:t xml:space="preserve"> and progesterone) capsules, 1</w:t>
      </w:r>
      <w:r w:rsidR="006075B5">
        <w:rPr>
          <w:bCs/>
        </w:rPr>
        <w:t> </w:t>
      </w:r>
      <w:r w:rsidRPr="00FA5E0D">
        <w:rPr>
          <w:bCs/>
        </w:rPr>
        <w:t>mg/100</w:t>
      </w:r>
      <w:r w:rsidR="006075B5">
        <w:rPr>
          <w:bCs/>
        </w:rPr>
        <w:t> </w:t>
      </w:r>
      <w:r w:rsidRPr="00FA5E0D">
        <w:rPr>
          <w:bCs/>
        </w:rPr>
        <w:t>mg, on</w:t>
      </w:r>
      <w:r>
        <w:rPr>
          <w:bCs/>
        </w:rPr>
        <w:t xml:space="preserve"> </w:t>
      </w:r>
      <w:r w:rsidRPr="00FA5E0D">
        <w:rPr>
          <w:bCs/>
        </w:rPr>
        <w:t>moderate to severe vasomotor symptoms (hot flushes) due to menopause were examined in a</w:t>
      </w:r>
      <w:r>
        <w:rPr>
          <w:bCs/>
        </w:rPr>
        <w:t xml:space="preserve"> </w:t>
      </w:r>
      <w:r w:rsidRPr="00FA5E0D">
        <w:rPr>
          <w:bCs/>
        </w:rPr>
        <w:t xml:space="preserve">12-week randomized, double-blind, placebo-controlled </w:t>
      </w:r>
      <w:proofErr w:type="spellStart"/>
      <w:r w:rsidRPr="00FA5E0D">
        <w:rPr>
          <w:bCs/>
        </w:rPr>
        <w:t>substudy</w:t>
      </w:r>
      <w:proofErr w:type="spellEnd"/>
      <w:r w:rsidRPr="00FA5E0D">
        <w:rPr>
          <w:bCs/>
        </w:rPr>
        <w:t xml:space="preserve"> of a single 52-week safety</w:t>
      </w:r>
      <w:r>
        <w:rPr>
          <w:bCs/>
        </w:rPr>
        <w:t xml:space="preserve"> </w:t>
      </w:r>
      <w:r w:rsidRPr="00FA5E0D">
        <w:rPr>
          <w:bCs/>
        </w:rPr>
        <w:t>study. A total of 726 postmenopausal women were randomized to multiple dose combinations of</w:t>
      </w:r>
      <w:r>
        <w:rPr>
          <w:bCs/>
        </w:rPr>
        <w:t xml:space="preserve"> </w:t>
      </w:r>
      <w:proofErr w:type="spellStart"/>
      <w:r w:rsidRPr="00FA5E0D">
        <w:rPr>
          <w:bCs/>
        </w:rPr>
        <w:t>estradiol</w:t>
      </w:r>
      <w:proofErr w:type="spellEnd"/>
      <w:r w:rsidRPr="00FA5E0D">
        <w:rPr>
          <w:bCs/>
        </w:rPr>
        <w:t xml:space="preserve"> and progesterone, and placebo; these women were 40 to 65 years of age (mean</w:t>
      </w:r>
      <w:r>
        <w:rPr>
          <w:bCs/>
        </w:rPr>
        <w:t xml:space="preserve"> </w:t>
      </w:r>
      <w:r w:rsidRPr="00FA5E0D">
        <w:rPr>
          <w:bCs/>
        </w:rPr>
        <w:t xml:space="preserve">54.6 years) and had at least 50 </w:t>
      </w:r>
      <w:proofErr w:type="gramStart"/>
      <w:r w:rsidRPr="00FA5E0D">
        <w:rPr>
          <w:bCs/>
        </w:rPr>
        <w:t>moderate</w:t>
      </w:r>
      <w:proofErr w:type="gramEnd"/>
      <w:r w:rsidRPr="00FA5E0D">
        <w:rPr>
          <w:bCs/>
        </w:rPr>
        <w:t xml:space="preserve"> to severe vasomotor symptoms per week at baseline.</w:t>
      </w:r>
      <w:r>
        <w:rPr>
          <w:bCs/>
        </w:rPr>
        <w:t xml:space="preserve"> </w:t>
      </w:r>
      <w:r w:rsidRPr="00FA5E0D">
        <w:rPr>
          <w:bCs/>
        </w:rPr>
        <w:t>The mean number of years since last menstrual period was 5.9 years, with all women undergoing</w:t>
      </w:r>
      <w:r>
        <w:rPr>
          <w:bCs/>
        </w:rPr>
        <w:t xml:space="preserve"> </w:t>
      </w:r>
      <w:r w:rsidRPr="00FA5E0D">
        <w:rPr>
          <w:bCs/>
        </w:rPr>
        <w:t>natural menopause. The primary efficacy population consisted of women who self-identified</w:t>
      </w:r>
      <w:r>
        <w:rPr>
          <w:bCs/>
        </w:rPr>
        <w:t xml:space="preserve"> </w:t>
      </w:r>
      <w:r w:rsidRPr="00FA5E0D">
        <w:rPr>
          <w:bCs/>
        </w:rPr>
        <w:t xml:space="preserve">their race as: White (67%), Black/African American (31%), and “Other” (2.1%). In the </w:t>
      </w:r>
      <w:proofErr w:type="spellStart"/>
      <w:r w:rsidRPr="00FA5E0D">
        <w:rPr>
          <w:bCs/>
        </w:rPr>
        <w:t>substudy</w:t>
      </w:r>
      <w:proofErr w:type="spellEnd"/>
      <w:r w:rsidR="00A12F60">
        <w:rPr>
          <w:bCs/>
        </w:rPr>
        <w:t xml:space="preserve"> </w:t>
      </w:r>
      <w:r w:rsidRPr="00FA5E0D">
        <w:rPr>
          <w:bCs/>
        </w:rPr>
        <w:t>evaluating effects on moderate to severe vasomotor symptoms, a total of 141 women received</w:t>
      </w:r>
      <w:r w:rsidR="00A12F60">
        <w:rPr>
          <w:bCs/>
        </w:rPr>
        <w:t xml:space="preserve"> </w:t>
      </w:r>
      <w:r w:rsidRPr="00FA5E0D">
        <w:rPr>
          <w:bCs/>
        </w:rPr>
        <w:t>BIJUVA</w:t>
      </w:r>
      <w:r w:rsidR="00A12F60">
        <w:rPr>
          <w:bCs/>
        </w:rPr>
        <w:t xml:space="preserve"> 1/100</w:t>
      </w:r>
      <w:r w:rsidRPr="00FA5E0D">
        <w:rPr>
          <w:bCs/>
        </w:rPr>
        <w:t xml:space="preserve"> (</w:t>
      </w:r>
      <w:proofErr w:type="spellStart"/>
      <w:r w:rsidRPr="00FA5E0D">
        <w:rPr>
          <w:bCs/>
        </w:rPr>
        <w:t>estradiol</w:t>
      </w:r>
      <w:proofErr w:type="spellEnd"/>
      <w:r w:rsidRPr="00FA5E0D">
        <w:rPr>
          <w:bCs/>
        </w:rPr>
        <w:t xml:space="preserve"> and progesterone) capsules, 1 mg/100 mg, and 135 women received placebo.</w:t>
      </w:r>
    </w:p>
    <w:p w14:paraId="5B0FAD07" w14:textId="2A0FF239" w:rsidR="00FA5E0D" w:rsidRPr="00FA5E0D" w:rsidRDefault="00FA5E0D" w:rsidP="00A12F60">
      <w:pPr>
        <w:pStyle w:val="BodyText"/>
        <w:rPr>
          <w:bCs/>
        </w:rPr>
      </w:pPr>
      <w:r w:rsidRPr="00FA5E0D">
        <w:rPr>
          <w:bCs/>
        </w:rPr>
        <w:t>The evaluated co-primary efficacy endpoints included: 1) mean weekly reduction in frequency of</w:t>
      </w:r>
      <w:r w:rsidR="00490934">
        <w:rPr>
          <w:bCs/>
        </w:rPr>
        <w:t xml:space="preserve"> </w:t>
      </w:r>
      <w:r w:rsidRPr="00FA5E0D">
        <w:rPr>
          <w:bCs/>
        </w:rPr>
        <w:t>moderate to severe vasomotor symptoms with BIJUVA</w:t>
      </w:r>
      <w:r w:rsidR="00A12F60">
        <w:rPr>
          <w:bCs/>
        </w:rPr>
        <w:t xml:space="preserve"> 1/100</w:t>
      </w:r>
      <w:r w:rsidRPr="00FA5E0D">
        <w:rPr>
          <w:bCs/>
        </w:rPr>
        <w:t xml:space="preserve"> compared to placebo at Weeks</w:t>
      </w:r>
      <w:r w:rsidR="00490934">
        <w:rPr>
          <w:bCs/>
        </w:rPr>
        <w:t> </w:t>
      </w:r>
      <w:r w:rsidRPr="00FA5E0D">
        <w:rPr>
          <w:bCs/>
        </w:rPr>
        <w:t>4 and 12;</w:t>
      </w:r>
      <w:r w:rsidR="00A12F60">
        <w:rPr>
          <w:bCs/>
        </w:rPr>
        <w:t xml:space="preserve"> </w:t>
      </w:r>
      <w:r w:rsidRPr="00FA5E0D">
        <w:rPr>
          <w:bCs/>
        </w:rPr>
        <w:t>a clinically meaningful threshold for the reduction in frequency of vasomotor symptoms, defined</w:t>
      </w:r>
      <w:r w:rsidR="00A12F60">
        <w:rPr>
          <w:bCs/>
        </w:rPr>
        <w:t xml:space="preserve"> </w:t>
      </w:r>
      <w:r w:rsidRPr="00FA5E0D">
        <w:rPr>
          <w:bCs/>
        </w:rPr>
        <w:t>as</w:t>
      </w:r>
      <w:r w:rsidR="00490934">
        <w:rPr>
          <w:bCs/>
        </w:rPr>
        <w:t xml:space="preserve"> </w:t>
      </w:r>
      <w:r w:rsidRPr="00FA5E0D">
        <w:rPr>
          <w:bCs/>
        </w:rPr>
        <w:t>14 vasomotor symptoms per week above placebo, was applied, and 2) mean weekly reduction</w:t>
      </w:r>
      <w:r w:rsidR="00A12F60">
        <w:rPr>
          <w:bCs/>
        </w:rPr>
        <w:t xml:space="preserve"> </w:t>
      </w:r>
      <w:r w:rsidRPr="00FA5E0D">
        <w:rPr>
          <w:bCs/>
        </w:rPr>
        <w:t>in severity of moderate to severe vasomotor symptoms with BIJUVA</w:t>
      </w:r>
      <w:r w:rsidR="00490934">
        <w:rPr>
          <w:bCs/>
        </w:rPr>
        <w:t> </w:t>
      </w:r>
      <w:r w:rsidR="00A12F60">
        <w:rPr>
          <w:bCs/>
        </w:rPr>
        <w:t>1/100</w:t>
      </w:r>
      <w:r w:rsidRPr="00FA5E0D">
        <w:rPr>
          <w:bCs/>
        </w:rPr>
        <w:t xml:space="preserve"> compared to placebo at</w:t>
      </w:r>
      <w:r w:rsidR="00A12F60">
        <w:rPr>
          <w:bCs/>
        </w:rPr>
        <w:t xml:space="preserve"> </w:t>
      </w:r>
      <w:r w:rsidRPr="00FA5E0D">
        <w:rPr>
          <w:bCs/>
        </w:rPr>
        <w:t>Weeks 4 and 12.</w:t>
      </w:r>
    </w:p>
    <w:p w14:paraId="0022E4DB" w14:textId="02A5C6AA" w:rsidR="00461D8B" w:rsidRDefault="00FA5E0D" w:rsidP="00334E49">
      <w:pPr>
        <w:pStyle w:val="BodyText"/>
        <w:rPr>
          <w:bCs/>
        </w:rPr>
      </w:pPr>
      <w:r w:rsidRPr="00FA5E0D">
        <w:rPr>
          <w:bCs/>
        </w:rPr>
        <w:lastRenderedPageBreak/>
        <w:t>Overall, BIJUVA</w:t>
      </w:r>
      <w:r w:rsidR="00A12F60">
        <w:rPr>
          <w:bCs/>
        </w:rPr>
        <w:t xml:space="preserve"> 1/100</w:t>
      </w:r>
      <w:r w:rsidRPr="00FA5E0D">
        <w:rPr>
          <w:bCs/>
        </w:rPr>
        <w:t xml:space="preserve"> (</w:t>
      </w:r>
      <w:proofErr w:type="spellStart"/>
      <w:r w:rsidRPr="00FA5E0D">
        <w:rPr>
          <w:bCs/>
        </w:rPr>
        <w:t>estradiol</w:t>
      </w:r>
      <w:proofErr w:type="spellEnd"/>
      <w:r w:rsidRPr="00FA5E0D">
        <w:rPr>
          <w:bCs/>
        </w:rPr>
        <w:t xml:space="preserve"> and progesterone) capsules, 1</w:t>
      </w:r>
      <w:r w:rsidR="006075B5">
        <w:rPr>
          <w:bCs/>
        </w:rPr>
        <w:t> </w:t>
      </w:r>
      <w:r w:rsidRPr="00FA5E0D">
        <w:rPr>
          <w:bCs/>
        </w:rPr>
        <w:t>mg/100</w:t>
      </w:r>
      <w:r w:rsidR="006075B5">
        <w:rPr>
          <w:bCs/>
        </w:rPr>
        <w:t> </w:t>
      </w:r>
      <w:r w:rsidRPr="00FA5E0D">
        <w:rPr>
          <w:bCs/>
        </w:rPr>
        <w:t>mg, statistically significantly</w:t>
      </w:r>
      <w:r w:rsidR="00A12F60">
        <w:rPr>
          <w:bCs/>
        </w:rPr>
        <w:t xml:space="preserve"> </w:t>
      </w:r>
      <w:r w:rsidRPr="00FA5E0D">
        <w:rPr>
          <w:bCs/>
        </w:rPr>
        <w:t>reduced both the frequency and severity of moderate to severe vasomotor symptoms from</w:t>
      </w:r>
      <w:r w:rsidR="00A12F60">
        <w:rPr>
          <w:bCs/>
        </w:rPr>
        <w:t xml:space="preserve"> </w:t>
      </w:r>
      <w:r w:rsidRPr="00FA5E0D">
        <w:rPr>
          <w:bCs/>
        </w:rPr>
        <w:t>baseline compared with placebo at Weeks 4 and 12. A clinically meaningful threshold of a</w:t>
      </w:r>
      <w:r w:rsidR="00A12F60">
        <w:rPr>
          <w:bCs/>
        </w:rPr>
        <w:t xml:space="preserve"> </w:t>
      </w:r>
      <w:r w:rsidRPr="00FA5E0D">
        <w:rPr>
          <w:bCs/>
        </w:rPr>
        <w:t>reduction of 14 vasomotor symptoms per week above placebo was not demonstrated for</w:t>
      </w:r>
      <w:r w:rsidR="00A12F60">
        <w:rPr>
          <w:bCs/>
        </w:rPr>
        <w:t xml:space="preserve"> </w:t>
      </w:r>
      <w:r w:rsidRPr="00FA5E0D">
        <w:rPr>
          <w:bCs/>
        </w:rPr>
        <w:t>BIJUVA</w:t>
      </w:r>
      <w:r w:rsidR="00A12F60">
        <w:rPr>
          <w:bCs/>
        </w:rPr>
        <w:t xml:space="preserve"> 1/100</w:t>
      </w:r>
      <w:r w:rsidRPr="00FA5E0D">
        <w:rPr>
          <w:bCs/>
        </w:rPr>
        <w:t xml:space="preserve"> (</w:t>
      </w:r>
      <w:proofErr w:type="spellStart"/>
      <w:r w:rsidRPr="00FA5E0D">
        <w:rPr>
          <w:bCs/>
        </w:rPr>
        <w:t>estradiol</w:t>
      </w:r>
      <w:proofErr w:type="spellEnd"/>
      <w:r w:rsidRPr="00FA5E0D">
        <w:rPr>
          <w:bCs/>
        </w:rPr>
        <w:t xml:space="preserve"> and progesterone) capsules, 1 mg/100 mg, until Week 5</w:t>
      </w:r>
      <w:r w:rsidR="00461D8B" w:rsidRPr="00461D8B">
        <w:rPr>
          <w:bCs/>
        </w:rPr>
        <w:t>.</w:t>
      </w:r>
      <w:r w:rsidR="00334E49">
        <w:rPr>
          <w:bCs/>
        </w:rPr>
        <w:t xml:space="preserve"> </w:t>
      </w:r>
      <w:r w:rsidR="00334E49" w:rsidRPr="00334E49">
        <w:rPr>
          <w:bCs/>
        </w:rPr>
        <w:t>The change from</w:t>
      </w:r>
      <w:r w:rsidR="00334E49">
        <w:rPr>
          <w:bCs/>
        </w:rPr>
        <w:t xml:space="preserve"> </w:t>
      </w:r>
      <w:r w:rsidR="00334E49" w:rsidRPr="00334E49">
        <w:rPr>
          <w:bCs/>
        </w:rPr>
        <w:t>baseline in the frequency and severity of vasomotor symptoms observed and the difference from</w:t>
      </w:r>
      <w:r w:rsidR="00334E49">
        <w:rPr>
          <w:bCs/>
        </w:rPr>
        <w:t xml:space="preserve"> </w:t>
      </w:r>
      <w:r w:rsidR="00334E49" w:rsidRPr="00334E49">
        <w:rPr>
          <w:bCs/>
        </w:rPr>
        <w:t xml:space="preserve">placebo are shown in </w:t>
      </w:r>
      <w:r w:rsidR="00471E27">
        <w:rPr>
          <w:bCs/>
        </w:rPr>
        <w:fldChar w:fldCharType="begin"/>
      </w:r>
      <w:r w:rsidR="00471E27">
        <w:rPr>
          <w:bCs/>
        </w:rPr>
        <w:instrText xml:space="preserve"> REF _Ref89072714 \h </w:instrText>
      </w:r>
      <w:r w:rsidR="00471E27">
        <w:rPr>
          <w:bCs/>
        </w:rPr>
      </w:r>
      <w:r w:rsidR="00471E27">
        <w:rPr>
          <w:bCs/>
        </w:rPr>
        <w:fldChar w:fldCharType="separate"/>
      </w:r>
      <w:r w:rsidR="00551C94">
        <w:t xml:space="preserve">Table </w:t>
      </w:r>
      <w:r w:rsidR="00551C94">
        <w:rPr>
          <w:noProof/>
        </w:rPr>
        <w:t>8</w:t>
      </w:r>
      <w:r w:rsidR="00471E27">
        <w:rPr>
          <w:bCs/>
        </w:rPr>
        <w:fldChar w:fldCharType="end"/>
      </w:r>
      <w:r w:rsidR="00334E49" w:rsidRPr="00334E49">
        <w:rPr>
          <w:bCs/>
        </w:rPr>
        <w:t xml:space="preserve"> and </w:t>
      </w:r>
      <w:r w:rsidR="00471E27">
        <w:rPr>
          <w:bCs/>
        </w:rPr>
        <w:fldChar w:fldCharType="begin"/>
      </w:r>
      <w:r w:rsidR="00471E27">
        <w:rPr>
          <w:bCs/>
        </w:rPr>
        <w:instrText xml:space="preserve"> REF _Ref89072723 \h </w:instrText>
      </w:r>
      <w:r w:rsidR="00471E27">
        <w:rPr>
          <w:bCs/>
        </w:rPr>
      </w:r>
      <w:r w:rsidR="00471E27">
        <w:rPr>
          <w:bCs/>
        </w:rPr>
        <w:fldChar w:fldCharType="separate"/>
      </w:r>
      <w:r w:rsidR="00551C94">
        <w:t xml:space="preserve">Table </w:t>
      </w:r>
      <w:r w:rsidR="00551C94">
        <w:rPr>
          <w:noProof/>
        </w:rPr>
        <w:t>9</w:t>
      </w:r>
      <w:r w:rsidR="00471E27">
        <w:rPr>
          <w:bCs/>
        </w:rPr>
        <w:fldChar w:fldCharType="end"/>
      </w:r>
      <w:r w:rsidR="00334E49" w:rsidRPr="00637E7D">
        <w:rPr>
          <w:bCs/>
        </w:rPr>
        <w:t>,</w:t>
      </w:r>
      <w:r w:rsidR="00334E49" w:rsidRPr="00334E49">
        <w:rPr>
          <w:bCs/>
        </w:rPr>
        <w:t xml:space="preserve"> respectively</w:t>
      </w:r>
      <w:r w:rsidR="00334E49">
        <w:rPr>
          <w:bCs/>
        </w:rPr>
        <w:t>.</w:t>
      </w:r>
    </w:p>
    <w:p w14:paraId="6BCE59BA" w14:textId="77777777" w:rsidR="003D2E66" w:rsidRDefault="003D2E66" w:rsidP="00334E49">
      <w:pPr>
        <w:pStyle w:val="BodyText"/>
        <w:rPr>
          <w:bCs/>
        </w:rPr>
      </w:pPr>
    </w:p>
    <w:p w14:paraId="75DC9EA0" w14:textId="684D9EFF" w:rsidR="00C22580" w:rsidRDefault="00C22580" w:rsidP="004C3E99">
      <w:pPr>
        <w:pStyle w:val="Caption"/>
        <w:ind w:left="1440" w:hanging="1298"/>
        <w:rPr>
          <w:bCs/>
        </w:rPr>
      </w:pPr>
      <w:bookmarkStart w:id="18" w:name="_Ref89072714"/>
      <w:r>
        <w:t xml:space="preserve">Table </w:t>
      </w:r>
      <w:r>
        <w:fldChar w:fldCharType="begin"/>
      </w:r>
      <w:r>
        <w:instrText xml:space="preserve"> SEQ Table \* ARABIC </w:instrText>
      </w:r>
      <w:r>
        <w:fldChar w:fldCharType="separate"/>
      </w:r>
      <w:r w:rsidR="00551C94">
        <w:rPr>
          <w:noProof/>
        </w:rPr>
        <w:t>8</w:t>
      </w:r>
      <w:r>
        <w:fldChar w:fldCharType="end"/>
      </w:r>
      <w:bookmarkEnd w:id="18"/>
      <w:r w:rsidRPr="00C22580">
        <w:rPr>
          <w:bCs/>
        </w:rPr>
        <w:t xml:space="preserve">: </w:t>
      </w:r>
      <w:r w:rsidR="006075B5">
        <w:rPr>
          <w:bCs/>
        </w:rPr>
        <w:tab/>
      </w:r>
      <w:r w:rsidRPr="00C22580">
        <w:rPr>
          <w:bCs/>
        </w:rPr>
        <w:t>Mean Weekly Change from Baseline and Difference from Placebo in the</w:t>
      </w:r>
      <w:r>
        <w:rPr>
          <w:bCs/>
        </w:rPr>
        <w:t xml:space="preserve"> </w:t>
      </w:r>
      <w:r w:rsidRPr="00C22580">
        <w:rPr>
          <w:bCs/>
        </w:rPr>
        <w:t>Frequency of Moderate to Severe Vasomotor Symptoms</w:t>
      </w:r>
    </w:p>
    <w:tbl>
      <w:tblPr>
        <w:tblStyle w:val="TableGrid"/>
        <w:tblW w:w="0" w:type="auto"/>
        <w:tblInd w:w="142" w:type="dxa"/>
        <w:tblLook w:val="04A0" w:firstRow="1" w:lastRow="0" w:firstColumn="1" w:lastColumn="0" w:noHBand="0" w:noVBand="1"/>
      </w:tblPr>
      <w:tblGrid>
        <w:gridCol w:w="3646"/>
        <w:gridCol w:w="2999"/>
        <w:gridCol w:w="1979"/>
      </w:tblGrid>
      <w:tr w:rsidR="00B87474" w14:paraId="1D6A2360" w14:textId="77777777" w:rsidTr="00F94541">
        <w:trPr>
          <w:trHeight w:val="420"/>
        </w:trPr>
        <w:tc>
          <w:tcPr>
            <w:tcW w:w="3646" w:type="dxa"/>
          </w:tcPr>
          <w:p w14:paraId="2733D099" w14:textId="77777777" w:rsidR="00B87474" w:rsidRDefault="00B87474" w:rsidP="00F94541">
            <w:bookmarkStart w:id="19" w:name="_Hlk86917849"/>
          </w:p>
        </w:tc>
        <w:tc>
          <w:tcPr>
            <w:tcW w:w="2999" w:type="dxa"/>
          </w:tcPr>
          <w:p w14:paraId="09D65434" w14:textId="14AD27B4" w:rsidR="00B87474" w:rsidRPr="00F94541" w:rsidRDefault="00B87474" w:rsidP="00F94541">
            <w:pPr>
              <w:jc w:val="center"/>
              <w:rPr>
                <w:rFonts w:ascii="Times New Roman" w:hAnsi="Times New Roman" w:cs="Times New Roman"/>
                <w:b/>
                <w:bCs/>
              </w:rPr>
            </w:pPr>
            <w:r w:rsidRPr="00F94541">
              <w:rPr>
                <w:rFonts w:ascii="Times New Roman" w:hAnsi="Times New Roman" w:cs="Times New Roman"/>
                <w:b/>
                <w:bCs/>
              </w:rPr>
              <w:t>BIJUVA 1/100</w:t>
            </w:r>
            <w:r w:rsidRPr="00F94541">
              <w:rPr>
                <w:rFonts w:ascii="Times New Roman" w:hAnsi="Times New Roman" w:cs="Times New Roman"/>
                <w:b/>
                <w:bCs/>
              </w:rPr>
              <w:br/>
              <w:t>1 mg/100 mg (N=141)</w:t>
            </w:r>
          </w:p>
        </w:tc>
        <w:tc>
          <w:tcPr>
            <w:tcW w:w="1979" w:type="dxa"/>
          </w:tcPr>
          <w:p w14:paraId="7E690177" w14:textId="289D8E68" w:rsidR="00B87474" w:rsidRPr="00F94541" w:rsidRDefault="00B87474" w:rsidP="00F94541">
            <w:pPr>
              <w:jc w:val="center"/>
              <w:rPr>
                <w:rFonts w:ascii="Times New Roman" w:hAnsi="Times New Roman" w:cs="Times New Roman"/>
                <w:b/>
                <w:bCs/>
              </w:rPr>
            </w:pPr>
            <w:r w:rsidRPr="00F94541">
              <w:rPr>
                <w:rFonts w:ascii="Times New Roman" w:hAnsi="Times New Roman" w:cs="Times New Roman"/>
                <w:b/>
                <w:bCs/>
              </w:rPr>
              <w:t>Placebo</w:t>
            </w:r>
            <w:r w:rsidRPr="00F94541">
              <w:rPr>
                <w:rFonts w:ascii="Times New Roman" w:hAnsi="Times New Roman" w:cs="Times New Roman"/>
                <w:b/>
                <w:bCs/>
              </w:rPr>
              <w:br/>
              <w:t>(N=135)</w:t>
            </w:r>
          </w:p>
        </w:tc>
      </w:tr>
      <w:tr w:rsidR="00637E7D" w14:paraId="1E01AB8F" w14:textId="77777777" w:rsidTr="00F94541">
        <w:trPr>
          <w:trHeight w:val="420"/>
        </w:trPr>
        <w:tc>
          <w:tcPr>
            <w:tcW w:w="3646" w:type="dxa"/>
          </w:tcPr>
          <w:p w14:paraId="0BDBD825" w14:textId="2D9BAC55" w:rsidR="00637E7D" w:rsidRPr="00F94541" w:rsidRDefault="00637E7D" w:rsidP="00F94541">
            <w:pPr>
              <w:jc w:val="center"/>
              <w:rPr>
                <w:rFonts w:ascii="Times New Roman" w:hAnsi="Times New Roman" w:cs="Times New Roman"/>
                <w:b/>
                <w:bCs/>
              </w:rPr>
            </w:pPr>
            <w:r w:rsidRPr="00F94541">
              <w:rPr>
                <w:rFonts w:ascii="Times New Roman" w:hAnsi="Times New Roman" w:cs="Times New Roman"/>
                <w:b/>
                <w:bCs/>
              </w:rPr>
              <w:t>Week 4</w:t>
            </w:r>
          </w:p>
        </w:tc>
        <w:tc>
          <w:tcPr>
            <w:tcW w:w="2999" w:type="dxa"/>
          </w:tcPr>
          <w:p w14:paraId="0BFFB4BF" w14:textId="1A1A5E6A" w:rsidR="00637E7D" w:rsidRPr="00F94541" w:rsidRDefault="00637E7D" w:rsidP="00F94541">
            <w:pPr>
              <w:jc w:val="center"/>
              <w:rPr>
                <w:rFonts w:ascii="Times New Roman" w:hAnsi="Times New Roman" w:cs="Times New Roman"/>
              </w:rPr>
            </w:pPr>
            <w:r>
              <w:rPr>
                <w:rFonts w:ascii="Times New Roman" w:hAnsi="Times New Roman" w:cs="Times New Roman"/>
              </w:rPr>
              <w:t>n = 134</w:t>
            </w:r>
          </w:p>
        </w:tc>
        <w:tc>
          <w:tcPr>
            <w:tcW w:w="1979" w:type="dxa"/>
          </w:tcPr>
          <w:p w14:paraId="6BC5CACB" w14:textId="7A069675" w:rsidR="00637E7D" w:rsidRPr="00F94541" w:rsidRDefault="00637E7D" w:rsidP="00F94541">
            <w:pPr>
              <w:jc w:val="center"/>
              <w:rPr>
                <w:rFonts w:ascii="Times New Roman" w:hAnsi="Times New Roman" w:cs="Times New Roman"/>
              </w:rPr>
            </w:pPr>
            <w:r>
              <w:rPr>
                <w:rFonts w:ascii="Times New Roman" w:hAnsi="Times New Roman" w:cs="Times New Roman"/>
              </w:rPr>
              <w:t>n = 126</w:t>
            </w:r>
          </w:p>
        </w:tc>
      </w:tr>
      <w:tr w:rsidR="00637E7D" w14:paraId="772810B6" w14:textId="77777777" w:rsidTr="00F94541">
        <w:trPr>
          <w:trHeight w:val="420"/>
        </w:trPr>
        <w:tc>
          <w:tcPr>
            <w:tcW w:w="3646" w:type="dxa"/>
          </w:tcPr>
          <w:p w14:paraId="411F504F" w14:textId="5928F007" w:rsidR="00637E7D" w:rsidRPr="00F94541" w:rsidRDefault="00637E7D" w:rsidP="00F94541">
            <w:pPr>
              <w:jc w:val="center"/>
              <w:rPr>
                <w:rFonts w:ascii="Times New Roman" w:hAnsi="Times New Roman" w:cs="Times New Roman"/>
              </w:rPr>
            </w:pPr>
            <w:r>
              <w:rPr>
                <w:rFonts w:ascii="Times New Roman" w:hAnsi="Times New Roman" w:cs="Times New Roman"/>
              </w:rPr>
              <w:t>Baseline</w:t>
            </w:r>
          </w:p>
        </w:tc>
        <w:tc>
          <w:tcPr>
            <w:tcW w:w="2999" w:type="dxa"/>
          </w:tcPr>
          <w:p w14:paraId="6958CBDA" w14:textId="6206B6E5" w:rsidR="00637E7D" w:rsidRPr="00F94541" w:rsidRDefault="00637E7D" w:rsidP="00F94541">
            <w:pPr>
              <w:jc w:val="center"/>
              <w:rPr>
                <w:rFonts w:ascii="Times New Roman" w:hAnsi="Times New Roman" w:cs="Times New Roman"/>
              </w:rPr>
            </w:pPr>
            <w:r>
              <w:rPr>
                <w:rFonts w:ascii="Times New Roman" w:hAnsi="Times New Roman" w:cs="Times New Roman"/>
              </w:rPr>
              <w:t>72.1 (27.80)</w:t>
            </w:r>
          </w:p>
        </w:tc>
        <w:tc>
          <w:tcPr>
            <w:tcW w:w="1979" w:type="dxa"/>
          </w:tcPr>
          <w:p w14:paraId="0E914C48" w14:textId="7D32AD1C" w:rsidR="00637E7D" w:rsidRPr="00F94541" w:rsidRDefault="00637E7D" w:rsidP="00F94541">
            <w:pPr>
              <w:jc w:val="center"/>
              <w:rPr>
                <w:rFonts w:ascii="Times New Roman" w:hAnsi="Times New Roman" w:cs="Times New Roman"/>
              </w:rPr>
            </w:pPr>
            <w:r>
              <w:rPr>
                <w:rFonts w:ascii="Times New Roman" w:hAnsi="Times New Roman" w:cs="Times New Roman"/>
              </w:rPr>
              <w:t>72.3 (23.44)</w:t>
            </w:r>
          </w:p>
        </w:tc>
      </w:tr>
      <w:tr w:rsidR="00637E7D" w14:paraId="1923B6F0" w14:textId="77777777" w:rsidTr="00F94541">
        <w:trPr>
          <w:trHeight w:val="420"/>
        </w:trPr>
        <w:tc>
          <w:tcPr>
            <w:tcW w:w="3646" w:type="dxa"/>
          </w:tcPr>
          <w:p w14:paraId="57161CE9" w14:textId="3D906119" w:rsidR="00637E7D" w:rsidRPr="00F94541" w:rsidRDefault="00637E7D" w:rsidP="00F94541">
            <w:pPr>
              <w:jc w:val="center"/>
              <w:rPr>
                <w:rFonts w:ascii="Times New Roman" w:hAnsi="Times New Roman" w:cs="Times New Roman"/>
              </w:rPr>
            </w:pPr>
            <w:r>
              <w:rPr>
                <w:rFonts w:ascii="Times New Roman" w:hAnsi="Times New Roman" w:cs="Times New Roman"/>
              </w:rPr>
              <w:t>Mean (SD) change from baseline</w:t>
            </w:r>
          </w:p>
        </w:tc>
        <w:tc>
          <w:tcPr>
            <w:tcW w:w="2999" w:type="dxa"/>
          </w:tcPr>
          <w:p w14:paraId="06600E29" w14:textId="74C25029" w:rsidR="00637E7D" w:rsidRPr="00F94541" w:rsidRDefault="00637E7D" w:rsidP="00F94541">
            <w:pPr>
              <w:jc w:val="center"/>
              <w:rPr>
                <w:rFonts w:ascii="Times New Roman" w:hAnsi="Times New Roman" w:cs="Times New Roman"/>
              </w:rPr>
            </w:pPr>
            <w:r>
              <w:rPr>
                <w:rFonts w:ascii="Times New Roman" w:hAnsi="Times New Roman" w:cs="Times New Roman"/>
              </w:rPr>
              <w:t>-40.6 (30.59)</w:t>
            </w:r>
          </w:p>
        </w:tc>
        <w:tc>
          <w:tcPr>
            <w:tcW w:w="1979" w:type="dxa"/>
          </w:tcPr>
          <w:p w14:paraId="2E0BE382" w14:textId="681B1EAA" w:rsidR="00637E7D" w:rsidRPr="00F94541" w:rsidRDefault="00637E7D" w:rsidP="00F94541">
            <w:pPr>
              <w:jc w:val="center"/>
              <w:rPr>
                <w:rFonts w:ascii="Times New Roman" w:hAnsi="Times New Roman" w:cs="Times New Roman"/>
              </w:rPr>
            </w:pPr>
            <w:r>
              <w:rPr>
                <w:rFonts w:ascii="Times New Roman" w:hAnsi="Times New Roman" w:cs="Times New Roman"/>
              </w:rPr>
              <w:t>-26.4 (27.05)</w:t>
            </w:r>
          </w:p>
        </w:tc>
      </w:tr>
      <w:tr w:rsidR="00637E7D" w14:paraId="631B8185" w14:textId="77777777" w:rsidTr="00F94541">
        <w:trPr>
          <w:trHeight w:val="420"/>
        </w:trPr>
        <w:tc>
          <w:tcPr>
            <w:tcW w:w="3646" w:type="dxa"/>
          </w:tcPr>
          <w:p w14:paraId="0A2DDE52" w14:textId="126D8F3D" w:rsidR="00637E7D" w:rsidRPr="00F94541" w:rsidRDefault="00637E7D" w:rsidP="00F94541">
            <w:pPr>
              <w:jc w:val="center"/>
              <w:rPr>
                <w:rFonts w:ascii="Times New Roman" w:hAnsi="Times New Roman" w:cs="Times New Roman"/>
              </w:rPr>
            </w:pPr>
            <w:r>
              <w:rPr>
                <w:rFonts w:ascii="Times New Roman" w:hAnsi="Times New Roman" w:cs="Times New Roman"/>
              </w:rPr>
              <w:t>Difference from placebo*</w:t>
            </w:r>
          </w:p>
        </w:tc>
        <w:tc>
          <w:tcPr>
            <w:tcW w:w="2999" w:type="dxa"/>
          </w:tcPr>
          <w:p w14:paraId="1CB6AE0F" w14:textId="6F25A514" w:rsidR="00637E7D" w:rsidRPr="00F94541" w:rsidRDefault="00637E7D" w:rsidP="00F94541">
            <w:pPr>
              <w:jc w:val="center"/>
              <w:rPr>
                <w:rFonts w:ascii="Times New Roman" w:hAnsi="Times New Roman" w:cs="Times New Roman"/>
              </w:rPr>
            </w:pPr>
            <w:r>
              <w:rPr>
                <w:rFonts w:ascii="Times New Roman" w:hAnsi="Times New Roman" w:cs="Times New Roman"/>
              </w:rPr>
              <w:t>-12.81 (3.30)</w:t>
            </w:r>
          </w:p>
        </w:tc>
        <w:tc>
          <w:tcPr>
            <w:tcW w:w="1979" w:type="dxa"/>
          </w:tcPr>
          <w:p w14:paraId="274026C1" w14:textId="1D293A7F" w:rsidR="00637E7D" w:rsidRPr="00F94541" w:rsidRDefault="00637E7D" w:rsidP="00F94541">
            <w:pPr>
              <w:jc w:val="center"/>
              <w:rPr>
                <w:rFonts w:ascii="Times New Roman" w:hAnsi="Times New Roman" w:cs="Times New Roman"/>
              </w:rPr>
            </w:pPr>
            <w:r>
              <w:rPr>
                <w:rFonts w:ascii="Times New Roman" w:hAnsi="Times New Roman" w:cs="Times New Roman"/>
              </w:rPr>
              <w:t>---</w:t>
            </w:r>
          </w:p>
        </w:tc>
      </w:tr>
      <w:tr w:rsidR="00637E7D" w14:paraId="1C505021" w14:textId="77777777" w:rsidTr="00F94541">
        <w:trPr>
          <w:trHeight w:val="420"/>
        </w:trPr>
        <w:tc>
          <w:tcPr>
            <w:tcW w:w="3646" w:type="dxa"/>
          </w:tcPr>
          <w:p w14:paraId="3144A921" w14:textId="19CC16FC" w:rsidR="00637E7D" w:rsidRPr="00F94541" w:rsidRDefault="00637E7D" w:rsidP="00F94541">
            <w:pPr>
              <w:jc w:val="center"/>
              <w:rPr>
                <w:rFonts w:ascii="Times New Roman" w:hAnsi="Times New Roman" w:cs="Times New Roman"/>
              </w:rPr>
            </w:pPr>
            <w:r>
              <w:rPr>
                <w:rFonts w:ascii="Times New Roman" w:hAnsi="Times New Roman" w:cs="Times New Roman"/>
              </w:rPr>
              <w:t>P-value**</w:t>
            </w:r>
          </w:p>
        </w:tc>
        <w:tc>
          <w:tcPr>
            <w:tcW w:w="2999" w:type="dxa"/>
          </w:tcPr>
          <w:p w14:paraId="32191A5A" w14:textId="50F9061A" w:rsidR="00637E7D" w:rsidRPr="00F94541" w:rsidRDefault="00637E7D" w:rsidP="00F94541">
            <w:pPr>
              <w:jc w:val="center"/>
              <w:rPr>
                <w:rFonts w:ascii="Times New Roman" w:hAnsi="Times New Roman" w:cs="Times New Roman"/>
              </w:rPr>
            </w:pPr>
            <w:r>
              <w:rPr>
                <w:rFonts w:ascii="Times New Roman" w:hAnsi="Times New Roman" w:cs="Times New Roman"/>
              </w:rPr>
              <w:t>&lt;0.001</w:t>
            </w:r>
          </w:p>
        </w:tc>
        <w:tc>
          <w:tcPr>
            <w:tcW w:w="1979" w:type="dxa"/>
          </w:tcPr>
          <w:p w14:paraId="0814AD7D" w14:textId="60219E96" w:rsidR="00637E7D" w:rsidRPr="00F94541" w:rsidRDefault="00637E7D" w:rsidP="00F94541">
            <w:pPr>
              <w:jc w:val="center"/>
              <w:rPr>
                <w:rFonts w:ascii="Times New Roman" w:hAnsi="Times New Roman" w:cs="Times New Roman"/>
              </w:rPr>
            </w:pPr>
            <w:r>
              <w:rPr>
                <w:rFonts w:ascii="Times New Roman" w:hAnsi="Times New Roman" w:cs="Times New Roman"/>
              </w:rPr>
              <w:t>---</w:t>
            </w:r>
          </w:p>
        </w:tc>
      </w:tr>
      <w:tr w:rsidR="00637E7D" w14:paraId="19C7DE9D" w14:textId="77777777" w:rsidTr="00F94541">
        <w:trPr>
          <w:trHeight w:val="420"/>
        </w:trPr>
        <w:tc>
          <w:tcPr>
            <w:tcW w:w="3646" w:type="dxa"/>
          </w:tcPr>
          <w:p w14:paraId="501ED2E9" w14:textId="63E32101" w:rsidR="00637E7D" w:rsidRPr="00F94541" w:rsidRDefault="00637E7D" w:rsidP="00F94541">
            <w:pPr>
              <w:jc w:val="center"/>
              <w:rPr>
                <w:rFonts w:ascii="Times New Roman" w:hAnsi="Times New Roman" w:cs="Times New Roman"/>
              </w:rPr>
            </w:pPr>
          </w:p>
        </w:tc>
        <w:tc>
          <w:tcPr>
            <w:tcW w:w="2999" w:type="dxa"/>
          </w:tcPr>
          <w:p w14:paraId="498E1514" w14:textId="77777777" w:rsidR="00637E7D" w:rsidRPr="00F94541" w:rsidRDefault="00637E7D" w:rsidP="00F94541">
            <w:pPr>
              <w:rPr>
                <w:rFonts w:ascii="Times New Roman" w:hAnsi="Times New Roman" w:cs="Times New Roman"/>
              </w:rPr>
            </w:pPr>
          </w:p>
        </w:tc>
        <w:tc>
          <w:tcPr>
            <w:tcW w:w="1979" w:type="dxa"/>
          </w:tcPr>
          <w:p w14:paraId="6ACB7156" w14:textId="77777777" w:rsidR="00637E7D" w:rsidRPr="00F94541" w:rsidRDefault="00637E7D" w:rsidP="00F94541">
            <w:pPr>
              <w:rPr>
                <w:rFonts w:ascii="Times New Roman" w:hAnsi="Times New Roman" w:cs="Times New Roman"/>
              </w:rPr>
            </w:pPr>
          </w:p>
        </w:tc>
      </w:tr>
      <w:tr w:rsidR="00637E7D" w14:paraId="011872E8" w14:textId="77777777" w:rsidTr="00F94541">
        <w:trPr>
          <w:trHeight w:val="420"/>
        </w:trPr>
        <w:tc>
          <w:tcPr>
            <w:tcW w:w="3646" w:type="dxa"/>
          </w:tcPr>
          <w:p w14:paraId="2E12D638" w14:textId="181033EA" w:rsidR="00637E7D" w:rsidRPr="00F94541" w:rsidRDefault="00637E7D" w:rsidP="00F94541">
            <w:pPr>
              <w:jc w:val="center"/>
              <w:rPr>
                <w:rFonts w:ascii="Times New Roman" w:hAnsi="Times New Roman" w:cs="Times New Roman"/>
                <w:b/>
                <w:bCs/>
              </w:rPr>
            </w:pPr>
            <w:r w:rsidRPr="00F94541">
              <w:rPr>
                <w:rFonts w:ascii="Times New Roman" w:hAnsi="Times New Roman" w:cs="Times New Roman"/>
                <w:b/>
                <w:bCs/>
              </w:rPr>
              <w:t>Week 12</w:t>
            </w:r>
          </w:p>
        </w:tc>
        <w:tc>
          <w:tcPr>
            <w:tcW w:w="2999" w:type="dxa"/>
          </w:tcPr>
          <w:p w14:paraId="23B0E0B0" w14:textId="5E14BBE2" w:rsidR="00637E7D" w:rsidRPr="00F94541" w:rsidRDefault="00637E7D" w:rsidP="00F94541">
            <w:pPr>
              <w:jc w:val="center"/>
              <w:rPr>
                <w:rFonts w:ascii="Times New Roman" w:hAnsi="Times New Roman" w:cs="Times New Roman"/>
              </w:rPr>
            </w:pPr>
            <w:r>
              <w:rPr>
                <w:rFonts w:ascii="Times New Roman" w:hAnsi="Times New Roman" w:cs="Times New Roman"/>
              </w:rPr>
              <w:t>n = 124</w:t>
            </w:r>
          </w:p>
        </w:tc>
        <w:tc>
          <w:tcPr>
            <w:tcW w:w="1979" w:type="dxa"/>
          </w:tcPr>
          <w:p w14:paraId="53A87835" w14:textId="36D384E5" w:rsidR="00637E7D" w:rsidRPr="00F94541" w:rsidRDefault="00637E7D" w:rsidP="00F94541">
            <w:pPr>
              <w:jc w:val="center"/>
              <w:rPr>
                <w:rFonts w:ascii="Times New Roman" w:hAnsi="Times New Roman" w:cs="Times New Roman"/>
              </w:rPr>
            </w:pPr>
            <w:r>
              <w:rPr>
                <w:rFonts w:ascii="Times New Roman" w:hAnsi="Times New Roman" w:cs="Times New Roman"/>
              </w:rPr>
              <w:t>n = 115</w:t>
            </w:r>
          </w:p>
        </w:tc>
      </w:tr>
      <w:tr w:rsidR="00637E7D" w14:paraId="6AF2B0A5" w14:textId="77777777" w:rsidTr="00F94541">
        <w:trPr>
          <w:trHeight w:val="420"/>
        </w:trPr>
        <w:tc>
          <w:tcPr>
            <w:tcW w:w="3646" w:type="dxa"/>
          </w:tcPr>
          <w:p w14:paraId="3EF17539" w14:textId="3507AB28" w:rsidR="00637E7D" w:rsidRPr="00F94541" w:rsidRDefault="00637E7D" w:rsidP="00F94541">
            <w:pPr>
              <w:jc w:val="center"/>
              <w:rPr>
                <w:rFonts w:ascii="Times New Roman" w:hAnsi="Times New Roman" w:cs="Times New Roman"/>
              </w:rPr>
            </w:pPr>
            <w:r>
              <w:rPr>
                <w:rFonts w:ascii="Times New Roman" w:hAnsi="Times New Roman" w:cs="Times New Roman"/>
              </w:rPr>
              <w:t>Baseline</w:t>
            </w:r>
          </w:p>
        </w:tc>
        <w:tc>
          <w:tcPr>
            <w:tcW w:w="2999" w:type="dxa"/>
          </w:tcPr>
          <w:p w14:paraId="502AD5E3" w14:textId="37FD7ED1" w:rsidR="00637E7D" w:rsidRPr="00F94541" w:rsidRDefault="00637E7D" w:rsidP="00F94541">
            <w:pPr>
              <w:jc w:val="center"/>
              <w:rPr>
                <w:rFonts w:ascii="Times New Roman" w:hAnsi="Times New Roman" w:cs="Times New Roman"/>
              </w:rPr>
            </w:pPr>
            <w:r>
              <w:rPr>
                <w:rFonts w:ascii="Times New Roman" w:hAnsi="Times New Roman" w:cs="Times New Roman"/>
              </w:rPr>
              <w:t>72.2 (25.04</w:t>
            </w:r>
            <w:r w:rsidR="00F94541">
              <w:rPr>
                <w:rFonts w:ascii="Times New Roman" w:hAnsi="Times New Roman" w:cs="Times New Roman"/>
              </w:rPr>
              <w:t>)</w:t>
            </w:r>
          </w:p>
        </w:tc>
        <w:tc>
          <w:tcPr>
            <w:tcW w:w="1979" w:type="dxa"/>
          </w:tcPr>
          <w:p w14:paraId="165C3890" w14:textId="4AB23AAE" w:rsidR="00637E7D" w:rsidRPr="00F94541" w:rsidRDefault="00637E7D" w:rsidP="00F94541">
            <w:pPr>
              <w:jc w:val="center"/>
              <w:rPr>
                <w:rFonts w:ascii="Times New Roman" w:hAnsi="Times New Roman" w:cs="Times New Roman"/>
              </w:rPr>
            </w:pPr>
            <w:r>
              <w:rPr>
                <w:rFonts w:ascii="Times New Roman" w:hAnsi="Times New Roman" w:cs="Times New Roman"/>
              </w:rPr>
              <w:t>72.2 (22.66)</w:t>
            </w:r>
          </w:p>
        </w:tc>
      </w:tr>
      <w:tr w:rsidR="00637E7D" w14:paraId="09A3A42E" w14:textId="77777777" w:rsidTr="00F94541">
        <w:trPr>
          <w:trHeight w:val="420"/>
        </w:trPr>
        <w:tc>
          <w:tcPr>
            <w:tcW w:w="3646" w:type="dxa"/>
          </w:tcPr>
          <w:p w14:paraId="71267B69" w14:textId="023DE6BE" w:rsidR="00637E7D" w:rsidRPr="00F94541" w:rsidRDefault="00637E7D" w:rsidP="00F94541">
            <w:pPr>
              <w:jc w:val="center"/>
              <w:rPr>
                <w:rFonts w:ascii="Times New Roman" w:hAnsi="Times New Roman" w:cs="Times New Roman"/>
              </w:rPr>
            </w:pPr>
            <w:r>
              <w:rPr>
                <w:rFonts w:ascii="Times New Roman" w:hAnsi="Times New Roman" w:cs="Times New Roman"/>
              </w:rPr>
              <w:t>Mean (SD) change from baseline</w:t>
            </w:r>
          </w:p>
        </w:tc>
        <w:tc>
          <w:tcPr>
            <w:tcW w:w="2999" w:type="dxa"/>
          </w:tcPr>
          <w:p w14:paraId="6C5968DF" w14:textId="5639F6A6" w:rsidR="00637E7D" w:rsidRPr="00F94541" w:rsidRDefault="00637E7D" w:rsidP="00F94541">
            <w:pPr>
              <w:jc w:val="center"/>
              <w:rPr>
                <w:rFonts w:ascii="Times New Roman" w:hAnsi="Times New Roman" w:cs="Times New Roman"/>
              </w:rPr>
            </w:pPr>
            <w:r>
              <w:rPr>
                <w:rFonts w:ascii="Times New Roman" w:hAnsi="Times New Roman" w:cs="Times New Roman"/>
              </w:rPr>
              <w:t>-55.1 (31.36)</w:t>
            </w:r>
          </w:p>
        </w:tc>
        <w:tc>
          <w:tcPr>
            <w:tcW w:w="1979" w:type="dxa"/>
          </w:tcPr>
          <w:p w14:paraId="3D192B6C" w14:textId="0E9678F6" w:rsidR="00637E7D" w:rsidRPr="00F94541" w:rsidRDefault="00637E7D" w:rsidP="00F94541">
            <w:pPr>
              <w:jc w:val="center"/>
              <w:rPr>
                <w:rFonts w:ascii="Times New Roman" w:hAnsi="Times New Roman" w:cs="Times New Roman"/>
              </w:rPr>
            </w:pPr>
            <w:r>
              <w:rPr>
                <w:rFonts w:ascii="Times New Roman" w:hAnsi="Times New Roman" w:cs="Times New Roman"/>
              </w:rPr>
              <w:t>-40.2 (29.79)</w:t>
            </w:r>
          </w:p>
        </w:tc>
      </w:tr>
      <w:tr w:rsidR="00637E7D" w14:paraId="08F6B2FE" w14:textId="77777777" w:rsidTr="00F94541">
        <w:trPr>
          <w:trHeight w:val="408"/>
        </w:trPr>
        <w:tc>
          <w:tcPr>
            <w:tcW w:w="3646" w:type="dxa"/>
          </w:tcPr>
          <w:p w14:paraId="5418E81E" w14:textId="1BC9A5E5" w:rsidR="00637E7D" w:rsidRPr="00F94541" w:rsidRDefault="00637E7D" w:rsidP="00F94541">
            <w:pPr>
              <w:jc w:val="center"/>
              <w:rPr>
                <w:rFonts w:ascii="Times New Roman" w:hAnsi="Times New Roman" w:cs="Times New Roman"/>
              </w:rPr>
            </w:pPr>
            <w:r>
              <w:rPr>
                <w:rFonts w:ascii="Times New Roman" w:hAnsi="Times New Roman" w:cs="Times New Roman"/>
              </w:rPr>
              <w:t>Difference from placebo*</w:t>
            </w:r>
          </w:p>
        </w:tc>
        <w:tc>
          <w:tcPr>
            <w:tcW w:w="2999" w:type="dxa"/>
          </w:tcPr>
          <w:p w14:paraId="5A8DA2FC" w14:textId="41C92CB4" w:rsidR="00637E7D" w:rsidRPr="00F94541" w:rsidRDefault="00637E7D" w:rsidP="00F94541">
            <w:pPr>
              <w:jc w:val="center"/>
              <w:rPr>
                <w:rFonts w:ascii="Times New Roman" w:hAnsi="Times New Roman" w:cs="Times New Roman"/>
              </w:rPr>
            </w:pPr>
            <w:r>
              <w:rPr>
                <w:rFonts w:ascii="Times New Roman" w:hAnsi="Times New Roman" w:cs="Times New Roman"/>
              </w:rPr>
              <w:t>-16.58 (3.44)</w:t>
            </w:r>
          </w:p>
        </w:tc>
        <w:tc>
          <w:tcPr>
            <w:tcW w:w="1979" w:type="dxa"/>
          </w:tcPr>
          <w:p w14:paraId="06B28075" w14:textId="28C9721E" w:rsidR="00637E7D" w:rsidRPr="00F94541" w:rsidRDefault="00637E7D" w:rsidP="00F94541">
            <w:pPr>
              <w:jc w:val="center"/>
              <w:rPr>
                <w:rFonts w:ascii="Times New Roman" w:hAnsi="Times New Roman" w:cs="Times New Roman"/>
              </w:rPr>
            </w:pPr>
            <w:r>
              <w:rPr>
                <w:rFonts w:ascii="Times New Roman" w:hAnsi="Times New Roman" w:cs="Times New Roman"/>
              </w:rPr>
              <w:t>---</w:t>
            </w:r>
          </w:p>
        </w:tc>
      </w:tr>
      <w:tr w:rsidR="00637E7D" w14:paraId="220FF526" w14:textId="77777777" w:rsidTr="00B87474">
        <w:trPr>
          <w:trHeight w:val="408"/>
        </w:trPr>
        <w:tc>
          <w:tcPr>
            <w:tcW w:w="3646" w:type="dxa"/>
          </w:tcPr>
          <w:p w14:paraId="25B7CA18" w14:textId="21EE15BE" w:rsidR="00637E7D" w:rsidRPr="00637E7D" w:rsidRDefault="00637E7D" w:rsidP="00637E7D">
            <w:pPr>
              <w:jc w:val="center"/>
              <w:rPr>
                <w:rFonts w:ascii="Times New Roman" w:hAnsi="Times New Roman" w:cs="Times New Roman"/>
              </w:rPr>
            </w:pPr>
            <w:r>
              <w:rPr>
                <w:rFonts w:ascii="Times New Roman" w:hAnsi="Times New Roman" w:cs="Times New Roman"/>
              </w:rPr>
              <w:t>P-value**</w:t>
            </w:r>
          </w:p>
        </w:tc>
        <w:tc>
          <w:tcPr>
            <w:tcW w:w="2999" w:type="dxa"/>
          </w:tcPr>
          <w:p w14:paraId="16D0AEDF" w14:textId="532BBF24" w:rsidR="00637E7D" w:rsidRPr="00637E7D" w:rsidRDefault="00637E7D" w:rsidP="00F94541">
            <w:pPr>
              <w:jc w:val="center"/>
              <w:rPr>
                <w:rFonts w:ascii="Times New Roman" w:hAnsi="Times New Roman" w:cs="Times New Roman"/>
              </w:rPr>
            </w:pPr>
            <w:r>
              <w:rPr>
                <w:rFonts w:ascii="Times New Roman" w:hAnsi="Times New Roman" w:cs="Times New Roman"/>
              </w:rPr>
              <w:t>&lt;0.001</w:t>
            </w:r>
          </w:p>
        </w:tc>
        <w:tc>
          <w:tcPr>
            <w:tcW w:w="1979" w:type="dxa"/>
          </w:tcPr>
          <w:p w14:paraId="5ED164AC" w14:textId="5050A48A" w:rsidR="00637E7D" w:rsidRPr="00637E7D" w:rsidRDefault="00637E7D" w:rsidP="00F94541">
            <w:pPr>
              <w:jc w:val="center"/>
              <w:rPr>
                <w:rFonts w:ascii="Times New Roman" w:hAnsi="Times New Roman" w:cs="Times New Roman"/>
              </w:rPr>
            </w:pPr>
            <w:r>
              <w:rPr>
                <w:rFonts w:ascii="Times New Roman" w:hAnsi="Times New Roman" w:cs="Times New Roman"/>
              </w:rPr>
              <w:t>---</w:t>
            </w:r>
          </w:p>
        </w:tc>
      </w:tr>
    </w:tbl>
    <w:bookmarkEnd w:id="19"/>
    <w:p w14:paraId="623F9AD7" w14:textId="77777777" w:rsidR="00637E7D" w:rsidRDefault="00637E7D" w:rsidP="004C3E99">
      <w:pPr>
        <w:pStyle w:val="tablelegends"/>
      </w:pPr>
      <w:r>
        <w:t>*Least square mean difference (SE) from placebo</w:t>
      </w:r>
    </w:p>
    <w:p w14:paraId="3D241BFF" w14:textId="77777777" w:rsidR="00637E7D" w:rsidRDefault="00637E7D" w:rsidP="004C3E99">
      <w:pPr>
        <w:pStyle w:val="tablelegends"/>
      </w:pPr>
      <w:r>
        <w:t>**P-value of least square mean difference from placebo using mixed model repeated measures analyses</w:t>
      </w:r>
    </w:p>
    <w:p w14:paraId="73A1895B" w14:textId="75268F09" w:rsidR="00C22580" w:rsidRDefault="00637E7D" w:rsidP="004C3E99">
      <w:pPr>
        <w:pStyle w:val="tablelegends"/>
      </w:pPr>
      <w:r>
        <w:t>Definitions: SD – standard deviation; SE – standard error</w:t>
      </w:r>
    </w:p>
    <w:p w14:paraId="634A4A39" w14:textId="7D3FB06F" w:rsidR="0009003F" w:rsidRDefault="0009003F">
      <w:pPr>
        <w:rPr>
          <w:rFonts w:ascii="Times New Roman" w:eastAsia="Times New Roman" w:hAnsi="Times New Roman"/>
          <w:spacing w:val="-1"/>
          <w:sz w:val="24"/>
          <w:szCs w:val="24"/>
        </w:rPr>
      </w:pPr>
      <w:r>
        <w:br w:type="page"/>
      </w:r>
    </w:p>
    <w:p w14:paraId="49ABF2E8" w14:textId="259653F7" w:rsidR="00637E7D" w:rsidRDefault="00637E7D" w:rsidP="004C3E99">
      <w:pPr>
        <w:pStyle w:val="Caption"/>
        <w:ind w:left="1440" w:hanging="1298"/>
      </w:pPr>
      <w:bookmarkStart w:id="20" w:name="_Ref89072723"/>
      <w:r>
        <w:lastRenderedPageBreak/>
        <w:t xml:space="preserve">Table </w:t>
      </w:r>
      <w:r>
        <w:fldChar w:fldCharType="begin"/>
      </w:r>
      <w:r>
        <w:instrText xml:space="preserve"> SEQ Table \* ARABIC </w:instrText>
      </w:r>
      <w:r>
        <w:fldChar w:fldCharType="separate"/>
      </w:r>
      <w:r w:rsidR="00551C94">
        <w:rPr>
          <w:noProof/>
        </w:rPr>
        <w:t>9</w:t>
      </w:r>
      <w:r>
        <w:fldChar w:fldCharType="end"/>
      </w:r>
      <w:bookmarkEnd w:id="20"/>
      <w:r>
        <w:t>:</w:t>
      </w:r>
      <w:r w:rsidRPr="00637E7D">
        <w:t xml:space="preserve"> </w:t>
      </w:r>
      <w:r w:rsidR="006075B5">
        <w:tab/>
      </w:r>
      <w:r>
        <w:t>Mean Weekly Change from Baseline and Difference from Placebo in the Severity of Moderate to Severe Vasomotor Symptoms</w:t>
      </w:r>
    </w:p>
    <w:tbl>
      <w:tblPr>
        <w:tblStyle w:val="TableGrid"/>
        <w:tblW w:w="0" w:type="auto"/>
        <w:tblInd w:w="142" w:type="dxa"/>
        <w:tblLook w:val="04A0" w:firstRow="1" w:lastRow="0" w:firstColumn="1" w:lastColumn="0" w:noHBand="0" w:noVBand="1"/>
      </w:tblPr>
      <w:tblGrid>
        <w:gridCol w:w="3646"/>
        <w:gridCol w:w="2999"/>
        <w:gridCol w:w="1979"/>
      </w:tblGrid>
      <w:tr w:rsidR="00637E7D" w14:paraId="3E8F98D9" w14:textId="77777777" w:rsidTr="006075B5">
        <w:trPr>
          <w:trHeight w:val="420"/>
        </w:trPr>
        <w:tc>
          <w:tcPr>
            <w:tcW w:w="3646" w:type="dxa"/>
          </w:tcPr>
          <w:p w14:paraId="0A0C6C2E" w14:textId="77777777" w:rsidR="00637E7D" w:rsidRDefault="00637E7D" w:rsidP="006075B5"/>
        </w:tc>
        <w:tc>
          <w:tcPr>
            <w:tcW w:w="2999" w:type="dxa"/>
          </w:tcPr>
          <w:p w14:paraId="199EE054" w14:textId="77777777" w:rsidR="00637E7D" w:rsidRPr="00B84AB2" w:rsidRDefault="00637E7D" w:rsidP="006075B5">
            <w:pPr>
              <w:jc w:val="center"/>
              <w:rPr>
                <w:rFonts w:ascii="Times New Roman" w:hAnsi="Times New Roman" w:cs="Times New Roman"/>
                <w:b/>
                <w:bCs/>
              </w:rPr>
            </w:pPr>
            <w:r w:rsidRPr="00B84AB2">
              <w:rPr>
                <w:rFonts w:ascii="Times New Roman" w:hAnsi="Times New Roman" w:cs="Times New Roman"/>
                <w:b/>
                <w:bCs/>
              </w:rPr>
              <w:t>BIJUVA 1/100</w:t>
            </w:r>
            <w:r w:rsidRPr="00B84AB2">
              <w:rPr>
                <w:rFonts w:ascii="Times New Roman" w:hAnsi="Times New Roman" w:cs="Times New Roman"/>
                <w:b/>
                <w:bCs/>
              </w:rPr>
              <w:br/>
              <w:t>1 mg/100 mg (N=141)</w:t>
            </w:r>
          </w:p>
        </w:tc>
        <w:tc>
          <w:tcPr>
            <w:tcW w:w="1979" w:type="dxa"/>
          </w:tcPr>
          <w:p w14:paraId="7F10B228" w14:textId="77777777" w:rsidR="00637E7D" w:rsidRPr="00B84AB2" w:rsidRDefault="00637E7D" w:rsidP="006075B5">
            <w:pPr>
              <w:jc w:val="center"/>
              <w:rPr>
                <w:rFonts w:ascii="Times New Roman" w:hAnsi="Times New Roman" w:cs="Times New Roman"/>
                <w:b/>
                <w:bCs/>
              </w:rPr>
            </w:pPr>
            <w:r w:rsidRPr="00B84AB2">
              <w:rPr>
                <w:rFonts w:ascii="Times New Roman" w:hAnsi="Times New Roman" w:cs="Times New Roman"/>
                <w:b/>
                <w:bCs/>
              </w:rPr>
              <w:t>Placebo</w:t>
            </w:r>
            <w:r w:rsidRPr="00B84AB2">
              <w:rPr>
                <w:rFonts w:ascii="Times New Roman" w:hAnsi="Times New Roman" w:cs="Times New Roman"/>
                <w:b/>
                <w:bCs/>
              </w:rPr>
              <w:br/>
              <w:t>(N=135)</w:t>
            </w:r>
          </w:p>
        </w:tc>
      </w:tr>
      <w:tr w:rsidR="00637E7D" w14:paraId="1C1AAA29" w14:textId="77777777" w:rsidTr="006075B5">
        <w:trPr>
          <w:trHeight w:val="420"/>
        </w:trPr>
        <w:tc>
          <w:tcPr>
            <w:tcW w:w="3646" w:type="dxa"/>
          </w:tcPr>
          <w:p w14:paraId="25E7A176" w14:textId="77777777" w:rsidR="00637E7D" w:rsidRPr="00B84AB2" w:rsidRDefault="00637E7D" w:rsidP="006075B5">
            <w:pPr>
              <w:jc w:val="center"/>
              <w:rPr>
                <w:rFonts w:ascii="Times New Roman" w:hAnsi="Times New Roman" w:cs="Times New Roman"/>
                <w:b/>
                <w:bCs/>
              </w:rPr>
            </w:pPr>
            <w:r w:rsidRPr="00B84AB2">
              <w:rPr>
                <w:rFonts w:ascii="Times New Roman" w:hAnsi="Times New Roman" w:cs="Times New Roman"/>
                <w:b/>
                <w:bCs/>
              </w:rPr>
              <w:t>Week 4</w:t>
            </w:r>
          </w:p>
        </w:tc>
        <w:tc>
          <w:tcPr>
            <w:tcW w:w="2999" w:type="dxa"/>
          </w:tcPr>
          <w:p w14:paraId="422A0389" w14:textId="77777777" w:rsidR="00637E7D" w:rsidRPr="00B84AB2" w:rsidRDefault="00637E7D" w:rsidP="006075B5">
            <w:pPr>
              <w:jc w:val="center"/>
              <w:rPr>
                <w:rFonts w:ascii="Times New Roman" w:hAnsi="Times New Roman" w:cs="Times New Roman"/>
              </w:rPr>
            </w:pPr>
            <w:r>
              <w:rPr>
                <w:rFonts w:ascii="Times New Roman" w:hAnsi="Times New Roman" w:cs="Times New Roman"/>
              </w:rPr>
              <w:t>n = 134</w:t>
            </w:r>
          </w:p>
        </w:tc>
        <w:tc>
          <w:tcPr>
            <w:tcW w:w="1979" w:type="dxa"/>
          </w:tcPr>
          <w:p w14:paraId="60D6662D" w14:textId="77777777" w:rsidR="00637E7D" w:rsidRPr="00B84AB2" w:rsidRDefault="00637E7D" w:rsidP="006075B5">
            <w:pPr>
              <w:jc w:val="center"/>
              <w:rPr>
                <w:rFonts w:ascii="Times New Roman" w:hAnsi="Times New Roman" w:cs="Times New Roman"/>
              </w:rPr>
            </w:pPr>
            <w:r>
              <w:rPr>
                <w:rFonts w:ascii="Times New Roman" w:hAnsi="Times New Roman" w:cs="Times New Roman"/>
              </w:rPr>
              <w:t>n = 126</w:t>
            </w:r>
          </w:p>
        </w:tc>
      </w:tr>
      <w:tr w:rsidR="00637E7D" w14:paraId="083FE272" w14:textId="77777777" w:rsidTr="006075B5">
        <w:trPr>
          <w:trHeight w:val="420"/>
        </w:trPr>
        <w:tc>
          <w:tcPr>
            <w:tcW w:w="3646" w:type="dxa"/>
          </w:tcPr>
          <w:p w14:paraId="45FEAA41" w14:textId="77777777" w:rsidR="00637E7D" w:rsidRPr="00B84AB2" w:rsidRDefault="00637E7D" w:rsidP="006075B5">
            <w:pPr>
              <w:jc w:val="center"/>
              <w:rPr>
                <w:rFonts w:ascii="Times New Roman" w:hAnsi="Times New Roman" w:cs="Times New Roman"/>
              </w:rPr>
            </w:pPr>
            <w:r>
              <w:rPr>
                <w:rFonts w:ascii="Times New Roman" w:hAnsi="Times New Roman" w:cs="Times New Roman"/>
              </w:rPr>
              <w:t>Baseline</w:t>
            </w:r>
          </w:p>
        </w:tc>
        <w:tc>
          <w:tcPr>
            <w:tcW w:w="2999" w:type="dxa"/>
          </w:tcPr>
          <w:p w14:paraId="55D664C4" w14:textId="78A43FED" w:rsidR="00637E7D" w:rsidRPr="00B84AB2" w:rsidRDefault="00F94541" w:rsidP="006075B5">
            <w:pPr>
              <w:jc w:val="center"/>
              <w:rPr>
                <w:rFonts w:ascii="Times New Roman" w:hAnsi="Times New Roman" w:cs="Times New Roman"/>
              </w:rPr>
            </w:pPr>
            <w:r>
              <w:rPr>
                <w:rFonts w:ascii="Times New Roman" w:hAnsi="Times New Roman" w:cs="Times New Roman"/>
              </w:rPr>
              <w:t>2.54</w:t>
            </w:r>
            <w:r w:rsidR="00637E7D">
              <w:rPr>
                <w:rFonts w:ascii="Times New Roman" w:hAnsi="Times New Roman" w:cs="Times New Roman"/>
              </w:rPr>
              <w:t xml:space="preserve"> (</w:t>
            </w:r>
            <w:r>
              <w:rPr>
                <w:rFonts w:ascii="Times New Roman" w:hAnsi="Times New Roman" w:cs="Times New Roman"/>
              </w:rPr>
              <w:t>0.325)</w:t>
            </w:r>
          </w:p>
        </w:tc>
        <w:tc>
          <w:tcPr>
            <w:tcW w:w="1979" w:type="dxa"/>
          </w:tcPr>
          <w:p w14:paraId="1CE49549" w14:textId="7628202B" w:rsidR="00637E7D" w:rsidRPr="00B84AB2" w:rsidRDefault="00F94541" w:rsidP="006075B5">
            <w:pPr>
              <w:jc w:val="center"/>
              <w:rPr>
                <w:rFonts w:ascii="Times New Roman" w:hAnsi="Times New Roman" w:cs="Times New Roman"/>
              </w:rPr>
            </w:pPr>
            <w:r>
              <w:rPr>
                <w:rFonts w:ascii="Times New Roman" w:hAnsi="Times New Roman" w:cs="Times New Roman"/>
              </w:rPr>
              <w:t>2.52</w:t>
            </w:r>
            <w:r w:rsidR="00637E7D">
              <w:rPr>
                <w:rFonts w:ascii="Times New Roman" w:hAnsi="Times New Roman" w:cs="Times New Roman"/>
              </w:rPr>
              <w:t xml:space="preserve"> (</w:t>
            </w:r>
            <w:r>
              <w:rPr>
                <w:rFonts w:ascii="Times New Roman" w:hAnsi="Times New Roman" w:cs="Times New Roman"/>
              </w:rPr>
              <w:t>0.249</w:t>
            </w:r>
            <w:r w:rsidR="00637E7D">
              <w:rPr>
                <w:rFonts w:ascii="Times New Roman" w:hAnsi="Times New Roman" w:cs="Times New Roman"/>
              </w:rPr>
              <w:t>)</w:t>
            </w:r>
          </w:p>
        </w:tc>
      </w:tr>
      <w:tr w:rsidR="00637E7D" w14:paraId="38F15BE6" w14:textId="77777777" w:rsidTr="006075B5">
        <w:trPr>
          <w:trHeight w:val="420"/>
        </w:trPr>
        <w:tc>
          <w:tcPr>
            <w:tcW w:w="3646" w:type="dxa"/>
          </w:tcPr>
          <w:p w14:paraId="15DEE97D" w14:textId="77777777" w:rsidR="00637E7D" w:rsidRPr="00B84AB2" w:rsidRDefault="00637E7D" w:rsidP="006075B5">
            <w:pPr>
              <w:jc w:val="center"/>
              <w:rPr>
                <w:rFonts w:ascii="Times New Roman" w:hAnsi="Times New Roman" w:cs="Times New Roman"/>
              </w:rPr>
            </w:pPr>
            <w:r>
              <w:rPr>
                <w:rFonts w:ascii="Times New Roman" w:hAnsi="Times New Roman" w:cs="Times New Roman"/>
              </w:rPr>
              <w:t>Mean (SD) change from baseline</w:t>
            </w:r>
          </w:p>
        </w:tc>
        <w:tc>
          <w:tcPr>
            <w:tcW w:w="2999" w:type="dxa"/>
          </w:tcPr>
          <w:p w14:paraId="23B00B1F" w14:textId="73CE5031" w:rsidR="00637E7D" w:rsidRPr="00B84AB2" w:rsidRDefault="00637E7D" w:rsidP="006075B5">
            <w:pPr>
              <w:jc w:val="center"/>
              <w:rPr>
                <w:rFonts w:ascii="Times New Roman" w:hAnsi="Times New Roman" w:cs="Times New Roman"/>
              </w:rPr>
            </w:pPr>
            <w:r>
              <w:rPr>
                <w:rFonts w:ascii="Times New Roman" w:hAnsi="Times New Roman" w:cs="Times New Roman"/>
              </w:rPr>
              <w:t>-</w:t>
            </w:r>
            <w:r w:rsidR="00F94541">
              <w:rPr>
                <w:rFonts w:ascii="Times New Roman" w:hAnsi="Times New Roman" w:cs="Times New Roman"/>
              </w:rPr>
              <w:t>0.48</w:t>
            </w:r>
            <w:r>
              <w:rPr>
                <w:rFonts w:ascii="Times New Roman" w:hAnsi="Times New Roman" w:cs="Times New Roman"/>
              </w:rPr>
              <w:t xml:space="preserve"> (</w:t>
            </w:r>
            <w:r w:rsidR="00F94541">
              <w:rPr>
                <w:rFonts w:ascii="Times New Roman" w:hAnsi="Times New Roman" w:cs="Times New Roman"/>
              </w:rPr>
              <w:t>0.547</w:t>
            </w:r>
            <w:r>
              <w:rPr>
                <w:rFonts w:ascii="Times New Roman" w:hAnsi="Times New Roman" w:cs="Times New Roman"/>
              </w:rPr>
              <w:t>)</w:t>
            </w:r>
          </w:p>
        </w:tc>
        <w:tc>
          <w:tcPr>
            <w:tcW w:w="1979" w:type="dxa"/>
          </w:tcPr>
          <w:p w14:paraId="33A76C45" w14:textId="09D24DF5" w:rsidR="00637E7D" w:rsidRPr="00B84AB2" w:rsidRDefault="00637E7D" w:rsidP="006075B5">
            <w:pPr>
              <w:jc w:val="center"/>
              <w:rPr>
                <w:rFonts w:ascii="Times New Roman" w:hAnsi="Times New Roman" w:cs="Times New Roman"/>
              </w:rPr>
            </w:pPr>
            <w:r>
              <w:rPr>
                <w:rFonts w:ascii="Times New Roman" w:hAnsi="Times New Roman" w:cs="Times New Roman"/>
              </w:rPr>
              <w:t>-</w:t>
            </w:r>
            <w:r w:rsidR="00F94541">
              <w:rPr>
                <w:rFonts w:ascii="Times New Roman" w:hAnsi="Times New Roman" w:cs="Times New Roman"/>
              </w:rPr>
              <w:t>0.34</w:t>
            </w:r>
            <w:r>
              <w:rPr>
                <w:rFonts w:ascii="Times New Roman" w:hAnsi="Times New Roman" w:cs="Times New Roman"/>
              </w:rPr>
              <w:t xml:space="preserve"> (</w:t>
            </w:r>
            <w:r w:rsidR="00F94541">
              <w:rPr>
                <w:rFonts w:ascii="Times New Roman" w:hAnsi="Times New Roman" w:cs="Times New Roman"/>
              </w:rPr>
              <w:t>0.386</w:t>
            </w:r>
            <w:r>
              <w:rPr>
                <w:rFonts w:ascii="Times New Roman" w:hAnsi="Times New Roman" w:cs="Times New Roman"/>
              </w:rPr>
              <w:t>)</w:t>
            </w:r>
          </w:p>
        </w:tc>
      </w:tr>
      <w:tr w:rsidR="00637E7D" w14:paraId="30A09758" w14:textId="77777777" w:rsidTr="006075B5">
        <w:trPr>
          <w:trHeight w:val="420"/>
        </w:trPr>
        <w:tc>
          <w:tcPr>
            <w:tcW w:w="3646" w:type="dxa"/>
          </w:tcPr>
          <w:p w14:paraId="1E5F4F50" w14:textId="77777777" w:rsidR="00637E7D" w:rsidRPr="00B84AB2" w:rsidRDefault="00637E7D" w:rsidP="006075B5">
            <w:pPr>
              <w:jc w:val="center"/>
              <w:rPr>
                <w:rFonts w:ascii="Times New Roman" w:hAnsi="Times New Roman" w:cs="Times New Roman"/>
              </w:rPr>
            </w:pPr>
            <w:r>
              <w:rPr>
                <w:rFonts w:ascii="Times New Roman" w:hAnsi="Times New Roman" w:cs="Times New Roman"/>
              </w:rPr>
              <w:t>Difference from placebo*</w:t>
            </w:r>
          </w:p>
        </w:tc>
        <w:tc>
          <w:tcPr>
            <w:tcW w:w="2999" w:type="dxa"/>
          </w:tcPr>
          <w:p w14:paraId="497271D9" w14:textId="5AE923EC" w:rsidR="00637E7D" w:rsidRPr="00B84AB2" w:rsidRDefault="00637E7D" w:rsidP="006075B5">
            <w:pPr>
              <w:jc w:val="center"/>
              <w:rPr>
                <w:rFonts w:ascii="Times New Roman" w:hAnsi="Times New Roman" w:cs="Times New Roman"/>
              </w:rPr>
            </w:pPr>
            <w:r>
              <w:rPr>
                <w:rFonts w:ascii="Times New Roman" w:hAnsi="Times New Roman" w:cs="Times New Roman"/>
              </w:rPr>
              <w:t>-</w:t>
            </w:r>
            <w:r w:rsidR="00F94541">
              <w:rPr>
                <w:rFonts w:ascii="Times New Roman" w:hAnsi="Times New Roman" w:cs="Times New Roman"/>
              </w:rPr>
              <w:t>0.13</w:t>
            </w:r>
            <w:r>
              <w:rPr>
                <w:rFonts w:ascii="Times New Roman" w:hAnsi="Times New Roman" w:cs="Times New Roman"/>
              </w:rPr>
              <w:t xml:space="preserve"> (</w:t>
            </w:r>
            <w:r w:rsidR="00F94541">
              <w:rPr>
                <w:rFonts w:ascii="Times New Roman" w:hAnsi="Times New Roman" w:cs="Times New Roman"/>
              </w:rPr>
              <w:t>0.061</w:t>
            </w:r>
            <w:r>
              <w:rPr>
                <w:rFonts w:ascii="Times New Roman" w:hAnsi="Times New Roman" w:cs="Times New Roman"/>
              </w:rPr>
              <w:t>)</w:t>
            </w:r>
          </w:p>
        </w:tc>
        <w:tc>
          <w:tcPr>
            <w:tcW w:w="1979" w:type="dxa"/>
          </w:tcPr>
          <w:p w14:paraId="46867E1A" w14:textId="77777777" w:rsidR="00637E7D" w:rsidRPr="00B84AB2" w:rsidRDefault="00637E7D" w:rsidP="006075B5">
            <w:pPr>
              <w:jc w:val="center"/>
              <w:rPr>
                <w:rFonts w:ascii="Times New Roman" w:hAnsi="Times New Roman" w:cs="Times New Roman"/>
              </w:rPr>
            </w:pPr>
            <w:r>
              <w:rPr>
                <w:rFonts w:ascii="Times New Roman" w:hAnsi="Times New Roman" w:cs="Times New Roman"/>
              </w:rPr>
              <w:t>---</w:t>
            </w:r>
          </w:p>
        </w:tc>
      </w:tr>
      <w:tr w:rsidR="00637E7D" w14:paraId="4C0C3E39" w14:textId="77777777" w:rsidTr="006075B5">
        <w:trPr>
          <w:trHeight w:val="420"/>
        </w:trPr>
        <w:tc>
          <w:tcPr>
            <w:tcW w:w="3646" w:type="dxa"/>
          </w:tcPr>
          <w:p w14:paraId="1BDAD407" w14:textId="77777777" w:rsidR="00637E7D" w:rsidRPr="00B84AB2" w:rsidRDefault="00637E7D" w:rsidP="006075B5">
            <w:pPr>
              <w:jc w:val="center"/>
              <w:rPr>
                <w:rFonts w:ascii="Times New Roman" w:hAnsi="Times New Roman" w:cs="Times New Roman"/>
              </w:rPr>
            </w:pPr>
            <w:r>
              <w:rPr>
                <w:rFonts w:ascii="Times New Roman" w:hAnsi="Times New Roman" w:cs="Times New Roman"/>
              </w:rPr>
              <w:t>P-value**</w:t>
            </w:r>
          </w:p>
        </w:tc>
        <w:tc>
          <w:tcPr>
            <w:tcW w:w="2999" w:type="dxa"/>
          </w:tcPr>
          <w:p w14:paraId="3504C7D7" w14:textId="27A6F29C" w:rsidR="00637E7D" w:rsidRPr="00B84AB2" w:rsidRDefault="00F94541" w:rsidP="006075B5">
            <w:pPr>
              <w:jc w:val="center"/>
              <w:rPr>
                <w:rFonts w:ascii="Times New Roman" w:hAnsi="Times New Roman" w:cs="Times New Roman"/>
              </w:rPr>
            </w:pPr>
            <w:r>
              <w:rPr>
                <w:rFonts w:ascii="Times New Roman" w:hAnsi="Times New Roman" w:cs="Times New Roman"/>
              </w:rPr>
              <w:t>0.031</w:t>
            </w:r>
          </w:p>
        </w:tc>
        <w:tc>
          <w:tcPr>
            <w:tcW w:w="1979" w:type="dxa"/>
          </w:tcPr>
          <w:p w14:paraId="13735EE5" w14:textId="77777777" w:rsidR="00637E7D" w:rsidRPr="00B84AB2" w:rsidRDefault="00637E7D" w:rsidP="006075B5">
            <w:pPr>
              <w:jc w:val="center"/>
              <w:rPr>
                <w:rFonts w:ascii="Times New Roman" w:hAnsi="Times New Roman" w:cs="Times New Roman"/>
              </w:rPr>
            </w:pPr>
            <w:r>
              <w:rPr>
                <w:rFonts w:ascii="Times New Roman" w:hAnsi="Times New Roman" w:cs="Times New Roman"/>
              </w:rPr>
              <w:t>---</w:t>
            </w:r>
          </w:p>
        </w:tc>
      </w:tr>
      <w:tr w:rsidR="00637E7D" w14:paraId="1049849D" w14:textId="77777777" w:rsidTr="006075B5">
        <w:trPr>
          <w:trHeight w:val="420"/>
        </w:trPr>
        <w:tc>
          <w:tcPr>
            <w:tcW w:w="3646" w:type="dxa"/>
          </w:tcPr>
          <w:p w14:paraId="0CBBF20B" w14:textId="77777777" w:rsidR="00637E7D" w:rsidRPr="00B84AB2" w:rsidRDefault="00637E7D" w:rsidP="006075B5">
            <w:pPr>
              <w:jc w:val="center"/>
              <w:rPr>
                <w:rFonts w:ascii="Times New Roman" w:hAnsi="Times New Roman" w:cs="Times New Roman"/>
              </w:rPr>
            </w:pPr>
          </w:p>
        </w:tc>
        <w:tc>
          <w:tcPr>
            <w:tcW w:w="2999" w:type="dxa"/>
          </w:tcPr>
          <w:p w14:paraId="2141419A" w14:textId="77777777" w:rsidR="00637E7D" w:rsidRPr="00B84AB2" w:rsidRDefault="00637E7D" w:rsidP="006075B5">
            <w:pPr>
              <w:rPr>
                <w:rFonts w:ascii="Times New Roman" w:hAnsi="Times New Roman" w:cs="Times New Roman"/>
              </w:rPr>
            </w:pPr>
          </w:p>
        </w:tc>
        <w:tc>
          <w:tcPr>
            <w:tcW w:w="1979" w:type="dxa"/>
          </w:tcPr>
          <w:p w14:paraId="5F7E6DDC" w14:textId="77777777" w:rsidR="00637E7D" w:rsidRPr="00B84AB2" w:rsidRDefault="00637E7D" w:rsidP="006075B5">
            <w:pPr>
              <w:rPr>
                <w:rFonts w:ascii="Times New Roman" w:hAnsi="Times New Roman" w:cs="Times New Roman"/>
              </w:rPr>
            </w:pPr>
          </w:p>
        </w:tc>
      </w:tr>
      <w:tr w:rsidR="00637E7D" w14:paraId="05A09A18" w14:textId="77777777" w:rsidTr="006075B5">
        <w:trPr>
          <w:trHeight w:val="420"/>
        </w:trPr>
        <w:tc>
          <w:tcPr>
            <w:tcW w:w="3646" w:type="dxa"/>
          </w:tcPr>
          <w:p w14:paraId="6F713FE4" w14:textId="77777777" w:rsidR="00637E7D" w:rsidRPr="00B84AB2" w:rsidRDefault="00637E7D" w:rsidP="006075B5">
            <w:pPr>
              <w:jc w:val="center"/>
              <w:rPr>
                <w:rFonts w:ascii="Times New Roman" w:hAnsi="Times New Roman" w:cs="Times New Roman"/>
                <w:b/>
                <w:bCs/>
              </w:rPr>
            </w:pPr>
            <w:r w:rsidRPr="00B84AB2">
              <w:rPr>
                <w:rFonts w:ascii="Times New Roman" w:hAnsi="Times New Roman" w:cs="Times New Roman"/>
                <w:b/>
                <w:bCs/>
              </w:rPr>
              <w:t>Week 12</w:t>
            </w:r>
          </w:p>
        </w:tc>
        <w:tc>
          <w:tcPr>
            <w:tcW w:w="2999" w:type="dxa"/>
          </w:tcPr>
          <w:p w14:paraId="66AD0B42" w14:textId="77777777" w:rsidR="00637E7D" w:rsidRPr="00B84AB2" w:rsidRDefault="00637E7D" w:rsidP="006075B5">
            <w:pPr>
              <w:jc w:val="center"/>
              <w:rPr>
                <w:rFonts w:ascii="Times New Roman" w:hAnsi="Times New Roman" w:cs="Times New Roman"/>
              </w:rPr>
            </w:pPr>
            <w:r>
              <w:rPr>
                <w:rFonts w:ascii="Times New Roman" w:hAnsi="Times New Roman" w:cs="Times New Roman"/>
              </w:rPr>
              <w:t>n = 124</w:t>
            </w:r>
          </w:p>
        </w:tc>
        <w:tc>
          <w:tcPr>
            <w:tcW w:w="1979" w:type="dxa"/>
          </w:tcPr>
          <w:p w14:paraId="1795BF84" w14:textId="77777777" w:rsidR="00637E7D" w:rsidRPr="00B84AB2" w:rsidRDefault="00637E7D" w:rsidP="006075B5">
            <w:pPr>
              <w:jc w:val="center"/>
              <w:rPr>
                <w:rFonts w:ascii="Times New Roman" w:hAnsi="Times New Roman" w:cs="Times New Roman"/>
              </w:rPr>
            </w:pPr>
            <w:r>
              <w:rPr>
                <w:rFonts w:ascii="Times New Roman" w:hAnsi="Times New Roman" w:cs="Times New Roman"/>
              </w:rPr>
              <w:t>n = 115</w:t>
            </w:r>
          </w:p>
        </w:tc>
      </w:tr>
      <w:tr w:rsidR="00637E7D" w14:paraId="481963CB" w14:textId="77777777" w:rsidTr="006075B5">
        <w:trPr>
          <w:trHeight w:val="420"/>
        </w:trPr>
        <w:tc>
          <w:tcPr>
            <w:tcW w:w="3646" w:type="dxa"/>
          </w:tcPr>
          <w:p w14:paraId="5DA1FE09" w14:textId="77777777" w:rsidR="00637E7D" w:rsidRPr="00B84AB2" w:rsidRDefault="00637E7D" w:rsidP="006075B5">
            <w:pPr>
              <w:jc w:val="center"/>
              <w:rPr>
                <w:rFonts w:ascii="Times New Roman" w:hAnsi="Times New Roman" w:cs="Times New Roman"/>
              </w:rPr>
            </w:pPr>
            <w:r>
              <w:rPr>
                <w:rFonts w:ascii="Times New Roman" w:hAnsi="Times New Roman" w:cs="Times New Roman"/>
              </w:rPr>
              <w:t>Baseline</w:t>
            </w:r>
          </w:p>
        </w:tc>
        <w:tc>
          <w:tcPr>
            <w:tcW w:w="2999" w:type="dxa"/>
          </w:tcPr>
          <w:p w14:paraId="2A9B7AFC" w14:textId="058DC0A4" w:rsidR="00637E7D" w:rsidRPr="00B84AB2" w:rsidRDefault="00F94541" w:rsidP="006075B5">
            <w:pPr>
              <w:jc w:val="center"/>
              <w:rPr>
                <w:rFonts w:ascii="Times New Roman" w:hAnsi="Times New Roman" w:cs="Times New Roman"/>
              </w:rPr>
            </w:pPr>
            <w:r>
              <w:rPr>
                <w:rFonts w:ascii="Times New Roman" w:hAnsi="Times New Roman" w:cs="Times New Roman"/>
              </w:rPr>
              <w:t>2.55</w:t>
            </w:r>
            <w:r w:rsidR="00637E7D">
              <w:rPr>
                <w:rFonts w:ascii="Times New Roman" w:hAnsi="Times New Roman" w:cs="Times New Roman"/>
              </w:rPr>
              <w:t xml:space="preserve"> (</w:t>
            </w:r>
            <w:r>
              <w:rPr>
                <w:rFonts w:ascii="Times New Roman" w:hAnsi="Times New Roman" w:cs="Times New Roman"/>
              </w:rPr>
              <w:t>0.235)</w:t>
            </w:r>
          </w:p>
        </w:tc>
        <w:tc>
          <w:tcPr>
            <w:tcW w:w="1979" w:type="dxa"/>
          </w:tcPr>
          <w:p w14:paraId="29C9D59D" w14:textId="59BC7AA4" w:rsidR="00637E7D" w:rsidRPr="00B84AB2" w:rsidRDefault="00F94541" w:rsidP="006075B5">
            <w:pPr>
              <w:jc w:val="center"/>
              <w:rPr>
                <w:rFonts w:ascii="Times New Roman" w:hAnsi="Times New Roman" w:cs="Times New Roman"/>
              </w:rPr>
            </w:pPr>
            <w:r>
              <w:rPr>
                <w:rFonts w:ascii="Times New Roman" w:hAnsi="Times New Roman" w:cs="Times New Roman"/>
              </w:rPr>
              <w:t>2.52</w:t>
            </w:r>
            <w:r w:rsidR="00637E7D">
              <w:rPr>
                <w:rFonts w:ascii="Times New Roman" w:hAnsi="Times New Roman" w:cs="Times New Roman"/>
              </w:rPr>
              <w:t xml:space="preserve"> (</w:t>
            </w:r>
            <w:r>
              <w:rPr>
                <w:rFonts w:ascii="Times New Roman" w:hAnsi="Times New Roman" w:cs="Times New Roman"/>
              </w:rPr>
              <w:t>0.245</w:t>
            </w:r>
            <w:r w:rsidR="00637E7D">
              <w:rPr>
                <w:rFonts w:ascii="Times New Roman" w:hAnsi="Times New Roman" w:cs="Times New Roman"/>
              </w:rPr>
              <w:t>)</w:t>
            </w:r>
          </w:p>
        </w:tc>
      </w:tr>
      <w:tr w:rsidR="00637E7D" w14:paraId="0D18C30D" w14:textId="77777777" w:rsidTr="006075B5">
        <w:trPr>
          <w:trHeight w:val="420"/>
        </w:trPr>
        <w:tc>
          <w:tcPr>
            <w:tcW w:w="3646" w:type="dxa"/>
          </w:tcPr>
          <w:p w14:paraId="165C4E38" w14:textId="77777777" w:rsidR="00637E7D" w:rsidRPr="00B84AB2" w:rsidRDefault="00637E7D" w:rsidP="006075B5">
            <w:pPr>
              <w:jc w:val="center"/>
              <w:rPr>
                <w:rFonts w:ascii="Times New Roman" w:hAnsi="Times New Roman" w:cs="Times New Roman"/>
              </w:rPr>
            </w:pPr>
            <w:r>
              <w:rPr>
                <w:rFonts w:ascii="Times New Roman" w:hAnsi="Times New Roman" w:cs="Times New Roman"/>
              </w:rPr>
              <w:t>Mean (SD) change from baseline</w:t>
            </w:r>
          </w:p>
        </w:tc>
        <w:tc>
          <w:tcPr>
            <w:tcW w:w="2999" w:type="dxa"/>
          </w:tcPr>
          <w:p w14:paraId="6E317AC8" w14:textId="4FE4D981" w:rsidR="00637E7D" w:rsidRPr="00B84AB2" w:rsidRDefault="00637E7D" w:rsidP="006075B5">
            <w:pPr>
              <w:jc w:val="center"/>
              <w:rPr>
                <w:rFonts w:ascii="Times New Roman" w:hAnsi="Times New Roman" w:cs="Times New Roman"/>
              </w:rPr>
            </w:pPr>
            <w:r>
              <w:rPr>
                <w:rFonts w:ascii="Times New Roman" w:hAnsi="Times New Roman" w:cs="Times New Roman"/>
              </w:rPr>
              <w:t>-</w:t>
            </w:r>
            <w:r w:rsidR="00F94541">
              <w:rPr>
                <w:rFonts w:ascii="Times New Roman" w:hAnsi="Times New Roman" w:cs="Times New Roman"/>
              </w:rPr>
              <w:t>1.12</w:t>
            </w:r>
            <w:r>
              <w:rPr>
                <w:rFonts w:ascii="Times New Roman" w:hAnsi="Times New Roman" w:cs="Times New Roman"/>
              </w:rPr>
              <w:t xml:space="preserve"> (</w:t>
            </w:r>
            <w:r w:rsidR="00F94541">
              <w:rPr>
                <w:rFonts w:ascii="Times New Roman" w:hAnsi="Times New Roman" w:cs="Times New Roman"/>
              </w:rPr>
              <w:t>0.963</w:t>
            </w:r>
            <w:r>
              <w:rPr>
                <w:rFonts w:ascii="Times New Roman" w:hAnsi="Times New Roman" w:cs="Times New Roman"/>
              </w:rPr>
              <w:t>)</w:t>
            </w:r>
          </w:p>
        </w:tc>
        <w:tc>
          <w:tcPr>
            <w:tcW w:w="1979" w:type="dxa"/>
          </w:tcPr>
          <w:p w14:paraId="7B402C96" w14:textId="111F4AA8" w:rsidR="00637E7D" w:rsidRPr="00B84AB2" w:rsidRDefault="00637E7D" w:rsidP="006075B5">
            <w:pPr>
              <w:jc w:val="center"/>
              <w:rPr>
                <w:rFonts w:ascii="Times New Roman" w:hAnsi="Times New Roman" w:cs="Times New Roman"/>
              </w:rPr>
            </w:pPr>
            <w:r>
              <w:rPr>
                <w:rFonts w:ascii="Times New Roman" w:hAnsi="Times New Roman" w:cs="Times New Roman"/>
              </w:rPr>
              <w:t>-</w:t>
            </w:r>
            <w:r w:rsidR="00F94541">
              <w:rPr>
                <w:rFonts w:ascii="Times New Roman" w:hAnsi="Times New Roman" w:cs="Times New Roman"/>
              </w:rPr>
              <w:t>0.56</w:t>
            </w:r>
            <w:r>
              <w:rPr>
                <w:rFonts w:ascii="Times New Roman" w:hAnsi="Times New Roman" w:cs="Times New Roman"/>
              </w:rPr>
              <w:t xml:space="preserve"> (</w:t>
            </w:r>
            <w:r w:rsidR="00F94541">
              <w:rPr>
                <w:rFonts w:ascii="Times New Roman" w:hAnsi="Times New Roman" w:cs="Times New Roman"/>
              </w:rPr>
              <w:t>0.603</w:t>
            </w:r>
            <w:r>
              <w:rPr>
                <w:rFonts w:ascii="Times New Roman" w:hAnsi="Times New Roman" w:cs="Times New Roman"/>
              </w:rPr>
              <w:t>)</w:t>
            </w:r>
          </w:p>
        </w:tc>
      </w:tr>
      <w:tr w:rsidR="00637E7D" w14:paraId="3F07CE7B" w14:textId="77777777" w:rsidTr="006075B5">
        <w:trPr>
          <w:trHeight w:val="408"/>
        </w:trPr>
        <w:tc>
          <w:tcPr>
            <w:tcW w:w="3646" w:type="dxa"/>
          </w:tcPr>
          <w:p w14:paraId="319B83BA" w14:textId="77777777" w:rsidR="00637E7D" w:rsidRPr="00B84AB2" w:rsidRDefault="00637E7D" w:rsidP="006075B5">
            <w:pPr>
              <w:jc w:val="center"/>
              <w:rPr>
                <w:rFonts w:ascii="Times New Roman" w:hAnsi="Times New Roman" w:cs="Times New Roman"/>
              </w:rPr>
            </w:pPr>
            <w:r>
              <w:rPr>
                <w:rFonts w:ascii="Times New Roman" w:hAnsi="Times New Roman" w:cs="Times New Roman"/>
              </w:rPr>
              <w:t>Difference from placebo*</w:t>
            </w:r>
          </w:p>
        </w:tc>
        <w:tc>
          <w:tcPr>
            <w:tcW w:w="2999" w:type="dxa"/>
          </w:tcPr>
          <w:p w14:paraId="361949BE" w14:textId="15420146" w:rsidR="00637E7D" w:rsidRPr="00B84AB2" w:rsidRDefault="00637E7D" w:rsidP="006075B5">
            <w:pPr>
              <w:jc w:val="center"/>
              <w:rPr>
                <w:rFonts w:ascii="Times New Roman" w:hAnsi="Times New Roman" w:cs="Times New Roman"/>
              </w:rPr>
            </w:pPr>
            <w:r>
              <w:rPr>
                <w:rFonts w:ascii="Times New Roman" w:hAnsi="Times New Roman" w:cs="Times New Roman"/>
              </w:rPr>
              <w:t>-</w:t>
            </w:r>
            <w:r w:rsidR="00F94541">
              <w:rPr>
                <w:rFonts w:ascii="Times New Roman" w:hAnsi="Times New Roman" w:cs="Times New Roman"/>
              </w:rPr>
              <w:t>0.57</w:t>
            </w:r>
            <w:r>
              <w:rPr>
                <w:rFonts w:ascii="Times New Roman" w:hAnsi="Times New Roman" w:cs="Times New Roman"/>
              </w:rPr>
              <w:t xml:space="preserve"> (</w:t>
            </w:r>
            <w:r w:rsidR="00F94541">
              <w:rPr>
                <w:rFonts w:ascii="Times New Roman" w:hAnsi="Times New Roman" w:cs="Times New Roman"/>
              </w:rPr>
              <w:t>0.100</w:t>
            </w:r>
            <w:r>
              <w:rPr>
                <w:rFonts w:ascii="Times New Roman" w:hAnsi="Times New Roman" w:cs="Times New Roman"/>
              </w:rPr>
              <w:t>)</w:t>
            </w:r>
          </w:p>
        </w:tc>
        <w:tc>
          <w:tcPr>
            <w:tcW w:w="1979" w:type="dxa"/>
          </w:tcPr>
          <w:p w14:paraId="032EC955" w14:textId="77777777" w:rsidR="00637E7D" w:rsidRPr="00B84AB2" w:rsidRDefault="00637E7D" w:rsidP="006075B5">
            <w:pPr>
              <w:jc w:val="center"/>
              <w:rPr>
                <w:rFonts w:ascii="Times New Roman" w:hAnsi="Times New Roman" w:cs="Times New Roman"/>
              </w:rPr>
            </w:pPr>
            <w:r>
              <w:rPr>
                <w:rFonts w:ascii="Times New Roman" w:hAnsi="Times New Roman" w:cs="Times New Roman"/>
              </w:rPr>
              <w:t>---</w:t>
            </w:r>
          </w:p>
        </w:tc>
      </w:tr>
      <w:tr w:rsidR="00637E7D" w14:paraId="6C68612F" w14:textId="77777777" w:rsidTr="006075B5">
        <w:trPr>
          <w:trHeight w:val="408"/>
        </w:trPr>
        <w:tc>
          <w:tcPr>
            <w:tcW w:w="3646" w:type="dxa"/>
          </w:tcPr>
          <w:p w14:paraId="3880F39C" w14:textId="77777777" w:rsidR="00637E7D" w:rsidRPr="00637E7D" w:rsidRDefault="00637E7D" w:rsidP="006075B5">
            <w:pPr>
              <w:jc w:val="center"/>
              <w:rPr>
                <w:rFonts w:ascii="Times New Roman" w:hAnsi="Times New Roman" w:cs="Times New Roman"/>
              </w:rPr>
            </w:pPr>
            <w:r>
              <w:rPr>
                <w:rFonts w:ascii="Times New Roman" w:hAnsi="Times New Roman" w:cs="Times New Roman"/>
              </w:rPr>
              <w:t>P-value**</w:t>
            </w:r>
          </w:p>
        </w:tc>
        <w:tc>
          <w:tcPr>
            <w:tcW w:w="2999" w:type="dxa"/>
          </w:tcPr>
          <w:p w14:paraId="460E6A95" w14:textId="77777777" w:rsidR="00637E7D" w:rsidRPr="00637E7D" w:rsidRDefault="00637E7D" w:rsidP="006075B5">
            <w:pPr>
              <w:jc w:val="center"/>
              <w:rPr>
                <w:rFonts w:ascii="Times New Roman" w:hAnsi="Times New Roman" w:cs="Times New Roman"/>
              </w:rPr>
            </w:pPr>
            <w:r>
              <w:rPr>
                <w:rFonts w:ascii="Times New Roman" w:hAnsi="Times New Roman" w:cs="Times New Roman"/>
              </w:rPr>
              <w:t>&lt;0.001</w:t>
            </w:r>
          </w:p>
        </w:tc>
        <w:tc>
          <w:tcPr>
            <w:tcW w:w="1979" w:type="dxa"/>
          </w:tcPr>
          <w:p w14:paraId="321BB7D6" w14:textId="77777777" w:rsidR="00637E7D" w:rsidRPr="00637E7D" w:rsidRDefault="00637E7D" w:rsidP="006075B5">
            <w:pPr>
              <w:jc w:val="center"/>
              <w:rPr>
                <w:rFonts w:ascii="Times New Roman" w:hAnsi="Times New Roman" w:cs="Times New Roman"/>
              </w:rPr>
            </w:pPr>
            <w:r>
              <w:rPr>
                <w:rFonts w:ascii="Times New Roman" w:hAnsi="Times New Roman" w:cs="Times New Roman"/>
              </w:rPr>
              <w:t>---</w:t>
            </w:r>
          </w:p>
        </w:tc>
      </w:tr>
    </w:tbl>
    <w:p w14:paraId="2D950A76" w14:textId="77777777" w:rsidR="00F94541" w:rsidRDefault="00F94541" w:rsidP="004C3E99">
      <w:pPr>
        <w:pStyle w:val="tablelegends"/>
      </w:pPr>
      <w:r>
        <w:t>*Least square mean difference (SE) from placebo</w:t>
      </w:r>
    </w:p>
    <w:p w14:paraId="49BF25D6" w14:textId="77777777" w:rsidR="00F94541" w:rsidRDefault="00F94541" w:rsidP="004C3E99">
      <w:pPr>
        <w:pStyle w:val="tablelegends"/>
      </w:pPr>
      <w:r>
        <w:t>**P-value of least square mean difference from placebo using mixed model repeated measures analyses</w:t>
      </w:r>
    </w:p>
    <w:p w14:paraId="6D8B1AA5" w14:textId="64F66DF9" w:rsidR="00637E7D" w:rsidRDefault="00F94541" w:rsidP="004C3E99">
      <w:pPr>
        <w:pStyle w:val="tablelegends"/>
      </w:pPr>
      <w:r>
        <w:t>Definitions: SD – standard deviation; SE – standard error</w:t>
      </w:r>
    </w:p>
    <w:p w14:paraId="2E8A2B2C" w14:textId="78356BD9" w:rsidR="00334E49" w:rsidRPr="00461D8B" w:rsidRDefault="00334E49" w:rsidP="00334E49">
      <w:pPr>
        <w:pStyle w:val="BodyText"/>
        <w:rPr>
          <w:bCs/>
        </w:rPr>
      </w:pPr>
      <w:r w:rsidRPr="00334E49">
        <w:rPr>
          <w:bCs/>
        </w:rPr>
        <w:t xml:space="preserve">Adjusting for potential confounders such as BMI, smoking, alcohol use, and baseline </w:t>
      </w:r>
      <w:proofErr w:type="spellStart"/>
      <w:r w:rsidRPr="00334E49">
        <w:rPr>
          <w:bCs/>
        </w:rPr>
        <w:t>estradiol</w:t>
      </w:r>
      <w:proofErr w:type="spellEnd"/>
      <w:r>
        <w:rPr>
          <w:bCs/>
        </w:rPr>
        <w:t xml:space="preserve"> </w:t>
      </w:r>
      <w:r w:rsidRPr="00334E49">
        <w:rPr>
          <w:bCs/>
        </w:rPr>
        <w:t>level, treatment with BIJUVA</w:t>
      </w:r>
      <w:r>
        <w:rPr>
          <w:bCs/>
        </w:rPr>
        <w:t xml:space="preserve"> 1/100</w:t>
      </w:r>
      <w:r w:rsidRPr="00334E49">
        <w:rPr>
          <w:bCs/>
        </w:rPr>
        <w:t xml:space="preserve"> (</w:t>
      </w:r>
      <w:proofErr w:type="spellStart"/>
      <w:r w:rsidRPr="00334E49">
        <w:rPr>
          <w:bCs/>
        </w:rPr>
        <w:t>estradiol</w:t>
      </w:r>
      <w:proofErr w:type="spellEnd"/>
      <w:r w:rsidRPr="00334E49">
        <w:rPr>
          <w:bCs/>
        </w:rPr>
        <w:t xml:space="preserve"> and progesterone) capsules, 1</w:t>
      </w:r>
      <w:r w:rsidR="00471E27">
        <w:rPr>
          <w:bCs/>
        </w:rPr>
        <w:t> </w:t>
      </w:r>
      <w:r w:rsidRPr="00334E49">
        <w:rPr>
          <w:bCs/>
        </w:rPr>
        <w:t>mg/100</w:t>
      </w:r>
      <w:r w:rsidR="00471E27">
        <w:rPr>
          <w:bCs/>
        </w:rPr>
        <w:t> </w:t>
      </w:r>
      <w:r w:rsidRPr="00334E49">
        <w:rPr>
          <w:bCs/>
        </w:rPr>
        <w:t>mg, did not</w:t>
      </w:r>
      <w:r>
        <w:rPr>
          <w:bCs/>
        </w:rPr>
        <w:t xml:space="preserve"> </w:t>
      </w:r>
      <w:r w:rsidRPr="00334E49">
        <w:rPr>
          <w:bCs/>
        </w:rPr>
        <w:t>demonstrate statistically significant reductions in both frequency and severity of moderate to</w:t>
      </w:r>
      <w:r>
        <w:rPr>
          <w:bCs/>
        </w:rPr>
        <w:t xml:space="preserve"> </w:t>
      </w:r>
      <w:r w:rsidRPr="00334E49">
        <w:rPr>
          <w:bCs/>
        </w:rPr>
        <w:t>severe vasomotor symptoms by Week 12 in women who self-identified as Black/African</w:t>
      </w:r>
      <w:r>
        <w:rPr>
          <w:bCs/>
        </w:rPr>
        <w:t xml:space="preserve"> </w:t>
      </w:r>
      <w:r w:rsidRPr="00334E49">
        <w:rPr>
          <w:bCs/>
        </w:rPr>
        <w:t>Americans (data not shown)</w:t>
      </w:r>
      <w:r>
        <w:rPr>
          <w:bCs/>
        </w:rPr>
        <w:t>.</w:t>
      </w:r>
    </w:p>
    <w:p w14:paraId="2F122F34" w14:textId="7B6FF18D" w:rsidR="00461D8B" w:rsidRPr="002A3596" w:rsidRDefault="0005155F" w:rsidP="0005155F">
      <w:pPr>
        <w:pStyle w:val="subheading4BOLD"/>
      </w:pPr>
      <w:r w:rsidRPr="002A3596">
        <w:t>Relief of oestrogen-deficiency symptoms and bleeding patterns</w:t>
      </w:r>
    </w:p>
    <w:p w14:paraId="63479C38" w14:textId="34775EF1" w:rsidR="0005155F" w:rsidRPr="002A3596" w:rsidRDefault="0005155F" w:rsidP="0005155F">
      <w:pPr>
        <w:pStyle w:val="BodyText"/>
      </w:pPr>
      <w:r w:rsidRPr="002A3596">
        <w:t xml:space="preserve">Relief of menopausal symptoms was achieved during the first few weeks of treatment. In a 12-week study, 1 mg </w:t>
      </w:r>
      <w:proofErr w:type="spellStart"/>
      <w:r w:rsidRPr="002A3596">
        <w:t>estradiol</w:t>
      </w:r>
      <w:proofErr w:type="spellEnd"/>
      <w:r w:rsidRPr="002A3596">
        <w:t xml:space="preserve">/100 mg progesterone significantly reduced the number and severity of hot flushes compared to placebo at </w:t>
      </w:r>
      <w:r w:rsidR="00471E27">
        <w:t>W</w:t>
      </w:r>
      <w:r w:rsidRPr="002A3596">
        <w:t>eeks 4 and 12.</w:t>
      </w:r>
    </w:p>
    <w:p w14:paraId="4D40F7E5" w14:textId="1D3FB429" w:rsidR="0005155F" w:rsidRPr="002A3596" w:rsidRDefault="0005155F" w:rsidP="0005155F">
      <w:pPr>
        <w:pStyle w:val="BodyText"/>
      </w:pPr>
      <w:r w:rsidRPr="002A3596">
        <w:t>In this study, amenorrhea was reported in 82.6% of the women who received 1</w:t>
      </w:r>
      <w:r w:rsidR="006075B5">
        <w:t> </w:t>
      </w:r>
      <w:r w:rsidRPr="002A3596">
        <w:t>mg</w:t>
      </w:r>
      <w:r w:rsidR="006075B5">
        <w:t> </w:t>
      </w:r>
      <w:proofErr w:type="spellStart"/>
      <w:r w:rsidRPr="002A3596">
        <w:t>estradiol</w:t>
      </w:r>
      <w:proofErr w:type="spellEnd"/>
      <w:r w:rsidRPr="002A3596">
        <w:t>/</w:t>
      </w:r>
      <w:r w:rsidR="006075B5">
        <w:t> </w:t>
      </w:r>
      <w:r w:rsidRPr="002A3596">
        <w:t>100 mg progesterone during months 10 to 12.</w:t>
      </w:r>
      <w:r w:rsidRPr="00631BFA">
        <w:t xml:space="preserve"> Bleeding and/or spotting was reported in the 1</w:t>
      </w:r>
      <w:r w:rsidR="00584413">
        <w:t> </w:t>
      </w:r>
      <w:r w:rsidRPr="00631BFA">
        <w:t xml:space="preserve">mg </w:t>
      </w:r>
      <w:proofErr w:type="spellStart"/>
      <w:r w:rsidRPr="00631BFA">
        <w:t>estradiol</w:t>
      </w:r>
      <w:proofErr w:type="spellEnd"/>
      <w:r w:rsidRPr="00631BFA">
        <w:t>/100 mg progesterone group by 30.1%</w:t>
      </w:r>
      <w:r w:rsidRPr="00631BFA" w:rsidDel="002E16C8">
        <w:t xml:space="preserve"> </w:t>
      </w:r>
      <w:r w:rsidRPr="00631BFA">
        <w:t>of women during the first 3</w:t>
      </w:r>
      <w:r w:rsidR="00471E27">
        <w:t> </w:t>
      </w:r>
      <w:r w:rsidRPr="00631BFA">
        <w:t>months of treatment and by</w:t>
      </w:r>
      <w:r w:rsidRPr="00631BFA">
        <w:rPr>
          <w:b/>
        </w:rPr>
        <w:t xml:space="preserve"> </w:t>
      </w:r>
      <w:r w:rsidRPr="00631BFA">
        <w:t>17.4%</w:t>
      </w:r>
      <w:r w:rsidRPr="00631BFA" w:rsidDel="002E16C8">
        <w:t xml:space="preserve"> </w:t>
      </w:r>
      <w:r w:rsidRPr="00631BFA">
        <w:t>of women during months 10 to 1</w:t>
      </w:r>
      <w:r w:rsidRPr="002A3596">
        <w:t>2.</w:t>
      </w:r>
    </w:p>
    <w:p w14:paraId="48F21AFB" w14:textId="77777777" w:rsidR="0005155F" w:rsidRPr="0005155F" w:rsidRDefault="0005155F" w:rsidP="0005155F">
      <w:pPr>
        <w:pStyle w:val="subheading4BOLD"/>
        <w:rPr>
          <w:bCs/>
        </w:rPr>
      </w:pPr>
      <w:r w:rsidRPr="0005155F">
        <w:rPr>
          <w:bCs/>
        </w:rPr>
        <w:lastRenderedPageBreak/>
        <w:t>Endometrial safety</w:t>
      </w:r>
    </w:p>
    <w:p w14:paraId="0B01FA2F" w14:textId="7D409B70" w:rsidR="0005155F" w:rsidRPr="002A3596" w:rsidRDefault="0005155F" w:rsidP="0005155F">
      <w:pPr>
        <w:pStyle w:val="BodyText"/>
        <w:rPr>
          <w:u w:color="000000"/>
        </w:rPr>
      </w:pPr>
      <w:r w:rsidRPr="002A3596">
        <w:rPr>
          <w:u w:color="000000"/>
        </w:rPr>
        <w:t xml:space="preserve">The effects of 1 mg </w:t>
      </w:r>
      <w:proofErr w:type="spellStart"/>
      <w:r w:rsidRPr="002A3596">
        <w:rPr>
          <w:u w:color="000000"/>
        </w:rPr>
        <w:t>estradiol</w:t>
      </w:r>
      <w:proofErr w:type="spellEnd"/>
      <w:r w:rsidRPr="002A3596">
        <w:rPr>
          <w:u w:color="000000"/>
        </w:rPr>
        <w:t>/100 mg progesterone (</w:t>
      </w:r>
      <w:r w:rsidR="00250DF8">
        <w:rPr>
          <w:u w:color="000000"/>
        </w:rPr>
        <w:t>BIJUVA 1/100</w:t>
      </w:r>
      <w:r w:rsidRPr="002A3596">
        <w:rPr>
          <w:u w:color="000000"/>
        </w:rPr>
        <w:t xml:space="preserve">) on the endometrium </w:t>
      </w:r>
      <w:proofErr w:type="gramStart"/>
      <w:r w:rsidRPr="002A3596">
        <w:rPr>
          <w:u w:color="000000"/>
        </w:rPr>
        <w:t>was</w:t>
      </w:r>
      <w:proofErr w:type="gramEnd"/>
      <w:r w:rsidRPr="002A3596">
        <w:rPr>
          <w:u w:color="000000"/>
        </w:rPr>
        <w:t xml:space="preserve"> assessed in the 52-week safety trial.</w:t>
      </w:r>
      <w:r w:rsidRPr="002A3596">
        <w:rPr>
          <w:bCs/>
          <w:u w:color="000000"/>
        </w:rPr>
        <w:t xml:space="preserve"> </w:t>
      </w:r>
      <w:r w:rsidRPr="002A3596">
        <w:rPr>
          <w:u w:color="000000"/>
        </w:rPr>
        <w:t xml:space="preserve">During the trial, assessments of endometrial biopsies taken at 12 months or at early trial discontinuation revealed 1 case of simple endometrial hyperplasia without atypia and no endometrial cancer in women who received </w:t>
      </w:r>
      <w:r w:rsidR="00250DF8">
        <w:rPr>
          <w:u w:color="000000"/>
        </w:rPr>
        <w:t>BIJUVA 1/100</w:t>
      </w:r>
      <w:r w:rsidRPr="002A3596">
        <w:rPr>
          <w:u w:color="000000"/>
        </w:rPr>
        <w:t xml:space="preserve"> (1 mg</w:t>
      </w:r>
      <w:r w:rsidR="00584413">
        <w:rPr>
          <w:u w:color="000000"/>
        </w:rPr>
        <w:t> </w:t>
      </w:r>
      <w:proofErr w:type="spellStart"/>
      <w:r w:rsidRPr="002A3596">
        <w:rPr>
          <w:u w:color="000000"/>
        </w:rPr>
        <w:t>estradiol</w:t>
      </w:r>
      <w:proofErr w:type="spellEnd"/>
      <w:r w:rsidRPr="002A3596">
        <w:rPr>
          <w:u w:color="000000"/>
        </w:rPr>
        <w:t>/</w:t>
      </w:r>
      <w:r w:rsidR="00584413">
        <w:rPr>
          <w:u w:color="000000"/>
        </w:rPr>
        <w:t xml:space="preserve"> </w:t>
      </w:r>
      <w:r w:rsidRPr="002A3596">
        <w:rPr>
          <w:u w:color="000000"/>
        </w:rPr>
        <w:t xml:space="preserve">100 mg progesterone capsules (N=1/268, 0.37%; </w:t>
      </w:r>
      <w:r w:rsidR="00C951B6">
        <w:rPr>
          <w:u w:color="000000"/>
        </w:rPr>
        <w:t xml:space="preserve">upper </w:t>
      </w:r>
      <w:r w:rsidRPr="002A3596">
        <w:rPr>
          <w:u w:color="000000"/>
        </w:rPr>
        <w:t>2-sided 95% CI:1.83%).</w:t>
      </w:r>
    </w:p>
    <w:p w14:paraId="10929819" w14:textId="3E1E6D4E" w:rsidR="0005155F" w:rsidRDefault="0005155F" w:rsidP="0005155F">
      <w:pPr>
        <w:pStyle w:val="BodyText"/>
      </w:pPr>
      <w:r w:rsidRPr="002A3596">
        <w:t xml:space="preserve">Four (4) cases of disordered proliferative endometrium were also reported for </w:t>
      </w:r>
      <w:r w:rsidR="00250DF8">
        <w:t>BIJUVA 1/100</w:t>
      </w:r>
      <w:r w:rsidRPr="002A3596">
        <w:t xml:space="preserve"> 1 mg</w:t>
      </w:r>
      <w:r w:rsidR="00584413">
        <w:t xml:space="preserve"> </w:t>
      </w:r>
      <w:proofErr w:type="spellStart"/>
      <w:r w:rsidRPr="002A3596">
        <w:t>estradiol</w:t>
      </w:r>
      <w:proofErr w:type="spellEnd"/>
      <w:r w:rsidRPr="002A3596">
        <w:t>/100 mg progesterone) capsules.</w:t>
      </w:r>
    </w:p>
    <w:p w14:paraId="3A1F30D2" w14:textId="2988F65F" w:rsidR="00C951B6" w:rsidRDefault="00C951B6" w:rsidP="004C3E99">
      <w:pPr>
        <w:pStyle w:val="Caption"/>
      </w:pPr>
      <w:r>
        <w:t xml:space="preserve">Table </w:t>
      </w:r>
      <w:r>
        <w:fldChar w:fldCharType="begin"/>
      </w:r>
      <w:r>
        <w:instrText xml:space="preserve"> SEQ Table \* ARABIC </w:instrText>
      </w:r>
      <w:r>
        <w:fldChar w:fldCharType="separate"/>
      </w:r>
      <w:r w:rsidR="00551C94">
        <w:rPr>
          <w:noProof/>
        </w:rPr>
        <w:t>10</w:t>
      </w:r>
      <w:r>
        <w:fldChar w:fldCharType="end"/>
      </w:r>
      <w:r>
        <w:t>:</w:t>
      </w:r>
      <w:r>
        <w:tab/>
        <w:t xml:space="preserve"> Incidence of Endometrial Hyperplasia After up to 12 Months of Treatment</w:t>
      </w:r>
    </w:p>
    <w:tbl>
      <w:tblPr>
        <w:tblStyle w:val="TableGrid"/>
        <w:tblW w:w="0" w:type="auto"/>
        <w:tblInd w:w="142" w:type="dxa"/>
        <w:tblLayout w:type="fixed"/>
        <w:tblLook w:val="04A0" w:firstRow="1" w:lastRow="0" w:firstColumn="1" w:lastColumn="0" w:noHBand="0" w:noVBand="1"/>
      </w:tblPr>
      <w:tblGrid>
        <w:gridCol w:w="2688"/>
        <w:gridCol w:w="2977"/>
        <w:gridCol w:w="2977"/>
      </w:tblGrid>
      <w:tr w:rsidR="00C951B6" w:rsidRPr="00B55692" w14:paraId="3A6ECE79" w14:textId="77777777" w:rsidTr="004C3E99">
        <w:trPr>
          <w:trHeight w:val="786"/>
        </w:trPr>
        <w:tc>
          <w:tcPr>
            <w:tcW w:w="2688" w:type="dxa"/>
            <w:vAlign w:val="center"/>
          </w:tcPr>
          <w:p w14:paraId="21C42A00" w14:textId="77777777" w:rsidR="00C951B6" w:rsidRPr="00B55692" w:rsidRDefault="00C951B6" w:rsidP="008232ED">
            <w:pPr>
              <w:pStyle w:val="BodyText"/>
              <w:ind w:left="0"/>
              <w:jc w:val="center"/>
              <w:rPr>
                <w:rFonts w:cs="Times New Roman"/>
                <w:sz w:val="20"/>
                <w:szCs w:val="20"/>
              </w:rPr>
            </w:pPr>
          </w:p>
        </w:tc>
        <w:tc>
          <w:tcPr>
            <w:tcW w:w="2977" w:type="dxa"/>
          </w:tcPr>
          <w:p w14:paraId="7D8BFB77" w14:textId="52EB2C36" w:rsidR="00C951B6" w:rsidRPr="00B55692" w:rsidRDefault="00C951B6" w:rsidP="00F819CC">
            <w:pPr>
              <w:jc w:val="center"/>
              <w:rPr>
                <w:rFonts w:ascii="Times New Roman" w:hAnsi="Times New Roman" w:cs="Times New Roman"/>
                <w:b/>
                <w:bCs/>
                <w:sz w:val="20"/>
                <w:szCs w:val="20"/>
              </w:rPr>
            </w:pPr>
            <w:r>
              <w:rPr>
                <w:rFonts w:ascii="Times New Roman" w:hAnsi="Times New Roman" w:cs="Times New Roman"/>
                <w:b/>
                <w:bCs/>
                <w:sz w:val="20"/>
                <w:szCs w:val="20"/>
              </w:rPr>
              <w:t>BIJUVA 1/100</w:t>
            </w:r>
            <w:r>
              <w:rPr>
                <w:rFonts w:ascii="Times New Roman" w:hAnsi="Times New Roman" w:cs="Times New Roman"/>
                <w:b/>
                <w:bCs/>
                <w:sz w:val="20"/>
                <w:szCs w:val="20"/>
              </w:rPr>
              <w:br/>
            </w:r>
            <w:r w:rsidRPr="00B55692">
              <w:rPr>
                <w:rFonts w:ascii="Times New Roman" w:hAnsi="Times New Roman" w:cs="Times New Roman"/>
                <w:b/>
                <w:bCs/>
                <w:sz w:val="20"/>
                <w:szCs w:val="20"/>
              </w:rPr>
              <w:t>1 mg /100 mg</w:t>
            </w:r>
          </w:p>
          <w:p w14:paraId="7E3B10A5" w14:textId="5B658CB0" w:rsidR="00C951B6" w:rsidRPr="00B55692" w:rsidRDefault="00C951B6">
            <w:pPr>
              <w:pStyle w:val="BodyText"/>
              <w:ind w:left="0"/>
              <w:jc w:val="center"/>
              <w:rPr>
                <w:rFonts w:cs="Times New Roman"/>
                <w:b/>
                <w:bCs/>
                <w:sz w:val="20"/>
                <w:szCs w:val="20"/>
              </w:rPr>
            </w:pPr>
            <w:r w:rsidRPr="00B55692">
              <w:rPr>
                <w:rFonts w:cs="Times New Roman"/>
                <w:b/>
                <w:bCs/>
                <w:sz w:val="20"/>
                <w:szCs w:val="20"/>
              </w:rPr>
              <w:t>(N=</w:t>
            </w:r>
            <w:r>
              <w:rPr>
                <w:rFonts w:cs="Times New Roman"/>
                <w:b/>
                <w:bCs/>
                <w:sz w:val="20"/>
                <w:szCs w:val="20"/>
              </w:rPr>
              <w:t>268</w:t>
            </w:r>
            <w:r w:rsidRPr="00B55692">
              <w:rPr>
                <w:rFonts w:cs="Times New Roman"/>
                <w:b/>
                <w:bCs/>
                <w:sz w:val="20"/>
                <w:szCs w:val="20"/>
              </w:rPr>
              <w:t>)</w:t>
            </w:r>
          </w:p>
        </w:tc>
        <w:tc>
          <w:tcPr>
            <w:tcW w:w="2977" w:type="dxa"/>
          </w:tcPr>
          <w:p w14:paraId="3AFA7311" w14:textId="77777777" w:rsidR="00C951B6" w:rsidRPr="00B55692" w:rsidRDefault="00C951B6">
            <w:pPr>
              <w:jc w:val="center"/>
              <w:rPr>
                <w:rFonts w:ascii="Times New Roman" w:hAnsi="Times New Roman" w:cs="Times New Roman"/>
                <w:b/>
                <w:bCs/>
                <w:sz w:val="20"/>
                <w:szCs w:val="20"/>
              </w:rPr>
            </w:pPr>
            <w:r w:rsidRPr="00B55692">
              <w:rPr>
                <w:rFonts w:ascii="Times New Roman" w:hAnsi="Times New Roman" w:cs="Times New Roman"/>
                <w:b/>
                <w:bCs/>
                <w:sz w:val="20"/>
                <w:szCs w:val="20"/>
              </w:rPr>
              <w:t>Placebo</w:t>
            </w:r>
          </w:p>
          <w:p w14:paraId="351D2706" w14:textId="148A7DD3" w:rsidR="00C951B6" w:rsidRPr="00B55692" w:rsidRDefault="00C951B6">
            <w:pPr>
              <w:pStyle w:val="BodyText"/>
              <w:ind w:left="0"/>
              <w:jc w:val="center"/>
              <w:rPr>
                <w:rFonts w:cs="Times New Roman"/>
                <w:b/>
                <w:bCs/>
                <w:sz w:val="20"/>
                <w:szCs w:val="20"/>
              </w:rPr>
            </w:pPr>
            <w:r w:rsidRPr="00B55692">
              <w:rPr>
                <w:rFonts w:cs="Times New Roman"/>
                <w:b/>
                <w:bCs/>
                <w:sz w:val="20"/>
                <w:szCs w:val="20"/>
              </w:rPr>
              <w:t>(N=</w:t>
            </w:r>
            <w:r>
              <w:rPr>
                <w:rFonts w:cs="Times New Roman"/>
                <w:b/>
                <w:bCs/>
                <w:sz w:val="20"/>
                <w:szCs w:val="20"/>
              </w:rPr>
              <w:t>85</w:t>
            </w:r>
            <w:r w:rsidRPr="00B55692">
              <w:rPr>
                <w:rFonts w:cs="Times New Roman"/>
                <w:b/>
                <w:bCs/>
                <w:sz w:val="20"/>
                <w:szCs w:val="20"/>
              </w:rPr>
              <w:t>)</w:t>
            </w:r>
          </w:p>
        </w:tc>
      </w:tr>
      <w:tr w:rsidR="00C951B6" w:rsidRPr="00B55692" w14:paraId="7330A944" w14:textId="77777777" w:rsidTr="004C3E99">
        <w:tc>
          <w:tcPr>
            <w:tcW w:w="2688" w:type="dxa"/>
            <w:vAlign w:val="center"/>
          </w:tcPr>
          <w:p w14:paraId="47F3C1C3" w14:textId="5C563E29" w:rsidR="00C951B6" w:rsidRPr="00B55692" w:rsidRDefault="00C951B6" w:rsidP="008232ED">
            <w:pPr>
              <w:pStyle w:val="BodyText"/>
              <w:ind w:left="0"/>
              <w:jc w:val="center"/>
              <w:rPr>
                <w:rFonts w:cs="Times New Roman"/>
                <w:b/>
                <w:bCs/>
                <w:sz w:val="20"/>
                <w:szCs w:val="20"/>
              </w:rPr>
            </w:pPr>
            <w:r>
              <w:rPr>
                <w:rFonts w:cs="Times New Roman"/>
                <w:b/>
                <w:bCs/>
                <w:sz w:val="20"/>
                <w:szCs w:val="20"/>
              </w:rPr>
              <w:t>Hyperplasia Incidence (%)</w:t>
            </w:r>
          </w:p>
        </w:tc>
        <w:tc>
          <w:tcPr>
            <w:tcW w:w="2977" w:type="dxa"/>
            <w:vAlign w:val="center"/>
          </w:tcPr>
          <w:p w14:paraId="6D5D2C74" w14:textId="5F37F17C" w:rsidR="00C951B6" w:rsidRPr="00B55692" w:rsidRDefault="00C951B6" w:rsidP="008232ED">
            <w:pPr>
              <w:pStyle w:val="BodyText"/>
              <w:ind w:left="0"/>
              <w:jc w:val="center"/>
              <w:rPr>
                <w:rFonts w:cs="Times New Roman"/>
                <w:sz w:val="20"/>
                <w:szCs w:val="20"/>
              </w:rPr>
            </w:pPr>
            <w:r>
              <w:rPr>
                <w:rFonts w:cs="Times New Roman"/>
                <w:sz w:val="20"/>
                <w:szCs w:val="20"/>
              </w:rPr>
              <w:t>1/268 (0.37)</w:t>
            </w:r>
          </w:p>
        </w:tc>
        <w:tc>
          <w:tcPr>
            <w:tcW w:w="2977" w:type="dxa"/>
            <w:vAlign w:val="center"/>
          </w:tcPr>
          <w:p w14:paraId="2A7F5D72" w14:textId="6AAFF2C8" w:rsidR="00C951B6" w:rsidRPr="00B55692" w:rsidRDefault="00C951B6" w:rsidP="008232ED">
            <w:pPr>
              <w:pStyle w:val="BodyText"/>
              <w:ind w:left="0"/>
              <w:jc w:val="center"/>
              <w:rPr>
                <w:rFonts w:cs="Times New Roman"/>
                <w:sz w:val="20"/>
                <w:szCs w:val="20"/>
              </w:rPr>
            </w:pPr>
            <w:r>
              <w:rPr>
                <w:rFonts w:cs="Times New Roman"/>
                <w:sz w:val="20"/>
                <w:szCs w:val="20"/>
              </w:rPr>
              <w:t>0/85 (0.00)</w:t>
            </w:r>
          </w:p>
        </w:tc>
      </w:tr>
      <w:tr w:rsidR="00C951B6" w:rsidRPr="00B55692" w14:paraId="34C174BF" w14:textId="77777777" w:rsidTr="004C3E99">
        <w:tc>
          <w:tcPr>
            <w:tcW w:w="2688" w:type="dxa"/>
            <w:vAlign w:val="center"/>
          </w:tcPr>
          <w:p w14:paraId="2CDA8127" w14:textId="04B026C5" w:rsidR="00C951B6" w:rsidRPr="00B55692" w:rsidRDefault="00C951B6" w:rsidP="008232ED">
            <w:pPr>
              <w:pStyle w:val="BodyText"/>
              <w:ind w:left="0"/>
              <w:jc w:val="center"/>
              <w:rPr>
                <w:rFonts w:cs="Times New Roman"/>
                <w:b/>
                <w:bCs/>
                <w:sz w:val="20"/>
                <w:szCs w:val="20"/>
              </w:rPr>
            </w:pPr>
            <w:r>
              <w:rPr>
                <w:rFonts w:cs="Times New Roman"/>
                <w:b/>
                <w:bCs/>
                <w:sz w:val="20"/>
                <w:szCs w:val="20"/>
              </w:rPr>
              <w:t>Upper Two-sided 95% Confidence Interval</w:t>
            </w:r>
          </w:p>
        </w:tc>
        <w:tc>
          <w:tcPr>
            <w:tcW w:w="2977" w:type="dxa"/>
            <w:vAlign w:val="center"/>
          </w:tcPr>
          <w:p w14:paraId="55997AED" w14:textId="7F5F41DA" w:rsidR="00C951B6" w:rsidRPr="00B55692" w:rsidRDefault="00C951B6" w:rsidP="008232ED">
            <w:pPr>
              <w:pStyle w:val="BodyText"/>
              <w:ind w:left="0"/>
              <w:jc w:val="center"/>
              <w:rPr>
                <w:rFonts w:cs="Times New Roman"/>
                <w:sz w:val="20"/>
                <w:szCs w:val="20"/>
              </w:rPr>
            </w:pPr>
            <w:r>
              <w:rPr>
                <w:rFonts w:cs="Times New Roman"/>
                <w:sz w:val="20"/>
                <w:szCs w:val="20"/>
              </w:rPr>
              <w:t>1.83%</w:t>
            </w:r>
          </w:p>
        </w:tc>
        <w:tc>
          <w:tcPr>
            <w:tcW w:w="2977" w:type="dxa"/>
            <w:vAlign w:val="center"/>
          </w:tcPr>
          <w:p w14:paraId="7C0DB40E" w14:textId="6364E4A7" w:rsidR="00C951B6" w:rsidRPr="00B55692" w:rsidRDefault="00C951B6" w:rsidP="008232ED">
            <w:pPr>
              <w:pStyle w:val="BodyText"/>
              <w:ind w:left="0"/>
              <w:jc w:val="center"/>
              <w:rPr>
                <w:rFonts w:cs="Times New Roman"/>
                <w:sz w:val="20"/>
                <w:szCs w:val="20"/>
              </w:rPr>
            </w:pPr>
            <w:r>
              <w:rPr>
                <w:rFonts w:cs="Times New Roman"/>
                <w:sz w:val="20"/>
                <w:szCs w:val="20"/>
              </w:rPr>
              <w:t>3.46%</w:t>
            </w:r>
          </w:p>
        </w:tc>
      </w:tr>
    </w:tbl>
    <w:p w14:paraId="2202BC6D" w14:textId="737C82EB" w:rsidR="004A6F22" w:rsidRPr="002A3596" w:rsidRDefault="003B0D62" w:rsidP="00944662">
      <w:pPr>
        <w:pStyle w:val="Heading2"/>
      </w:pPr>
      <w:bookmarkStart w:id="21" w:name="_Ref59624535"/>
      <w:r w:rsidRPr="002A3596">
        <w:t>Pharmacokinetic properties</w:t>
      </w:r>
      <w:bookmarkEnd w:id="21"/>
    </w:p>
    <w:p w14:paraId="2BA1B60A" w14:textId="432804FA" w:rsidR="00F04D59" w:rsidRPr="002A3596" w:rsidRDefault="00F04D59" w:rsidP="002D0BCA">
      <w:pPr>
        <w:pStyle w:val="Heading3"/>
      </w:pPr>
      <w:r w:rsidRPr="002A3596">
        <w:t>Absorption</w:t>
      </w:r>
    </w:p>
    <w:p w14:paraId="2AFBA982" w14:textId="67348CE2" w:rsidR="00F04D59" w:rsidRPr="002A3596" w:rsidRDefault="00F04D59" w:rsidP="00F04D59">
      <w:pPr>
        <w:pStyle w:val="BodyText"/>
        <w:rPr>
          <w:iCs/>
        </w:rPr>
      </w:pPr>
      <w:r w:rsidRPr="00F04D59">
        <w:rPr>
          <w:iCs/>
        </w:rPr>
        <w:t xml:space="preserve">The oral absorption of both </w:t>
      </w:r>
      <w:proofErr w:type="spellStart"/>
      <w:r w:rsidRPr="00F04D59">
        <w:rPr>
          <w:iCs/>
        </w:rPr>
        <w:t>estradiol</w:t>
      </w:r>
      <w:proofErr w:type="spellEnd"/>
      <w:r w:rsidRPr="00F04D59">
        <w:rPr>
          <w:iCs/>
        </w:rPr>
        <w:t xml:space="preserve"> and progesterone is subject to first pass </w:t>
      </w:r>
      <w:r w:rsidR="002B521D" w:rsidRPr="00F04D59">
        <w:rPr>
          <w:iCs/>
        </w:rPr>
        <w:t>metabolism</w:t>
      </w:r>
      <w:r w:rsidRPr="00F04D59">
        <w:rPr>
          <w:iCs/>
        </w:rPr>
        <w:t>.</w:t>
      </w:r>
    </w:p>
    <w:p w14:paraId="5F7148EB" w14:textId="3B7CBFAE" w:rsidR="00F04D59" w:rsidRPr="002A3596" w:rsidRDefault="00F04D59" w:rsidP="00F04D59">
      <w:pPr>
        <w:pStyle w:val="subheading4BOLD"/>
      </w:pPr>
      <w:r w:rsidRPr="002A3596">
        <w:t>Food effect</w:t>
      </w:r>
    </w:p>
    <w:p w14:paraId="7602E459" w14:textId="680CC1C4" w:rsidR="00F04D59" w:rsidRPr="00F04D59" w:rsidRDefault="00F04D59" w:rsidP="00F04D59">
      <w:pPr>
        <w:pStyle w:val="BodyText"/>
        <w:rPr>
          <w:iCs/>
        </w:rPr>
      </w:pPr>
      <w:bookmarkStart w:id="22" w:name="_Hlk62588975"/>
      <w:r w:rsidRPr="00F04D59">
        <w:rPr>
          <w:iCs/>
        </w:rPr>
        <w:t>Concomitant food ingestion increased the extent of absorption (AUC) and peak plasma concentration (</w:t>
      </w:r>
      <w:proofErr w:type="spellStart"/>
      <w:r w:rsidRPr="00F04D59">
        <w:rPr>
          <w:iCs/>
        </w:rPr>
        <w:t>C</w:t>
      </w:r>
      <w:r w:rsidRPr="00B4539B">
        <w:rPr>
          <w:iCs/>
          <w:vertAlign w:val="subscript"/>
        </w:rPr>
        <w:t>max</w:t>
      </w:r>
      <w:proofErr w:type="spellEnd"/>
      <w:r w:rsidRPr="00F04D59">
        <w:rPr>
          <w:iCs/>
        </w:rPr>
        <w:t xml:space="preserve">) of the progesterone component of </w:t>
      </w:r>
      <w:r w:rsidR="00250DF8">
        <w:rPr>
          <w:bCs/>
        </w:rPr>
        <w:t>BIJUVA 1/100</w:t>
      </w:r>
      <w:r w:rsidR="00AF4209" w:rsidRPr="00F04D59" w:rsidDel="00AF4209">
        <w:rPr>
          <w:iCs/>
        </w:rPr>
        <w:t xml:space="preserve"> </w:t>
      </w:r>
      <w:r w:rsidRPr="00F04D59">
        <w:rPr>
          <w:iCs/>
        </w:rPr>
        <w:t>relative to a fasting state when administered at a dose of 100</w:t>
      </w:r>
      <w:r w:rsidR="00584413">
        <w:rPr>
          <w:iCs/>
        </w:rPr>
        <w:t> </w:t>
      </w:r>
      <w:r w:rsidRPr="00F04D59">
        <w:rPr>
          <w:iCs/>
        </w:rPr>
        <w:t xml:space="preserve">mg. Concomitant food ingestion had no effect on the AUC of the </w:t>
      </w:r>
      <w:proofErr w:type="spellStart"/>
      <w:r w:rsidRPr="00F04D59">
        <w:rPr>
          <w:iCs/>
        </w:rPr>
        <w:t>estradiol</w:t>
      </w:r>
      <w:proofErr w:type="spellEnd"/>
      <w:r w:rsidRPr="00F04D59">
        <w:rPr>
          <w:iCs/>
        </w:rPr>
        <w:t xml:space="preserve"> component of </w:t>
      </w:r>
      <w:r w:rsidR="00250DF8">
        <w:rPr>
          <w:bCs/>
        </w:rPr>
        <w:t>BIJUVA 1/100</w:t>
      </w:r>
      <w:r w:rsidRPr="00F04D59">
        <w:rPr>
          <w:iCs/>
        </w:rPr>
        <w:t xml:space="preserve">, but the rate of </w:t>
      </w:r>
      <w:proofErr w:type="spellStart"/>
      <w:r w:rsidRPr="00F04D59">
        <w:rPr>
          <w:iCs/>
        </w:rPr>
        <w:t>estradiol</w:t>
      </w:r>
      <w:proofErr w:type="spellEnd"/>
      <w:r w:rsidRPr="00F04D59">
        <w:rPr>
          <w:iCs/>
        </w:rPr>
        <w:t xml:space="preserve"> absorption was faster under fasting conditions compared to the fed state. Food increased the </w:t>
      </w:r>
      <w:proofErr w:type="spellStart"/>
      <w:r w:rsidRPr="00F04D59">
        <w:rPr>
          <w:iCs/>
        </w:rPr>
        <w:t>C</w:t>
      </w:r>
      <w:r w:rsidRPr="002B521D">
        <w:rPr>
          <w:iCs/>
          <w:vertAlign w:val="subscript"/>
        </w:rPr>
        <w:t>max</w:t>
      </w:r>
      <w:proofErr w:type="spellEnd"/>
      <w:r w:rsidRPr="00F04D59">
        <w:rPr>
          <w:iCs/>
        </w:rPr>
        <w:t xml:space="preserve"> and AUC of the progesterone by 82% and 2.7-fold, respectively, relative to the fasting state</w:t>
      </w:r>
      <w:bookmarkEnd w:id="22"/>
      <w:r w:rsidRPr="00F04D59">
        <w:rPr>
          <w:iCs/>
        </w:rPr>
        <w:t xml:space="preserve">. </w:t>
      </w:r>
    </w:p>
    <w:p w14:paraId="67FF28BC" w14:textId="7C766915" w:rsidR="00F04D59" w:rsidRDefault="00F04D59" w:rsidP="00F04D59">
      <w:pPr>
        <w:pStyle w:val="BodyText"/>
        <w:rPr>
          <w:iCs/>
        </w:rPr>
      </w:pPr>
      <w:bookmarkStart w:id="23" w:name="_Hlk62588985"/>
      <w:r w:rsidRPr="00F04D59">
        <w:rPr>
          <w:iCs/>
        </w:rPr>
        <w:t xml:space="preserve">After multiple doses of </w:t>
      </w:r>
      <w:r w:rsidR="00250DF8">
        <w:rPr>
          <w:bCs/>
        </w:rPr>
        <w:t>BIJUVA 1/100</w:t>
      </w:r>
      <w:r w:rsidR="00FC59D9" w:rsidRPr="00F04D59" w:rsidDel="00FC59D9">
        <w:rPr>
          <w:iCs/>
        </w:rPr>
        <w:t xml:space="preserve"> </w:t>
      </w:r>
      <w:r w:rsidRPr="00F04D59">
        <w:rPr>
          <w:iCs/>
        </w:rPr>
        <w:t>(</w:t>
      </w:r>
      <w:proofErr w:type="spellStart"/>
      <w:r w:rsidRPr="00F04D59">
        <w:rPr>
          <w:iCs/>
        </w:rPr>
        <w:t>estradiol</w:t>
      </w:r>
      <w:proofErr w:type="spellEnd"/>
      <w:r w:rsidRPr="00F04D59">
        <w:rPr>
          <w:iCs/>
        </w:rPr>
        <w:t xml:space="preserve"> and progesterone) capsules, 1 mg/100 mg </w:t>
      </w:r>
      <w:r w:rsidRPr="00D63F5A">
        <w:rPr>
          <w:iCs/>
        </w:rPr>
        <w:t>taken under fed conditions</w:t>
      </w:r>
      <w:r w:rsidRPr="00F04D59">
        <w:rPr>
          <w:iCs/>
        </w:rPr>
        <w:t xml:space="preserve">, the </w:t>
      </w:r>
      <w:proofErr w:type="spellStart"/>
      <w:r w:rsidRPr="00F04D59">
        <w:rPr>
          <w:iCs/>
        </w:rPr>
        <w:t>t</w:t>
      </w:r>
      <w:r w:rsidRPr="00C153AE">
        <w:rPr>
          <w:iCs/>
          <w:vertAlign w:val="subscript"/>
        </w:rPr>
        <w:t>max</w:t>
      </w:r>
      <w:proofErr w:type="spellEnd"/>
      <w:r w:rsidRPr="00F04D59">
        <w:rPr>
          <w:iCs/>
        </w:rPr>
        <w:t xml:space="preserve"> (the time at which the maximum concentration is attained) for </w:t>
      </w:r>
      <w:proofErr w:type="spellStart"/>
      <w:r w:rsidRPr="00F04D59">
        <w:rPr>
          <w:iCs/>
        </w:rPr>
        <w:t>estradiol</w:t>
      </w:r>
      <w:proofErr w:type="spellEnd"/>
      <w:r w:rsidRPr="00F04D59">
        <w:rPr>
          <w:iCs/>
        </w:rPr>
        <w:t xml:space="preserve"> is approximately 5 hours and approximately 3 hours for progesterone (</w:t>
      </w:r>
      <w:r w:rsidRPr="00B4539B">
        <w:rPr>
          <w:iCs/>
        </w:rPr>
        <w:t xml:space="preserve">See </w:t>
      </w:r>
      <w:r w:rsidR="00B4539B">
        <w:rPr>
          <w:iCs/>
          <w:highlight w:val="yellow"/>
        </w:rPr>
        <w:fldChar w:fldCharType="begin"/>
      </w:r>
      <w:r w:rsidR="00B4539B">
        <w:rPr>
          <w:iCs/>
          <w:highlight w:val="yellow"/>
        </w:rPr>
        <w:instrText xml:space="preserve"> REF _Ref69464555 \h </w:instrText>
      </w:r>
      <w:r w:rsidR="00B4539B">
        <w:rPr>
          <w:iCs/>
          <w:highlight w:val="yellow"/>
        </w:rPr>
      </w:r>
      <w:r w:rsidR="00B4539B">
        <w:rPr>
          <w:iCs/>
          <w:highlight w:val="yellow"/>
        </w:rPr>
        <w:fldChar w:fldCharType="separate"/>
      </w:r>
      <w:r w:rsidR="00551C94" w:rsidRPr="002A3596">
        <w:t xml:space="preserve">Table </w:t>
      </w:r>
      <w:r w:rsidR="00551C94">
        <w:rPr>
          <w:noProof/>
        </w:rPr>
        <w:t>11</w:t>
      </w:r>
      <w:r w:rsidR="00B4539B">
        <w:rPr>
          <w:iCs/>
          <w:highlight w:val="yellow"/>
        </w:rPr>
        <w:fldChar w:fldCharType="end"/>
      </w:r>
      <w:r w:rsidRPr="00F04D59">
        <w:rPr>
          <w:iCs/>
        </w:rPr>
        <w:t xml:space="preserve">, below). Steady state for both </w:t>
      </w:r>
      <w:proofErr w:type="spellStart"/>
      <w:r w:rsidRPr="00F04D59">
        <w:rPr>
          <w:iCs/>
        </w:rPr>
        <w:t>estradiol</w:t>
      </w:r>
      <w:proofErr w:type="spellEnd"/>
      <w:r w:rsidRPr="00F04D59">
        <w:rPr>
          <w:iCs/>
        </w:rPr>
        <w:t xml:space="preserve"> and progesterone components of </w:t>
      </w:r>
      <w:r w:rsidR="00250DF8">
        <w:rPr>
          <w:bCs/>
        </w:rPr>
        <w:t>BIJUVA 1/100</w:t>
      </w:r>
      <w:r w:rsidRPr="00F04D59">
        <w:rPr>
          <w:iCs/>
        </w:rPr>
        <w:t xml:space="preserve">, as well as </w:t>
      </w:r>
      <w:proofErr w:type="spellStart"/>
      <w:r w:rsidRPr="00F04D59">
        <w:rPr>
          <w:iCs/>
        </w:rPr>
        <w:t>estradiol’s</w:t>
      </w:r>
      <w:proofErr w:type="spellEnd"/>
      <w:r w:rsidRPr="00F04D59">
        <w:rPr>
          <w:iCs/>
        </w:rPr>
        <w:t xml:space="preserve"> main metabolite, estrone, is achieved within seven days. </w:t>
      </w:r>
    </w:p>
    <w:p w14:paraId="769EA4AA" w14:textId="7BEDF258" w:rsidR="00A2339B" w:rsidRPr="00F04D59" w:rsidRDefault="00A2339B" w:rsidP="00A2339B">
      <w:pPr>
        <w:pStyle w:val="BodyText"/>
        <w:rPr>
          <w:iCs/>
        </w:rPr>
      </w:pPr>
      <w:r w:rsidRPr="002A3596">
        <w:lastRenderedPageBreak/>
        <w:t xml:space="preserve">Following repeat dosing with </w:t>
      </w:r>
      <w:r>
        <w:rPr>
          <w:bCs/>
        </w:rPr>
        <w:t>BIJUVA 1/100</w:t>
      </w:r>
      <w:r w:rsidRPr="002A3596" w:rsidDel="00FC59D9">
        <w:t xml:space="preserve"> </w:t>
      </w:r>
      <w:r w:rsidRPr="002A3596">
        <w:t>(</w:t>
      </w:r>
      <w:proofErr w:type="spellStart"/>
      <w:r w:rsidRPr="002A3596">
        <w:t>estradiol</w:t>
      </w:r>
      <w:proofErr w:type="spellEnd"/>
      <w:r w:rsidRPr="002A3596">
        <w:t xml:space="preserve"> and progesterone) capsules, 1</w:t>
      </w:r>
      <w:r>
        <w:t> </w:t>
      </w:r>
      <w:r w:rsidRPr="002A3596">
        <w:t>mg/100</w:t>
      </w:r>
      <w:r>
        <w:t> </w:t>
      </w:r>
      <w:r w:rsidRPr="002A3596">
        <w:t xml:space="preserve">mg, the half-life of </w:t>
      </w:r>
      <w:proofErr w:type="spellStart"/>
      <w:r w:rsidRPr="002A3596">
        <w:t>estradiol</w:t>
      </w:r>
      <w:proofErr w:type="spellEnd"/>
      <w:r w:rsidRPr="002A3596">
        <w:t xml:space="preserve"> was approximately 26 hours. The half-life of progesterone, following repeat dosing was approximately 10 hours.</w:t>
      </w:r>
    </w:p>
    <w:p w14:paraId="3BD246C2" w14:textId="5517C110" w:rsidR="00F04D59" w:rsidRPr="002A3596" w:rsidRDefault="00F04D59" w:rsidP="00F04D59">
      <w:pPr>
        <w:pStyle w:val="Caption"/>
        <w:ind w:left="1438" w:hanging="1296"/>
      </w:pPr>
      <w:bookmarkStart w:id="24" w:name="_Ref69464555"/>
      <w:bookmarkEnd w:id="23"/>
      <w:r w:rsidRPr="002A3596">
        <w:t xml:space="preserve">Table </w:t>
      </w:r>
      <w:r w:rsidRPr="002A3596">
        <w:fldChar w:fldCharType="begin"/>
      </w:r>
      <w:r w:rsidRPr="002A3596">
        <w:instrText xml:space="preserve"> SEQ Table \* ARABIC </w:instrText>
      </w:r>
      <w:r w:rsidRPr="002A3596">
        <w:fldChar w:fldCharType="separate"/>
      </w:r>
      <w:r w:rsidR="00551C94">
        <w:rPr>
          <w:noProof/>
        </w:rPr>
        <w:t>11</w:t>
      </w:r>
      <w:r w:rsidRPr="002A3596">
        <w:fldChar w:fldCharType="end"/>
      </w:r>
      <w:bookmarkEnd w:id="24"/>
      <w:r w:rsidR="00471E27">
        <w:t>:</w:t>
      </w:r>
      <w:r w:rsidRPr="002A3596">
        <w:t xml:space="preserve"> </w:t>
      </w:r>
      <w:r w:rsidRPr="002A3596">
        <w:tab/>
        <w:t xml:space="preserve">Mean (SD) Steady-State Pharmacokinetic Parameters after Administration of Capsules Containing 1 mg </w:t>
      </w:r>
      <w:proofErr w:type="spellStart"/>
      <w:r w:rsidRPr="002A3596">
        <w:t>Estradiol</w:t>
      </w:r>
      <w:proofErr w:type="spellEnd"/>
      <w:r w:rsidRPr="002A3596">
        <w:t>/100 mg Progesterone in Healthy Postmenopausal Women (Fed conditions, Baseline Adjusted, at Day 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2"/>
        <w:gridCol w:w="2064"/>
        <w:gridCol w:w="3232"/>
      </w:tblGrid>
      <w:tr w:rsidR="00F04D59" w:rsidRPr="00F04D59" w14:paraId="1E52235D" w14:textId="77777777" w:rsidTr="00F04D59">
        <w:trPr>
          <w:tblHeader/>
        </w:trPr>
        <w:tc>
          <w:tcPr>
            <w:tcW w:w="2218" w:type="pct"/>
            <w:vAlign w:val="bottom"/>
          </w:tcPr>
          <w:p w14:paraId="28823B51"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b/>
                <w:bCs/>
              </w:rPr>
              <w:t>Dosage Stre</w:t>
            </w:r>
            <w:r w:rsidRPr="002B521D">
              <w:rPr>
                <w:rFonts w:ascii="Times New Roman" w:eastAsia="Calibri" w:hAnsi="Times New Roman" w:cs="Times New Roman"/>
              </w:rPr>
              <w:t>ngth (</w:t>
            </w:r>
            <w:proofErr w:type="spellStart"/>
            <w:r w:rsidRPr="002B521D">
              <w:rPr>
                <w:rFonts w:ascii="Times New Roman" w:eastAsia="Calibri" w:hAnsi="Times New Roman" w:cs="Times New Roman"/>
              </w:rPr>
              <w:t>estradiol</w:t>
            </w:r>
            <w:proofErr w:type="spellEnd"/>
            <w:r w:rsidRPr="002B521D">
              <w:rPr>
                <w:rFonts w:ascii="Times New Roman" w:eastAsia="Calibri" w:hAnsi="Times New Roman" w:cs="Times New Roman"/>
              </w:rPr>
              <w:t>/progesterone)</w:t>
            </w:r>
          </w:p>
        </w:tc>
        <w:tc>
          <w:tcPr>
            <w:tcW w:w="2782" w:type="pct"/>
            <w:gridSpan w:val="2"/>
            <w:vAlign w:val="bottom"/>
          </w:tcPr>
          <w:p w14:paraId="26D9F591" w14:textId="4FA1AF64" w:rsidR="00F04D59" w:rsidRPr="002B521D" w:rsidRDefault="00250DF8" w:rsidP="00F04D59">
            <w:pPr>
              <w:widowControl/>
              <w:spacing w:after="160" w:line="259" w:lineRule="auto"/>
              <w:rPr>
                <w:rFonts w:ascii="Times New Roman" w:eastAsia="Calibri" w:hAnsi="Times New Roman" w:cs="Times New Roman"/>
              </w:rPr>
            </w:pPr>
            <w:r>
              <w:rPr>
                <w:rFonts w:ascii="Times New Roman" w:eastAsia="Calibri" w:hAnsi="Times New Roman" w:cs="Times New Roman"/>
              </w:rPr>
              <w:t>BIJUVA 1/100</w:t>
            </w:r>
            <w:r w:rsidR="00F04D59" w:rsidRPr="002B521D">
              <w:rPr>
                <w:rFonts w:ascii="Times New Roman" w:eastAsia="Calibri" w:hAnsi="Times New Roman" w:cs="Times New Roman"/>
                <w:vertAlign w:val="superscript"/>
              </w:rPr>
              <w:t xml:space="preserve"> </w:t>
            </w:r>
            <w:r w:rsidR="00F04D59" w:rsidRPr="002B521D">
              <w:rPr>
                <w:rFonts w:ascii="Times New Roman" w:eastAsia="Calibri" w:hAnsi="Times New Roman" w:cs="Times New Roman"/>
              </w:rPr>
              <w:t>(1 mg/100 mg)</w:t>
            </w:r>
          </w:p>
          <w:p w14:paraId="272A56D6" w14:textId="4C6A58B5" w:rsidR="00F04D59" w:rsidRPr="00F04D59" w:rsidRDefault="00F04D59" w:rsidP="00F04D59">
            <w:pPr>
              <w:widowControl/>
              <w:spacing w:after="160" w:line="259" w:lineRule="auto"/>
              <w:rPr>
                <w:rFonts w:ascii="Times New Roman" w:eastAsia="Calibri" w:hAnsi="Times New Roman" w:cs="Times New Roman"/>
                <w:b/>
                <w:bCs/>
              </w:rPr>
            </w:pPr>
            <w:r w:rsidRPr="00F04D59">
              <w:rPr>
                <w:rFonts w:ascii="Times New Roman" w:eastAsia="Calibri" w:hAnsi="Times New Roman" w:cs="Times New Roman"/>
                <w:b/>
                <w:bCs/>
              </w:rPr>
              <w:t>Mean (SD)</w:t>
            </w:r>
          </w:p>
        </w:tc>
      </w:tr>
      <w:tr w:rsidR="00F04D59" w:rsidRPr="00F04D59" w14:paraId="4E5572AE" w14:textId="77777777" w:rsidTr="00F04D59">
        <w:tc>
          <w:tcPr>
            <w:tcW w:w="2218" w:type="pct"/>
          </w:tcPr>
          <w:p w14:paraId="50237589" w14:textId="77777777" w:rsidR="00F04D59" w:rsidRPr="00F04D59" w:rsidRDefault="00F04D59" w:rsidP="00F04D59">
            <w:pPr>
              <w:widowControl/>
              <w:spacing w:after="160" w:line="259" w:lineRule="auto"/>
              <w:rPr>
                <w:rFonts w:ascii="Times New Roman" w:eastAsia="Calibri" w:hAnsi="Times New Roman" w:cs="Times New Roman"/>
              </w:rPr>
            </w:pPr>
            <w:proofErr w:type="spellStart"/>
            <w:r w:rsidRPr="00F04D59">
              <w:rPr>
                <w:rFonts w:ascii="Times New Roman" w:eastAsia="Calibri" w:hAnsi="Times New Roman" w:cs="Times New Roman"/>
              </w:rPr>
              <w:t>Estradiol</w:t>
            </w:r>
            <w:proofErr w:type="spellEnd"/>
          </w:p>
        </w:tc>
        <w:tc>
          <w:tcPr>
            <w:tcW w:w="2782" w:type="pct"/>
            <w:gridSpan w:val="2"/>
          </w:tcPr>
          <w:p w14:paraId="7B60DEEF"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N</w:t>
            </w:r>
          </w:p>
        </w:tc>
      </w:tr>
      <w:tr w:rsidR="00F04D59" w:rsidRPr="00F04D59" w14:paraId="0639D138" w14:textId="77777777" w:rsidTr="00F04D59">
        <w:tc>
          <w:tcPr>
            <w:tcW w:w="2218" w:type="pct"/>
          </w:tcPr>
          <w:p w14:paraId="3F1D60CB" w14:textId="2D0818C4"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AUC</w:t>
            </w:r>
            <w:r w:rsidRPr="00F04D59">
              <w:rPr>
                <w:rFonts w:ascii="Times New Roman" w:eastAsia="Calibri" w:hAnsi="Times New Roman" w:cs="Times New Roman"/>
                <w:vertAlign w:val="subscript"/>
              </w:rPr>
              <w:t xml:space="preserve">0-τ </w:t>
            </w:r>
            <w:r w:rsidRPr="00F04D59">
              <w:rPr>
                <w:rFonts w:ascii="Times New Roman" w:eastAsia="Calibri" w:hAnsi="Times New Roman" w:cs="Times New Roman"/>
              </w:rPr>
              <w:t>(</w:t>
            </w:r>
            <w:proofErr w:type="spellStart"/>
            <w:r w:rsidRPr="00F04D59">
              <w:rPr>
                <w:rFonts w:ascii="Times New Roman" w:eastAsia="Calibri" w:hAnsi="Times New Roman" w:cs="Times New Roman"/>
              </w:rPr>
              <w:t>pg·h</w:t>
            </w:r>
            <w:proofErr w:type="spellEnd"/>
            <w:r w:rsidRPr="00F04D59">
              <w:rPr>
                <w:rFonts w:ascii="Times New Roman" w:eastAsia="Calibri" w:hAnsi="Times New Roman" w:cs="Times New Roman"/>
              </w:rPr>
              <w:t>/mL)</w:t>
            </w:r>
          </w:p>
        </w:tc>
        <w:tc>
          <w:tcPr>
            <w:tcW w:w="1084" w:type="pct"/>
          </w:tcPr>
          <w:p w14:paraId="65170E95"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20</w:t>
            </w:r>
          </w:p>
        </w:tc>
        <w:tc>
          <w:tcPr>
            <w:tcW w:w="1698" w:type="pct"/>
          </w:tcPr>
          <w:p w14:paraId="409744DE"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772.4 (384.1)</w:t>
            </w:r>
          </w:p>
        </w:tc>
      </w:tr>
      <w:tr w:rsidR="00F04D59" w:rsidRPr="00F04D59" w14:paraId="4EAB247A" w14:textId="77777777" w:rsidTr="00F04D59">
        <w:tc>
          <w:tcPr>
            <w:tcW w:w="2218" w:type="pct"/>
          </w:tcPr>
          <w:p w14:paraId="731BF947" w14:textId="77777777" w:rsidR="00F04D59" w:rsidRPr="00F04D59" w:rsidRDefault="00F04D59" w:rsidP="00F04D59">
            <w:pPr>
              <w:widowControl/>
              <w:spacing w:after="160" w:line="259" w:lineRule="auto"/>
              <w:rPr>
                <w:rFonts w:ascii="Times New Roman" w:eastAsia="Calibri" w:hAnsi="Times New Roman" w:cs="Times New Roman"/>
              </w:rPr>
            </w:pPr>
            <w:proofErr w:type="spellStart"/>
            <w:r w:rsidRPr="00F04D59">
              <w:rPr>
                <w:rFonts w:ascii="Times New Roman" w:eastAsia="Calibri" w:hAnsi="Times New Roman" w:cs="Times New Roman"/>
              </w:rPr>
              <w:t>C</w:t>
            </w:r>
            <w:r w:rsidRPr="00F04D59">
              <w:rPr>
                <w:rFonts w:ascii="Times New Roman" w:eastAsia="Calibri" w:hAnsi="Times New Roman" w:cs="Times New Roman"/>
                <w:vertAlign w:val="subscript"/>
              </w:rPr>
              <w:t>max</w:t>
            </w:r>
            <w:proofErr w:type="spellEnd"/>
            <w:r w:rsidRPr="00F04D59">
              <w:rPr>
                <w:rFonts w:ascii="Times New Roman" w:eastAsia="Calibri" w:hAnsi="Times New Roman" w:cs="Times New Roman"/>
              </w:rPr>
              <w:t xml:space="preserve"> (</w:t>
            </w:r>
            <w:proofErr w:type="spellStart"/>
            <w:r w:rsidRPr="00F04D59">
              <w:rPr>
                <w:rFonts w:ascii="Times New Roman" w:eastAsia="Calibri" w:hAnsi="Times New Roman" w:cs="Times New Roman"/>
              </w:rPr>
              <w:t>pg</w:t>
            </w:r>
            <w:proofErr w:type="spellEnd"/>
            <w:r w:rsidRPr="00F04D59">
              <w:rPr>
                <w:rFonts w:ascii="Times New Roman" w:eastAsia="Calibri" w:hAnsi="Times New Roman" w:cs="Times New Roman"/>
              </w:rPr>
              <w:t>/mL)</w:t>
            </w:r>
          </w:p>
        </w:tc>
        <w:tc>
          <w:tcPr>
            <w:tcW w:w="1084" w:type="pct"/>
          </w:tcPr>
          <w:p w14:paraId="133711E1"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20</w:t>
            </w:r>
          </w:p>
        </w:tc>
        <w:tc>
          <w:tcPr>
            <w:tcW w:w="1698" w:type="pct"/>
          </w:tcPr>
          <w:p w14:paraId="42B5AC98"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42.27 (18.60)</w:t>
            </w:r>
          </w:p>
        </w:tc>
      </w:tr>
      <w:tr w:rsidR="00F04D59" w:rsidRPr="00F04D59" w14:paraId="544B5A79" w14:textId="77777777" w:rsidTr="00F04D59">
        <w:tc>
          <w:tcPr>
            <w:tcW w:w="2218" w:type="pct"/>
          </w:tcPr>
          <w:p w14:paraId="16A32D52" w14:textId="77777777" w:rsidR="00F04D59" w:rsidRPr="00F04D59" w:rsidRDefault="00F04D59" w:rsidP="00F04D59">
            <w:pPr>
              <w:widowControl/>
              <w:spacing w:after="160" w:line="259" w:lineRule="auto"/>
              <w:rPr>
                <w:rFonts w:ascii="Times New Roman" w:eastAsia="Calibri" w:hAnsi="Times New Roman" w:cs="Times New Roman"/>
              </w:rPr>
            </w:pPr>
            <w:proofErr w:type="spellStart"/>
            <w:r w:rsidRPr="00F04D59">
              <w:rPr>
                <w:rFonts w:ascii="Times New Roman" w:eastAsia="Calibri" w:hAnsi="Times New Roman" w:cs="Times New Roman"/>
              </w:rPr>
              <w:t>C</w:t>
            </w:r>
            <w:r w:rsidRPr="00F04D59">
              <w:rPr>
                <w:rFonts w:ascii="Times New Roman" w:eastAsia="Calibri" w:hAnsi="Times New Roman" w:cs="Times New Roman"/>
                <w:vertAlign w:val="subscript"/>
              </w:rPr>
              <w:t>avg</w:t>
            </w:r>
            <w:proofErr w:type="spellEnd"/>
            <w:r w:rsidRPr="00F04D59">
              <w:rPr>
                <w:rFonts w:ascii="Times New Roman" w:eastAsia="Calibri" w:hAnsi="Times New Roman" w:cs="Times New Roman"/>
              </w:rPr>
              <w:t xml:space="preserve"> (</w:t>
            </w:r>
            <w:proofErr w:type="spellStart"/>
            <w:r w:rsidRPr="00F04D59">
              <w:rPr>
                <w:rFonts w:ascii="Times New Roman" w:eastAsia="Calibri" w:hAnsi="Times New Roman" w:cs="Times New Roman"/>
              </w:rPr>
              <w:t>pg</w:t>
            </w:r>
            <w:proofErr w:type="spellEnd"/>
            <w:r w:rsidRPr="00F04D59">
              <w:rPr>
                <w:rFonts w:ascii="Times New Roman" w:eastAsia="Calibri" w:hAnsi="Times New Roman" w:cs="Times New Roman"/>
              </w:rPr>
              <w:t>/mL)</w:t>
            </w:r>
          </w:p>
        </w:tc>
        <w:tc>
          <w:tcPr>
            <w:tcW w:w="1084" w:type="pct"/>
          </w:tcPr>
          <w:p w14:paraId="0D0E63D5"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19</w:t>
            </w:r>
          </w:p>
        </w:tc>
        <w:tc>
          <w:tcPr>
            <w:tcW w:w="1698" w:type="pct"/>
          </w:tcPr>
          <w:p w14:paraId="7C1888F7"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33.99 (14.53)</w:t>
            </w:r>
          </w:p>
        </w:tc>
      </w:tr>
      <w:tr w:rsidR="00F04D59" w:rsidRPr="00F04D59" w14:paraId="25E93140" w14:textId="77777777" w:rsidTr="00F04D59">
        <w:tc>
          <w:tcPr>
            <w:tcW w:w="2218" w:type="pct"/>
          </w:tcPr>
          <w:p w14:paraId="69DABFC7" w14:textId="77777777" w:rsidR="00F04D59" w:rsidRPr="00F04D59" w:rsidRDefault="00F04D59" w:rsidP="00F04D59">
            <w:pPr>
              <w:widowControl/>
              <w:spacing w:after="160" w:line="259" w:lineRule="auto"/>
              <w:rPr>
                <w:rFonts w:ascii="Times New Roman" w:eastAsia="Calibri" w:hAnsi="Times New Roman" w:cs="Times New Roman"/>
              </w:rPr>
            </w:pPr>
            <w:proofErr w:type="spellStart"/>
            <w:r w:rsidRPr="00F04D59">
              <w:rPr>
                <w:rFonts w:ascii="Times New Roman" w:eastAsia="Calibri" w:hAnsi="Times New Roman" w:cs="Times New Roman"/>
              </w:rPr>
              <w:t>C</w:t>
            </w:r>
            <w:r w:rsidRPr="00F04D59">
              <w:rPr>
                <w:rFonts w:ascii="Times New Roman" w:eastAsia="Calibri" w:hAnsi="Times New Roman" w:cs="Times New Roman"/>
                <w:vertAlign w:val="subscript"/>
              </w:rPr>
              <w:t>trough</w:t>
            </w:r>
            <w:proofErr w:type="spellEnd"/>
            <w:r w:rsidRPr="00F04D59">
              <w:rPr>
                <w:rFonts w:ascii="Times New Roman" w:eastAsia="Calibri" w:hAnsi="Times New Roman" w:cs="Times New Roman"/>
              </w:rPr>
              <w:t xml:space="preserve"> (</w:t>
            </w:r>
            <w:proofErr w:type="spellStart"/>
            <w:r w:rsidRPr="00F04D59">
              <w:rPr>
                <w:rFonts w:ascii="Times New Roman" w:eastAsia="Calibri" w:hAnsi="Times New Roman" w:cs="Times New Roman"/>
              </w:rPr>
              <w:t>pg</w:t>
            </w:r>
            <w:proofErr w:type="spellEnd"/>
            <w:r w:rsidRPr="00F04D59">
              <w:rPr>
                <w:rFonts w:ascii="Times New Roman" w:eastAsia="Calibri" w:hAnsi="Times New Roman" w:cs="Times New Roman"/>
              </w:rPr>
              <w:t>/mL)</w:t>
            </w:r>
          </w:p>
        </w:tc>
        <w:tc>
          <w:tcPr>
            <w:tcW w:w="1084" w:type="pct"/>
          </w:tcPr>
          <w:p w14:paraId="07FC1DBF"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20</w:t>
            </w:r>
          </w:p>
        </w:tc>
        <w:tc>
          <w:tcPr>
            <w:tcW w:w="1698" w:type="pct"/>
          </w:tcPr>
          <w:p w14:paraId="6E0DE3CD"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28.63 (18.14)</w:t>
            </w:r>
          </w:p>
        </w:tc>
      </w:tr>
      <w:tr w:rsidR="00F04D59" w:rsidRPr="00F04D59" w14:paraId="753A406C" w14:textId="77777777" w:rsidTr="00F04D59">
        <w:tc>
          <w:tcPr>
            <w:tcW w:w="2218" w:type="pct"/>
          </w:tcPr>
          <w:p w14:paraId="7E132ECD" w14:textId="77777777" w:rsidR="00F04D59" w:rsidRPr="00F04D59" w:rsidRDefault="00F04D59" w:rsidP="00F04D59">
            <w:pPr>
              <w:widowControl/>
              <w:spacing w:after="160" w:line="259" w:lineRule="auto"/>
              <w:rPr>
                <w:rFonts w:ascii="Times New Roman" w:eastAsia="Calibri" w:hAnsi="Times New Roman" w:cs="Times New Roman"/>
              </w:rPr>
            </w:pPr>
            <w:proofErr w:type="spellStart"/>
            <w:r w:rsidRPr="00F04D59">
              <w:rPr>
                <w:rFonts w:ascii="Times New Roman" w:eastAsia="Calibri" w:hAnsi="Times New Roman" w:cs="Times New Roman"/>
              </w:rPr>
              <w:t>t</w:t>
            </w:r>
            <w:r w:rsidRPr="00F04D59">
              <w:rPr>
                <w:rFonts w:ascii="Times New Roman" w:eastAsia="Calibri" w:hAnsi="Times New Roman" w:cs="Times New Roman"/>
                <w:vertAlign w:val="subscript"/>
              </w:rPr>
              <w:t>max</w:t>
            </w:r>
            <w:proofErr w:type="spellEnd"/>
            <w:r w:rsidRPr="00F04D59">
              <w:rPr>
                <w:rFonts w:ascii="Times New Roman" w:eastAsia="Calibri" w:hAnsi="Times New Roman" w:cs="Times New Roman"/>
              </w:rPr>
              <w:t xml:space="preserve"> (h) </w:t>
            </w:r>
          </w:p>
        </w:tc>
        <w:tc>
          <w:tcPr>
            <w:tcW w:w="1084" w:type="pct"/>
          </w:tcPr>
          <w:p w14:paraId="40F76469"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19</w:t>
            </w:r>
          </w:p>
        </w:tc>
        <w:tc>
          <w:tcPr>
            <w:tcW w:w="1698" w:type="pct"/>
          </w:tcPr>
          <w:p w14:paraId="6DD3E662"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4.93(4.97)</w:t>
            </w:r>
          </w:p>
        </w:tc>
      </w:tr>
      <w:tr w:rsidR="00F04D59" w:rsidRPr="00F04D59" w14:paraId="115B2217" w14:textId="77777777" w:rsidTr="00F04D59">
        <w:tc>
          <w:tcPr>
            <w:tcW w:w="2218" w:type="pct"/>
          </w:tcPr>
          <w:p w14:paraId="56C67521"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t</w:t>
            </w:r>
            <w:r w:rsidRPr="00F04D59">
              <w:rPr>
                <w:rFonts w:ascii="Times New Roman" w:eastAsia="Calibri" w:hAnsi="Times New Roman" w:cs="Times New Roman"/>
                <w:vertAlign w:val="subscript"/>
              </w:rPr>
              <w:t>½</w:t>
            </w:r>
            <w:r w:rsidRPr="00F04D59">
              <w:rPr>
                <w:rFonts w:ascii="Times New Roman" w:eastAsia="Calibri" w:hAnsi="Times New Roman" w:cs="Times New Roman"/>
              </w:rPr>
              <w:t xml:space="preserve"> (h)*</w:t>
            </w:r>
          </w:p>
        </w:tc>
        <w:tc>
          <w:tcPr>
            <w:tcW w:w="1084" w:type="pct"/>
          </w:tcPr>
          <w:p w14:paraId="1688639C"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19</w:t>
            </w:r>
          </w:p>
        </w:tc>
        <w:tc>
          <w:tcPr>
            <w:tcW w:w="1698" w:type="pct"/>
          </w:tcPr>
          <w:p w14:paraId="09620B60"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26.47 (14.61)</w:t>
            </w:r>
          </w:p>
        </w:tc>
      </w:tr>
      <w:tr w:rsidR="00F04D59" w:rsidRPr="00F04D59" w14:paraId="200413F4" w14:textId="77777777" w:rsidTr="00F04D59">
        <w:tc>
          <w:tcPr>
            <w:tcW w:w="5000" w:type="pct"/>
            <w:gridSpan w:val="3"/>
            <w:shd w:val="clear" w:color="auto" w:fill="D9D9D9" w:themeFill="background1" w:themeFillShade="D9"/>
            <w:vAlign w:val="center"/>
          </w:tcPr>
          <w:p w14:paraId="70379961" w14:textId="77777777" w:rsidR="00F04D59" w:rsidRPr="00F04D59" w:rsidRDefault="00F04D59" w:rsidP="00F04D59">
            <w:pPr>
              <w:widowControl/>
              <w:spacing w:after="160" w:line="259" w:lineRule="auto"/>
              <w:jc w:val="center"/>
              <w:rPr>
                <w:rFonts w:ascii="Times New Roman" w:eastAsia="Calibri" w:hAnsi="Times New Roman" w:cs="Times New Roman"/>
              </w:rPr>
            </w:pPr>
            <w:r w:rsidRPr="00F04D59">
              <w:rPr>
                <w:rFonts w:ascii="Times New Roman" w:eastAsia="Calibri" w:hAnsi="Times New Roman" w:cs="Times New Roman"/>
              </w:rPr>
              <w:t>Estrone</w:t>
            </w:r>
          </w:p>
        </w:tc>
      </w:tr>
      <w:tr w:rsidR="00F04D59" w:rsidRPr="00F04D59" w14:paraId="6DE7287E" w14:textId="77777777" w:rsidTr="00F04D59">
        <w:tc>
          <w:tcPr>
            <w:tcW w:w="2218" w:type="pct"/>
          </w:tcPr>
          <w:p w14:paraId="577E38E7"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AUC</w:t>
            </w:r>
            <w:r w:rsidRPr="00F04D59">
              <w:rPr>
                <w:rFonts w:ascii="Times New Roman" w:eastAsia="Calibri" w:hAnsi="Times New Roman" w:cs="Times New Roman"/>
                <w:vertAlign w:val="subscript"/>
              </w:rPr>
              <w:t xml:space="preserve">0-τ </w:t>
            </w:r>
            <w:r w:rsidRPr="00F04D59">
              <w:rPr>
                <w:rFonts w:ascii="Times New Roman" w:eastAsia="Calibri" w:hAnsi="Times New Roman" w:cs="Times New Roman"/>
              </w:rPr>
              <w:t>(</w:t>
            </w:r>
            <w:proofErr w:type="spellStart"/>
            <w:r w:rsidRPr="00F04D59">
              <w:rPr>
                <w:rFonts w:ascii="Times New Roman" w:eastAsia="Calibri" w:hAnsi="Times New Roman" w:cs="Times New Roman"/>
              </w:rPr>
              <w:t>pg·h</w:t>
            </w:r>
            <w:proofErr w:type="spellEnd"/>
            <w:r w:rsidRPr="00F04D59">
              <w:rPr>
                <w:rFonts w:ascii="Times New Roman" w:eastAsia="Calibri" w:hAnsi="Times New Roman" w:cs="Times New Roman"/>
              </w:rPr>
              <w:t>/mL)</w:t>
            </w:r>
          </w:p>
        </w:tc>
        <w:tc>
          <w:tcPr>
            <w:tcW w:w="1084" w:type="pct"/>
          </w:tcPr>
          <w:p w14:paraId="2059D7C7"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20</w:t>
            </w:r>
          </w:p>
        </w:tc>
        <w:tc>
          <w:tcPr>
            <w:tcW w:w="1698" w:type="pct"/>
          </w:tcPr>
          <w:p w14:paraId="31B7A950"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4594 (2138)</w:t>
            </w:r>
          </w:p>
        </w:tc>
      </w:tr>
      <w:tr w:rsidR="00F04D59" w:rsidRPr="00F04D59" w14:paraId="3522ACC2" w14:textId="77777777" w:rsidTr="00F04D59">
        <w:tc>
          <w:tcPr>
            <w:tcW w:w="2218" w:type="pct"/>
          </w:tcPr>
          <w:p w14:paraId="58096016" w14:textId="77777777" w:rsidR="00F04D59" w:rsidRPr="00F04D59" w:rsidRDefault="00F04D59" w:rsidP="00F04D59">
            <w:pPr>
              <w:widowControl/>
              <w:spacing w:after="160" w:line="259" w:lineRule="auto"/>
              <w:rPr>
                <w:rFonts w:ascii="Times New Roman" w:eastAsia="Calibri" w:hAnsi="Times New Roman" w:cs="Times New Roman"/>
              </w:rPr>
            </w:pPr>
            <w:proofErr w:type="spellStart"/>
            <w:r w:rsidRPr="00F04D59">
              <w:rPr>
                <w:rFonts w:ascii="Times New Roman" w:eastAsia="Calibri" w:hAnsi="Times New Roman" w:cs="Times New Roman"/>
              </w:rPr>
              <w:t>C</w:t>
            </w:r>
            <w:r w:rsidRPr="00F04D59">
              <w:rPr>
                <w:rFonts w:ascii="Times New Roman" w:eastAsia="Calibri" w:hAnsi="Times New Roman" w:cs="Times New Roman"/>
                <w:vertAlign w:val="subscript"/>
              </w:rPr>
              <w:t>max</w:t>
            </w:r>
            <w:proofErr w:type="spellEnd"/>
            <w:r w:rsidRPr="00F04D59">
              <w:rPr>
                <w:rFonts w:ascii="Times New Roman" w:eastAsia="Calibri" w:hAnsi="Times New Roman" w:cs="Times New Roman"/>
              </w:rPr>
              <w:t xml:space="preserve"> (</w:t>
            </w:r>
            <w:proofErr w:type="spellStart"/>
            <w:r w:rsidRPr="00F04D59">
              <w:rPr>
                <w:rFonts w:ascii="Times New Roman" w:eastAsia="Calibri" w:hAnsi="Times New Roman" w:cs="Times New Roman"/>
              </w:rPr>
              <w:t>pg</w:t>
            </w:r>
            <w:proofErr w:type="spellEnd"/>
            <w:r w:rsidRPr="00F04D59">
              <w:rPr>
                <w:rFonts w:ascii="Times New Roman" w:eastAsia="Calibri" w:hAnsi="Times New Roman" w:cs="Times New Roman"/>
              </w:rPr>
              <w:t>/mL)</w:t>
            </w:r>
          </w:p>
        </w:tc>
        <w:tc>
          <w:tcPr>
            <w:tcW w:w="1084" w:type="pct"/>
          </w:tcPr>
          <w:p w14:paraId="7AB7FEA3"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20</w:t>
            </w:r>
          </w:p>
        </w:tc>
        <w:tc>
          <w:tcPr>
            <w:tcW w:w="1698" w:type="pct"/>
          </w:tcPr>
          <w:p w14:paraId="7FB09A76"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238.5 (100.4)</w:t>
            </w:r>
          </w:p>
        </w:tc>
      </w:tr>
      <w:tr w:rsidR="00F04D59" w:rsidRPr="00F04D59" w14:paraId="58F79A28" w14:textId="77777777" w:rsidTr="00F04D59">
        <w:tc>
          <w:tcPr>
            <w:tcW w:w="2218" w:type="pct"/>
          </w:tcPr>
          <w:p w14:paraId="0E4A6D1D" w14:textId="77777777" w:rsidR="00F04D59" w:rsidRPr="00F04D59" w:rsidRDefault="00F04D59" w:rsidP="00F04D59">
            <w:pPr>
              <w:widowControl/>
              <w:spacing w:after="160" w:line="259" w:lineRule="auto"/>
              <w:rPr>
                <w:rFonts w:ascii="Times New Roman" w:eastAsia="Calibri" w:hAnsi="Times New Roman" w:cs="Times New Roman"/>
              </w:rPr>
            </w:pPr>
            <w:proofErr w:type="spellStart"/>
            <w:r w:rsidRPr="00F04D59">
              <w:rPr>
                <w:rFonts w:ascii="Times New Roman" w:eastAsia="Calibri" w:hAnsi="Times New Roman" w:cs="Times New Roman"/>
              </w:rPr>
              <w:t>C</w:t>
            </w:r>
            <w:r w:rsidRPr="00F04D59">
              <w:rPr>
                <w:rFonts w:ascii="Times New Roman" w:eastAsia="Calibri" w:hAnsi="Times New Roman" w:cs="Times New Roman"/>
                <w:vertAlign w:val="subscript"/>
              </w:rPr>
              <w:t>avg</w:t>
            </w:r>
            <w:proofErr w:type="spellEnd"/>
            <w:r w:rsidRPr="00F04D59">
              <w:rPr>
                <w:rFonts w:ascii="Times New Roman" w:eastAsia="Calibri" w:hAnsi="Times New Roman" w:cs="Times New Roman"/>
              </w:rPr>
              <w:t xml:space="preserve"> (</w:t>
            </w:r>
            <w:proofErr w:type="spellStart"/>
            <w:r w:rsidRPr="00F04D59">
              <w:rPr>
                <w:rFonts w:ascii="Times New Roman" w:eastAsia="Calibri" w:hAnsi="Times New Roman" w:cs="Times New Roman"/>
              </w:rPr>
              <w:t>pg</w:t>
            </w:r>
            <w:proofErr w:type="spellEnd"/>
            <w:r w:rsidRPr="00F04D59">
              <w:rPr>
                <w:rFonts w:ascii="Times New Roman" w:eastAsia="Calibri" w:hAnsi="Times New Roman" w:cs="Times New Roman"/>
              </w:rPr>
              <w:t>/mL)</w:t>
            </w:r>
          </w:p>
        </w:tc>
        <w:tc>
          <w:tcPr>
            <w:tcW w:w="1084" w:type="pct"/>
          </w:tcPr>
          <w:p w14:paraId="5848B4D2"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20</w:t>
            </w:r>
          </w:p>
        </w:tc>
        <w:tc>
          <w:tcPr>
            <w:tcW w:w="1698" w:type="pct"/>
          </w:tcPr>
          <w:p w14:paraId="784DBA79"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192.1 (89.43)</w:t>
            </w:r>
          </w:p>
        </w:tc>
      </w:tr>
      <w:tr w:rsidR="00F04D59" w:rsidRPr="00F04D59" w14:paraId="61A6F621" w14:textId="77777777" w:rsidTr="00F04D59">
        <w:tc>
          <w:tcPr>
            <w:tcW w:w="2218" w:type="pct"/>
          </w:tcPr>
          <w:p w14:paraId="2DE1E772" w14:textId="77777777" w:rsidR="00F04D59" w:rsidRPr="00F04D59" w:rsidRDefault="00F04D59" w:rsidP="00F04D59">
            <w:pPr>
              <w:widowControl/>
              <w:spacing w:after="160" w:line="259" w:lineRule="auto"/>
              <w:rPr>
                <w:rFonts w:ascii="Times New Roman" w:eastAsia="Calibri" w:hAnsi="Times New Roman" w:cs="Times New Roman"/>
              </w:rPr>
            </w:pPr>
            <w:proofErr w:type="spellStart"/>
            <w:r w:rsidRPr="00F04D59">
              <w:rPr>
                <w:rFonts w:ascii="Times New Roman" w:eastAsia="Calibri" w:hAnsi="Times New Roman" w:cs="Times New Roman"/>
              </w:rPr>
              <w:t>C</w:t>
            </w:r>
            <w:r w:rsidRPr="00F04D59">
              <w:rPr>
                <w:rFonts w:ascii="Times New Roman" w:eastAsia="Calibri" w:hAnsi="Times New Roman" w:cs="Times New Roman"/>
                <w:vertAlign w:val="subscript"/>
              </w:rPr>
              <w:t>trough</w:t>
            </w:r>
            <w:proofErr w:type="spellEnd"/>
            <w:r w:rsidRPr="00F04D59">
              <w:rPr>
                <w:rFonts w:ascii="Times New Roman" w:eastAsia="Calibri" w:hAnsi="Times New Roman" w:cs="Times New Roman"/>
                <w:vertAlign w:val="subscript"/>
              </w:rPr>
              <w:t xml:space="preserve"> </w:t>
            </w:r>
            <w:r w:rsidRPr="00F04D59">
              <w:rPr>
                <w:rFonts w:ascii="Times New Roman" w:eastAsia="Calibri" w:hAnsi="Times New Roman" w:cs="Times New Roman"/>
              </w:rPr>
              <w:t>(</w:t>
            </w:r>
            <w:proofErr w:type="spellStart"/>
            <w:r w:rsidRPr="00F04D59">
              <w:rPr>
                <w:rFonts w:ascii="Times New Roman" w:eastAsia="Calibri" w:hAnsi="Times New Roman" w:cs="Times New Roman"/>
              </w:rPr>
              <w:t>pg</w:t>
            </w:r>
            <w:proofErr w:type="spellEnd"/>
            <w:r w:rsidRPr="00F04D59">
              <w:rPr>
                <w:rFonts w:ascii="Times New Roman" w:eastAsia="Calibri" w:hAnsi="Times New Roman" w:cs="Times New Roman"/>
              </w:rPr>
              <w:t>/mL)</w:t>
            </w:r>
          </w:p>
        </w:tc>
        <w:tc>
          <w:tcPr>
            <w:tcW w:w="1084" w:type="pct"/>
          </w:tcPr>
          <w:p w14:paraId="4E78BE01"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20</w:t>
            </w:r>
          </w:p>
        </w:tc>
        <w:tc>
          <w:tcPr>
            <w:tcW w:w="1698" w:type="pct"/>
          </w:tcPr>
          <w:p w14:paraId="091E120B"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154.9 (81.42)</w:t>
            </w:r>
          </w:p>
        </w:tc>
      </w:tr>
      <w:tr w:rsidR="00F04D59" w:rsidRPr="00F04D59" w14:paraId="752B2E5C" w14:textId="77777777" w:rsidTr="00F04D59">
        <w:tc>
          <w:tcPr>
            <w:tcW w:w="2218" w:type="pct"/>
          </w:tcPr>
          <w:p w14:paraId="5D3D2A6D" w14:textId="77777777" w:rsidR="00F04D59" w:rsidRPr="00F04D59" w:rsidRDefault="00F04D59" w:rsidP="00F04D59">
            <w:pPr>
              <w:widowControl/>
              <w:spacing w:after="160" w:line="259" w:lineRule="auto"/>
              <w:rPr>
                <w:rFonts w:ascii="Times New Roman" w:eastAsia="Calibri" w:hAnsi="Times New Roman" w:cs="Times New Roman"/>
              </w:rPr>
            </w:pPr>
            <w:proofErr w:type="spellStart"/>
            <w:r w:rsidRPr="00F04D59">
              <w:rPr>
                <w:rFonts w:ascii="Times New Roman" w:eastAsia="Calibri" w:hAnsi="Times New Roman" w:cs="Times New Roman"/>
              </w:rPr>
              <w:t>t</w:t>
            </w:r>
            <w:r w:rsidRPr="00F04D59">
              <w:rPr>
                <w:rFonts w:ascii="Times New Roman" w:eastAsia="Calibri" w:hAnsi="Times New Roman" w:cs="Times New Roman"/>
                <w:vertAlign w:val="subscript"/>
              </w:rPr>
              <w:t>max</w:t>
            </w:r>
            <w:proofErr w:type="spellEnd"/>
            <w:r w:rsidRPr="00F04D59">
              <w:rPr>
                <w:rFonts w:ascii="Times New Roman" w:eastAsia="Calibri" w:hAnsi="Times New Roman" w:cs="Times New Roman"/>
              </w:rPr>
              <w:t xml:space="preserve"> (h) </w:t>
            </w:r>
          </w:p>
        </w:tc>
        <w:tc>
          <w:tcPr>
            <w:tcW w:w="1084" w:type="pct"/>
          </w:tcPr>
          <w:p w14:paraId="0E917AA8"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20</w:t>
            </w:r>
          </w:p>
        </w:tc>
        <w:tc>
          <w:tcPr>
            <w:tcW w:w="1698" w:type="pct"/>
          </w:tcPr>
          <w:p w14:paraId="7E1B3773"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5.45 (3.47)</w:t>
            </w:r>
          </w:p>
        </w:tc>
      </w:tr>
      <w:tr w:rsidR="00F04D59" w:rsidRPr="00F04D59" w14:paraId="04A0D913" w14:textId="77777777" w:rsidTr="00F04D59">
        <w:tc>
          <w:tcPr>
            <w:tcW w:w="2218" w:type="pct"/>
          </w:tcPr>
          <w:p w14:paraId="149E7BBB"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t</w:t>
            </w:r>
            <w:r w:rsidRPr="00F04D59">
              <w:rPr>
                <w:rFonts w:ascii="Times New Roman" w:eastAsia="Calibri" w:hAnsi="Times New Roman" w:cs="Times New Roman"/>
                <w:vertAlign w:val="subscript"/>
              </w:rPr>
              <w:t>½</w:t>
            </w:r>
            <w:r w:rsidRPr="00F04D59">
              <w:rPr>
                <w:rFonts w:ascii="Times New Roman" w:eastAsia="Calibri" w:hAnsi="Times New Roman" w:cs="Times New Roman"/>
              </w:rPr>
              <w:t xml:space="preserve"> (h)*</w:t>
            </w:r>
          </w:p>
        </w:tc>
        <w:tc>
          <w:tcPr>
            <w:tcW w:w="1084" w:type="pct"/>
          </w:tcPr>
          <w:p w14:paraId="1EFD7599"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19</w:t>
            </w:r>
          </w:p>
        </w:tc>
        <w:tc>
          <w:tcPr>
            <w:tcW w:w="1698" w:type="pct"/>
          </w:tcPr>
          <w:p w14:paraId="7C953F0D"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22.37 (7.64)</w:t>
            </w:r>
          </w:p>
        </w:tc>
      </w:tr>
      <w:tr w:rsidR="00F04D59" w:rsidRPr="00F04D59" w14:paraId="0A6FBC3D" w14:textId="77777777" w:rsidTr="00F04D59">
        <w:tc>
          <w:tcPr>
            <w:tcW w:w="5000" w:type="pct"/>
            <w:gridSpan w:val="3"/>
            <w:shd w:val="clear" w:color="auto" w:fill="D9D9D9" w:themeFill="background1" w:themeFillShade="D9"/>
          </w:tcPr>
          <w:p w14:paraId="29B4716A" w14:textId="77777777" w:rsidR="00F04D59" w:rsidRPr="00F04D59" w:rsidRDefault="00F04D59" w:rsidP="00F04D59">
            <w:pPr>
              <w:widowControl/>
              <w:spacing w:after="160" w:line="259" w:lineRule="auto"/>
              <w:jc w:val="center"/>
              <w:rPr>
                <w:rFonts w:ascii="Times New Roman" w:eastAsia="Calibri" w:hAnsi="Times New Roman" w:cs="Times New Roman"/>
              </w:rPr>
            </w:pPr>
            <w:r w:rsidRPr="00F04D59">
              <w:rPr>
                <w:rFonts w:ascii="Times New Roman" w:eastAsia="Calibri" w:hAnsi="Times New Roman" w:cs="Times New Roman"/>
              </w:rPr>
              <w:t>Progesterone</w:t>
            </w:r>
          </w:p>
        </w:tc>
      </w:tr>
      <w:tr w:rsidR="00F04D59" w:rsidRPr="00F04D59" w14:paraId="474D0586" w14:textId="77777777" w:rsidTr="00F04D59">
        <w:tc>
          <w:tcPr>
            <w:tcW w:w="2218" w:type="pct"/>
          </w:tcPr>
          <w:p w14:paraId="7B9523A2"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AUC</w:t>
            </w:r>
            <w:r w:rsidRPr="00F04D59">
              <w:rPr>
                <w:rFonts w:ascii="Times New Roman" w:eastAsia="Calibri" w:hAnsi="Times New Roman" w:cs="Times New Roman"/>
                <w:vertAlign w:val="subscript"/>
              </w:rPr>
              <w:t>0-τ</w:t>
            </w:r>
            <w:r w:rsidRPr="00F04D59">
              <w:rPr>
                <w:rFonts w:ascii="Times New Roman" w:eastAsia="Calibri" w:hAnsi="Times New Roman" w:cs="Times New Roman"/>
              </w:rPr>
              <w:t xml:space="preserve"> (</w:t>
            </w:r>
            <w:proofErr w:type="spellStart"/>
            <w:r w:rsidRPr="00F04D59">
              <w:rPr>
                <w:rFonts w:ascii="Times New Roman" w:eastAsia="Calibri" w:hAnsi="Times New Roman" w:cs="Times New Roman"/>
              </w:rPr>
              <w:t>ng·h</w:t>
            </w:r>
            <w:proofErr w:type="spellEnd"/>
            <w:r w:rsidRPr="00F04D59">
              <w:rPr>
                <w:rFonts w:ascii="Times New Roman" w:eastAsia="Calibri" w:hAnsi="Times New Roman" w:cs="Times New Roman"/>
              </w:rPr>
              <w:t>/mL)</w:t>
            </w:r>
          </w:p>
        </w:tc>
        <w:tc>
          <w:tcPr>
            <w:tcW w:w="1084" w:type="pct"/>
          </w:tcPr>
          <w:p w14:paraId="2384F5E4"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20</w:t>
            </w:r>
          </w:p>
        </w:tc>
        <w:tc>
          <w:tcPr>
            <w:tcW w:w="1698" w:type="pct"/>
          </w:tcPr>
          <w:p w14:paraId="3ED9DF01"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18.05 (15.58)</w:t>
            </w:r>
          </w:p>
        </w:tc>
      </w:tr>
      <w:tr w:rsidR="00F04D59" w:rsidRPr="00F04D59" w14:paraId="0077ECAB" w14:textId="77777777" w:rsidTr="00F04D59">
        <w:tc>
          <w:tcPr>
            <w:tcW w:w="2218" w:type="pct"/>
          </w:tcPr>
          <w:p w14:paraId="70D9CF8D" w14:textId="77777777" w:rsidR="00F04D59" w:rsidRPr="00F04D59" w:rsidRDefault="00F04D59" w:rsidP="00F04D59">
            <w:pPr>
              <w:widowControl/>
              <w:spacing w:after="160" w:line="259" w:lineRule="auto"/>
              <w:rPr>
                <w:rFonts w:ascii="Times New Roman" w:eastAsia="Calibri" w:hAnsi="Times New Roman" w:cs="Times New Roman"/>
              </w:rPr>
            </w:pPr>
            <w:proofErr w:type="spellStart"/>
            <w:r w:rsidRPr="00F04D59">
              <w:rPr>
                <w:rFonts w:ascii="Times New Roman" w:eastAsia="Calibri" w:hAnsi="Times New Roman" w:cs="Times New Roman"/>
              </w:rPr>
              <w:t>C</w:t>
            </w:r>
            <w:r w:rsidRPr="00F04D59">
              <w:rPr>
                <w:rFonts w:ascii="Times New Roman" w:eastAsia="Calibri" w:hAnsi="Times New Roman" w:cs="Times New Roman"/>
                <w:vertAlign w:val="subscript"/>
              </w:rPr>
              <w:t>max</w:t>
            </w:r>
            <w:proofErr w:type="spellEnd"/>
            <w:r w:rsidRPr="00F04D59">
              <w:rPr>
                <w:rFonts w:ascii="Times New Roman" w:eastAsia="Calibri" w:hAnsi="Times New Roman" w:cs="Times New Roman"/>
              </w:rPr>
              <w:t xml:space="preserve"> (ng/mL)</w:t>
            </w:r>
          </w:p>
        </w:tc>
        <w:tc>
          <w:tcPr>
            <w:tcW w:w="1084" w:type="pct"/>
          </w:tcPr>
          <w:p w14:paraId="6EFC474F"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20</w:t>
            </w:r>
          </w:p>
        </w:tc>
        <w:tc>
          <w:tcPr>
            <w:tcW w:w="1698" w:type="pct"/>
          </w:tcPr>
          <w:p w14:paraId="5F48A1E6"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11.31 (23.10)</w:t>
            </w:r>
          </w:p>
        </w:tc>
      </w:tr>
      <w:tr w:rsidR="00F04D59" w:rsidRPr="00F04D59" w14:paraId="24DB8F61" w14:textId="77777777" w:rsidTr="00F04D59">
        <w:tc>
          <w:tcPr>
            <w:tcW w:w="2218" w:type="pct"/>
          </w:tcPr>
          <w:p w14:paraId="13BF161E" w14:textId="77777777" w:rsidR="00F04D59" w:rsidRPr="00F04D59" w:rsidRDefault="00F04D59" w:rsidP="00F04D59">
            <w:pPr>
              <w:widowControl/>
              <w:spacing w:after="160" w:line="259" w:lineRule="auto"/>
              <w:rPr>
                <w:rFonts w:ascii="Times New Roman" w:eastAsia="Calibri" w:hAnsi="Times New Roman" w:cs="Times New Roman"/>
              </w:rPr>
            </w:pPr>
            <w:proofErr w:type="spellStart"/>
            <w:r w:rsidRPr="00F04D59">
              <w:rPr>
                <w:rFonts w:ascii="Times New Roman" w:eastAsia="Calibri" w:hAnsi="Times New Roman" w:cs="Times New Roman"/>
              </w:rPr>
              <w:t>C</w:t>
            </w:r>
            <w:r w:rsidRPr="00F04D59">
              <w:rPr>
                <w:rFonts w:ascii="Times New Roman" w:eastAsia="Calibri" w:hAnsi="Times New Roman" w:cs="Times New Roman"/>
                <w:vertAlign w:val="subscript"/>
              </w:rPr>
              <w:t>avg</w:t>
            </w:r>
            <w:proofErr w:type="spellEnd"/>
            <w:r w:rsidRPr="00F04D59">
              <w:rPr>
                <w:rFonts w:ascii="Times New Roman" w:eastAsia="Calibri" w:hAnsi="Times New Roman" w:cs="Times New Roman"/>
              </w:rPr>
              <w:t xml:space="preserve"> (ng/mL)</w:t>
            </w:r>
          </w:p>
        </w:tc>
        <w:tc>
          <w:tcPr>
            <w:tcW w:w="1084" w:type="pct"/>
          </w:tcPr>
          <w:p w14:paraId="24C04701"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20</w:t>
            </w:r>
          </w:p>
        </w:tc>
        <w:tc>
          <w:tcPr>
            <w:tcW w:w="1698" w:type="pct"/>
          </w:tcPr>
          <w:p w14:paraId="7F70C8FD"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0.76 (0.65)</w:t>
            </w:r>
          </w:p>
        </w:tc>
      </w:tr>
      <w:tr w:rsidR="00F04D59" w:rsidRPr="00F04D59" w14:paraId="6C8406B5" w14:textId="77777777" w:rsidTr="00F04D59">
        <w:tc>
          <w:tcPr>
            <w:tcW w:w="2218" w:type="pct"/>
          </w:tcPr>
          <w:p w14:paraId="1618490B" w14:textId="77777777" w:rsidR="00F04D59" w:rsidRPr="00F04D59" w:rsidRDefault="00F04D59" w:rsidP="00F04D59">
            <w:pPr>
              <w:widowControl/>
              <w:spacing w:after="160" w:line="259" w:lineRule="auto"/>
              <w:rPr>
                <w:rFonts w:ascii="Times New Roman" w:eastAsia="Calibri" w:hAnsi="Times New Roman" w:cs="Times New Roman"/>
              </w:rPr>
            </w:pPr>
            <w:proofErr w:type="spellStart"/>
            <w:r w:rsidRPr="00F04D59">
              <w:rPr>
                <w:rFonts w:ascii="Times New Roman" w:eastAsia="Calibri" w:hAnsi="Times New Roman" w:cs="Times New Roman"/>
              </w:rPr>
              <w:t>C</w:t>
            </w:r>
            <w:r w:rsidRPr="00F04D59">
              <w:rPr>
                <w:rFonts w:ascii="Times New Roman" w:eastAsia="Calibri" w:hAnsi="Times New Roman" w:cs="Times New Roman"/>
                <w:vertAlign w:val="subscript"/>
              </w:rPr>
              <w:t>trough</w:t>
            </w:r>
            <w:proofErr w:type="spellEnd"/>
            <w:r w:rsidRPr="00F04D59">
              <w:rPr>
                <w:rFonts w:ascii="Times New Roman" w:eastAsia="Calibri" w:hAnsi="Times New Roman" w:cs="Times New Roman"/>
              </w:rPr>
              <w:t xml:space="preserve"> (ng/mL)</w:t>
            </w:r>
          </w:p>
        </w:tc>
        <w:tc>
          <w:tcPr>
            <w:tcW w:w="1084" w:type="pct"/>
          </w:tcPr>
          <w:p w14:paraId="3CB6E571"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20</w:t>
            </w:r>
          </w:p>
        </w:tc>
        <w:tc>
          <w:tcPr>
            <w:tcW w:w="1698" w:type="pct"/>
          </w:tcPr>
          <w:p w14:paraId="4F8CED9A"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0.17 (0.15)</w:t>
            </w:r>
          </w:p>
        </w:tc>
      </w:tr>
      <w:tr w:rsidR="00F04D59" w:rsidRPr="00F04D59" w14:paraId="541E4A51" w14:textId="77777777" w:rsidTr="00F04D59">
        <w:tc>
          <w:tcPr>
            <w:tcW w:w="2218" w:type="pct"/>
          </w:tcPr>
          <w:p w14:paraId="20023ED3" w14:textId="77777777" w:rsidR="00F04D59" w:rsidRPr="00F04D59" w:rsidRDefault="00F04D59" w:rsidP="00F04D59">
            <w:pPr>
              <w:widowControl/>
              <w:spacing w:after="160" w:line="259" w:lineRule="auto"/>
              <w:rPr>
                <w:rFonts w:ascii="Times New Roman" w:eastAsia="Calibri" w:hAnsi="Times New Roman" w:cs="Times New Roman"/>
              </w:rPr>
            </w:pPr>
            <w:proofErr w:type="spellStart"/>
            <w:r w:rsidRPr="00F04D59">
              <w:rPr>
                <w:rFonts w:ascii="Times New Roman" w:eastAsia="Calibri" w:hAnsi="Times New Roman" w:cs="Times New Roman"/>
              </w:rPr>
              <w:t>t</w:t>
            </w:r>
            <w:r w:rsidRPr="00F04D59">
              <w:rPr>
                <w:rFonts w:ascii="Times New Roman" w:eastAsia="Calibri" w:hAnsi="Times New Roman" w:cs="Times New Roman"/>
                <w:vertAlign w:val="subscript"/>
              </w:rPr>
              <w:t>max</w:t>
            </w:r>
            <w:proofErr w:type="spellEnd"/>
            <w:r w:rsidRPr="00F04D59">
              <w:rPr>
                <w:rFonts w:ascii="Times New Roman" w:eastAsia="Calibri" w:hAnsi="Times New Roman" w:cs="Times New Roman"/>
              </w:rPr>
              <w:t xml:space="preserve"> (h) </w:t>
            </w:r>
          </w:p>
        </w:tc>
        <w:tc>
          <w:tcPr>
            <w:tcW w:w="1084" w:type="pct"/>
          </w:tcPr>
          <w:p w14:paraId="1130DBE1"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20</w:t>
            </w:r>
          </w:p>
        </w:tc>
        <w:tc>
          <w:tcPr>
            <w:tcW w:w="1698" w:type="pct"/>
          </w:tcPr>
          <w:p w14:paraId="1A6FF532"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2.64 (1.51)</w:t>
            </w:r>
          </w:p>
        </w:tc>
      </w:tr>
      <w:tr w:rsidR="00F04D59" w:rsidRPr="00F04D59" w14:paraId="28657B31" w14:textId="77777777" w:rsidTr="00F04D59">
        <w:tc>
          <w:tcPr>
            <w:tcW w:w="2218" w:type="pct"/>
          </w:tcPr>
          <w:p w14:paraId="2915E662"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lastRenderedPageBreak/>
              <w:t>t</w:t>
            </w:r>
            <w:r w:rsidRPr="00F04D59">
              <w:rPr>
                <w:rFonts w:ascii="Times New Roman" w:eastAsia="Calibri" w:hAnsi="Times New Roman" w:cs="Times New Roman"/>
                <w:vertAlign w:val="subscript"/>
              </w:rPr>
              <w:t>½</w:t>
            </w:r>
            <w:r w:rsidRPr="00F04D59">
              <w:rPr>
                <w:rFonts w:ascii="Times New Roman" w:eastAsia="Calibri" w:hAnsi="Times New Roman" w:cs="Times New Roman"/>
              </w:rPr>
              <w:t xml:space="preserve"> (h)</w:t>
            </w:r>
          </w:p>
        </w:tc>
        <w:tc>
          <w:tcPr>
            <w:tcW w:w="1084" w:type="pct"/>
          </w:tcPr>
          <w:p w14:paraId="48341917"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18</w:t>
            </w:r>
          </w:p>
        </w:tc>
        <w:tc>
          <w:tcPr>
            <w:tcW w:w="1698" w:type="pct"/>
          </w:tcPr>
          <w:p w14:paraId="11B358E1" w14:textId="77777777" w:rsidR="00F04D59" w:rsidRPr="00F04D59" w:rsidRDefault="00F04D59" w:rsidP="00F04D59">
            <w:pPr>
              <w:widowControl/>
              <w:spacing w:after="160" w:line="259" w:lineRule="auto"/>
              <w:rPr>
                <w:rFonts w:ascii="Times New Roman" w:eastAsia="Calibri" w:hAnsi="Times New Roman" w:cs="Times New Roman"/>
              </w:rPr>
            </w:pPr>
            <w:r w:rsidRPr="00F04D59">
              <w:rPr>
                <w:rFonts w:ascii="Times New Roman" w:eastAsia="Calibri" w:hAnsi="Times New Roman" w:cs="Times New Roman"/>
              </w:rPr>
              <w:t>9.98 (2.57)</w:t>
            </w:r>
          </w:p>
        </w:tc>
      </w:tr>
    </w:tbl>
    <w:p w14:paraId="5EE9F38A" w14:textId="5AB8E6ED" w:rsidR="00F04D59" w:rsidRPr="002A3596" w:rsidRDefault="00F04D59" w:rsidP="00CF4C52">
      <w:pPr>
        <w:pStyle w:val="tablelegends"/>
        <w:keepNext w:val="0"/>
        <w:keepLines/>
      </w:pPr>
      <w:r w:rsidRPr="002A3596">
        <w:t>*Effective t½. Calculated as 24•</w:t>
      </w:r>
      <w:r w:rsidR="00CF4C52" w:rsidRPr="002A3596">
        <w:t>ln (</w:t>
      </w:r>
      <w:r w:rsidRPr="002A3596">
        <w:t>2)/ ln</w:t>
      </w:r>
      <w:r w:rsidR="00CF4C52" w:rsidRPr="002A3596">
        <w:t xml:space="preserve"> </w:t>
      </w:r>
      <w:r w:rsidRPr="002A3596">
        <w:t>(accumulation ratio</w:t>
      </w:r>
      <w:proofErr w:type="gramStart"/>
      <w:r w:rsidRPr="002A3596">
        <w:t>/(</w:t>
      </w:r>
      <w:proofErr w:type="gramEnd"/>
      <w:r w:rsidRPr="002A3596">
        <w:t>accumulation ratio-1)) for subjects with accumulation ratio &gt;1.</w:t>
      </w:r>
    </w:p>
    <w:p w14:paraId="439865B5" w14:textId="19D580F4" w:rsidR="00CF4C52" w:rsidRPr="002A3596" w:rsidRDefault="00CF4C52" w:rsidP="00CF4C52">
      <w:pPr>
        <w:pStyle w:val="tablelegends"/>
        <w:keepNext w:val="0"/>
        <w:keepLines/>
      </w:pPr>
      <w:r w:rsidRPr="002A3596">
        <w:t>Abbreviations: AUC</w:t>
      </w:r>
      <w:r w:rsidRPr="002A3596">
        <w:rPr>
          <w:vertAlign w:val="subscript"/>
        </w:rPr>
        <w:t xml:space="preserve">0-τ </w:t>
      </w:r>
      <w:r w:rsidRPr="002A3596">
        <w:t xml:space="preserve">= area under the concentration vs time curve within the dosing interval at steady-state, </w:t>
      </w:r>
      <w:proofErr w:type="spellStart"/>
      <w:r w:rsidRPr="002A3596">
        <w:t>C</w:t>
      </w:r>
      <w:r w:rsidRPr="002A3596">
        <w:rPr>
          <w:vertAlign w:val="subscript"/>
        </w:rPr>
        <w:t>avg</w:t>
      </w:r>
      <w:proofErr w:type="spellEnd"/>
      <w:r w:rsidRPr="002A3596">
        <w:t xml:space="preserve"> = average concentration at steady-state, </w:t>
      </w:r>
      <w:proofErr w:type="spellStart"/>
      <w:r w:rsidRPr="002A3596">
        <w:t>C</w:t>
      </w:r>
      <w:r w:rsidRPr="002A3596">
        <w:rPr>
          <w:vertAlign w:val="subscript"/>
        </w:rPr>
        <w:t>max</w:t>
      </w:r>
      <w:proofErr w:type="spellEnd"/>
      <w:r w:rsidRPr="002A3596">
        <w:t xml:space="preserve"> = maximum concentration, SD = standard deviation, </w:t>
      </w:r>
      <w:proofErr w:type="spellStart"/>
      <w:r w:rsidRPr="002A3596">
        <w:t>t</w:t>
      </w:r>
      <w:r w:rsidRPr="002A3596">
        <w:rPr>
          <w:vertAlign w:val="subscript"/>
        </w:rPr>
        <w:t>max</w:t>
      </w:r>
      <w:proofErr w:type="spellEnd"/>
      <w:r w:rsidRPr="002A3596">
        <w:t xml:space="preserve"> = time to maximum concentration, </w:t>
      </w:r>
      <w:r w:rsidR="00471E27">
        <w:br/>
      </w:r>
      <w:r w:rsidRPr="002A3596">
        <w:t>t</w:t>
      </w:r>
      <w:r w:rsidRPr="002A3596">
        <w:rPr>
          <w:vertAlign w:val="subscript"/>
        </w:rPr>
        <w:t>½</w:t>
      </w:r>
      <w:r w:rsidRPr="002A3596">
        <w:t xml:space="preserve"> = half-life.</w:t>
      </w:r>
    </w:p>
    <w:p w14:paraId="114C9FBA" w14:textId="56278C0A" w:rsidR="00CF4C52" w:rsidRPr="002A3596" w:rsidRDefault="00CF4C52" w:rsidP="00CF4C52">
      <w:pPr>
        <w:pStyle w:val="subheading4BOLD"/>
      </w:pPr>
      <w:proofErr w:type="spellStart"/>
      <w:r w:rsidRPr="002A3596">
        <w:t>Estradiol</w:t>
      </w:r>
      <w:proofErr w:type="spellEnd"/>
    </w:p>
    <w:p w14:paraId="5C1234CF" w14:textId="08D263ED" w:rsidR="00CF4C52" w:rsidRPr="002A3596" w:rsidRDefault="00CF4C52" w:rsidP="00521BE5">
      <w:pPr>
        <w:pStyle w:val="BodyText"/>
        <w:rPr>
          <w:u w:color="000000"/>
        </w:rPr>
      </w:pPr>
      <w:proofErr w:type="spellStart"/>
      <w:r w:rsidRPr="002A3596">
        <w:rPr>
          <w:u w:color="000000"/>
        </w:rPr>
        <w:t>Estradiol</w:t>
      </w:r>
      <w:proofErr w:type="spellEnd"/>
      <w:r w:rsidRPr="002A3596">
        <w:rPr>
          <w:u w:color="000000"/>
        </w:rPr>
        <w:t xml:space="preserve"> is extensively </w:t>
      </w:r>
      <w:r w:rsidR="00E11BC0">
        <w:rPr>
          <w:u w:color="000000"/>
        </w:rPr>
        <w:t>metabolised</w:t>
      </w:r>
      <w:r w:rsidRPr="002A3596">
        <w:rPr>
          <w:u w:color="000000"/>
        </w:rPr>
        <w:t xml:space="preserve"> in the gastrointestinal mucosa during oral absorption and in the liver. Oral </w:t>
      </w:r>
      <w:proofErr w:type="spellStart"/>
      <w:r w:rsidRPr="002A3596">
        <w:rPr>
          <w:u w:color="000000"/>
        </w:rPr>
        <w:t>estradiol</w:t>
      </w:r>
      <w:proofErr w:type="spellEnd"/>
      <w:r w:rsidRPr="002A3596">
        <w:rPr>
          <w:u w:color="000000"/>
        </w:rPr>
        <w:t xml:space="preserve"> undergoes extensive first-pass metabolism in the liver and has an absolute bioavailability of 5% to 10% of the administered dose. Oral oestradiol exhibits dose-proportional pharmacokinetics over the dose range of up to 4</w:t>
      </w:r>
      <w:r w:rsidR="0093587A">
        <w:rPr>
          <w:u w:color="000000"/>
        </w:rPr>
        <w:t> </w:t>
      </w:r>
      <w:r w:rsidRPr="002A3596">
        <w:rPr>
          <w:u w:color="000000"/>
        </w:rPr>
        <w:t xml:space="preserve">mg. </w:t>
      </w:r>
    </w:p>
    <w:p w14:paraId="1C54CE49" w14:textId="1FFE16F5" w:rsidR="00521BE5" w:rsidRPr="002A3596" w:rsidRDefault="00521BE5" w:rsidP="00521BE5">
      <w:pPr>
        <w:pStyle w:val="subheading4BOLD"/>
      </w:pPr>
      <w:r w:rsidRPr="002A3596">
        <w:t>Micronized progesterone</w:t>
      </w:r>
    </w:p>
    <w:p w14:paraId="463437DF" w14:textId="6BF02B38" w:rsidR="00CF4C52" w:rsidRPr="002A3596" w:rsidRDefault="00521BE5" w:rsidP="00521BE5">
      <w:pPr>
        <w:pStyle w:val="BodyText"/>
      </w:pPr>
      <w:bookmarkStart w:id="25" w:name="_Hlk67579882"/>
      <w:r w:rsidRPr="002A3596">
        <w:rPr>
          <w:rStyle w:val="BodyTextChar"/>
        </w:rPr>
        <w:t>Progesterone administered orally undergoes extensive first-pass metabolism in the liver. The absolute bioavailability of micronized progesterone is not known; the relative bioavailability of the oral progesterone compared with intramuscular progesterone is approximately 10%. Micronized progesterone exhibits dose proportional exhibited pharmacokinetics 100 and 300</w:t>
      </w:r>
      <w:r w:rsidR="0093587A">
        <w:rPr>
          <w:rStyle w:val="BodyTextChar"/>
        </w:rPr>
        <w:t> </w:t>
      </w:r>
      <w:r w:rsidRPr="002A3596">
        <w:rPr>
          <w:rStyle w:val="BodyTextChar"/>
        </w:rPr>
        <w:t>mg</w:t>
      </w:r>
      <w:bookmarkEnd w:id="25"/>
      <w:r w:rsidRPr="002A3596">
        <w:rPr>
          <w:rStyle w:val="BodyTextChar"/>
        </w:rPr>
        <w:t>.</w:t>
      </w:r>
    </w:p>
    <w:p w14:paraId="0B6FA36F" w14:textId="2B805269" w:rsidR="00521BE5" w:rsidRPr="002A3596" w:rsidRDefault="00521BE5" w:rsidP="002D0BCA">
      <w:pPr>
        <w:pStyle w:val="Heading3"/>
      </w:pPr>
      <w:r w:rsidRPr="002A3596">
        <w:t>Distribution</w:t>
      </w:r>
    </w:p>
    <w:p w14:paraId="74E64B27" w14:textId="185CC30D" w:rsidR="00521BE5" w:rsidRPr="002A3596" w:rsidRDefault="00521BE5" w:rsidP="00521BE5">
      <w:pPr>
        <w:pStyle w:val="subheading4BOLD"/>
      </w:pPr>
      <w:proofErr w:type="spellStart"/>
      <w:r w:rsidRPr="002A3596">
        <w:t>Estradiol</w:t>
      </w:r>
      <w:proofErr w:type="spellEnd"/>
    </w:p>
    <w:p w14:paraId="3715F0D8" w14:textId="77777777" w:rsidR="00521BE5" w:rsidRPr="002A3596" w:rsidRDefault="00521BE5" w:rsidP="00521BE5">
      <w:pPr>
        <w:pStyle w:val="BodyText"/>
      </w:pPr>
      <w:proofErr w:type="spellStart"/>
      <w:r w:rsidRPr="002A3596">
        <w:t>Estradiol</w:t>
      </w:r>
      <w:proofErr w:type="spellEnd"/>
      <w:r w:rsidRPr="002A3596">
        <w:t xml:space="preserve"> is highly protein bound (approximately 95% to 98%), loosely to albumin or tightly to sex hormone-binding globulin, the major binding protein.</w:t>
      </w:r>
    </w:p>
    <w:p w14:paraId="6D922D0E" w14:textId="77777777" w:rsidR="00521BE5" w:rsidRPr="002A3596" w:rsidRDefault="00521BE5" w:rsidP="00521BE5">
      <w:pPr>
        <w:pStyle w:val="subheading4BOLD"/>
      </w:pPr>
      <w:r w:rsidRPr="002A3596">
        <w:t>Progesterone</w:t>
      </w:r>
    </w:p>
    <w:p w14:paraId="1BD7675A" w14:textId="0A503159" w:rsidR="00521BE5" w:rsidRPr="002A3596" w:rsidRDefault="00521BE5" w:rsidP="00521BE5">
      <w:pPr>
        <w:pStyle w:val="BodyText"/>
      </w:pPr>
      <w:r w:rsidRPr="002A3596">
        <w:t xml:space="preserve">Progesterone is extensively bound to serum proteins (approximately 97%). About 17% of the circulating progesterone is bound with high affinity to </w:t>
      </w:r>
      <w:proofErr w:type="spellStart"/>
      <w:r w:rsidR="007313F8" w:rsidRPr="002A3596">
        <w:t>transcortin</w:t>
      </w:r>
      <w:proofErr w:type="spellEnd"/>
      <w:r w:rsidR="007313F8">
        <w:t xml:space="preserve"> (corticosteroid-binding globulin, CBG)</w:t>
      </w:r>
      <w:r w:rsidR="007313F8" w:rsidRPr="002A3596">
        <w:t xml:space="preserve"> </w:t>
      </w:r>
      <w:r w:rsidRPr="002A3596">
        <w:t>and 80% with low affinity to albumin.</w:t>
      </w:r>
    </w:p>
    <w:p w14:paraId="7E118572" w14:textId="2A59BA21" w:rsidR="003D1811" w:rsidRPr="002A3596" w:rsidRDefault="00521BE5" w:rsidP="004C3E99">
      <w:pPr>
        <w:pStyle w:val="Heading3"/>
      </w:pPr>
      <w:r w:rsidRPr="002A3596">
        <w:t>Metabolism</w:t>
      </w:r>
    </w:p>
    <w:p w14:paraId="760A7110" w14:textId="77777777" w:rsidR="00521BE5" w:rsidRPr="002A3596" w:rsidRDefault="00521BE5" w:rsidP="00521BE5">
      <w:pPr>
        <w:pStyle w:val="subheading4BOLD"/>
      </w:pPr>
      <w:proofErr w:type="spellStart"/>
      <w:r w:rsidRPr="002A3596">
        <w:t>Estradiol</w:t>
      </w:r>
      <w:proofErr w:type="spellEnd"/>
    </w:p>
    <w:p w14:paraId="04FB10B8" w14:textId="77777777" w:rsidR="00521BE5" w:rsidRPr="002A3596" w:rsidRDefault="00521BE5" w:rsidP="00521BE5">
      <w:pPr>
        <w:pStyle w:val="BodyText"/>
      </w:pPr>
      <w:proofErr w:type="spellStart"/>
      <w:r w:rsidRPr="002A3596">
        <w:t>Estradiol</w:t>
      </w:r>
      <w:proofErr w:type="spellEnd"/>
      <w:r w:rsidRPr="002A3596">
        <w:t xml:space="preserve"> undergoes rapid hepatic biotransformation and is converted primarily to estrone and estriol. There is a dynamic mutual conversion system between </w:t>
      </w:r>
      <w:proofErr w:type="spellStart"/>
      <w:r w:rsidRPr="002A3596">
        <w:t>estradiol</w:t>
      </w:r>
      <w:proofErr w:type="spellEnd"/>
      <w:r w:rsidRPr="002A3596">
        <w:t xml:space="preserve">, estrone, and estrone </w:t>
      </w:r>
      <w:proofErr w:type="spellStart"/>
      <w:r w:rsidRPr="002A3596">
        <w:t>sulfate</w:t>
      </w:r>
      <w:proofErr w:type="spellEnd"/>
      <w:r w:rsidRPr="002A3596">
        <w:t xml:space="preserve"> and </w:t>
      </w:r>
      <w:proofErr w:type="spellStart"/>
      <w:r w:rsidRPr="002A3596">
        <w:t>estradiol</w:t>
      </w:r>
      <w:proofErr w:type="spellEnd"/>
      <w:r w:rsidRPr="002A3596">
        <w:t xml:space="preserve"> </w:t>
      </w:r>
      <w:proofErr w:type="spellStart"/>
      <w:r w:rsidRPr="002A3596">
        <w:t>sulfate</w:t>
      </w:r>
      <w:proofErr w:type="spellEnd"/>
      <w:r w:rsidRPr="002A3596">
        <w:t xml:space="preserve">, which can be regarded as both metabolites and precursors. Estrogens also undergo enterohepatic recirculation via </w:t>
      </w:r>
      <w:proofErr w:type="spellStart"/>
      <w:r w:rsidRPr="002A3596">
        <w:t>sulfate</w:t>
      </w:r>
      <w:proofErr w:type="spellEnd"/>
      <w:r w:rsidRPr="002A3596">
        <w:t xml:space="preserve"> and glucuronide conjugation in the </w:t>
      </w:r>
      <w:r w:rsidRPr="002A3596">
        <w:lastRenderedPageBreak/>
        <w:t>liver, biliary secretion of conjugates into the intestine, and hydrolysis in the gut followed by reabsorption.</w:t>
      </w:r>
    </w:p>
    <w:p w14:paraId="6AD978AA" w14:textId="77777777" w:rsidR="00521BE5" w:rsidRPr="002A3596" w:rsidRDefault="00521BE5" w:rsidP="00521BE5">
      <w:pPr>
        <w:pStyle w:val="subheading4BOLD"/>
      </w:pPr>
      <w:r w:rsidRPr="002A3596">
        <w:t>Progesterone</w:t>
      </w:r>
    </w:p>
    <w:p w14:paraId="51995B5A" w14:textId="2CE313A6" w:rsidR="00521BE5" w:rsidRPr="002A3596" w:rsidRDefault="00521BE5" w:rsidP="00521BE5">
      <w:pPr>
        <w:pStyle w:val="BodyText"/>
      </w:pPr>
      <w:r w:rsidRPr="002A3596">
        <w:t xml:space="preserve">Progesterone is </w:t>
      </w:r>
      <w:r w:rsidR="00E11BC0">
        <w:t>metabolised</w:t>
      </w:r>
      <w:r w:rsidR="00A2339B" w:rsidRPr="002A3596">
        <w:t xml:space="preserve"> </w:t>
      </w:r>
      <w:r w:rsidRPr="002A3596">
        <w:t xml:space="preserve">primarily by the liver largely to pregnanediols and pregnanolones. Pregnanediols and pregnanolones are conjugated in the liver to glucuronide and </w:t>
      </w:r>
      <w:proofErr w:type="spellStart"/>
      <w:r w:rsidRPr="002A3596">
        <w:t>sulfate</w:t>
      </w:r>
      <w:proofErr w:type="spellEnd"/>
      <w:r w:rsidRPr="002A3596">
        <w:t xml:space="preserve"> conjugates.</w:t>
      </w:r>
    </w:p>
    <w:p w14:paraId="166FF0DC" w14:textId="50B893BC" w:rsidR="00521BE5" w:rsidRPr="002A3596" w:rsidRDefault="00521BE5" w:rsidP="002D0BCA">
      <w:pPr>
        <w:pStyle w:val="Heading3"/>
      </w:pPr>
      <w:r w:rsidRPr="002A3596">
        <w:t>Excretion</w:t>
      </w:r>
    </w:p>
    <w:p w14:paraId="616F81DC" w14:textId="77777777" w:rsidR="00521BE5" w:rsidRPr="002A3596" w:rsidRDefault="00521BE5" w:rsidP="00521BE5">
      <w:pPr>
        <w:pStyle w:val="subheading4BOLD"/>
      </w:pPr>
      <w:proofErr w:type="spellStart"/>
      <w:r w:rsidRPr="002A3596">
        <w:t>Estradiol</w:t>
      </w:r>
      <w:proofErr w:type="spellEnd"/>
    </w:p>
    <w:p w14:paraId="0DD5B80E" w14:textId="362B4EFB" w:rsidR="00521BE5" w:rsidRPr="002A3596" w:rsidRDefault="00521BE5" w:rsidP="00521BE5">
      <w:pPr>
        <w:pStyle w:val="BodyText"/>
      </w:pPr>
      <w:proofErr w:type="spellStart"/>
      <w:r w:rsidRPr="002A3596">
        <w:t>Estradiol</w:t>
      </w:r>
      <w:proofErr w:type="spellEnd"/>
      <w:r w:rsidRPr="002A3596">
        <w:t>,</w:t>
      </w:r>
      <w:r w:rsidR="003D1811" w:rsidRPr="002A3596">
        <w:t xml:space="preserve"> </w:t>
      </w:r>
      <w:r w:rsidRPr="002A3596">
        <w:t xml:space="preserve">estrone, and estriol are excreted in the urine along with glucuronide and </w:t>
      </w:r>
      <w:proofErr w:type="spellStart"/>
      <w:r w:rsidRPr="002A3596">
        <w:t>sulfate</w:t>
      </w:r>
      <w:proofErr w:type="spellEnd"/>
      <w:r w:rsidRPr="002A3596">
        <w:t xml:space="preserve"> conjugates.</w:t>
      </w:r>
    </w:p>
    <w:p w14:paraId="5B02B079" w14:textId="77777777" w:rsidR="00521BE5" w:rsidRPr="002A3596" w:rsidRDefault="00521BE5" w:rsidP="00521BE5">
      <w:pPr>
        <w:pStyle w:val="subheading4BOLD"/>
      </w:pPr>
      <w:r w:rsidRPr="002A3596">
        <w:t>Progesterone</w:t>
      </w:r>
    </w:p>
    <w:p w14:paraId="5408674B" w14:textId="0A7D9140" w:rsidR="00521BE5" w:rsidRPr="002A3596" w:rsidRDefault="00521BE5" w:rsidP="00521BE5">
      <w:pPr>
        <w:pStyle w:val="BodyText"/>
      </w:pPr>
      <w:r w:rsidRPr="00521BE5">
        <w:t xml:space="preserve">The glucuronide and </w:t>
      </w:r>
      <w:proofErr w:type="spellStart"/>
      <w:r w:rsidRPr="00521BE5">
        <w:t>sulfate</w:t>
      </w:r>
      <w:proofErr w:type="spellEnd"/>
      <w:r w:rsidRPr="00521BE5">
        <w:t xml:space="preserve"> conjugates of progesterone metabolites are eliminated in the urine.</w:t>
      </w:r>
    </w:p>
    <w:p w14:paraId="27E22CCF" w14:textId="635B1867" w:rsidR="004A6F22" w:rsidRPr="002A3596" w:rsidRDefault="003B0D62" w:rsidP="00944662">
      <w:pPr>
        <w:pStyle w:val="Heading2"/>
      </w:pPr>
      <w:r w:rsidRPr="002A3596">
        <w:t>Preclinical safety data</w:t>
      </w:r>
    </w:p>
    <w:p w14:paraId="7B4ED853" w14:textId="11533698" w:rsidR="004A6F22" w:rsidRPr="002A3596" w:rsidRDefault="003B0D62" w:rsidP="002D0BCA">
      <w:pPr>
        <w:pStyle w:val="Heading3"/>
      </w:pPr>
      <w:r w:rsidRPr="002A3596">
        <w:t>Genotoxicity</w:t>
      </w:r>
    </w:p>
    <w:p w14:paraId="50C224F4" w14:textId="1A227CB5" w:rsidR="00CC51D6" w:rsidRDefault="00CC51D6" w:rsidP="003D1811">
      <w:pPr>
        <w:pStyle w:val="BodyText"/>
      </w:pPr>
      <w:r>
        <w:t xml:space="preserve">No genotoxicity studies have been conducted with combination of </w:t>
      </w:r>
      <w:proofErr w:type="spellStart"/>
      <w:r>
        <w:t>estradiol</w:t>
      </w:r>
      <w:proofErr w:type="spellEnd"/>
      <w:r>
        <w:t xml:space="preserve"> (hemihydrate)/progesterone.</w:t>
      </w:r>
    </w:p>
    <w:p w14:paraId="2851D098" w14:textId="6CF6BD1E" w:rsidR="003D1811" w:rsidRPr="002A3596" w:rsidRDefault="000B0CCF" w:rsidP="003D1811">
      <w:pPr>
        <w:pStyle w:val="BodyText"/>
      </w:pPr>
      <w:r w:rsidRPr="000B0CCF">
        <w:t xml:space="preserve">There is limited evidence available in the literature suggesting that </w:t>
      </w:r>
      <w:proofErr w:type="spellStart"/>
      <w:r w:rsidRPr="000B0CCF">
        <w:t>estradiol</w:t>
      </w:r>
      <w:proofErr w:type="spellEnd"/>
      <w:r w:rsidRPr="000B0CCF">
        <w:t xml:space="preserve"> may be weakly genotoxic. No evidence could be found for an increase in the rate of gene mutation in bacterial or mammalian cells, but there was some evidence for the induction of chromosomal aberrations and aneuploidy and an increased incidence of sister chromatid exchanges (indicative of DNA damage) in mammalian cells. None of these effects were induced by</w:t>
      </w:r>
      <w:r>
        <w:t xml:space="preserve"> </w:t>
      </w:r>
      <w:proofErr w:type="spellStart"/>
      <w:r w:rsidRPr="000B0CCF">
        <w:t>estradiol</w:t>
      </w:r>
      <w:proofErr w:type="spellEnd"/>
      <w:r w:rsidRPr="000B0CCF">
        <w:t xml:space="preserve"> in human lymphocyte cultures. Importantly, there was no evidence of </w:t>
      </w:r>
      <w:proofErr w:type="spellStart"/>
      <w:r w:rsidRPr="000B0CCF">
        <w:t>clastogenicity</w:t>
      </w:r>
      <w:proofErr w:type="spellEnd"/>
      <w:r w:rsidRPr="000B0CCF">
        <w:t xml:space="preserve"> in rodent bone marrow micronucleus assays.</w:t>
      </w:r>
    </w:p>
    <w:p w14:paraId="2D62A766" w14:textId="11961118" w:rsidR="000B0CCF" w:rsidRPr="00C153AE" w:rsidRDefault="000B0CCF" w:rsidP="004F5E5E">
      <w:pPr>
        <w:pStyle w:val="BodyText"/>
      </w:pPr>
      <w:r w:rsidRPr="00C153AE">
        <w:t xml:space="preserve">Progesterone did not induce chromosomal aberrations or sister chromatid exchanges in cultured human cells nor chromosomal aberrations or DNA strand breaks in rodent cells. Progesterone did not induce dominant lethal mutations in mice or chromosomal aberrations in the bone marrow of rats </w:t>
      </w:r>
      <w:r w:rsidRPr="004C3E99">
        <w:rPr>
          <w:i/>
          <w:iCs/>
        </w:rPr>
        <w:t>in vivo</w:t>
      </w:r>
      <w:r w:rsidRPr="00C153AE">
        <w:t xml:space="preserve"> although </w:t>
      </w:r>
      <w:r w:rsidRPr="004C3E99">
        <w:rPr>
          <w:i/>
          <w:iCs/>
        </w:rPr>
        <w:t>in vivo</w:t>
      </w:r>
      <w:r w:rsidRPr="00C153AE">
        <w:t xml:space="preserve"> studies for chromosome damage have yielded positive results in mice at oral doses of 1000</w:t>
      </w:r>
      <w:r w:rsidR="00471E27">
        <w:t> </w:t>
      </w:r>
      <w:r w:rsidRPr="00C153AE">
        <w:t>mg/kg and 2000</w:t>
      </w:r>
      <w:r w:rsidR="00471E27">
        <w:t> </w:t>
      </w:r>
      <w:r w:rsidRPr="00C153AE">
        <w:t xml:space="preserve">mg/kg. Weak clastogenic activity was found for progesterone in the rat hepatocyte micronucleus test after treatment with a high oral dose (100 mg/kg). Studies on transformation of rodent cells </w:t>
      </w:r>
      <w:r w:rsidRPr="004C3E99">
        <w:rPr>
          <w:i/>
          <w:iCs/>
        </w:rPr>
        <w:t>in vitro</w:t>
      </w:r>
      <w:r w:rsidRPr="00C153AE">
        <w:t xml:space="preserve"> were inconclusive. Variable results were obtained in the mouse lymphoma </w:t>
      </w:r>
      <w:proofErr w:type="spellStart"/>
      <w:r w:rsidRPr="00C153AE">
        <w:t>tk</w:t>
      </w:r>
      <w:proofErr w:type="spellEnd"/>
      <w:r w:rsidRPr="00C153AE">
        <w:t xml:space="preserve"> assay. Progesterone was not mutagenic to bacteria.</w:t>
      </w:r>
    </w:p>
    <w:p w14:paraId="1ACDD52D" w14:textId="37114A78" w:rsidR="004A6F22" w:rsidRPr="002A3596" w:rsidRDefault="003B0D62" w:rsidP="002D0BCA">
      <w:pPr>
        <w:pStyle w:val="Heading3"/>
      </w:pPr>
      <w:r w:rsidRPr="002A3596">
        <w:lastRenderedPageBreak/>
        <w:t>Carcinogenicity</w:t>
      </w:r>
    </w:p>
    <w:p w14:paraId="2CAFC148" w14:textId="77777777" w:rsidR="00CC51D6" w:rsidRDefault="00CC51D6" w:rsidP="00D94457">
      <w:pPr>
        <w:pStyle w:val="BodyText"/>
      </w:pPr>
      <w:r>
        <w:t xml:space="preserve">No carcinogenicity studies have been conducted with combination of </w:t>
      </w:r>
      <w:proofErr w:type="spellStart"/>
      <w:r>
        <w:t>estradiol</w:t>
      </w:r>
      <w:proofErr w:type="spellEnd"/>
      <w:r>
        <w:t xml:space="preserve"> (hemihydrate)/progesterone.</w:t>
      </w:r>
    </w:p>
    <w:p w14:paraId="7A1D38B7" w14:textId="40CF0D74" w:rsidR="00D75650" w:rsidRDefault="00D75650" w:rsidP="00D94457">
      <w:pPr>
        <w:pStyle w:val="BodyText"/>
      </w:pPr>
      <w:r w:rsidRPr="00D75650">
        <w:t xml:space="preserve">Long-term, continuous administration of natural and synthetic estrogens in laboratory animal species increases the frequency of carcinomas of the breast, uterus, cervix, vagina, testis, and liver. Carcinogenicity by </w:t>
      </w:r>
      <w:proofErr w:type="spellStart"/>
      <w:r w:rsidRPr="00D75650">
        <w:t>estradiol</w:t>
      </w:r>
      <w:proofErr w:type="spellEnd"/>
      <w:r w:rsidRPr="00D75650">
        <w:t xml:space="preserve"> may involve gene mutation induced by reactive metabolites or the activation of estrogen receptor-mediated signalling pathways that sustain the growth and survival of preneoplastic and malignant cells</w:t>
      </w:r>
      <w:r>
        <w:t>.</w:t>
      </w:r>
    </w:p>
    <w:p w14:paraId="0F86C9A8" w14:textId="7086B010" w:rsidR="000B0CCF" w:rsidRPr="00D94457" w:rsidRDefault="000B0CCF" w:rsidP="00D94457">
      <w:pPr>
        <w:pStyle w:val="BodyText"/>
      </w:pPr>
      <w:r w:rsidRPr="00D94457">
        <w:t>Progesterone has not been tested for carcinogenicity in animals by the oral route of administration. Progesterone has been shown to induce/promote the formation of ovarian, uterine, mammary, and genital tract tumours in animals. The clinical relevance of these findings is unknown. Literature data provides no indication of potential carcinogenicity in humans.</w:t>
      </w:r>
    </w:p>
    <w:p w14:paraId="64FBCE01" w14:textId="4380F74F" w:rsidR="000B0CCF" w:rsidRPr="00D94457" w:rsidRDefault="000B0CCF" w:rsidP="00D94457">
      <w:pPr>
        <w:pStyle w:val="BodyText"/>
      </w:pPr>
      <w:r w:rsidRPr="00D94457">
        <w:t>When implanted into female mice, progesterone produced mammary carcinomas, ovarian granulosa cell tumo</w:t>
      </w:r>
      <w:r w:rsidR="00D75650">
        <w:t>u</w:t>
      </w:r>
      <w:r w:rsidRPr="00D94457">
        <w:t>rs and endometrial stromal sarcomas. In dogs, long-term intramuscular injections produced nodular hyperplasia and benign and malignant mammary tumo</w:t>
      </w:r>
      <w:r w:rsidR="00D75650">
        <w:t>u</w:t>
      </w:r>
      <w:r w:rsidRPr="00D94457">
        <w:t>rs. Subcutaneous or intramuscular injections of progesterone decreased the latency period and increased the incidence of mammary tumo</w:t>
      </w:r>
      <w:r w:rsidR="00D75650">
        <w:t>u</w:t>
      </w:r>
      <w:r w:rsidRPr="00D94457">
        <w:t>rs in rats previously treated with a chemical carcinogen.</w:t>
      </w:r>
    </w:p>
    <w:p w14:paraId="7E408FBA" w14:textId="79F8B08D" w:rsidR="004A6F22" w:rsidRPr="002A3596" w:rsidRDefault="003B0D62" w:rsidP="005664F5">
      <w:pPr>
        <w:pStyle w:val="Heading1"/>
      </w:pPr>
      <w:bookmarkStart w:id="26" w:name="6.4_Special_precautions_for_storage"/>
      <w:bookmarkStart w:id="27" w:name="6.3_Shelf_life"/>
      <w:bookmarkStart w:id="28" w:name="6.2_Incompatibilities"/>
      <w:bookmarkStart w:id="29" w:name="6.1_List_of_excipients"/>
      <w:bookmarkStart w:id="30" w:name="6_Pharmaceutical_particulars"/>
      <w:bookmarkEnd w:id="26"/>
      <w:bookmarkEnd w:id="27"/>
      <w:bookmarkEnd w:id="28"/>
      <w:bookmarkEnd w:id="29"/>
      <w:bookmarkEnd w:id="30"/>
      <w:r w:rsidRPr="002A3596">
        <w:t>PHARMACEUTICAL PARTICULARS</w:t>
      </w:r>
    </w:p>
    <w:p w14:paraId="05A5C494" w14:textId="39D86FC3" w:rsidR="004A6F22" w:rsidRPr="002A3596" w:rsidRDefault="003B0D62" w:rsidP="00944662">
      <w:pPr>
        <w:pStyle w:val="Heading2"/>
      </w:pPr>
      <w:bookmarkStart w:id="31" w:name="_Ref69885210"/>
      <w:r w:rsidRPr="002A3596">
        <w:t>List of</w:t>
      </w:r>
      <w:r w:rsidRPr="002A3596">
        <w:rPr>
          <w:spacing w:val="1"/>
        </w:rPr>
        <w:t xml:space="preserve"> </w:t>
      </w:r>
      <w:r w:rsidRPr="002A3596">
        <w:t>excipients</w:t>
      </w:r>
      <w:bookmarkEnd w:id="31"/>
    </w:p>
    <w:p w14:paraId="0743757B" w14:textId="7056CED9" w:rsidR="00BB3D31" w:rsidRPr="004C2C77" w:rsidRDefault="00444E1C" w:rsidP="00E91DDA">
      <w:pPr>
        <w:pStyle w:val="BodyText"/>
      </w:pPr>
      <w:r w:rsidRPr="00E91DDA">
        <w:t>M</w:t>
      </w:r>
      <w:r w:rsidR="003D1811" w:rsidRPr="00E91DDA">
        <w:t>ono</w:t>
      </w:r>
      <w:r w:rsidRPr="00E91DDA">
        <w:t xml:space="preserve"> and </w:t>
      </w:r>
      <w:r w:rsidR="003D1811" w:rsidRPr="00E91DDA">
        <w:t>di</w:t>
      </w:r>
      <w:r w:rsidRPr="00E91DDA">
        <w:t>-</w:t>
      </w:r>
      <w:r w:rsidR="003D1811" w:rsidRPr="00E91DDA">
        <w:t>glycerides</w:t>
      </w:r>
      <w:r w:rsidR="003D2E66">
        <w:br/>
      </w:r>
      <w:proofErr w:type="spellStart"/>
      <w:r w:rsidRPr="00E91DDA">
        <w:t>Lauroyl</w:t>
      </w:r>
      <w:proofErr w:type="spellEnd"/>
      <w:r w:rsidRPr="00E91DDA">
        <w:t xml:space="preserve"> </w:t>
      </w:r>
      <w:proofErr w:type="spellStart"/>
      <w:r w:rsidR="004C2C77">
        <w:t>macrogolglycerides</w:t>
      </w:r>
      <w:proofErr w:type="spellEnd"/>
      <w:r w:rsidR="003D2E66">
        <w:br/>
      </w:r>
      <w:proofErr w:type="spellStart"/>
      <w:r w:rsidR="003D1811" w:rsidRPr="00E91DDA">
        <w:t>Gelatin</w:t>
      </w:r>
      <w:proofErr w:type="spellEnd"/>
      <w:r w:rsidR="003D2E66">
        <w:br/>
      </w:r>
      <w:r w:rsidR="003D1811" w:rsidRPr="004C2C77">
        <w:t>Hydroly</w:t>
      </w:r>
      <w:r w:rsidR="004C2C77" w:rsidRPr="004C2C77">
        <w:t>s</w:t>
      </w:r>
      <w:r w:rsidR="003D1811" w:rsidRPr="004C2C77">
        <w:t xml:space="preserve">ed </w:t>
      </w:r>
      <w:proofErr w:type="spellStart"/>
      <w:r w:rsidR="003D1811" w:rsidRPr="004C2C77">
        <w:t>gelatin</w:t>
      </w:r>
      <w:proofErr w:type="spellEnd"/>
      <w:r w:rsidR="003D1811" w:rsidRPr="00E91DDA">
        <w:t xml:space="preserve"> </w:t>
      </w:r>
      <w:r w:rsidR="003D2E66">
        <w:br/>
      </w:r>
      <w:r w:rsidRPr="00E91DDA">
        <w:t xml:space="preserve">Glycerol </w:t>
      </w:r>
      <w:r w:rsidR="003D2E66">
        <w:br/>
      </w:r>
      <w:proofErr w:type="spellStart"/>
      <w:r w:rsidRPr="004C2C77">
        <w:t>Opatint</w:t>
      </w:r>
      <w:proofErr w:type="spellEnd"/>
      <w:r w:rsidR="009113E5" w:rsidRPr="009113E5">
        <w:rPr>
          <w:vertAlign w:val="superscript"/>
        </w:rPr>
        <w:t>®</w:t>
      </w:r>
      <w:r w:rsidRPr="004C2C77">
        <w:t xml:space="preserve"> Red DG-15001</w:t>
      </w:r>
      <w:r w:rsidR="004C2C77" w:rsidRPr="004C2C77">
        <w:t xml:space="preserve"> (PI-141454)</w:t>
      </w:r>
      <w:r w:rsidRPr="00E91DDA">
        <w:t xml:space="preserve"> </w:t>
      </w:r>
      <w:r w:rsidR="003D2E66">
        <w:br/>
      </w:r>
      <w:proofErr w:type="spellStart"/>
      <w:r w:rsidRPr="00E91DDA">
        <w:t>Opatint</w:t>
      </w:r>
      <w:proofErr w:type="spellEnd"/>
      <w:r w:rsidR="009113E5" w:rsidRPr="009113E5">
        <w:rPr>
          <w:vertAlign w:val="superscript"/>
        </w:rPr>
        <w:t>®</w:t>
      </w:r>
      <w:r w:rsidR="00BB3D31" w:rsidRPr="00E91DDA">
        <w:t xml:space="preserve"> Concentrated </w:t>
      </w:r>
      <w:proofErr w:type="spellStart"/>
      <w:r w:rsidR="00BB3D31" w:rsidRPr="00E91DDA">
        <w:t>Color</w:t>
      </w:r>
      <w:proofErr w:type="spellEnd"/>
      <w:r w:rsidR="00BB3D31" w:rsidRPr="00E91DDA">
        <w:t xml:space="preserve"> Dispersion G-1</w:t>
      </w:r>
      <w:r w:rsidRPr="00E91DDA">
        <w:t>8006 (PI- 140158)</w:t>
      </w:r>
      <w:r w:rsidR="003D2E66">
        <w:br/>
      </w:r>
      <w:proofErr w:type="spellStart"/>
      <w:r w:rsidR="00BB3D31" w:rsidRPr="004C2C77">
        <w:t>Opacode</w:t>
      </w:r>
      <w:proofErr w:type="spellEnd"/>
      <w:r w:rsidR="009113E5" w:rsidRPr="009113E5">
        <w:rPr>
          <w:vertAlign w:val="superscript"/>
        </w:rPr>
        <w:t>®</w:t>
      </w:r>
      <w:r w:rsidR="00BB3D31" w:rsidRPr="004C2C77">
        <w:t xml:space="preserve"> WB water based Monogramming Ink NSP-78-18022 White</w:t>
      </w:r>
      <w:r w:rsidR="00BD78EE" w:rsidRPr="004C2C77">
        <w:t xml:space="preserve"> </w:t>
      </w:r>
      <w:r w:rsidR="0036553A" w:rsidRPr="004C2C77">
        <w:t>(PI 3883)</w:t>
      </w:r>
    </w:p>
    <w:p w14:paraId="38979B05" w14:textId="77777777" w:rsidR="004A6F22" w:rsidRPr="002A3596" w:rsidRDefault="003B0D62" w:rsidP="00944662">
      <w:pPr>
        <w:pStyle w:val="Heading2"/>
      </w:pPr>
      <w:r w:rsidRPr="002A3596">
        <w:t>Incompatibilities</w:t>
      </w:r>
    </w:p>
    <w:p w14:paraId="740DD4AB" w14:textId="0E711722" w:rsidR="004A6F22" w:rsidRPr="002A3596" w:rsidRDefault="009A2043" w:rsidP="00D4676B">
      <w:pPr>
        <w:pStyle w:val="BodyText"/>
      </w:pPr>
      <w:r w:rsidRPr="009A2043">
        <w:t>Incompatibilities were either not assessed or not identified as part of the registration of this medicine.</w:t>
      </w:r>
    </w:p>
    <w:p w14:paraId="31E5310F" w14:textId="77777777" w:rsidR="004A6F22" w:rsidRPr="002A3596" w:rsidRDefault="003B0D62" w:rsidP="00944662">
      <w:pPr>
        <w:pStyle w:val="Heading2"/>
      </w:pPr>
      <w:r w:rsidRPr="002A3596">
        <w:lastRenderedPageBreak/>
        <w:t>Shelf</w:t>
      </w:r>
      <w:r w:rsidRPr="002A3596">
        <w:rPr>
          <w:spacing w:val="1"/>
        </w:rPr>
        <w:t xml:space="preserve"> </w:t>
      </w:r>
      <w:r w:rsidRPr="002A3596">
        <w:t>life</w:t>
      </w:r>
    </w:p>
    <w:p w14:paraId="1CDAE889" w14:textId="77777777" w:rsidR="004A6F22" w:rsidRPr="002A3596" w:rsidRDefault="003B0D62" w:rsidP="00D4676B">
      <w:pPr>
        <w:pStyle w:val="BodyText"/>
      </w:pPr>
      <w:r w:rsidRPr="002A3596">
        <w:t>In</w:t>
      </w:r>
      <w:r w:rsidRPr="002A3596">
        <w:rPr>
          <w:spacing w:val="-2"/>
        </w:rPr>
        <w:t xml:space="preserve"> </w:t>
      </w:r>
      <w:r w:rsidRPr="002A3596">
        <w:t>Australia,</w:t>
      </w:r>
      <w:r w:rsidRPr="002A3596">
        <w:rPr>
          <w:spacing w:val="-2"/>
        </w:rPr>
        <w:t xml:space="preserve"> </w:t>
      </w:r>
      <w:r w:rsidRPr="002A3596">
        <w:t>information</w:t>
      </w:r>
      <w:r w:rsidRPr="002A3596">
        <w:rPr>
          <w:spacing w:val="-2"/>
        </w:rPr>
        <w:t xml:space="preserve"> </w:t>
      </w:r>
      <w:r w:rsidRPr="002A3596">
        <w:t>on</w:t>
      </w:r>
      <w:r w:rsidRPr="002A3596">
        <w:rPr>
          <w:spacing w:val="-2"/>
        </w:rPr>
        <w:t xml:space="preserve"> </w:t>
      </w:r>
      <w:r w:rsidRPr="002A3596">
        <w:t>the</w:t>
      </w:r>
      <w:r w:rsidRPr="002A3596">
        <w:rPr>
          <w:spacing w:val="-2"/>
        </w:rPr>
        <w:t xml:space="preserve"> </w:t>
      </w:r>
      <w:r w:rsidRPr="002A3596">
        <w:t>shelf</w:t>
      </w:r>
      <w:r w:rsidRPr="002A3596">
        <w:rPr>
          <w:spacing w:val="-2"/>
        </w:rPr>
        <w:t xml:space="preserve"> </w:t>
      </w:r>
      <w:r w:rsidRPr="002A3596">
        <w:t>life</w:t>
      </w:r>
      <w:r w:rsidRPr="002A3596">
        <w:rPr>
          <w:spacing w:val="-2"/>
        </w:rPr>
        <w:t xml:space="preserve"> </w:t>
      </w:r>
      <w:r w:rsidRPr="002A3596">
        <w:t>can</w:t>
      </w:r>
      <w:r w:rsidRPr="002A3596">
        <w:rPr>
          <w:spacing w:val="-2"/>
        </w:rPr>
        <w:t xml:space="preserve"> </w:t>
      </w:r>
      <w:r w:rsidRPr="002A3596">
        <w:t>be</w:t>
      </w:r>
      <w:r w:rsidRPr="002A3596">
        <w:rPr>
          <w:spacing w:val="-2"/>
        </w:rPr>
        <w:t xml:space="preserve"> </w:t>
      </w:r>
      <w:r w:rsidRPr="002A3596">
        <w:t>found</w:t>
      </w:r>
      <w:r w:rsidRPr="002A3596">
        <w:rPr>
          <w:spacing w:val="-2"/>
        </w:rPr>
        <w:t xml:space="preserve"> </w:t>
      </w:r>
      <w:r w:rsidRPr="002A3596">
        <w:t>on</w:t>
      </w:r>
      <w:r w:rsidRPr="002A3596">
        <w:rPr>
          <w:spacing w:val="-2"/>
        </w:rPr>
        <w:t xml:space="preserve"> </w:t>
      </w:r>
      <w:r w:rsidRPr="002A3596">
        <w:t>the</w:t>
      </w:r>
      <w:r w:rsidRPr="002A3596">
        <w:rPr>
          <w:spacing w:val="-2"/>
        </w:rPr>
        <w:t xml:space="preserve"> </w:t>
      </w:r>
      <w:r w:rsidRPr="002A3596">
        <w:t>public</w:t>
      </w:r>
      <w:r w:rsidRPr="002A3596">
        <w:rPr>
          <w:spacing w:val="-2"/>
        </w:rPr>
        <w:t xml:space="preserve"> </w:t>
      </w:r>
      <w:r w:rsidRPr="002A3596">
        <w:t>summary</w:t>
      </w:r>
      <w:r w:rsidRPr="002A3596">
        <w:rPr>
          <w:spacing w:val="-2"/>
        </w:rPr>
        <w:t xml:space="preserve"> </w:t>
      </w:r>
      <w:r w:rsidRPr="002A3596">
        <w:t>of</w:t>
      </w:r>
      <w:r w:rsidRPr="002A3596">
        <w:rPr>
          <w:spacing w:val="-2"/>
        </w:rPr>
        <w:t xml:space="preserve"> </w:t>
      </w:r>
      <w:r w:rsidRPr="002A3596">
        <w:t>the</w:t>
      </w:r>
      <w:r w:rsidRPr="002A3596">
        <w:rPr>
          <w:spacing w:val="-2"/>
        </w:rPr>
        <w:t xml:space="preserve"> </w:t>
      </w:r>
      <w:r w:rsidRPr="002A3596">
        <w:t>Australian</w:t>
      </w:r>
      <w:r w:rsidRPr="002A3596">
        <w:rPr>
          <w:spacing w:val="-2"/>
        </w:rPr>
        <w:t xml:space="preserve"> </w:t>
      </w:r>
      <w:r w:rsidRPr="002A3596">
        <w:t xml:space="preserve">Register </w:t>
      </w:r>
      <w:r w:rsidRPr="002A3596">
        <w:rPr>
          <w:spacing w:val="-2"/>
        </w:rPr>
        <w:t>of</w:t>
      </w:r>
      <w:r w:rsidRPr="002A3596">
        <w:t xml:space="preserve"> Therapeutic</w:t>
      </w:r>
      <w:r w:rsidRPr="002A3596">
        <w:rPr>
          <w:spacing w:val="-2"/>
        </w:rPr>
        <w:t xml:space="preserve"> </w:t>
      </w:r>
      <w:r w:rsidRPr="002A3596">
        <w:t>Goods (ARTG). The</w:t>
      </w:r>
      <w:r w:rsidRPr="002A3596">
        <w:rPr>
          <w:spacing w:val="-2"/>
        </w:rPr>
        <w:t xml:space="preserve"> </w:t>
      </w:r>
      <w:r w:rsidRPr="002A3596">
        <w:t>expiry</w:t>
      </w:r>
      <w:r w:rsidRPr="002A3596">
        <w:rPr>
          <w:spacing w:val="-2"/>
        </w:rPr>
        <w:t xml:space="preserve"> </w:t>
      </w:r>
      <w:r w:rsidRPr="002A3596">
        <w:t xml:space="preserve">date can </w:t>
      </w:r>
      <w:r w:rsidRPr="002A3596">
        <w:rPr>
          <w:spacing w:val="-2"/>
        </w:rPr>
        <w:t>be</w:t>
      </w:r>
      <w:r w:rsidRPr="002A3596">
        <w:t xml:space="preserve"> found on the packaging.</w:t>
      </w:r>
    </w:p>
    <w:p w14:paraId="419CFEDC" w14:textId="77777777" w:rsidR="004A6F22" w:rsidRPr="002A3596" w:rsidRDefault="003B0D62" w:rsidP="00944662">
      <w:pPr>
        <w:pStyle w:val="Heading2"/>
      </w:pPr>
      <w:r w:rsidRPr="002A3596">
        <w:t>Special precautions for</w:t>
      </w:r>
      <w:r w:rsidRPr="002A3596">
        <w:rPr>
          <w:spacing w:val="-4"/>
        </w:rPr>
        <w:t xml:space="preserve"> </w:t>
      </w:r>
      <w:r w:rsidRPr="002A3596">
        <w:t>storage</w:t>
      </w:r>
    </w:p>
    <w:p w14:paraId="1D451430" w14:textId="0E425A27" w:rsidR="004A6F22" w:rsidRPr="002A3596" w:rsidRDefault="00714792" w:rsidP="00D4676B">
      <w:pPr>
        <w:pStyle w:val="BodyText"/>
      </w:pPr>
      <w:r w:rsidRPr="002A3596">
        <w:t xml:space="preserve">This medicinal product does not require any special temperature storage conditions. Keep the blister in the outer carton </w:t>
      </w:r>
      <w:proofErr w:type="gramStart"/>
      <w:r w:rsidRPr="002A3596">
        <w:t>in order to</w:t>
      </w:r>
      <w:proofErr w:type="gramEnd"/>
      <w:r w:rsidRPr="002A3596">
        <w:t xml:space="preserve"> protect from light.</w:t>
      </w:r>
    </w:p>
    <w:p w14:paraId="4EF16BC5" w14:textId="77777777" w:rsidR="004A6F22" w:rsidRPr="002A3596" w:rsidRDefault="003B0D62" w:rsidP="00944662">
      <w:pPr>
        <w:pStyle w:val="Heading2"/>
      </w:pPr>
      <w:r w:rsidRPr="002A3596">
        <w:t>Nature and contents of</w:t>
      </w:r>
      <w:r w:rsidRPr="002A3596">
        <w:rPr>
          <w:spacing w:val="1"/>
        </w:rPr>
        <w:t xml:space="preserve"> </w:t>
      </w:r>
      <w:r w:rsidRPr="002A3596">
        <w:t>container</w:t>
      </w:r>
    </w:p>
    <w:p w14:paraId="0F588ED0" w14:textId="6710D3D0" w:rsidR="00714792" w:rsidRPr="002A3596" w:rsidRDefault="00250DF8" w:rsidP="00714792">
      <w:pPr>
        <w:pStyle w:val="BodyText"/>
      </w:pPr>
      <w:r>
        <w:t>BIJUVA 1/100</w:t>
      </w:r>
      <w:r w:rsidR="003B0D62" w:rsidRPr="002A3596">
        <w:rPr>
          <w:spacing w:val="-2"/>
        </w:rPr>
        <w:t xml:space="preserve"> </w:t>
      </w:r>
      <w:r w:rsidR="00714792" w:rsidRPr="002A3596">
        <w:t>is available in PVC/PE/PCTFE aluminium backed blister packs, containing 28 or 84 soft capsules.</w:t>
      </w:r>
    </w:p>
    <w:p w14:paraId="387298D5" w14:textId="66136FFB" w:rsidR="00714792" w:rsidRPr="002A3596" w:rsidRDefault="00714792" w:rsidP="00714792">
      <w:pPr>
        <w:pStyle w:val="BodyText"/>
      </w:pPr>
      <w:r w:rsidRPr="002A3596">
        <w:t xml:space="preserve">Not all pack sizes may be marketed or available. </w:t>
      </w:r>
    </w:p>
    <w:p w14:paraId="0EE2D17C" w14:textId="77777777" w:rsidR="004A6F22" w:rsidRPr="002A3596" w:rsidRDefault="003B0D62" w:rsidP="00944662">
      <w:pPr>
        <w:pStyle w:val="Heading2"/>
      </w:pPr>
      <w:r w:rsidRPr="002A3596">
        <w:t>Special precautions for</w:t>
      </w:r>
      <w:r w:rsidRPr="002A3596">
        <w:rPr>
          <w:spacing w:val="-4"/>
        </w:rPr>
        <w:t xml:space="preserve"> </w:t>
      </w:r>
      <w:r w:rsidRPr="002A3596">
        <w:t>disposal</w:t>
      </w:r>
    </w:p>
    <w:p w14:paraId="06CFE838" w14:textId="77777777" w:rsidR="0009248D" w:rsidRDefault="003B0D62" w:rsidP="0009248D">
      <w:pPr>
        <w:pStyle w:val="BodyText"/>
      </w:pPr>
      <w:r w:rsidRPr="002A3596">
        <w:t xml:space="preserve">The release of medicines into the environment should be minimised. Medicines should not be disposed of via wastewater and disposal through household waste should be avoided. </w:t>
      </w:r>
      <w:r w:rsidR="00714792" w:rsidRPr="002A3596">
        <w:t xml:space="preserve">The hormonal active compounds in the capsule may have harmful effects if </w:t>
      </w:r>
      <w:r w:rsidR="003854D4" w:rsidRPr="002A3596">
        <w:t>it reaches</w:t>
      </w:r>
      <w:r w:rsidR="00714792" w:rsidRPr="002A3596">
        <w:t xml:space="preserve"> the aquatic environment. In Australia, any unused medicine or waste material should be disposed of by taking to your local pharmacy</w:t>
      </w:r>
      <w:r w:rsidR="003854D4" w:rsidRPr="002A3596">
        <w:t>.</w:t>
      </w:r>
    </w:p>
    <w:p w14:paraId="47353717" w14:textId="77777777" w:rsidR="0009248D" w:rsidRDefault="003B0D62" w:rsidP="00944662">
      <w:pPr>
        <w:pStyle w:val="Heading2"/>
      </w:pPr>
      <w:r w:rsidRPr="002A3596">
        <w:t>Physicochemical properties</w:t>
      </w:r>
      <w:r w:rsidR="0009248D">
        <w:t xml:space="preserve"> </w:t>
      </w:r>
    </w:p>
    <w:p w14:paraId="1DCA3342" w14:textId="12BBCC0C" w:rsidR="0009248D" w:rsidRDefault="003B0D62" w:rsidP="00490D24">
      <w:pPr>
        <w:pStyle w:val="Heading3"/>
        <w:rPr>
          <w:spacing w:val="23"/>
        </w:rPr>
      </w:pPr>
      <w:r w:rsidRPr="002A3596">
        <w:t>Chemical Structure</w:t>
      </w:r>
    </w:p>
    <w:p w14:paraId="108D950D" w14:textId="01D6624F" w:rsidR="004A6F22" w:rsidRDefault="009D6B8B" w:rsidP="00ED7494">
      <w:pPr>
        <w:pStyle w:val="BodyText"/>
        <w:keepNext/>
        <w:spacing w:line="276" w:lineRule="auto"/>
        <w:rPr>
          <w:b/>
          <w:bCs/>
          <w:i/>
          <w:iCs/>
          <w:u w:val="single"/>
        </w:rPr>
      </w:pPr>
      <w:proofErr w:type="spellStart"/>
      <w:r w:rsidRPr="0009248D">
        <w:rPr>
          <w:b/>
          <w:bCs/>
          <w:i/>
          <w:iCs/>
          <w:u w:val="single"/>
        </w:rPr>
        <w:t>Estradiol</w:t>
      </w:r>
      <w:proofErr w:type="spellEnd"/>
      <w:r w:rsidRPr="0009248D">
        <w:rPr>
          <w:b/>
          <w:bCs/>
          <w:i/>
          <w:iCs/>
          <w:u w:val="single"/>
        </w:rPr>
        <w:t xml:space="preserve"> hemihydrate</w:t>
      </w:r>
    </w:p>
    <w:p w14:paraId="188618DD" w14:textId="1B95423C" w:rsidR="0009248D" w:rsidRPr="0009248D" w:rsidRDefault="0009248D" w:rsidP="0009248D">
      <w:pPr>
        <w:pStyle w:val="BodyText"/>
        <w:rPr>
          <w:b/>
          <w:bCs/>
          <w:i/>
          <w:iCs/>
          <w:u w:val="single"/>
        </w:rPr>
      </w:pPr>
      <w:r>
        <w:rPr>
          <w:b/>
          <w:bCs/>
          <w:noProof/>
        </w:rPr>
        <w:drawing>
          <wp:anchor distT="0" distB="0" distL="114300" distR="114300" simplePos="0" relativeHeight="251660288" behindDoc="0" locked="0" layoutInCell="1" allowOverlap="1" wp14:anchorId="481AC619" wp14:editId="247834BD">
            <wp:simplePos x="0" y="0"/>
            <wp:positionH relativeFrom="column">
              <wp:posOffset>89104</wp:posOffset>
            </wp:positionH>
            <wp:positionV relativeFrom="paragraph">
              <wp:posOffset>1653</wp:posOffset>
            </wp:positionV>
            <wp:extent cx="2314898" cy="1419423"/>
            <wp:effectExtent l="0" t="0" r="9525" b="9525"/>
            <wp:wrapTopAndBottom/>
            <wp:docPr id="1" name="Picture 1"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engineering drawing&#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314898" cy="1419423"/>
                    </a:xfrm>
                    <a:prstGeom prst="rect">
                      <a:avLst/>
                    </a:prstGeom>
                  </pic:spPr>
                </pic:pic>
              </a:graphicData>
            </a:graphic>
            <wp14:sizeRelH relativeFrom="page">
              <wp14:pctWidth>0</wp14:pctWidth>
            </wp14:sizeRelH>
            <wp14:sizeRelV relativeFrom="page">
              <wp14:pctHeight>0</wp14:pctHeight>
            </wp14:sizeRelV>
          </wp:anchor>
        </w:drawing>
      </w:r>
    </w:p>
    <w:p w14:paraId="13C88FD4" w14:textId="4573ABB9" w:rsidR="009D6B8B" w:rsidRDefault="009D6B8B" w:rsidP="005A1517">
      <w:pPr>
        <w:pStyle w:val="BodyText"/>
        <w:spacing w:line="276" w:lineRule="auto"/>
      </w:pPr>
      <w:r>
        <w:t>Chemical name:</w:t>
      </w:r>
      <w:r w:rsidR="00982918">
        <w:t xml:space="preserve"> estra-1,3,5(10)-triene-3,17β-diol (as hemihydrate). </w:t>
      </w:r>
      <w:proofErr w:type="spellStart"/>
      <w:r w:rsidR="00982918">
        <w:t>Estradiol</w:t>
      </w:r>
      <w:proofErr w:type="spellEnd"/>
      <w:r w:rsidR="00982918">
        <w:t xml:space="preserve"> has 5</w:t>
      </w:r>
      <w:r w:rsidR="002B521D">
        <w:t xml:space="preserve"> </w:t>
      </w:r>
      <w:r w:rsidR="00982918">
        <w:t>chiral centres</w:t>
      </w:r>
      <w:r>
        <w:t xml:space="preserve"> </w:t>
      </w:r>
    </w:p>
    <w:p w14:paraId="5B8AD7C4" w14:textId="42F7EA46" w:rsidR="009D6B8B" w:rsidRDefault="009D6B8B" w:rsidP="005A1517">
      <w:pPr>
        <w:pStyle w:val="BodyText"/>
        <w:widowControl w:val="0"/>
        <w:spacing w:line="276" w:lineRule="auto"/>
      </w:pPr>
      <w:r>
        <w:t>Molecular formula:</w:t>
      </w:r>
      <w:r w:rsidRPr="009D6B8B">
        <w:t xml:space="preserve"> C</w:t>
      </w:r>
      <w:r w:rsidRPr="00982918">
        <w:rPr>
          <w:vertAlign w:val="subscript"/>
        </w:rPr>
        <w:t>18</w:t>
      </w:r>
      <w:r w:rsidRPr="009D6B8B">
        <w:t>H</w:t>
      </w:r>
      <w:r w:rsidRPr="00982918">
        <w:rPr>
          <w:vertAlign w:val="subscript"/>
        </w:rPr>
        <w:t>24</w:t>
      </w:r>
      <w:r w:rsidRPr="009D6B8B">
        <w:t>O</w:t>
      </w:r>
      <w:r w:rsidRPr="00982918">
        <w:rPr>
          <w:vertAlign w:val="subscript"/>
        </w:rPr>
        <w:t>2</w:t>
      </w:r>
      <w:r w:rsidRPr="009D6B8B">
        <w:t>.</w:t>
      </w:r>
    </w:p>
    <w:p w14:paraId="608E9933" w14:textId="026474BE" w:rsidR="009D6B8B" w:rsidRDefault="009D6B8B" w:rsidP="005A1517">
      <w:pPr>
        <w:pStyle w:val="BodyText"/>
        <w:widowControl w:val="0"/>
        <w:spacing w:line="276" w:lineRule="auto"/>
      </w:pPr>
      <w:r>
        <w:lastRenderedPageBreak/>
        <w:t>Molecular weight: 281.39</w:t>
      </w:r>
    </w:p>
    <w:p w14:paraId="2945F106" w14:textId="77777777" w:rsidR="006D7C68" w:rsidRDefault="006D7C68" w:rsidP="005A1517">
      <w:pPr>
        <w:pStyle w:val="Heading3"/>
        <w:keepNext w:val="0"/>
        <w:keepLines/>
        <w:widowControl w:val="0"/>
      </w:pPr>
      <w:r w:rsidRPr="002A3596">
        <w:t>CAS number</w:t>
      </w:r>
    </w:p>
    <w:p w14:paraId="62DF3D77" w14:textId="7B3C4825" w:rsidR="006D7C68" w:rsidRDefault="006D7C68" w:rsidP="004C3E99">
      <w:pPr>
        <w:pStyle w:val="BodyText"/>
        <w:keepLines/>
        <w:widowControl w:val="0"/>
        <w:spacing w:line="276" w:lineRule="auto"/>
      </w:pPr>
      <w:proofErr w:type="spellStart"/>
      <w:r w:rsidRPr="00C153AE">
        <w:t>Estradiol</w:t>
      </w:r>
      <w:proofErr w:type="spellEnd"/>
      <w:r w:rsidRPr="00C153AE">
        <w:t xml:space="preserve"> hemihydrate: </w:t>
      </w:r>
      <w:r w:rsidRPr="00C153AE">
        <w:rPr>
          <w:sz w:val="23"/>
          <w:szCs w:val="23"/>
        </w:rPr>
        <w:t>35380-71-3</w:t>
      </w:r>
    </w:p>
    <w:p w14:paraId="594DB6FE" w14:textId="6518F366" w:rsidR="009D6B8B" w:rsidRPr="00982918" w:rsidRDefault="009D6B8B" w:rsidP="00D63F5A">
      <w:pPr>
        <w:pStyle w:val="subheading4BOLD"/>
      </w:pPr>
      <w:r w:rsidRPr="00982918">
        <w:t>Progesterone</w:t>
      </w:r>
    </w:p>
    <w:p w14:paraId="3E091E7B" w14:textId="307C460F" w:rsidR="009D6B8B" w:rsidRDefault="00982918" w:rsidP="00490D24">
      <w:pPr>
        <w:pStyle w:val="BodyText"/>
      </w:pPr>
      <w:r>
        <w:rPr>
          <w:noProof/>
        </w:rPr>
        <w:drawing>
          <wp:inline distT="0" distB="0" distL="0" distR="0" wp14:anchorId="2A987F7F" wp14:editId="6EC58637">
            <wp:extent cx="2177142" cy="1626875"/>
            <wp:effectExtent l="0" t="0" r="0" b="0"/>
            <wp:docPr id="2" name="Picture 2"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engineering drawing&#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193684" cy="1639236"/>
                    </a:xfrm>
                    <a:prstGeom prst="rect">
                      <a:avLst/>
                    </a:prstGeom>
                  </pic:spPr>
                </pic:pic>
              </a:graphicData>
            </a:graphic>
          </wp:inline>
        </w:drawing>
      </w:r>
    </w:p>
    <w:p w14:paraId="792329D0" w14:textId="2118F1A6" w:rsidR="00982918" w:rsidRPr="00C153AE" w:rsidRDefault="00982918" w:rsidP="00490D24">
      <w:pPr>
        <w:pStyle w:val="BodyText"/>
      </w:pPr>
      <w:r w:rsidRPr="00C153AE">
        <w:t>Chemical name: Pregn-4-ene-3,20-dione</w:t>
      </w:r>
    </w:p>
    <w:p w14:paraId="3454145F" w14:textId="3AA6963D" w:rsidR="00982918" w:rsidRPr="00C153AE" w:rsidRDefault="00982918" w:rsidP="00490D24">
      <w:pPr>
        <w:pStyle w:val="BodyText"/>
      </w:pPr>
      <w:r w:rsidRPr="00C153AE">
        <w:t>Molecular Formula: C</w:t>
      </w:r>
      <w:r w:rsidRPr="00C153AE">
        <w:rPr>
          <w:vertAlign w:val="subscript"/>
        </w:rPr>
        <w:t>21</w:t>
      </w:r>
      <w:r w:rsidRPr="00C153AE">
        <w:t>H</w:t>
      </w:r>
      <w:r w:rsidRPr="00C153AE">
        <w:rPr>
          <w:vertAlign w:val="subscript"/>
        </w:rPr>
        <w:t>30</w:t>
      </w:r>
      <w:r w:rsidRPr="00C153AE">
        <w:t>O</w:t>
      </w:r>
      <w:r w:rsidRPr="00C153AE">
        <w:rPr>
          <w:vertAlign w:val="subscript"/>
        </w:rPr>
        <w:t>2</w:t>
      </w:r>
    </w:p>
    <w:p w14:paraId="7897D7A8" w14:textId="617D3DBC" w:rsidR="00982918" w:rsidRPr="00C153AE" w:rsidRDefault="00982918" w:rsidP="00490D24">
      <w:pPr>
        <w:pStyle w:val="BodyText"/>
      </w:pPr>
      <w:r w:rsidRPr="00C153AE">
        <w:t>Molecular weight: 314.5</w:t>
      </w:r>
    </w:p>
    <w:p w14:paraId="229BD403" w14:textId="5F2A69A1" w:rsidR="004A6F22" w:rsidRDefault="003B0D62" w:rsidP="00490D24">
      <w:pPr>
        <w:pStyle w:val="Heading3"/>
      </w:pPr>
      <w:r w:rsidRPr="002A3596">
        <w:t>CAS number</w:t>
      </w:r>
    </w:p>
    <w:p w14:paraId="4F214B15" w14:textId="7E1D3F19" w:rsidR="004A6F22" w:rsidRPr="00490D24" w:rsidRDefault="009D6B8B" w:rsidP="00490D24">
      <w:pPr>
        <w:pStyle w:val="BodyText"/>
      </w:pPr>
      <w:r w:rsidRPr="00C153AE">
        <w:t xml:space="preserve">Progesterone: </w:t>
      </w:r>
      <w:r w:rsidR="00982918" w:rsidRPr="00C153AE">
        <w:t>57-83-0</w:t>
      </w:r>
      <w:bookmarkStart w:id="32" w:name="10.1_Summary_table_of_changes"/>
      <w:bookmarkStart w:id="33" w:name="10_Date_of_revision"/>
      <w:bookmarkStart w:id="34" w:name="9_Date_of_first_approval"/>
      <w:bookmarkStart w:id="35" w:name="8_Sponsor"/>
      <w:bookmarkStart w:id="36" w:name="7_Medicine_schedule_(Poisons_Standard)"/>
      <w:bookmarkEnd w:id="32"/>
      <w:bookmarkEnd w:id="33"/>
      <w:bookmarkEnd w:id="34"/>
      <w:bookmarkEnd w:id="35"/>
      <w:bookmarkEnd w:id="36"/>
    </w:p>
    <w:p w14:paraId="43F7506F" w14:textId="77777777" w:rsidR="004A6F22" w:rsidRPr="002A3596" w:rsidRDefault="003B0D62" w:rsidP="005664F5">
      <w:pPr>
        <w:pStyle w:val="Heading1"/>
      </w:pPr>
      <w:r w:rsidRPr="002A3596">
        <w:t>MEDICINE SCHEDULE (POISONS STANDARD)</w:t>
      </w:r>
    </w:p>
    <w:p w14:paraId="01D58460" w14:textId="77777777" w:rsidR="004A6F22" w:rsidRPr="002A3596" w:rsidRDefault="003B0D62" w:rsidP="00D4676B">
      <w:pPr>
        <w:pStyle w:val="BodyText"/>
      </w:pPr>
      <w:r w:rsidRPr="002A3596">
        <w:t>Schedule 4 – Prescription Only</w:t>
      </w:r>
      <w:r w:rsidRPr="002A3596">
        <w:rPr>
          <w:spacing w:val="-5"/>
        </w:rPr>
        <w:t xml:space="preserve"> </w:t>
      </w:r>
      <w:r w:rsidRPr="002A3596">
        <w:t>Medicine</w:t>
      </w:r>
    </w:p>
    <w:p w14:paraId="07B5973A" w14:textId="2F139AD3" w:rsidR="004A6F22" w:rsidRPr="002A3596" w:rsidRDefault="003B0D62" w:rsidP="005664F5">
      <w:pPr>
        <w:pStyle w:val="Heading1"/>
      </w:pPr>
      <w:r w:rsidRPr="002A3596">
        <w:t>SPONSOR</w:t>
      </w:r>
    </w:p>
    <w:p w14:paraId="2911B3DB" w14:textId="39F6436E" w:rsidR="00DC1626" w:rsidRDefault="00DC1626" w:rsidP="003D2E66">
      <w:pPr>
        <w:pStyle w:val="BodyText"/>
        <w:keepNext/>
      </w:pPr>
      <w:proofErr w:type="spellStart"/>
      <w:r>
        <w:t>Theramex</w:t>
      </w:r>
      <w:proofErr w:type="spellEnd"/>
      <w:r>
        <w:t xml:space="preserve"> Australia Pty Ltd</w:t>
      </w:r>
      <w:r w:rsidR="003D2E66">
        <w:br/>
      </w:r>
      <w:r>
        <w:t>Level 22, 60 Margaret Street,</w:t>
      </w:r>
      <w:r w:rsidR="003D2E66">
        <w:br/>
      </w:r>
      <w:r>
        <w:t>Sydney NSW 2000</w:t>
      </w:r>
    </w:p>
    <w:p w14:paraId="5ADDC7E1" w14:textId="2E4F9F99" w:rsidR="00DC1626" w:rsidRPr="002A3596" w:rsidRDefault="00DC1626" w:rsidP="00D4676B">
      <w:pPr>
        <w:pStyle w:val="BodyText"/>
      </w:pPr>
      <w:r w:rsidRPr="00DC1626">
        <w:t>1800 THERAMEX or 1800 843 726</w:t>
      </w:r>
    </w:p>
    <w:p w14:paraId="011A3C25" w14:textId="77777777" w:rsidR="004A6F22" w:rsidRPr="002A3596" w:rsidRDefault="003B0D62" w:rsidP="005664F5">
      <w:pPr>
        <w:pStyle w:val="Heading1"/>
      </w:pPr>
      <w:r w:rsidRPr="002A3596">
        <w:t>DATE OF FIRST APPROVAL</w:t>
      </w:r>
    </w:p>
    <w:p w14:paraId="13E50770" w14:textId="0DAB5332" w:rsidR="00467D26" w:rsidRPr="002A3596" w:rsidRDefault="00D313CC" w:rsidP="00467D26">
      <w:pPr>
        <w:pStyle w:val="BodyText"/>
      </w:pPr>
      <w:r>
        <w:t>03/05/2022</w:t>
      </w:r>
    </w:p>
    <w:p w14:paraId="5F724CB5" w14:textId="77777777" w:rsidR="004A6F22" w:rsidRPr="002A3596" w:rsidRDefault="003B0D62" w:rsidP="005664F5">
      <w:pPr>
        <w:pStyle w:val="Heading1"/>
      </w:pPr>
      <w:r w:rsidRPr="002A3596">
        <w:t>DATE OF REVISION</w:t>
      </w:r>
    </w:p>
    <w:p w14:paraId="3EF5997D" w14:textId="61CF018E" w:rsidR="004A6F22" w:rsidRPr="002A3596" w:rsidRDefault="00773AD8" w:rsidP="00D4676B">
      <w:pPr>
        <w:pStyle w:val="BodyText"/>
      </w:pPr>
      <w:r>
        <w:t>N/A</w:t>
      </w:r>
    </w:p>
    <w:p w14:paraId="6DB236D9" w14:textId="77777777" w:rsidR="004A6F22" w:rsidRPr="002A3596" w:rsidRDefault="003B0D62" w:rsidP="00944662">
      <w:pPr>
        <w:pStyle w:val="Heading2"/>
      </w:pPr>
      <w:r w:rsidRPr="002A3596">
        <w:lastRenderedPageBreak/>
        <w:t>Summary</w:t>
      </w:r>
      <w:r w:rsidRPr="002A3596">
        <w:rPr>
          <w:spacing w:val="2"/>
        </w:rPr>
        <w:t xml:space="preserve"> </w:t>
      </w:r>
      <w:r w:rsidRPr="002A3596">
        <w:t>table of</w:t>
      </w:r>
      <w:r w:rsidRPr="002A3596">
        <w:rPr>
          <w:spacing w:val="1"/>
        </w:rPr>
        <w:t xml:space="preserve"> </w:t>
      </w:r>
      <w:r w:rsidRPr="002A3596">
        <w:t>changes</w:t>
      </w:r>
    </w:p>
    <w:tbl>
      <w:tblPr>
        <w:tblStyle w:val="TableNormal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2"/>
        <w:gridCol w:w="8066"/>
      </w:tblGrid>
      <w:tr w:rsidR="004A6F22" w:rsidRPr="002A3596" w14:paraId="5019734D" w14:textId="77777777" w:rsidTr="003854D4">
        <w:trPr>
          <w:trHeight w:hRule="exact" w:val="698"/>
        </w:trPr>
        <w:tc>
          <w:tcPr>
            <w:tcW w:w="763" w:type="pct"/>
            <w:shd w:val="clear" w:color="auto" w:fill="F2F2F2"/>
          </w:tcPr>
          <w:p w14:paraId="36D57C66" w14:textId="77777777" w:rsidR="004A6F22" w:rsidRPr="00467D26" w:rsidRDefault="003B0D62">
            <w:pPr>
              <w:pStyle w:val="TableParagraph"/>
              <w:spacing w:before="27"/>
              <w:ind w:left="97" w:right="333"/>
              <w:rPr>
                <w:rFonts w:ascii="Times New Roman" w:eastAsia="Times New Roman" w:hAnsi="Times New Roman" w:cs="Times New Roman"/>
                <w:sz w:val="24"/>
                <w:szCs w:val="24"/>
              </w:rPr>
            </w:pPr>
            <w:r w:rsidRPr="00467D26">
              <w:rPr>
                <w:rFonts w:ascii="Times New Roman"/>
                <w:b/>
                <w:spacing w:val="-1"/>
                <w:sz w:val="24"/>
              </w:rPr>
              <w:t>Section</w:t>
            </w:r>
            <w:r w:rsidRPr="00467D26">
              <w:rPr>
                <w:rFonts w:ascii="Times New Roman"/>
                <w:b/>
                <w:spacing w:val="24"/>
                <w:sz w:val="24"/>
              </w:rPr>
              <w:t xml:space="preserve"> </w:t>
            </w:r>
            <w:r w:rsidRPr="00467D26">
              <w:rPr>
                <w:rFonts w:ascii="Times New Roman"/>
                <w:b/>
                <w:spacing w:val="-1"/>
                <w:sz w:val="24"/>
              </w:rPr>
              <w:t>Changed</w:t>
            </w:r>
          </w:p>
        </w:tc>
        <w:tc>
          <w:tcPr>
            <w:tcW w:w="4237" w:type="pct"/>
            <w:shd w:val="clear" w:color="auto" w:fill="F2F2F2"/>
          </w:tcPr>
          <w:p w14:paraId="3712321E" w14:textId="77777777" w:rsidR="004A6F22" w:rsidRPr="00F1762E" w:rsidRDefault="003B0D62">
            <w:pPr>
              <w:pStyle w:val="TableParagraph"/>
              <w:spacing w:before="166"/>
              <w:ind w:left="97"/>
              <w:rPr>
                <w:rFonts w:ascii="Times New Roman" w:eastAsia="Times New Roman" w:hAnsi="Times New Roman" w:cs="Times New Roman"/>
                <w:sz w:val="24"/>
                <w:szCs w:val="24"/>
              </w:rPr>
            </w:pPr>
            <w:r w:rsidRPr="00467D26">
              <w:rPr>
                <w:rFonts w:ascii="Times New Roman"/>
                <w:b/>
                <w:spacing w:val="-1"/>
                <w:sz w:val="24"/>
              </w:rPr>
              <w:t>Summary</w:t>
            </w:r>
            <w:r w:rsidRPr="00467D26">
              <w:rPr>
                <w:rFonts w:ascii="Times New Roman"/>
                <w:b/>
                <w:sz w:val="24"/>
              </w:rPr>
              <w:t xml:space="preserve"> of</w:t>
            </w:r>
            <w:r w:rsidRPr="00467D26">
              <w:rPr>
                <w:rFonts w:ascii="Times New Roman"/>
                <w:b/>
                <w:spacing w:val="1"/>
                <w:sz w:val="24"/>
              </w:rPr>
              <w:t xml:space="preserve"> </w:t>
            </w:r>
            <w:r w:rsidRPr="00467D26">
              <w:rPr>
                <w:rFonts w:ascii="Times New Roman"/>
                <w:b/>
                <w:spacing w:val="-1"/>
                <w:sz w:val="24"/>
              </w:rPr>
              <w:t>new</w:t>
            </w:r>
            <w:r w:rsidRPr="00467D26">
              <w:rPr>
                <w:rFonts w:ascii="Times New Roman"/>
                <w:b/>
                <w:spacing w:val="1"/>
                <w:sz w:val="24"/>
              </w:rPr>
              <w:t xml:space="preserve"> </w:t>
            </w:r>
            <w:r w:rsidRPr="00467D26">
              <w:rPr>
                <w:rFonts w:ascii="Times New Roman"/>
                <w:b/>
                <w:spacing w:val="-1"/>
                <w:sz w:val="24"/>
              </w:rPr>
              <w:t>information</w:t>
            </w:r>
          </w:p>
        </w:tc>
      </w:tr>
      <w:tr w:rsidR="003854D4" w:rsidRPr="002A3596" w14:paraId="6E795390" w14:textId="77777777" w:rsidTr="003D2E66">
        <w:trPr>
          <w:trHeight w:hRule="exact" w:val="486"/>
        </w:trPr>
        <w:tc>
          <w:tcPr>
            <w:tcW w:w="763" w:type="pct"/>
            <w:shd w:val="clear" w:color="auto" w:fill="F2F2F2"/>
          </w:tcPr>
          <w:p w14:paraId="4440914A" w14:textId="77777777" w:rsidR="003854D4" w:rsidRPr="00982918" w:rsidRDefault="003854D4">
            <w:pPr>
              <w:pStyle w:val="TableParagraph"/>
              <w:spacing w:before="27"/>
              <w:ind w:left="97" w:right="333"/>
              <w:rPr>
                <w:rFonts w:ascii="Times New Roman"/>
                <w:b/>
                <w:spacing w:val="-1"/>
                <w:sz w:val="24"/>
              </w:rPr>
            </w:pPr>
          </w:p>
        </w:tc>
        <w:tc>
          <w:tcPr>
            <w:tcW w:w="4237" w:type="pct"/>
            <w:shd w:val="clear" w:color="auto" w:fill="F2F2F2"/>
          </w:tcPr>
          <w:p w14:paraId="7C128B5C" w14:textId="77777777" w:rsidR="003854D4" w:rsidRPr="004B18B9" w:rsidRDefault="003854D4">
            <w:pPr>
              <w:pStyle w:val="TableParagraph"/>
              <w:spacing w:before="166"/>
              <w:ind w:left="97"/>
              <w:rPr>
                <w:rFonts w:ascii="Times New Roman"/>
                <w:b/>
                <w:spacing w:val="-1"/>
                <w:sz w:val="24"/>
              </w:rPr>
            </w:pPr>
          </w:p>
        </w:tc>
      </w:tr>
      <w:tr w:rsidR="003854D4" w:rsidRPr="002A3596" w14:paraId="6AC10B86" w14:textId="77777777" w:rsidTr="003D2E66">
        <w:trPr>
          <w:trHeight w:hRule="exact" w:val="510"/>
        </w:trPr>
        <w:tc>
          <w:tcPr>
            <w:tcW w:w="763" w:type="pct"/>
            <w:shd w:val="clear" w:color="auto" w:fill="F2F2F2"/>
          </w:tcPr>
          <w:p w14:paraId="23C68536" w14:textId="77777777" w:rsidR="003854D4" w:rsidRPr="00982918" w:rsidRDefault="003854D4">
            <w:pPr>
              <w:pStyle w:val="TableParagraph"/>
              <w:spacing w:before="27"/>
              <w:ind w:left="97" w:right="333"/>
              <w:rPr>
                <w:rFonts w:ascii="Times New Roman"/>
                <w:b/>
                <w:spacing w:val="-1"/>
                <w:sz w:val="24"/>
              </w:rPr>
            </w:pPr>
          </w:p>
        </w:tc>
        <w:tc>
          <w:tcPr>
            <w:tcW w:w="4237" w:type="pct"/>
            <w:shd w:val="clear" w:color="auto" w:fill="F2F2F2"/>
          </w:tcPr>
          <w:p w14:paraId="11F12264" w14:textId="77777777" w:rsidR="003854D4" w:rsidRPr="004B18B9" w:rsidRDefault="003854D4">
            <w:pPr>
              <w:pStyle w:val="TableParagraph"/>
              <w:spacing w:before="166"/>
              <w:ind w:left="97"/>
              <w:rPr>
                <w:rFonts w:ascii="Times New Roman"/>
                <w:b/>
                <w:spacing w:val="-1"/>
                <w:sz w:val="24"/>
              </w:rPr>
            </w:pPr>
          </w:p>
        </w:tc>
      </w:tr>
    </w:tbl>
    <w:p w14:paraId="1F14F488" w14:textId="1F655916" w:rsidR="000F66DB" w:rsidRPr="002A3596" w:rsidRDefault="000F66DB" w:rsidP="003D2E66">
      <w:pPr>
        <w:tabs>
          <w:tab w:val="left" w:pos="6450"/>
        </w:tabs>
      </w:pPr>
    </w:p>
    <w:sectPr w:rsidR="000F66DB" w:rsidRPr="002A3596" w:rsidSect="00D4676B">
      <w:headerReference w:type="default" r:id="rId15"/>
      <w:footerReference w:type="default" r:id="rId16"/>
      <w:pgSz w:w="11910" w:h="16840"/>
      <w:pgMar w:top="1179" w:right="1191" w:bottom="902" w:left="1191" w:header="730" w:footer="7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6D131" w14:textId="77777777" w:rsidR="00682842" w:rsidRDefault="00682842">
      <w:r>
        <w:separator/>
      </w:r>
    </w:p>
    <w:p w14:paraId="45E410EE" w14:textId="77777777" w:rsidR="00682842" w:rsidRDefault="00682842"/>
  </w:endnote>
  <w:endnote w:type="continuationSeparator" w:id="0">
    <w:p w14:paraId="5C95FDA6" w14:textId="77777777" w:rsidR="00682842" w:rsidRDefault="00682842">
      <w:r>
        <w:continuationSeparator/>
      </w:r>
    </w:p>
    <w:p w14:paraId="01309FB3" w14:textId="77777777" w:rsidR="00682842" w:rsidRDefault="006828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423B" w14:textId="77777777" w:rsidR="00607CD7" w:rsidRPr="003D2E66" w:rsidRDefault="00607CD7" w:rsidP="004C3E99">
    <w:pPr>
      <w:pStyle w:val="Footer"/>
      <w:rPr>
        <w:rFonts w:ascii="Times New Roman" w:hAnsi="Times New Roman" w:cs="Times New Roman"/>
        <w:sz w:val="20"/>
        <w:szCs w:val="20"/>
      </w:rPr>
    </w:pPr>
  </w:p>
  <w:p w14:paraId="7BE26CF1" w14:textId="0F6259A2" w:rsidR="006075B5" w:rsidRPr="00D7126F" w:rsidRDefault="00E20383" w:rsidP="004C3E99">
    <w:pPr>
      <w:pStyle w:val="Footer"/>
      <w:pBdr>
        <w:top w:val="single" w:sz="4" w:space="1" w:color="auto"/>
      </w:pBdr>
      <w:jc w:val="center"/>
      <w:rPr>
        <w:rFonts w:ascii="Times New Roman" w:hAnsi="Times New Roman" w:cs="Times New Roman"/>
      </w:rPr>
    </w:pPr>
    <w:proofErr w:type="spellStart"/>
    <w:r>
      <w:rPr>
        <w:rFonts w:ascii="Times New Roman" w:hAnsi="Times New Roman" w:cs="Times New Roman"/>
      </w:rPr>
      <w:t>Theramex</w:t>
    </w:r>
    <w:proofErr w:type="spellEnd"/>
    <w:r>
      <w:rPr>
        <w:rFonts w:ascii="Times New Roman" w:hAnsi="Times New Roman" w:cs="Times New Roman"/>
      </w:rPr>
      <w:t xml:space="preserve"> Australia Pty Ltd</w:t>
    </w:r>
    <w:r w:rsidR="006075B5" w:rsidRPr="00D7126F">
      <w:rPr>
        <w:rFonts w:ascii="Times New Roman" w:hAnsi="Times New Roman" w:cs="Times New Roman"/>
      </w:rPr>
      <w:ptab w:relativeTo="margin" w:alignment="center" w:leader="none"/>
    </w:r>
    <w:r w:rsidR="006075B5" w:rsidRPr="00D7126F">
      <w:rPr>
        <w:rFonts w:ascii="Times New Roman" w:hAnsi="Times New Roman" w:cs="Times New Roman"/>
      </w:rPr>
      <w:t xml:space="preserve">Version </w:t>
    </w:r>
    <w:r w:rsidR="00D313CC">
      <w:rPr>
        <w:rFonts w:ascii="Times New Roman" w:hAnsi="Times New Roman" w:cs="Times New Roman"/>
      </w:rPr>
      <w:t xml:space="preserve">1.0 </w:t>
    </w:r>
    <w:r w:rsidR="006075B5" w:rsidRPr="00D7126F">
      <w:rPr>
        <w:rFonts w:ascii="Times New Roman" w:hAnsi="Times New Roman" w:cs="Times New Roman"/>
      </w:rPr>
      <w:ptab w:relativeTo="margin" w:alignment="right" w:leader="none"/>
    </w:r>
    <w:sdt>
      <w:sdtPr>
        <w:rPr>
          <w:rFonts w:ascii="Times New Roman" w:hAnsi="Times New Roman" w:cs="Times New Roman"/>
        </w:rPr>
        <w:id w:val="875815348"/>
        <w:docPartObj>
          <w:docPartGallery w:val="Page Numbers (Bottom of Page)"/>
          <w:docPartUnique/>
        </w:docPartObj>
      </w:sdtPr>
      <w:sdtEndPr/>
      <w:sdtContent>
        <w:sdt>
          <w:sdtPr>
            <w:rPr>
              <w:rFonts w:ascii="Times New Roman" w:hAnsi="Times New Roman" w:cs="Times New Roman"/>
            </w:rPr>
            <w:id w:val="1728636285"/>
            <w:docPartObj>
              <w:docPartGallery w:val="Page Numbers (Top of Page)"/>
              <w:docPartUnique/>
            </w:docPartObj>
          </w:sdtPr>
          <w:sdtEndPr/>
          <w:sdtContent>
            <w:r w:rsidR="006075B5" w:rsidRPr="00D7126F">
              <w:rPr>
                <w:rFonts w:ascii="Times New Roman" w:hAnsi="Times New Roman" w:cs="Times New Roman"/>
              </w:rPr>
              <w:t xml:space="preserve">Page </w:t>
            </w:r>
            <w:r w:rsidR="006075B5" w:rsidRPr="00D7126F">
              <w:rPr>
                <w:rFonts w:ascii="Times New Roman" w:hAnsi="Times New Roman" w:cs="Times New Roman"/>
                <w:b/>
                <w:bCs/>
                <w:sz w:val="24"/>
                <w:szCs w:val="24"/>
              </w:rPr>
              <w:fldChar w:fldCharType="begin"/>
            </w:r>
            <w:r w:rsidR="006075B5" w:rsidRPr="00D7126F">
              <w:rPr>
                <w:rFonts w:ascii="Times New Roman" w:hAnsi="Times New Roman" w:cs="Times New Roman"/>
                <w:b/>
                <w:bCs/>
              </w:rPr>
              <w:instrText xml:space="preserve"> PAGE </w:instrText>
            </w:r>
            <w:r w:rsidR="006075B5" w:rsidRPr="00D7126F">
              <w:rPr>
                <w:rFonts w:ascii="Times New Roman" w:hAnsi="Times New Roman" w:cs="Times New Roman"/>
                <w:b/>
                <w:bCs/>
                <w:sz w:val="24"/>
                <w:szCs w:val="24"/>
              </w:rPr>
              <w:fldChar w:fldCharType="separate"/>
            </w:r>
            <w:r w:rsidR="006075B5" w:rsidRPr="00D7126F">
              <w:rPr>
                <w:rFonts w:ascii="Times New Roman" w:hAnsi="Times New Roman" w:cs="Times New Roman"/>
                <w:b/>
                <w:bCs/>
                <w:noProof/>
              </w:rPr>
              <w:t>2</w:t>
            </w:r>
            <w:r w:rsidR="006075B5" w:rsidRPr="00D7126F">
              <w:rPr>
                <w:rFonts w:ascii="Times New Roman" w:hAnsi="Times New Roman" w:cs="Times New Roman"/>
                <w:b/>
                <w:bCs/>
                <w:sz w:val="24"/>
                <w:szCs w:val="24"/>
              </w:rPr>
              <w:fldChar w:fldCharType="end"/>
            </w:r>
            <w:r w:rsidR="006075B5" w:rsidRPr="00D7126F">
              <w:rPr>
                <w:rFonts w:ascii="Times New Roman" w:hAnsi="Times New Roman" w:cs="Times New Roman"/>
              </w:rPr>
              <w:t xml:space="preserve"> of </w:t>
            </w:r>
            <w:r w:rsidR="006075B5" w:rsidRPr="00D7126F">
              <w:rPr>
                <w:rFonts w:ascii="Times New Roman" w:hAnsi="Times New Roman" w:cs="Times New Roman"/>
                <w:b/>
                <w:bCs/>
                <w:sz w:val="24"/>
                <w:szCs w:val="24"/>
              </w:rPr>
              <w:fldChar w:fldCharType="begin"/>
            </w:r>
            <w:r w:rsidR="006075B5" w:rsidRPr="00D7126F">
              <w:rPr>
                <w:rFonts w:ascii="Times New Roman" w:hAnsi="Times New Roman" w:cs="Times New Roman"/>
                <w:b/>
                <w:bCs/>
              </w:rPr>
              <w:instrText xml:space="preserve"> NUMPAGES  </w:instrText>
            </w:r>
            <w:r w:rsidR="006075B5" w:rsidRPr="00D7126F">
              <w:rPr>
                <w:rFonts w:ascii="Times New Roman" w:hAnsi="Times New Roman" w:cs="Times New Roman"/>
                <w:b/>
                <w:bCs/>
                <w:sz w:val="24"/>
                <w:szCs w:val="24"/>
              </w:rPr>
              <w:fldChar w:fldCharType="separate"/>
            </w:r>
            <w:r w:rsidR="006075B5" w:rsidRPr="00D7126F">
              <w:rPr>
                <w:rFonts w:ascii="Times New Roman" w:hAnsi="Times New Roman" w:cs="Times New Roman"/>
                <w:b/>
                <w:bCs/>
                <w:noProof/>
              </w:rPr>
              <w:t>2</w:t>
            </w:r>
            <w:r w:rsidR="006075B5" w:rsidRPr="00D7126F">
              <w:rPr>
                <w:rFonts w:ascii="Times New Roman" w:hAnsi="Times New Roman" w:cs="Times New Roman"/>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8819" w14:textId="77777777" w:rsidR="00682842" w:rsidRDefault="00682842">
      <w:r>
        <w:separator/>
      </w:r>
    </w:p>
    <w:p w14:paraId="0B16F9F5" w14:textId="77777777" w:rsidR="00682842" w:rsidRDefault="00682842"/>
  </w:footnote>
  <w:footnote w:type="continuationSeparator" w:id="0">
    <w:p w14:paraId="43120A57" w14:textId="77777777" w:rsidR="00682842" w:rsidRDefault="00682842">
      <w:r>
        <w:continuationSeparator/>
      </w:r>
    </w:p>
    <w:p w14:paraId="26237D5B" w14:textId="77777777" w:rsidR="00682842" w:rsidRDefault="006828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2"/>
      <w:tblW w:w="0" w:type="auto"/>
      <w:shd w:val="clear" w:color="auto" w:fill="E4F2E0"/>
      <w:tblLook w:val="04A0" w:firstRow="1" w:lastRow="0" w:firstColumn="1" w:lastColumn="0" w:noHBand="0" w:noVBand="1"/>
    </w:tblPr>
    <w:tblGrid>
      <w:gridCol w:w="8720"/>
    </w:tblGrid>
    <w:tr w:rsidR="00950490" w:rsidRPr="005A701B" w14:paraId="2786F08B" w14:textId="77777777" w:rsidTr="009E6CC1">
      <w:tc>
        <w:tcPr>
          <w:tcW w:w="8720" w:type="dxa"/>
          <w:shd w:val="clear" w:color="auto" w:fill="E4F2E0"/>
        </w:tcPr>
        <w:p w14:paraId="431F6C34" w14:textId="7D6EB21F" w:rsidR="00950490" w:rsidRPr="005A701B" w:rsidRDefault="00950490" w:rsidP="00950490">
          <w:pPr>
            <w:spacing w:before="180" w:after="180" w:line="240" w:lineRule="atLeast"/>
            <w:rPr>
              <w:rFonts w:ascii="Cambria" w:hAnsi="Cambria"/>
              <w:b/>
              <w:sz w:val="20"/>
              <w:szCs w:val="20"/>
            </w:rPr>
          </w:pPr>
          <w:bookmarkStart w:id="37" w:name="_Hlk126587363"/>
          <w:r w:rsidRPr="005A701B">
            <w:rPr>
              <w:rFonts w:ascii="Cambria" w:hAnsi="Cambria"/>
              <w:b/>
              <w:sz w:val="20"/>
              <w:szCs w:val="20"/>
            </w:rPr>
            <w:t>Attachment 1: Product information for</w:t>
          </w:r>
          <w:r>
            <w:rPr>
              <w:rFonts w:ascii="Cambria" w:hAnsi="Cambria"/>
              <w:b/>
              <w:sz w:val="20"/>
              <w:szCs w:val="20"/>
            </w:rPr>
            <w:t xml:space="preserve"> </w:t>
          </w:r>
          <w:proofErr w:type="spellStart"/>
          <w:r w:rsidRPr="00950490">
            <w:rPr>
              <w:rFonts w:ascii="Cambria" w:hAnsi="Cambria"/>
              <w:b/>
              <w:sz w:val="20"/>
              <w:szCs w:val="20"/>
            </w:rPr>
            <w:t>AusPAR</w:t>
          </w:r>
          <w:proofErr w:type="spellEnd"/>
          <w:r w:rsidRPr="00950490">
            <w:rPr>
              <w:rFonts w:ascii="Cambria" w:hAnsi="Cambria"/>
              <w:b/>
              <w:sz w:val="20"/>
              <w:szCs w:val="20"/>
            </w:rPr>
            <w:t xml:space="preserve"> – </w:t>
          </w:r>
          <w:proofErr w:type="spellStart"/>
          <w:r w:rsidRPr="00950490">
            <w:rPr>
              <w:rFonts w:ascii="Cambria" w:hAnsi="Cambria"/>
              <w:b/>
              <w:sz w:val="20"/>
              <w:szCs w:val="20"/>
            </w:rPr>
            <w:t>Bijuva</w:t>
          </w:r>
          <w:proofErr w:type="spellEnd"/>
          <w:r w:rsidRPr="00950490">
            <w:rPr>
              <w:rFonts w:ascii="Cambria" w:hAnsi="Cambria"/>
              <w:b/>
              <w:sz w:val="20"/>
              <w:szCs w:val="20"/>
            </w:rPr>
            <w:t xml:space="preserve"> 1/100 - </w:t>
          </w:r>
          <w:proofErr w:type="spellStart"/>
          <w:r w:rsidRPr="00950490">
            <w:rPr>
              <w:rFonts w:ascii="Cambria" w:hAnsi="Cambria"/>
              <w:b/>
              <w:sz w:val="20"/>
              <w:szCs w:val="20"/>
            </w:rPr>
            <w:t>estradiol</w:t>
          </w:r>
          <w:proofErr w:type="spellEnd"/>
          <w:r w:rsidRPr="00950490">
            <w:rPr>
              <w:rFonts w:ascii="Cambria" w:hAnsi="Cambria"/>
              <w:b/>
              <w:sz w:val="20"/>
              <w:szCs w:val="20"/>
            </w:rPr>
            <w:t xml:space="preserve"> hemihydrate and progesterone - </w:t>
          </w:r>
          <w:proofErr w:type="spellStart"/>
          <w:r w:rsidRPr="00950490">
            <w:rPr>
              <w:rFonts w:ascii="Cambria" w:hAnsi="Cambria"/>
              <w:b/>
              <w:sz w:val="20"/>
              <w:szCs w:val="20"/>
            </w:rPr>
            <w:t>Theramex</w:t>
          </w:r>
          <w:proofErr w:type="spellEnd"/>
          <w:r w:rsidRPr="00950490">
            <w:rPr>
              <w:rFonts w:ascii="Cambria" w:hAnsi="Cambria"/>
              <w:b/>
              <w:sz w:val="20"/>
              <w:szCs w:val="20"/>
            </w:rPr>
            <w:t xml:space="preserve"> Australia Pty Ltd - PM-2021-02236-1-5</w:t>
          </w:r>
          <w:r>
            <w:rPr>
              <w:rFonts w:ascii="Cambria" w:hAnsi="Cambria"/>
              <w:b/>
              <w:sz w:val="20"/>
              <w:szCs w:val="20"/>
            </w:rPr>
            <w:t xml:space="preserve"> </w:t>
          </w:r>
          <w:r w:rsidRPr="00950490">
            <w:rPr>
              <w:rFonts w:ascii="Cambria" w:hAnsi="Cambria"/>
              <w:b/>
              <w:sz w:val="20"/>
              <w:szCs w:val="20"/>
            </w:rPr>
            <w:t>FINAL 17 February 2023</w:t>
          </w:r>
          <w:r w:rsidRPr="005A701B">
            <w:rPr>
              <w:rFonts w:ascii="Cambria" w:hAnsi="Cambria"/>
              <w:b/>
              <w:sz w:val="20"/>
              <w:szCs w:val="20"/>
            </w:rPr>
            <w:t xml:space="preserve">. This is the Product Information that was approved with the submission described in this </w:t>
          </w:r>
          <w:proofErr w:type="spellStart"/>
          <w:r w:rsidRPr="005A701B">
            <w:rPr>
              <w:rFonts w:ascii="Cambria" w:hAnsi="Cambria"/>
              <w:b/>
              <w:sz w:val="20"/>
              <w:szCs w:val="20"/>
            </w:rPr>
            <w:t>AusPAR</w:t>
          </w:r>
          <w:proofErr w:type="spellEnd"/>
          <w:r w:rsidRPr="005A701B">
            <w:rPr>
              <w:rFonts w:ascii="Cambria" w:hAnsi="Cambria"/>
              <w:b/>
              <w:sz w:val="20"/>
              <w:szCs w:val="20"/>
            </w:rPr>
            <w:t>. It may have been superseded. For the most recent PI, please refer to the TGA website at &lt;</w:t>
          </w:r>
          <w:hyperlink r:id="rId1" w:history="1">
            <w:r w:rsidRPr="005A701B">
              <w:rPr>
                <w:rFonts w:ascii="Cambria" w:hAnsi="Cambria"/>
                <w:b/>
                <w:color w:val="0000FF"/>
                <w:sz w:val="20"/>
                <w:szCs w:val="20"/>
                <w:u w:val="single"/>
              </w:rPr>
              <w:t>https://www.tga.gov.au/products/australian-register-therapeutic-goods-artg/product-information-one</w:t>
            </w:r>
          </w:hyperlink>
          <w:r w:rsidRPr="005A701B">
            <w:rPr>
              <w:rFonts w:ascii="Cambria" w:hAnsi="Cambria"/>
              <w:b/>
              <w:sz w:val="20"/>
              <w:szCs w:val="20"/>
            </w:rPr>
            <w:t>&gt;</w:t>
          </w:r>
        </w:p>
      </w:tc>
    </w:tr>
    <w:bookmarkEnd w:id="37"/>
  </w:tbl>
  <w:p w14:paraId="1D4E873A" w14:textId="77777777" w:rsidR="00950490" w:rsidRDefault="00950490" w:rsidP="00235B8A">
    <w:pPr>
      <w:widowControl/>
      <w:pBdr>
        <w:bottom w:val="single" w:sz="4" w:space="1" w:color="auto"/>
      </w:pBdr>
      <w:tabs>
        <w:tab w:val="center" w:pos="4513"/>
        <w:tab w:val="right" w:pos="9026"/>
      </w:tabs>
      <w:rPr>
        <w:rFonts w:ascii="Times New Roman" w:eastAsia="Calibri" w:hAnsi="Times New Roman" w:cs="Times New Roman"/>
        <w:sz w:val="24"/>
        <w:szCs w:val="24"/>
        <w:lang w:val="en"/>
      </w:rPr>
    </w:pPr>
  </w:p>
  <w:p w14:paraId="771C3395" w14:textId="3168D20A" w:rsidR="006075B5" w:rsidRPr="00235B8A" w:rsidRDefault="006075B5" w:rsidP="00235B8A">
    <w:pPr>
      <w:widowControl/>
      <w:pBdr>
        <w:bottom w:val="single" w:sz="4" w:space="1" w:color="auto"/>
      </w:pBdr>
      <w:tabs>
        <w:tab w:val="center" w:pos="4513"/>
        <w:tab w:val="right" w:pos="9026"/>
      </w:tabs>
      <w:rPr>
        <w:rFonts w:ascii="Times New Roman" w:eastAsia="Calibri" w:hAnsi="Times New Roman" w:cs="Times New Roman"/>
        <w:sz w:val="24"/>
        <w:szCs w:val="24"/>
        <w:lang w:val="en"/>
      </w:rPr>
    </w:pPr>
    <w:r>
      <w:rPr>
        <w:rFonts w:ascii="Times New Roman" w:eastAsia="Calibri" w:hAnsi="Times New Roman" w:cs="Times New Roman"/>
        <w:sz w:val="24"/>
        <w:szCs w:val="24"/>
        <w:lang w:val="en"/>
      </w:rPr>
      <w:t>BIJUVA</w:t>
    </w:r>
    <w:r w:rsidRPr="00235B8A">
      <w:rPr>
        <w:rFonts w:ascii="Times New Roman" w:eastAsia="Calibri" w:hAnsi="Times New Roman" w:cs="Times New Roman"/>
        <w:sz w:val="24"/>
        <w:szCs w:val="24"/>
        <w:vertAlign w:val="superscript"/>
        <w:lang w:val="en"/>
      </w:rPr>
      <w:t>®</w:t>
    </w:r>
    <w:r>
      <w:rPr>
        <w:rFonts w:ascii="Times New Roman" w:eastAsia="Calibri" w:hAnsi="Times New Roman" w:cs="Times New Roman"/>
        <w:sz w:val="24"/>
        <w:szCs w:val="24"/>
        <w:lang w:val="en"/>
      </w:rPr>
      <w:t xml:space="preserve"> 1/100 </w:t>
    </w:r>
    <w:r w:rsidRPr="00235B8A">
      <w:rPr>
        <w:rFonts w:ascii="Times New Roman" w:eastAsia="Calibri" w:hAnsi="Times New Roman" w:cs="Times New Roman"/>
        <w:sz w:val="24"/>
        <w:szCs w:val="24"/>
        <w:lang w:val="en"/>
      </w:rPr>
      <w:t>(estradiol</w:t>
    </w:r>
    <w:r>
      <w:rPr>
        <w:rFonts w:ascii="Times New Roman" w:eastAsia="Calibri" w:hAnsi="Times New Roman" w:cs="Times New Roman"/>
        <w:sz w:val="24"/>
        <w:szCs w:val="24"/>
        <w:lang w:val="en"/>
      </w:rPr>
      <w:t xml:space="preserve"> (as hemihydrate)</w:t>
    </w:r>
    <w:r w:rsidRPr="00235B8A">
      <w:rPr>
        <w:rFonts w:ascii="Times New Roman" w:eastAsia="Calibri" w:hAnsi="Times New Roman" w:cs="Times New Roman"/>
        <w:sz w:val="24"/>
        <w:szCs w:val="24"/>
        <w:lang w:val="en"/>
      </w:rPr>
      <w:t xml:space="preserve"> and progesterone)</w:t>
    </w:r>
  </w:p>
  <w:p w14:paraId="3E6B1ACC" w14:textId="77777777" w:rsidR="006075B5" w:rsidRDefault="006075B5" w:rsidP="00235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1FA"/>
    <w:multiLevelType w:val="hybridMultilevel"/>
    <w:tmpl w:val="B8D2D6BA"/>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start w:val="1"/>
      <w:numFmt w:val="bullet"/>
      <w:lvlText w:val=""/>
      <w:lvlJc w:val="left"/>
      <w:pPr>
        <w:ind w:left="2925" w:hanging="360"/>
      </w:pPr>
      <w:rPr>
        <w:rFonts w:ascii="Symbol" w:hAnsi="Symbol" w:hint="default"/>
      </w:rPr>
    </w:lvl>
    <w:lvl w:ilvl="4" w:tplc="0C090003">
      <w:start w:val="1"/>
      <w:numFmt w:val="bullet"/>
      <w:lvlText w:val="o"/>
      <w:lvlJc w:val="left"/>
      <w:pPr>
        <w:ind w:left="3645" w:hanging="360"/>
      </w:pPr>
      <w:rPr>
        <w:rFonts w:ascii="Courier New" w:hAnsi="Courier New" w:cs="Courier New" w:hint="default"/>
      </w:rPr>
    </w:lvl>
    <w:lvl w:ilvl="5" w:tplc="0C090005">
      <w:start w:val="1"/>
      <w:numFmt w:val="bullet"/>
      <w:lvlText w:val=""/>
      <w:lvlJc w:val="left"/>
      <w:pPr>
        <w:ind w:left="4365" w:hanging="360"/>
      </w:pPr>
      <w:rPr>
        <w:rFonts w:ascii="Wingdings" w:hAnsi="Wingdings" w:hint="default"/>
      </w:rPr>
    </w:lvl>
    <w:lvl w:ilvl="6" w:tplc="0C090001">
      <w:start w:val="1"/>
      <w:numFmt w:val="bullet"/>
      <w:lvlText w:val=""/>
      <w:lvlJc w:val="left"/>
      <w:pPr>
        <w:ind w:left="5085" w:hanging="360"/>
      </w:pPr>
      <w:rPr>
        <w:rFonts w:ascii="Symbol" w:hAnsi="Symbol" w:hint="default"/>
      </w:rPr>
    </w:lvl>
    <w:lvl w:ilvl="7" w:tplc="0C090003">
      <w:start w:val="1"/>
      <w:numFmt w:val="bullet"/>
      <w:lvlText w:val="o"/>
      <w:lvlJc w:val="left"/>
      <w:pPr>
        <w:ind w:left="5805" w:hanging="360"/>
      </w:pPr>
      <w:rPr>
        <w:rFonts w:ascii="Courier New" w:hAnsi="Courier New" w:cs="Courier New" w:hint="default"/>
      </w:rPr>
    </w:lvl>
    <w:lvl w:ilvl="8" w:tplc="0C090005">
      <w:start w:val="1"/>
      <w:numFmt w:val="bullet"/>
      <w:lvlText w:val=""/>
      <w:lvlJc w:val="left"/>
      <w:pPr>
        <w:ind w:left="6525" w:hanging="360"/>
      </w:pPr>
      <w:rPr>
        <w:rFonts w:ascii="Wingdings" w:hAnsi="Wingdings" w:hint="default"/>
      </w:rPr>
    </w:lvl>
  </w:abstractNum>
  <w:abstractNum w:abstractNumId="1" w15:restartNumberingAfterBreak="0">
    <w:nsid w:val="1BF12FD5"/>
    <w:multiLevelType w:val="multilevel"/>
    <w:tmpl w:val="67A0F52C"/>
    <w:lvl w:ilvl="0">
      <w:start w:val="5"/>
      <w:numFmt w:val="decimal"/>
      <w:lvlText w:val="%1"/>
      <w:lvlJc w:val="left"/>
      <w:pPr>
        <w:ind w:left="716" w:hanging="576"/>
      </w:pPr>
      <w:rPr>
        <w:rFonts w:hint="default"/>
      </w:rPr>
    </w:lvl>
    <w:lvl w:ilvl="1">
      <w:start w:val="2"/>
      <w:numFmt w:val="decimal"/>
      <w:lvlText w:val="%1.%2"/>
      <w:lvlJc w:val="left"/>
      <w:pPr>
        <w:ind w:left="716" w:hanging="576"/>
      </w:pPr>
      <w:rPr>
        <w:rFonts w:ascii="Times New Roman" w:eastAsia="Times New Roman" w:hAnsi="Times New Roman" w:hint="default"/>
        <w:b/>
        <w:bCs/>
        <w:sz w:val="24"/>
        <w:szCs w:val="24"/>
      </w:rPr>
    </w:lvl>
    <w:lvl w:ilvl="2">
      <w:start w:val="1"/>
      <w:numFmt w:val="bullet"/>
      <w:lvlText w:val=""/>
      <w:lvlJc w:val="left"/>
      <w:pPr>
        <w:ind w:left="639" w:hanging="221"/>
      </w:pPr>
      <w:rPr>
        <w:rFonts w:ascii="Symbol" w:eastAsia="Symbol" w:hAnsi="Symbol" w:hint="default"/>
        <w:sz w:val="22"/>
        <w:szCs w:val="22"/>
      </w:rPr>
    </w:lvl>
    <w:lvl w:ilvl="3">
      <w:start w:val="1"/>
      <w:numFmt w:val="bullet"/>
      <w:lvlText w:val="•"/>
      <w:lvlJc w:val="left"/>
      <w:pPr>
        <w:ind w:left="2624" w:hanging="221"/>
      </w:pPr>
      <w:rPr>
        <w:rFonts w:hint="default"/>
      </w:rPr>
    </w:lvl>
    <w:lvl w:ilvl="4">
      <w:start w:val="1"/>
      <w:numFmt w:val="bullet"/>
      <w:lvlText w:val="•"/>
      <w:lvlJc w:val="left"/>
      <w:pPr>
        <w:ind w:left="3579" w:hanging="221"/>
      </w:pPr>
      <w:rPr>
        <w:rFonts w:hint="default"/>
      </w:rPr>
    </w:lvl>
    <w:lvl w:ilvl="5">
      <w:start w:val="1"/>
      <w:numFmt w:val="bullet"/>
      <w:lvlText w:val="•"/>
      <w:lvlJc w:val="left"/>
      <w:pPr>
        <w:ind w:left="4533" w:hanging="221"/>
      </w:pPr>
      <w:rPr>
        <w:rFonts w:hint="default"/>
      </w:rPr>
    </w:lvl>
    <w:lvl w:ilvl="6">
      <w:start w:val="1"/>
      <w:numFmt w:val="bullet"/>
      <w:lvlText w:val="•"/>
      <w:lvlJc w:val="left"/>
      <w:pPr>
        <w:ind w:left="5488" w:hanging="221"/>
      </w:pPr>
      <w:rPr>
        <w:rFonts w:hint="default"/>
      </w:rPr>
    </w:lvl>
    <w:lvl w:ilvl="7">
      <w:start w:val="1"/>
      <w:numFmt w:val="bullet"/>
      <w:lvlText w:val="•"/>
      <w:lvlJc w:val="left"/>
      <w:pPr>
        <w:ind w:left="6442" w:hanging="221"/>
      </w:pPr>
      <w:rPr>
        <w:rFonts w:hint="default"/>
      </w:rPr>
    </w:lvl>
    <w:lvl w:ilvl="8">
      <w:start w:val="1"/>
      <w:numFmt w:val="bullet"/>
      <w:lvlText w:val="•"/>
      <w:lvlJc w:val="left"/>
      <w:pPr>
        <w:ind w:left="7397" w:hanging="221"/>
      </w:pPr>
      <w:rPr>
        <w:rFonts w:hint="default"/>
      </w:rPr>
    </w:lvl>
  </w:abstractNum>
  <w:abstractNum w:abstractNumId="2" w15:restartNumberingAfterBreak="0">
    <w:nsid w:val="1D7B2A55"/>
    <w:multiLevelType w:val="multilevel"/>
    <w:tmpl w:val="BF686EDA"/>
    <w:lvl w:ilvl="0">
      <w:start w:val="1"/>
      <w:numFmt w:val="decimal"/>
      <w:pStyle w:val="Heading1"/>
      <w:lvlText w:val="%1"/>
      <w:lvlJc w:val="left"/>
      <w:pPr>
        <w:ind w:left="1272" w:hanging="433"/>
      </w:pPr>
      <w:rPr>
        <w:rFonts w:ascii="Times New Roman" w:eastAsia="Times New Roman" w:hAnsi="Times New Roman" w:hint="default"/>
        <w:b/>
        <w:bCs/>
        <w:w w:val="99"/>
        <w:sz w:val="32"/>
        <w:szCs w:val="32"/>
      </w:rPr>
    </w:lvl>
    <w:lvl w:ilvl="1">
      <w:start w:val="1"/>
      <w:numFmt w:val="decimal"/>
      <w:pStyle w:val="Heading2"/>
      <w:lvlText w:val="%1.%2"/>
      <w:lvlJc w:val="left"/>
      <w:pPr>
        <w:ind w:left="576" w:hanging="576"/>
      </w:pPr>
      <w:rPr>
        <w:rFonts w:ascii="Times New Roman" w:eastAsia="Times New Roman" w:hAnsi="Times New Roman" w:hint="default"/>
        <w:b/>
        <w:bCs/>
        <w:sz w:val="24"/>
        <w:szCs w:val="24"/>
      </w:rPr>
    </w:lvl>
    <w:lvl w:ilvl="2">
      <w:start w:val="1"/>
      <w:numFmt w:val="bullet"/>
      <w:lvlText w:val="•"/>
      <w:lvlJc w:val="left"/>
      <w:pPr>
        <w:ind w:left="2370" w:hanging="576"/>
      </w:pPr>
      <w:rPr>
        <w:rFonts w:hint="default"/>
      </w:rPr>
    </w:lvl>
    <w:lvl w:ilvl="3">
      <w:start w:val="1"/>
      <w:numFmt w:val="bullet"/>
      <w:lvlText w:val="•"/>
      <w:lvlJc w:val="left"/>
      <w:pPr>
        <w:ind w:left="3324" w:hanging="576"/>
      </w:pPr>
      <w:rPr>
        <w:rFonts w:hint="default"/>
      </w:rPr>
    </w:lvl>
    <w:lvl w:ilvl="4">
      <w:start w:val="1"/>
      <w:numFmt w:val="bullet"/>
      <w:lvlText w:val="•"/>
      <w:lvlJc w:val="left"/>
      <w:pPr>
        <w:ind w:left="4279" w:hanging="576"/>
      </w:pPr>
      <w:rPr>
        <w:rFonts w:hint="default"/>
      </w:rPr>
    </w:lvl>
    <w:lvl w:ilvl="5">
      <w:start w:val="1"/>
      <w:numFmt w:val="bullet"/>
      <w:lvlText w:val="•"/>
      <w:lvlJc w:val="left"/>
      <w:pPr>
        <w:ind w:left="5233" w:hanging="576"/>
      </w:pPr>
      <w:rPr>
        <w:rFonts w:hint="default"/>
      </w:rPr>
    </w:lvl>
    <w:lvl w:ilvl="6">
      <w:start w:val="1"/>
      <w:numFmt w:val="bullet"/>
      <w:lvlText w:val="•"/>
      <w:lvlJc w:val="left"/>
      <w:pPr>
        <w:ind w:left="6188" w:hanging="576"/>
      </w:pPr>
      <w:rPr>
        <w:rFonts w:hint="default"/>
      </w:rPr>
    </w:lvl>
    <w:lvl w:ilvl="7">
      <w:start w:val="1"/>
      <w:numFmt w:val="bullet"/>
      <w:lvlText w:val="•"/>
      <w:lvlJc w:val="left"/>
      <w:pPr>
        <w:ind w:left="7142" w:hanging="576"/>
      </w:pPr>
      <w:rPr>
        <w:rFonts w:hint="default"/>
      </w:rPr>
    </w:lvl>
    <w:lvl w:ilvl="8">
      <w:start w:val="1"/>
      <w:numFmt w:val="bullet"/>
      <w:lvlText w:val="•"/>
      <w:lvlJc w:val="left"/>
      <w:pPr>
        <w:ind w:left="8097" w:hanging="576"/>
      </w:pPr>
      <w:rPr>
        <w:rFonts w:hint="default"/>
      </w:rPr>
    </w:lvl>
  </w:abstractNum>
  <w:abstractNum w:abstractNumId="3" w15:restartNumberingAfterBreak="0">
    <w:nsid w:val="1F054860"/>
    <w:multiLevelType w:val="hybridMultilevel"/>
    <w:tmpl w:val="9E022AB2"/>
    <w:lvl w:ilvl="0" w:tplc="766A45FA">
      <w:start w:val="1"/>
      <w:numFmt w:val="bullet"/>
      <w:lvlText w:val=""/>
      <w:lvlJc w:val="left"/>
      <w:pPr>
        <w:ind w:left="706" w:hanging="288"/>
      </w:pPr>
      <w:rPr>
        <w:rFonts w:ascii="Symbol" w:eastAsia="Symbol" w:hAnsi="Symbol" w:hint="default"/>
        <w:sz w:val="22"/>
        <w:szCs w:val="22"/>
      </w:rPr>
    </w:lvl>
    <w:lvl w:ilvl="1" w:tplc="F3A4A1E4">
      <w:start w:val="1"/>
      <w:numFmt w:val="bullet"/>
      <w:lvlText w:val="•"/>
      <w:lvlJc w:val="left"/>
      <w:pPr>
        <w:ind w:left="1586" w:hanging="288"/>
      </w:pPr>
      <w:rPr>
        <w:rFonts w:hint="default"/>
      </w:rPr>
    </w:lvl>
    <w:lvl w:ilvl="2" w:tplc="4984BC12">
      <w:start w:val="1"/>
      <w:numFmt w:val="bullet"/>
      <w:lvlText w:val="•"/>
      <w:lvlJc w:val="left"/>
      <w:pPr>
        <w:ind w:left="2466" w:hanging="288"/>
      </w:pPr>
      <w:rPr>
        <w:rFonts w:hint="default"/>
      </w:rPr>
    </w:lvl>
    <w:lvl w:ilvl="3" w:tplc="8CC2932E">
      <w:start w:val="1"/>
      <w:numFmt w:val="bullet"/>
      <w:lvlText w:val="•"/>
      <w:lvlJc w:val="left"/>
      <w:pPr>
        <w:ind w:left="3346" w:hanging="288"/>
      </w:pPr>
      <w:rPr>
        <w:rFonts w:hint="default"/>
      </w:rPr>
    </w:lvl>
    <w:lvl w:ilvl="4" w:tplc="C4D480C8">
      <w:start w:val="1"/>
      <w:numFmt w:val="bullet"/>
      <w:lvlText w:val="•"/>
      <w:lvlJc w:val="left"/>
      <w:pPr>
        <w:ind w:left="4226" w:hanging="288"/>
      </w:pPr>
      <w:rPr>
        <w:rFonts w:hint="default"/>
      </w:rPr>
    </w:lvl>
    <w:lvl w:ilvl="5" w:tplc="09E4C172">
      <w:start w:val="1"/>
      <w:numFmt w:val="bullet"/>
      <w:lvlText w:val="•"/>
      <w:lvlJc w:val="left"/>
      <w:pPr>
        <w:ind w:left="5106" w:hanging="288"/>
      </w:pPr>
      <w:rPr>
        <w:rFonts w:hint="default"/>
      </w:rPr>
    </w:lvl>
    <w:lvl w:ilvl="6" w:tplc="B5E0EB98">
      <w:start w:val="1"/>
      <w:numFmt w:val="bullet"/>
      <w:lvlText w:val="•"/>
      <w:lvlJc w:val="left"/>
      <w:pPr>
        <w:ind w:left="5986" w:hanging="288"/>
      </w:pPr>
      <w:rPr>
        <w:rFonts w:hint="default"/>
      </w:rPr>
    </w:lvl>
    <w:lvl w:ilvl="7" w:tplc="AEFA3D20">
      <w:start w:val="1"/>
      <w:numFmt w:val="bullet"/>
      <w:lvlText w:val="•"/>
      <w:lvlJc w:val="left"/>
      <w:pPr>
        <w:ind w:left="6866" w:hanging="288"/>
      </w:pPr>
      <w:rPr>
        <w:rFonts w:hint="default"/>
      </w:rPr>
    </w:lvl>
    <w:lvl w:ilvl="8" w:tplc="685E44E8">
      <w:start w:val="1"/>
      <w:numFmt w:val="bullet"/>
      <w:lvlText w:val="•"/>
      <w:lvlJc w:val="left"/>
      <w:pPr>
        <w:ind w:left="7746" w:hanging="288"/>
      </w:pPr>
      <w:rPr>
        <w:rFonts w:hint="default"/>
      </w:rPr>
    </w:lvl>
  </w:abstractNum>
  <w:abstractNum w:abstractNumId="4" w15:restartNumberingAfterBreak="0">
    <w:nsid w:val="28F172B4"/>
    <w:multiLevelType w:val="hybridMultilevel"/>
    <w:tmpl w:val="74181E2E"/>
    <w:lvl w:ilvl="0" w:tplc="2B00F300">
      <w:start w:val="1"/>
      <w:numFmt w:val="bullet"/>
      <w:lvlText w:val=""/>
      <w:lvlJc w:val="left"/>
      <w:pPr>
        <w:ind w:left="419" w:hanging="284"/>
      </w:pPr>
      <w:rPr>
        <w:rFonts w:ascii="Wingdings" w:eastAsia="Wingdings" w:hAnsi="Wingdings" w:hint="default"/>
        <w:w w:val="99"/>
        <w:sz w:val="20"/>
        <w:szCs w:val="20"/>
      </w:rPr>
    </w:lvl>
    <w:lvl w:ilvl="1" w:tplc="D86E70F8">
      <w:start w:val="1"/>
      <w:numFmt w:val="bullet"/>
      <w:lvlText w:val="•"/>
      <w:lvlJc w:val="left"/>
      <w:pPr>
        <w:ind w:left="610" w:hanging="284"/>
      </w:pPr>
      <w:rPr>
        <w:rFonts w:hint="default"/>
      </w:rPr>
    </w:lvl>
    <w:lvl w:ilvl="2" w:tplc="37205168">
      <w:start w:val="1"/>
      <w:numFmt w:val="bullet"/>
      <w:lvlText w:val="•"/>
      <w:lvlJc w:val="left"/>
      <w:pPr>
        <w:ind w:left="801" w:hanging="284"/>
      </w:pPr>
      <w:rPr>
        <w:rFonts w:hint="default"/>
      </w:rPr>
    </w:lvl>
    <w:lvl w:ilvl="3" w:tplc="8B36322E">
      <w:start w:val="1"/>
      <w:numFmt w:val="bullet"/>
      <w:lvlText w:val="•"/>
      <w:lvlJc w:val="left"/>
      <w:pPr>
        <w:ind w:left="992" w:hanging="284"/>
      </w:pPr>
      <w:rPr>
        <w:rFonts w:hint="default"/>
      </w:rPr>
    </w:lvl>
    <w:lvl w:ilvl="4" w:tplc="6E60B94C">
      <w:start w:val="1"/>
      <w:numFmt w:val="bullet"/>
      <w:lvlText w:val="•"/>
      <w:lvlJc w:val="left"/>
      <w:pPr>
        <w:ind w:left="1183" w:hanging="284"/>
      </w:pPr>
      <w:rPr>
        <w:rFonts w:hint="default"/>
      </w:rPr>
    </w:lvl>
    <w:lvl w:ilvl="5" w:tplc="1120572A">
      <w:start w:val="1"/>
      <w:numFmt w:val="bullet"/>
      <w:lvlText w:val="•"/>
      <w:lvlJc w:val="left"/>
      <w:pPr>
        <w:ind w:left="1374" w:hanging="284"/>
      </w:pPr>
      <w:rPr>
        <w:rFonts w:hint="default"/>
      </w:rPr>
    </w:lvl>
    <w:lvl w:ilvl="6" w:tplc="7D8E10DA">
      <w:start w:val="1"/>
      <w:numFmt w:val="bullet"/>
      <w:lvlText w:val="•"/>
      <w:lvlJc w:val="left"/>
      <w:pPr>
        <w:ind w:left="1566" w:hanging="284"/>
      </w:pPr>
      <w:rPr>
        <w:rFonts w:hint="default"/>
      </w:rPr>
    </w:lvl>
    <w:lvl w:ilvl="7" w:tplc="DBFE2846">
      <w:start w:val="1"/>
      <w:numFmt w:val="bullet"/>
      <w:lvlText w:val="•"/>
      <w:lvlJc w:val="left"/>
      <w:pPr>
        <w:ind w:left="1757" w:hanging="284"/>
      </w:pPr>
      <w:rPr>
        <w:rFonts w:hint="default"/>
      </w:rPr>
    </w:lvl>
    <w:lvl w:ilvl="8" w:tplc="8326BF60">
      <w:start w:val="1"/>
      <w:numFmt w:val="bullet"/>
      <w:lvlText w:val="•"/>
      <w:lvlJc w:val="left"/>
      <w:pPr>
        <w:ind w:left="1948" w:hanging="284"/>
      </w:pPr>
      <w:rPr>
        <w:rFonts w:hint="default"/>
      </w:rPr>
    </w:lvl>
  </w:abstractNum>
  <w:abstractNum w:abstractNumId="5" w15:restartNumberingAfterBreak="0">
    <w:nsid w:val="361F1023"/>
    <w:multiLevelType w:val="hybridMultilevel"/>
    <w:tmpl w:val="A57E819A"/>
    <w:lvl w:ilvl="0" w:tplc="989878AA">
      <w:start w:val="1"/>
      <w:numFmt w:val="bullet"/>
      <w:lvlText w:val=""/>
      <w:lvlJc w:val="left"/>
      <w:pPr>
        <w:ind w:left="419" w:hanging="284"/>
      </w:pPr>
      <w:rPr>
        <w:rFonts w:ascii="Wingdings" w:eastAsia="Wingdings" w:hAnsi="Wingdings" w:hint="default"/>
        <w:w w:val="99"/>
        <w:sz w:val="20"/>
        <w:szCs w:val="20"/>
      </w:rPr>
    </w:lvl>
    <w:lvl w:ilvl="1" w:tplc="A65ED640">
      <w:start w:val="1"/>
      <w:numFmt w:val="bullet"/>
      <w:lvlText w:val="•"/>
      <w:lvlJc w:val="left"/>
      <w:pPr>
        <w:ind w:left="618" w:hanging="284"/>
      </w:pPr>
      <w:rPr>
        <w:rFonts w:hint="default"/>
      </w:rPr>
    </w:lvl>
    <w:lvl w:ilvl="2" w:tplc="F692F628">
      <w:start w:val="1"/>
      <w:numFmt w:val="bullet"/>
      <w:lvlText w:val="•"/>
      <w:lvlJc w:val="left"/>
      <w:pPr>
        <w:ind w:left="818" w:hanging="284"/>
      </w:pPr>
      <w:rPr>
        <w:rFonts w:hint="default"/>
      </w:rPr>
    </w:lvl>
    <w:lvl w:ilvl="3" w:tplc="FE1C3CDC">
      <w:start w:val="1"/>
      <w:numFmt w:val="bullet"/>
      <w:lvlText w:val="•"/>
      <w:lvlJc w:val="left"/>
      <w:pPr>
        <w:ind w:left="1018" w:hanging="284"/>
      </w:pPr>
      <w:rPr>
        <w:rFonts w:hint="default"/>
      </w:rPr>
    </w:lvl>
    <w:lvl w:ilvl="4" w:tplc="51524D76">
      <w:start w:val="1"/>
      <w:numFmt w:val="bullet"/>
      <w:lvlText w:val="•"/>
      <w:lvlJc w:val="left"/>
      <w:pPr>
        <w:ind w:left="1218" w:hanging="284"/>
      </w:pPr>
      <w:rPr>
        <w:rFonts w:hint="default"/>
      </w:rPr>
    </w:lvl>
    <w:lvl w:ilvl="5" w:tplc="FE164D5C">
      <w:start w:val="1"/>
      <w:numFmt w:val="bullet"/>
      <w:lvlText w:val="•"/>
      <w:lvlJc w:val="left"/>
      <w:pPr>
        <w:ind w:left="1418" w:hanging="284"/>
      </w:pPr>
      <w:rPr>
        <w:rFonts w:hint="default"/>
      </w:rPr>
    </w:lvl>
    <w:lvl w:ilvl="6" w:tplc="48F07414">
      <w:start w:val="1"/>
      <w:numFmt w:val="bullet"/>
      <w:lvlText w:val="•"/>
      <w:lvlJc w:val="left"/>
      <w:pPr>
        <w:ind w:left="1617" w:hanging="284"/>
      </w:pPr>
      <w:rPr>
        <w:rFonts w:hint="default"/>
      </w:rPr>
    </w:lvl>
    <w:lvl w:ilvl="7" w:tplc="92EE4DF0">
      <w:start w:val="1"/>
      <w:numFmt w:val="bullet"/>
      <w:lvlText w:val="•"/>
      <w:lvlJc w:val="left"/>
      <w:pPr>
        <w:ind w:left="1817" w:hanging="284"/>
      </w:pPr>
      <w:rPr>
        <w:rFonts w:hint="default"/>
      </w:rPr>
    </w:lvl>
    <w:lvl w:ilvl="8" w:tplc="4C2CB4E4">
      <w:start w:val="1"/>
      <w:numFmt w:val="bullet"/>
      <w:lvlText w:val="•"/>
      <w:lvlJc w:val="left"/>
      <w:pPr>
        <w:ind w:left="2017" w:hanging="284"/>
      </w:pPr>
      <w:rPr>
        <w:rFonts w:hint="default"/>
      </w:rPr>
    </w:lvl>
  </w:abstractNum>
  <w:abstractNum w:abstractNumId="6" w15:restartNumberingAfterBreak="0">
    <w:nsid w:val="3911744C"/>
    <w:multiLevelType w:val="hybridMultilevel"/>
    <w:tmpl w:val="BDA4E1C2"/>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7" w15:restartNumberingAfterBreak="0">
    <w:nsid w:val="39453DFC"/>
    <w:multiLevelType w:val="hybridMultilevel"/>
    <w:tmpl w:val="3D58C68A"/>
    <w:lvl w:ilvl="0" w:tplc="2B4698F6">
      <w:start w:val="1"/>
      <w:numFmt w:val="decimal"/>
      <w:lvlText w:val="%1)"/>
      <w:lvlJc w:val="left"/>
      <w:pPr>
        <w:ind w:left="1560" w:hanging="720"/>
      </w:pPr>
      <w:rPr>
        <w:rFonts w:ascii="Times New Roman" w:eastAsia="Times New Roman" w:hAnsi="Times New Roman" w:hint="default"/>
        <w:sz w:val="24"/>
        <w:szCs w:val="24"/>
      </w:rPr>
    </w:lvl>
    <w:lvl w:ilvl="1" w:tplc="8D6E3096">
      <w:start w:val="1"/>
      <w:numFmt w:val="bullet"/>
      <w:lvlText w:val="•"/>
      <w:lvlJc w:val="left"/>
      <w:pPr>
        <w:ind w:left="2404" w:hanging="720"/>
      </w:pPr>
      <w:rPr>
        <w:rFonts w:hint="default"/>
      </w:rPr>
    </w:lvl>
    <w:lvl w:ilvl="2" w:tplc="31807C68">
      <w:start w:val="1"/>
      <w:numFmt w:val="bullet"/>
      <w:lvlText w:val="•"/>
      <w:lvlJc w:val="left"/>
      <w:pPr>
        <w:ind w:left="3249" w:hanging="720"/>
      </w:pPr>
      <w:rPr>
        <w:rFonts w:hint="default"/>
      </w:rPr>
    </w:lvl>
    <w:lvl w:ilvl="3" w:tplc="41747EB8">
      <w:start w:val="1"/>
      <w:numFmt w:val="bullet"/>
      <w:lvlText w:val="•"/>
      <w:lvlJc w:val="left"/>
      <w:pPr>
        <w:ind w:left="4093" w:hanging="720"/>
      </w:pPr>
      <w:rPr>
        <w:rFonts w:hint="default"/>
      </w:rPr>
    </w:lvl>
    <w:lvl w:ilvl="4" w:tplc="CF0453EA">
      <w:start w:val="1"/>
      <w:numFmt w:val="bullet"/>
      <w:lvlText w:val="•"/>
      <w:lvlJc w:val="left"/>
      <w:pPr>
        <w:ind w:left="4938" w:hanging="720"/>
      </w:pPr>
      <w:rPr>
        <w:rFonts w:hint="default"/>
      </w:rPr>
    </w:lvl>
    <w:lvl w:ilvl="5" w:tplc="B2C499AE">
      <w:start w:val="1"/>
      <w:numFmt w:val="bullet"/>
      <w:lvlText w:val="•"/>
      <w:lvlJc w:val="left"/>
      <w:pPr>
        <w:ind w:left="5783" w:hanging="720"/>
      </w:pPr>
      <w:rPr>
        <w:rFonts w:hint="default"/>
      </w:rPr>
    </w:lvl>
    <w:lvl w:ilvl="6" w:tplc="40BCC5AE">
      <w:start w:val="1"/>
      <w:numFmt w:val="bullet"/>
      <w:lvlText w:val="•"/>
      <w:lvlJc w:val="left"/>
      <w:pPr>
        <w:ind w:left="6627" w:hanging="720"/>
      </w:pPr>
      <w:rPr>
        <w:rFonts w:hint="default"/>
      </w:rPr>
    </w:lvl>
    <w:lvl w:ilvl="7" w:tplc="38AEEF90">
      <w:start w:val="1"/>
      <w:numFmt w:val="bullet"/>
      <w:lvlText w:val="•"/>
      <w:lvlJc w:val="left"/>
      <w:pPr>
        <w:ind w:left="7472" w:hanging="720"/>
      </w:pPr>
      <w:rPr>
        <w:rFonts w:hint="default"/>
      </w:rPr>
    </w:lvl>
    <w:lvl w:ilvl="8" w:tplc="27E4C994">
      <w:start w:val="1"/>
      <w:numFmt w:val="bullet"/>
      <w:lvlText w:val="•"/>
      <w:lvlJc w:val="left"/>
      <w:pPr>
        <w:ind w:left="8317" w:hanging="720"/>
      </w:pPr>
      <w:rPr>
        <w:rFonts w:hint="default"/>
      </w:rPr>
    </w:lvl>
  </w:abstractNum>
  <w:abstractNum w:abstractNumId="8" w15:restartNumberingAfterBreak="0">
    <w:nsid w:val="3D9D6D05"/>
    <w:multiLevelType w:val="hybridMultilevel"/>
    <w:tmpl w:val="03CE55E2"/>
    <w:lvl w:ilvl="0" w:tplc="E33AD7D2">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E671B4"/>
    <w:multiLevelType w:val="hybridMultilevel"/>
    <w:tmpl w:val="D5DCDB9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0D27FC0"/>
    <w:multiLevelType w:val="hybridMultilevel"/>
    <w:tmpl w:val="88360C54"/>
    <w:lvl w:ilvl="0" w:tplc="3850CE56">
      <w:start w:val="1"/>
      <w:numFmt w:val="bullet"/>
      <w:lvlText w:val="•"/>
      <w:lvlJc w:val="left"/>
      <w:pPr>
        <w:ind w:left="459" w:hanging="284"/>
      </w:pPr>
      <w:rPr>
        <w:rFonts w:ascii="Times New Roman" w:eastAsia="Times New Roman" w:hAnsi="Times New Roman" w:hint="default"/>
        <w:w w:val="99"/>
        <w:sz w:val="20"/>
        <w:szCs w:val="20"/>
      </w:rPr>
    </w:lvl>
    <w:lvl w:ilvl="1" w:tplc="4B9063FA">
      <w:start w:val="1"/>
      <w:numFmt w:val="bullet"/>
      <w:lvlText w:val="•"/>
      <w:lvlJc w:val="left"/>
      <w:pPr>
        <w:ind w:left="904" w:hanging="284"/>
      </w:pPr>
      <w:rPr>
        <w:rFonts w:hint="default"/>
      </w:rPr>
    </w:lvl>
    <w:lvl w:ilvl="2" w:tplc="07CC5D10">
      <w:start w:val="1"/>
      <w:numFmt w:val="bullet"/>
      <w:lvlText w:val="•"/>
      <w:lvlJc w:val="left"/>
      <w:pPr>
        <w:ind w:left="1349" w:hanging="284"/>
      </w:pPr>
      <w:rPr>
        <w:rFonts w:hint="default"/>
      </w:rPr>
    </w:lvl>
    <w:lvl w:ilvl="3" w:tplc="82FEB68A">
      <w:start w:val="1"/>
      <w:numFmt w:val="bullet"/>
      <w:lvlText w:val="•"/>
      <w:lvlJc w:val="left"/>
      <w:pPr>
        <w:ind w:left="1793" w:hanging="284"/>
      </w:pPr>
      <w:rPr>
        <w:rFonts w:hint="default"/>
      </w:rPr>
    </w:lvl>
    <w:lvl w:ilvl="4" w:tplc="5D52A7E2">
      <w:start w:val="1"/>
      <w:numFmt w:val="bullet"/>
      <w:lvlText w:val="•"/>
      <w:lvlJc w:val="left"/>
      <w:pPr>
        <w:ind w:left="2238" w:hanging="284"/>
      </w:pPr>
      <w:rPr>
        <w:rFonts w:hint="default"/>
      </w:rPr>
    </w:lvl>
    <w:lvl w:ilvl="5" w:tplc="F68C1480">
      <w:start w:val="1"/>
      <w:numFmt w:val="bullet"/>
      <w:lvlText w:val="•"/>
      <w:lvlJc w:val="left"/>
      <w:pPr>
        <w:ind w:left="2682" w:hanging="284"/>
      </w:pPr>
      <w:rPr>
        <w:rFonts w:hint="default"/>
      </w:rPr>
    </w:lvl>
    <w:lvl w:ilvl="6" w:tplc="F7D6940A">
      <w:start w:val="1"/>
      <w:numFmt w:val="bullet"/>
      <w:lvlText w:val="•"/>
      <w:lvlJc w:val="left"/>
      <w:pPr>
        <w:ind w:left="3127" w:hanging="284"/>
      </w:pPr>
      <w:rPr>
        <w:rFonts w:hint="default"/>
      </w:rPr>
    </w:lvl>
    <w:lvl w:ilvl="7" w:tplc="DD9E957C">
      <w:start w:val="1"/>
      <w:numFmt w:val="bullet"/>
      <w:lvlText w:val="•"/>
      <w:lvlJc w:val="left"/>
      <w:pPr>
        <w:ind w:left="3572" w:hanging="284"/>
      </w:pPr>
      <w:rPr>
        <w:rFonts w:hint="default"/>
      </w:rPr>
    </w:lvl>
    <w:lvl w:ilvl="8" w:tplc="31469458">
      <w:start w:val="1"/>
      <w:numFmt w:val="bullet"/>
      <w:lvlText w:val="•"/>
      <w:lvlJc w:val="left"/>
      <w:pPr>
        <w:ind w:left="4016" w:hanging="284"/>
      </w:pPr>
      <w:rPr>
        <w:rFonts w:hint="default"/>
      </w:rPr>
    </w:lvl>
  </w:abstractNum>
  <w:abstractNum w:abstractNumId="11" w15:restartNumberingAfterBreak="0">
    <w:nsid w:val="42253BFB"/>
    <w:multiLevelType w:val="hybridMultilevel"/>
    <w:tmpl w:val="F274101A"/>
    <w:lvl w:ilvl="0" w:tplc="7E40C6C4">
      <w:start w:val="2"/>
      <w:numFmt w:val="decimal"/>
      <w:lvlText w:val="%1"/>
      <w:lvlJc w:val="left"/>
      <w:pPr>
        <w:ind w:left="499" w:hanging="360"/>
      </w:pPr>
      <w:rPr>
        <w:rFonts w:hint="default"/>
        <w:b/>
      </w:rPr>
    </w:lvl>
    <w:lvl w:ilvl="1" w:tplc="0C090019" w:tentative="1">
      <w:start w:val="1"/>
      <w:numFmt w:val="lowerLetter"/>
      <w:lvlText w:val="%2."/>
      <w:lvlJc w:val="left"/>
      <w:pPr>
        <w:ind w:left="1219" w:hanging="360"/>
      </w:pPr>
    </w:lvl>
    <w:lvl w:ilvl="2" w:tplc="0C09001B" w:tentative="1">
      <w:start w:val="1"/>
      <w:numFmt w:val="lowerRoman"/>
      <w:lvlText w:val="%3."/>
      <w:lvlJc w:val="right"/>
      <w:pPr>
        <w:ind w:left="1939" w:hanging="180"/>
      </w:pPr>
    </w:lvl>
    <w:lvl w:ilvl="3" w:tplc="0C09000F" w:tentative="1">
      <w:start w:val="1"/>
      <w:numFmt w:val="decimal"/>
      <w:lvlText w:val="%4."/>
      <w:lvlJc w:val="left"/>
      <w:pPr>
        <w:ind w:left="2659" w:hanging="360"/>
      </w:pPr>
    </w:lvl>
    <w:lvl w:ilvl="4" w:tplc="0C090019" w:tentative="1">
      <w:start w:val="1"/>
      <w:numFmt w:val="lowerLetter"/>
      <w:lvlText w:val="%5."/>
      <w:lvlJc w:val="left"/>
      <w:pPr>
        <w:ind w:left="3379" w:hanging="360"/>
      </w:pPr>
    </w:lvl>
    <w:lvl w:ilvl="5" w:tplc="0C09001B" w:tentative="1">
      <w:start w:val="1"/>
      <w:numFmt w:val="lowerRoman"/>
      <w:lvlText w:val="%6."/>
      <w:lvlJc w:val="right"/>
      <w:pPr>
        <w:ind w:left="4099" w:hanging="180"/>
      </w:pPr>
    </w:lvl>
    <w:lvl w:ilvl="6" w:tplc="0C09000F" w:tentative="1">
      <w:start w:val="1"/>
      <w:numFmt w:val="decimal"/>
      <w:lvlText w:val="%7."/>
      <w:lvlJc w:val="left"/>
      <w:pPr>
        <w:ind w:left="4819" w:hanging="360"/>
      </w:pPr>
    </w:lvl>
    <w:lvl w:ilvl="7" w:tplc="0C090019" w:tentative="1">
      <w:start w:val="1"/>
      <w:numFmt w:val="lowerLetter"/>
      <w:lvlText w:val="%8."/>
      <w:lvlJc w:val="left"/>
      <w:pPr>
        <w:ind w:left="5539" w:hanging="360"/>
      </w:pPr>
    </w:lvl>
    <w:lvl w:ilvl="8" w:tplc="0C09001B" w:tentative="1">
      <w:start w:val="1"/>
      <w:numFmt w:val="lowerRoman"/>
      <w:lvlText w:val="%9."/>
      <w:lvlJc w:val="right"/>
      <w:pPr>
        <w:ind w:left="6259" w:hanging="180"/>
      </w:pPr>
    </w:lvl>
  </w:abstractNum>
  <w:abstractNum w:abstractNumId="12" w15:restartNumberingAfterBreak="0">
    <w:nsid w:val="44455A6A"/>
    <w:multiLevelType w:val="hybridMultilevel"/>
    <w:tmpl w:val="9B188852"/>
    <w:lvl w:ilvl="0" w:tplc="262EFEF4">
      <w:start w:val="1"/>
      <w:numFmt w:val="decimal"/>
      <w:lvlText w:val="%1"/>
      <w:lvlJc w:val="left"/>
      <w:pPr>
        <w:ind w:left="859" w:hanging="360"/>
      </w:pPr>
      <w:rPr>
        <w:rFonts w:hint="default"/>
      </w:rPr>
    </w:lvl>
    <w:lvl w:ilvl="1" w:tplc="0C090019" w:tentative="1">
      <w:start w:val="1"/>
      <w:numFmt w:val="lowerLetter"/>
      <w:lvlText w:val="%2."/>
      <w:lvlJc w:val="left"/>
      <w:pPr>
        <w:ind w:left="1579" w:hanging="360"/>
      </w:pPr>
    </w:lvl>
    <w:lvl w:ilvl="2" w:tplc="0C09001B" w:tentative="1">
      <w:start w:val="1"/>
      <w:numFmt w:val="lowerRoman"/>
      <w:lvlText w:val="%3."/>
      <w:lvlJc w:val="right"/>
      <w:pPr>
        <w:ind w:left="2299" w:hanging="180"/>
      </w:pPr>
    </w:lvl>
    <w:lvl w:ilvl="3" w:tplc="0C09000F" w:tentative="1">
      <w:start w:val="1"/>
      <w:numFmt w:val="decimal"/>
      <w:lvlText w:val="%4."/>
      <w:lvlJc w:val="left"/>
      <w:pPr>
        <w:ind w:left="3019" w:hanging="360"/>
      </w:pPr>
    </w:lvl>
    <w:lvl w:ilvl="4" w:tplc="0C090019" w:tentative="1">
      <w:start w:val="1"/>
      <w:numFmt w:val="lowerLetter"/>
      <w:lvlText w:val="%5."/>
      <w:lvlJc w:val="left"/>
      <w:pPr>
        <w:ind w:left="3739" w:hanging="360"/>
      </w:pPr>
    </w:lvl>
    <w:lvl w:ilvl="5" w:tplc="0C09001B" w:tentative="1">
      <w:start w:val="1"/>
      <w:numFmt w:val="lowerRoman"/>
      <w:lvlText w:val="%6."/>
      <w:lvlJc w:val="right"/>
      <w:pPr>
        <w:ind w:left="4459" w:hanging="180"/>
      </w:pPr>
    </w:lvl>
    <w:lvl w:ilvl="6" w:tplc="0C09000F" w:tentative="1">
      <w:start w:val="1"/>
      <w:numFmt w:val="decimal"/>
      <w:lvlText w:val="%7."/>
      <w:lvlJc w:val="left"/>
      <w:pPr>
        <w:ind w:left="5179" w:hanging="360"/>
      </w:pPr>
    </w:lvl>
    <w:lvl w:ilvl="7" w:tplc="0C090019" w:tentative="1">
      <w:start w:val="1"/>
      <w:numFmt w:val="lowerLetter"/>
      <w:lvlText w:val="%8."/>
      <w:lvlJc w:val="left"/>
      <w:pPr>
        <w:ind w:left="5899" w:hanging="360"/>
      </w:pPr>
    </w:lvl>
    <w:lvl w:ilvl="8" w:tplc="0C09001B" w:tentative="1">
      <w:start w:val="1"/>
      <w:numFmt w:val="lowerRoman"/>
      <w:lvlText w:val="%9."/>
      <w:lvlJc w:val="right"/>
      <w:pPr>
        <w:ind w:left="6619" w:hanging="180"/>
      </w:pPr>
    </w:lvl>
  </w:abstractNum>
  <w:abstractNum w:abstractNumId="13" w15:restartNumberingAfterBreak="0">
    <w:nsid w:val="452550AA"/>
    <w:multiLevelType w:val="hybridMultilevel"/>
    <w:tmpl w:val="B40E0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E40C60"/>
    <w:multiLevelType w:val="hybridMultilevel"/>
    <w:tmpl w:val="D908C762"/>
    <w:lvl w:ilvl="0" w:tplc="7E3E9A6E">
      <w:start w:val="1"/>
      <w:numFmt w:val="bullet"/>
      <w:lvlText w:val="•"/>
      <w:lvlJc w:val="left"/>
      <w:pPr>
        <w:ind w:left="459" w:hanging="284"/>
      </w:pPr>
      <w:rPr>
        <w:rFonts w:ascii="Times New Roman" w:eastAsia="Times New Roman" w:hAnsi="Times New Roman" w:hint="default"/>
        <w:w w:val="99"/>
        <w:sz w:val="20"/>
        <w:szCs w:val="20"/>
      </w:rPr>
    </w:lvl>
    <w:lvl w:ilvl="1" w:tplc="01F8D9DA">
      <w:start w:val="1"/>
      <w:numFmt w:val="bullet"/>
      <w:lvlText w:val="•"/>
      <w:lvlJc w:val="left"/>
      <w:pPr>
        <w:ind w:left="904" w:hanging="284"/>
      </w:pPr>
      <w:rPr>
        <w:rFonts w:hint="default"/>
      </w:rPr>
    </w:lvl>
    <w:lvl w:ilvl="2" w:tplc="1688D868">
      <w:start w:val="1"/>
      <w:numFmt w:val="bullet"/>
      <w:lvlText w:val="•"/>
      <w:lvlJc w:val="left"/>
      <w:pPr>
        <w:ind w:left="1349" w:hanging="284"/>
      </w:pPr>
      <w:rPr>
        <w:rFonts w:hint="default"/>
      </w:rPr>
    </w:lvl>
    <w:lvl w:ilvl="3" w:tplc="D14278F8">
      <w:start w:val="1"/>
      <w:numFmt w:val="bullet"/>
      <w:lvlText w:val="•"/>
      <w:lvlJc w:val="left"/>
      <w:pPr>
        <w:ind w:left="1793" w:hanging="284"/>
      </w:pPr>
      <w:rPr>
        <w:rFonts w:hint="default"/>
      </w:rPr>
    </w:lvl>
    <w:lvl w:ilvl="4" w:tplc="36AE3F56">
      <w:start w:val="1"/>
      <w:numFmt w:val="bullet"/>
      <w:lvlText w:val="•"/>
      <w:lvlJc w:val="left"/>
      <w:pPr>
        <w:ind w:left="2238" w:hanging="284"/>
      </w:pPr>
      <w:rPr>
        <w:rFonts w:hint="default"/>
      </w:rPr>
    </w:lvl>
    <w:lvl w:ilvl="5" w:tplc="5C04823C">
      <w:start w:val="1"/>
      <w:numFmt w:val="bullet"/>
      <w:lvlText w:val="•"/>
      <w:lvlJc w:val="left"/>
      <w:pPr>
        <w:ind w:left="2682" w:hanging="284"/>
      </w:pPr>
      <w:rPr>
        <w:rFonts w:hint="default"/>
      </w:rPr>
    </w:lvl>
    <w:lvl w:ilvl="6" w:tplc="D62A9A78">
      <w:start w:val="1"/>
      <w:numFmt w:val="bullet"/>
      <w:lvlText w:val="•"/>
      <w:lvlJc w:val="left"/>
      <w:pPr>
        <w:ind w:left="3127" w:hanging="284"/>
      </w:pPr>
      <w:rPr>
        <w:rFonts w:hint="default"/>
      </w:rPr>
    </w:lvl>
    <w:lvl w:ilvl="7" w:tplc="749C0662">
      <w:start w:val="1"/>
      <w:numFmt w:val="bullet"/>
      <w:lvlText w:val="•"/>
      <w:lvlJc w:val="left"/>
      <w:pPr>
        <w:ind w:left="3572" w:hanging="284"/>
      </w:pPr>
      <w:rPr>
        <w:rFonts w:hint="default"/>
      </w:rPr>
    </w:lvl>
    <w:lvl w:ilvl="8" w:tplc="15E41590">
      <w:start w:val="1"/>
      <w:numFmt w:val="bullet"/>
      <w:lvlText w:val="•"/>
      <w:lvlJc w:val="left"/>
      <w:pPr>
        <w:ind w:left="4016" w:hanging="284"/>
      </w:pPr>
      <w:rPr>
        <w:rFonts w:hint="default"/>
      </w:rPr>
    </w:lvl>
  </w:abstractNum>
  <w:abstractNum w:abstractNumId="15" w15:restartNumberingAfterBreak="0">
    <w:nsid w:val="53E54613"/>
    <w:multiLevelType w:val="hybridMultilevel"/>
    <w:tmpl w:val="9EBC23B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365282"/>
    <w:multiLevelType w:val="hybridMultilevel"/>
    <w:tmpl w:val="999EBFCE"/>
    <w:lvl w:ilvl="0" w:tplc="707E28EC">
      <w:start w:val="1"/>
      <w:numFmt w:val="decimal"/>
      <w:lvlText w:val="%1"/>
      <w:lvlJc w:val="left"/>
      <w:pPr>
        <w:ind w:left="720" w:hanging="720"/>
      </w:pPr>
      <w:rPr>
        <w:rFonts w:ascii="Times New Roman" w:hAnsi="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F06174"/>
    <w:multiLevelType w:val="multilevel"/>
    <w:tmpl w:val="EB1C10BE"/>
    <w:lvl w:ilvl="0">
      <w:start w:val="4"/>
      <w:numFmt w:val="decimal"/>
      <w:lvlText w:val="%1"/>
      <w:lvlJc w:val="left"/>
      <w:pPr>
        <w:ind w:left="500" w:hanging="360"/>
      </w:pPr>
      <w:rPr>
        <w:rFonts w:hint="default"/>
      </w:rPr>
    </w:lvl>
    <w:lvl w:ilvl="1">
      <w:start w:val="8"/>
      <w:numFmt w:val="decimal"/>
      <w:lvlText w:val="%1.%2"/>
      <w:lvlJc w:val="left"/>
      <w:pPr>
        <w:ind w:left="500" w:hanging="360"/>
      </w:pPr>
      <w:rPr>
        <w:rFonts w:ascii="Times New Roman" w:eastAsia="Times New Roman" w:hAnsi="Times New Roman" w:hint="default"/>
        <w:sz w:val="24"/>
        <w:szCs w:val="24"/>
      </w:rPr>
    </w:lvl>
    <w:lvl w:ilvl="2">
      <w:start w:val="1"/>
      <w:numFmt w:val="bullet"/>
      <w:lvlText w:val=""/>
      <w:lvlJc w:val="left"/>
      <w:pPr>
        <w:ind w:left="1035" w:hanging="356"/>
      </w:pPr>
      <w:rPr>
        <w:rFonts w:ascii="Symbol" w:eastAsia="Symbol" w:hAnsi="Symbol" w:hint="default"/>
        <w:sz w:val="22"/>
        <w:szCs w:val="22"/>
      </w:rPr>
    </w:lvl>
    <w:lvl w:ilvl="3">
      <w:start w:val="1"/>
      <w:numFmt w:val="bullet"/>
      <w:lvlText w:val="•"/>
      <w:lvlJc w:val="left"/>
      <w:pPr>
        <w:ind w:left="2873" w:hanging="356"/>
      </w:pPr>
      <w:rPr>
        <w:rFonts w:hint="default"/>
      </w:rPr>
    </w:lvl>
    <w:lvl w:ilvl="4">
      <w:start w:val="1"/>
      <w:numFmt w:val="bullet"/>
      <w:lvlText w:val="•"/>
      <w:lvlJc w:val="left"/>
      <w:pPr>
        <w:ind w:left="3792" w:hanging="356"/>
      </w:pPr>
      <w:rPr>
        <w:rFonts w:hint="default"/>
      </w:rPr>
    </w:lvl>
    <w:lvl w:ilvl="5">
      <w:start w:val="1"/>
      <w:numFmt w:val="bullet"/>
      <w:lvlText w:val="•"/>
      <w:lvlJc w:val="left"/>
      <w:pPr>
        <w:ind w:left="4711" w:hanging="356"/>
      </w:pPr>
      <w:rPr>
        <w:rFonts w:hint="default"/>
      </w:rPr>
    </w:lvl>
    <w:lvl w:ilvl="6">
      <w:start w:val="1"/>
      <w:numFmt w:val="bullet"/>
      <w:lvlText w:val="•"/>
      <w:lvlJc w:val="left"/>
      <w:pPr>
        <w:ind w:left="5630" w:hanging="356"/>
      </w:pPr>
      <w:rPr>
        <w:rFonts w:hint="default"/>
      </w:rPr>
    </w:lvl>
    <w:lvl w:ilvl="7">
      <w:start w:val="1"/>
      <w:numFmt w:val="bullet"/>
      <w:lvlText w:val="•"/>
      <w:lvlJc w:val="left"/>
      <w:pPr>
        <w:ind w:left="6549" w:hanging="356"/>
      </w:pPr>
      <w:rPr>
        <w:rFonts w:hint="default"/>
      </w:rPr>
    </w:lvl>
    <w:lvl w:ilvl="8">
      <w:start w:val="1"/>
      <w:numFmt w:val="bullet"/>
      <w:lvlText w:val="•"/>
      <w:lvlJc w:val="left"/>
      <w:pPr>
        <w:ind w:left="7468" w:hanging="356"/>
      </w:pPr>
      <w:rPr>
        <w:rFonts w:hint="default"/>
      </w:rPr>
    </w:lvl>
  </w:abstractNum>
  <w:abstractNum w:abstractNumId="18" w15:restartNumberingAfterBreak="0">
    <w:nsid w:val="593A5F95"/>
    <w:multiLevelType w:val="multilevel"/>
    <w:tmpl w:val="624469E0"/>
    <w:lvl w:ilvl="0">
      <w:start w:val="1"/>
      <w:numFmt w:val="decimal"/>
      <w:lvlText w:val="%1"/>
      <w:lvlJc w:val="left"/>
      <w:pPr>
        <w:ind w:left="432" w:hanging="432"/>
      </w:pPr>
      <w:rPr>
        <w:rFonts w:hint="default"/>
        <w:b/>
        <w:bCs/>
        <w:w w:val="99"/>
        <w:sz w:val="32"/>
        <w:szCs w:val="32"/>
      </w:rPr>
    </w:lvl>
    <w:lvl w:ilvl="1">
      <w:start w:val="1"/>
      <w:numFmt w:val="decimal"/>
      <w:lvlText w:val="%1.%2"/>
      <w:lvlJc w:val="left"/>
      <w:pPr>
        <w:ind w:left="576" w:hanging="576"/>
      </w:pPr>
      <w:rPr>
        <w:rFonts w:hint="default"/>
        <w:b/>
        <w:bCs/>
        <w:i w:val="0"/>
        <w:iCs w:val="0"/>
        <w:caps w:val="0"/>
        <w:smallCaps w:val="0"/>
        <w:strike w:val="0"/>
        <w:dstrike w:val="0"/>
        <w:outline w:val="0"/>
        <w:shadow w:val="0"/>
        <w:emboss w:val="0"/>
        <w:imprint w:val="0"/>
        <w:vanish w:val="0"/>
        <w:spacing w:val="0"/>
        <w:kern w:val="0"/>
        <w:position w:val="0"/>
        <w:sz w:val="24"/>
        <w:szCs w:val="24"/>
        <w:u w:val="none"/>
        <w:effect w:val="none"/>
        <w:vertAlign w:val="baseline"/>
        <w:em w:val="none"/>
        <w14:ligatures w14:val="none"/>
        <w14:numForm w14:val="default"/>
        <w14:numSpacing w14:val="default"/>
        <w14:stylisticSets/>
        <w14:cntxtAlts w14:val="0"/>
      </w:rPr>
    </w:lvl>
    <w:lvl w:ilvl="2">
      <w:start w:val="1"/>
      <w:numFmt w:val="decimal"/>
      <w:lvlText w:val="%1.%2.%3"/>
      <w:lvlJc w:val="left"/>
      <w:pPr>
        <w:ind w:left="720" w:hanging="720"/>
      </w:pPr>
      <w:rPr>
        <w:rFonts w:hint="default"/>
        <w:spacing w:val="-1"/>
        <w:sz w:val="24"/>
        <w:szCs w:val="24"/>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5A8D1F4F"/>
    <w:multiLevelType w:val="hybridMultilevel"/>
    <w:tmpl w:val="EEB0876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15:restartNumberingAfterBreak="0">
    <w:nsid w:val="5A9546E0"/>
    <w:multiLevelType w:val="hybridMultilevel"/>
    <w:tmpl w:val="954E47BE"/>
    <w:lvl w:ilvl="0" w:tplc="262EFEF4">
      <w:start w:val="1"/>
      <w:numFmt w:val="decimal"/>
      <w:lvlText w:val="%1"/>
      <w:lvlJc w:val="left"/>
      <w:pPr>
        <w:ind w:left="862" w:hanging="360"/>
      </w:pPr>
      <w:rPr>
        <w:rFonts w:hint="default"/>
      </w:rPr>
    </w:lvl>
    <w:lvl w:ilvl="1" w:tplc="0C090019">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15:restartNumberingAfterBreak="0">
    <w:nsid w:val="6ACE296C"/>
    <w:multiLevelType w:val="hybridMultilevel"/>
    <w:tmpl w:val="8058537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75807A82"/>
    <w:multiLevelType w:val="hybridMultilevel"/>
    <w:tmpl w:val="4A621772"/>
    <w:lvl w:ilvl="0" w:tplc="B82E3E16">
      <w:start w:val="1"/>
      <w:numFmt w:val="decimal"/>
      <w:lvlText w:val="%1)"/>
      <w:lvlJc w:val="left"/>
      <w:pPr>
        <w:ind w:left="1600" w:hanging="360"/>
      </w:pPr>
      <w:rPr>
        <w:rFonts w:ascii="Times New Roman" w:eastAsia="Cambria" w:hAnsi="Times New Roman" w:cs="Times New Roman" w:hint="default"/>
        <w:spacing w:val="-1"/>
        <w:w w:val="99"/>
        <w:sz w:val="24"/>
        <w:szCs w:val="24"/>
      </w:rPr>
    </w:lvl>
    <w:lvl w:ilvl="1" w:tplc="E30860B4">
      <w:start w:val="1"/>
      <w:numFmt w:val="bullet"/>
      <w:lvlText w:val="•"/>
      <w:lvlJc w:val="left"/>
      <w:pPr>
        <w:ind w:left="2441" w:hanging="360"/>
      </w:pPr>
      <w:rPr>
        <w:rFonts w:hint="default"/>
      </w:rPr>
    </w:lvl>
    <w:lvl w:ilvl="2" w:tplc="59380CE2">
      <w:start w:val="1"/>
      <w:numFmt w:val="bullet"/>
      <w:lvlText w:val="•"/>
      <w:lvlJc w:val="left"/>
      <w:pPr>
        <w:ind w:left="3281" w:hanging="360"/>
      </w:pPr>
      <w:rPr>
        <w:rFonts w:hint="default"/>
      </w:rPr>
    </w:lvl>
    <w:lvl w:ilvl="3" w:tplc="BB984B90">
      <w:start w:val="1"/>
      <w:numFmt w:val="bullet"/>
      <w:lvlText w:val="•"/>
      <w:lvlJc w:val="left"/>
      <w:pPr>
        <w:ind w:left="4122" w:hanging="360"/>
      </w:pPr>
      <w:rPr>
        <w:rFonts w:hint="default"/>
      </w:rPr>
    </w:lvl>
    <w:lvl w:ilvl="4" w:tplc="38A2006E">
      <w:start w:val="1"/>
      <w:numFmt w:val="bullet"/>
      <w:lvlText w:val="•"/>
      <w:lvlJc w:val="left"/>
      <w:pPr>
        <w:ind w:left="4963" w:hanging="360"/>
      </w:pPr>
      <w:rPr>
        <w:rFonts w:hint="default"/>
      </w:rPr>
    </w:lvl>
    <w:lvl w:ilvl="5" w:tplc="D60C0E48">
      <w:start w:val="1"/>
      <w:numFmt w:val="bullet"/>
      <w:lvlText w:val="•"/>
      <w:lvlJc w:val="left"/>
      <w:pPr>
        <w:ind w:left="5803" w:hanging="360"/>
      </w:pPr>
      <w:rPr>
        <w:rFonts w:hint="default"/>
      </w:rPr>
    </w:lvl>
    <w:lvl w:ilvl="6" w:tplc="3714504E">
      <w:start w:val="1"/>
      <w:numFmt w:val="bullet"/>
      <w:lvlText w:val="•"/>
      <w:lvlJc w:val="left"/>
      <w:pPr>
        <w:ind w:left="6644" w:hanging="360"/>
      </w:pPr>
      <w:rPr>
        <w:rFonts w:hint="default"/>
      </w:rPr>
    </w:lvl>
    <w:lvl w:ilvl="7" w:tplc="556A1E9E">
      <w:start w:val="1"/>
      <w:numFmt w:val="bullet"/>
      <w:lvlText w:val="•"/>
      <w:lvlJc w:val="left"/>
      <w:pPr>
        <w:ind w:left="7484" w:hanging="360"/>
      </w:pPr>
      <w:rPr>
        <w:rFonts w:hint="default"/>
      </w:rPr>
    </w:lvl>
    <w:lvl w:ilvl="8" w:tplc="0B1C9EAA">
      <w:start w:val="1"/>
      <w:numFmt w:val="bullet"/>
      <w:lvlText w:val="•"/>
      <w:lvlJc w:val="left"/>
      <w:pPr>
        <w:ind w:left="8325" w:hanging="360"/>
      </w:pPr>
      <w:rPr>
        <w:rFonts w:hint="default"/>
      </w:rPr>
    </w:lvl>
  </w:abstractNum>
  <w:abstractNum w:abstractNumId="23" w15:restartNumberingAfterBreak="0">
    <w:nsid w:val="7A4F0BD4"/>
    <w:multiLevelType w:val="hybridMultilevel"/>
    <w:tmpl w:val="4CB63B2A"/>
    <w:lvl w:ilvl="0" w:tplc="158843F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14"/>
  </w:num>
  <w:num w:numId="5">
    <w:abstractNumId w:val="17"/>
  </w:num>
  <w:num w:numId="6">
    <w:abstractNumId w:val="4"/>
  </w:num>
  <w:num w:numId="7">
    <w:abstractNumId w:val="5"/>
  </w:num>
  <w:num w:numId="8">
    <w:abstractNumId w:val="3"/>
  </w:num>
  <w:num w:numId="9">
    <w:abstractNumId w:val="22"/>
  </w:num>
  <w:num w:numId="10">
    <w:abstractNumId w:val="7"/>
  </w:num>
  <w:num w:numId="11">
    <w:abstractNumId w:val="18"/>
  </w:num>
  <w:num w:numId="12">
    <w:abstractNumId w:val="11"/>
  </w:num>
  <w:num w:numId="13">
    <w:abstractNumId w:val="15"/>
  </w:num>
  <w:num w:numId="1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
  </w:num>
  <w:num w:numId="17">
    <w:abstractNumId w:val="12"/>
  </w:num>
  <w:num w:numId="18">
    <w:abstractNumId w:val="16"/>
  </w:num>
  <w:num w:numId="19">
    <w:abstractNumId w:val="16"/>
  </w:num>
  <w:num w:numId="20">
    <w:abstractNumId w:val="6"/>
  </w:num>
  <w:num w:numId="21">
    <w:abstractNumId w:val="2"/>
  </w:num>
  <w:num w:numId="22">
    <w:abstractNumId w:val="2"/>
  </w:num>
  <w:num w:numId="23">
    <w:abstractNumId w:val="23"/>
  </w:num>
  <w:num w:numId="24">
    <w:abstractNumId w:val="2"/>
  </w:num>
  <w:num w:numId="25">
    <w:abstractNumId w:val="8"/>
  </w:num>
  <w:num w:numId="26">
    <w:abstractNumId w:val="2"/>
  </w:num>
  <w:num w:numId="27">
    <w:abstractNumId w:val="0"/>
  </w:num>
  <w:num w:numId="28">
    <w:abstractNumId w:val="21"/>
  </w:num>
  <w:num w:numId="29">
    <w:abstractNumId w:val="19"/>
  </w:num>
  <w:num w:numId="30">
    <w:abstractNumId w:val="9"/>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F22"/>
    <w:rsid w:val="000016CB"/>
    <w:rsid w:val="00005188"/>
    <w:rsid w:val="00005B3C"/>
    <w:rsid w:val="00013312"/>
    <w:rsid w:val="0002452C"/>
    <w:rsid w:val="0002697C"/>
    <w:rsid w:val="00026A0E"/>
    <w:rsid w:val="0003305C"/>
    <w:rsid w:val="0003567F"/>
    <w:rsid w:val="00036F30"/>
    <w:rsid w:val="0005155F"/>
    <w:rsid w:val="000575C3"/>
    <w:rsid w:val="00061E6F"/>
    <w:rsid w:val="00065C23"/>
    <w:rsid w:val="00080E9C"/>
    <w:rsid w:val="00084397"/>
    <w:rsid w:val="0009003F"/>
    <w:rsid w:val="0009248D"/>
    <w:rsid w:val="00092E93"/>
    <w:rsid w:val="00095022"/>
    <w:rsid w:val="000B0CCF"/>
    <w:rsid w:val="000B7F33"/>
    <w:rsid w:val="000C2F6B"/>
    <w:rsid w:val="000C52F2"/>
    <w:rsid w:val="000C7F8E"/>
    <w:rsid w:val="000D30AA"/>
    <w:rsid w:val="000E4C65"/>
    <w:rsid w:val="000E638C"/>
    <w:rsid w:val="000E7D3F"/>
    <w:rsid w:val="000F2F53"/>
    <w:rsid w:val="000F66DB"/>
    <w:rsid w:val="00102CFA"/>
    <w:rsid w:val="001032D8"/>
    <w:rsid w:val="001074EB"/>
    <w:rsid w:val="00111C93"/>
    <w:rsid w:val="001146F3"/>
    <w:rsid w:val="00116C41"/>
    <w:rsid w:val="0012011D"/>
    <w:rsid w:val="001271A4"/>
    <w:rsid w:val="0013062A"/>
    <w:rsid w:val="00130D95"/>
    <w:rsid w:val="001341DA"/>
    <w:rsid w:val="00147DF7"/>
    <w:rsid w:val="0015276C"/>
    <w:rsid w:val="00166189"/>
    <w:rsid w:val="0018045E"/>
    <w:rsid w:val="00182D60"/>
    <w:rsid w:val="00183E0A"/>
    <w:rsid w:val="00192462"/>
    <w:rsid w:val="00192773"/>
    <w:rsid w:val="001A4605"/>
    <w:rsid w:val="001B577B"/>
    <w:rsid w:val="001C20A4"/>
    <w:rsid w:val="001C70D4"/>
    <w:rsid w:val="001D2504"/>
    <w:rsid w:val="001E40CD"/>
    <w:rsid w:val="00207EAB"/>
    <w:rsid w:val="00212A9C"/>
    <w:rsid w:val="00213098"/>
    <w:rsid w:val="00214FF4"/>
    <w:rsid w:val="002358E7"/>
    <w:rsid w:val="00235B8A"/>
    <w:rsid w:val="002373BB"/>
    <w:rsid w:val="002416EF"/>
    <w:rsid w:val="002422FF"/>
    <w:rsid w:val="00242461"/>
    <w:rsid w:val="0024340D"/>
    <w:rsid w:val="00250DF8"/>
    <w:rsid w:val="00253D57"/>
    <w:rsid w:val="00254540"/>
    <w:rsid w:val="0026327A"/>
    <w:rsid w:val="0027503D"/>
    <w:rsid w:val="0027524F"/>
    <w:rsid w:val="00277A33"/>
    <w:rsid w:val="002839C9"/>
    <w:rsid w:val="00284F88"/>
    <w:rsid w:val="00291C58"/>
    <w:rsid w:val="002A3596"/>
    <w:rsid w:val="002B0067"/>
    <w:rsid w:val="002B521D"/>
    <w:rsid w:val="002C6FF0"/>
    <w:rsid w:val="002D0BCA"/>
    <w:rsid w:val="002D0C46"/>
    <w:rsid w:val="002F3C29"/>
    <w:rsid w:val="00300E06"/>
    <w:rsid w:val="00302819"/>
    <w:rsid w:val="00334E49"/>
    <w:rsid w:val="0033585D"/>
    <w:rsid w:val="00355AD6"/>
    <w:rsid w:val="003641C1"/>
    <w:rsid w:val="0036553A"/>
    <w:rsid w:val="00367CAF"/>
    <w:rsid w:val="00371505"/>
    <w:rsid w:val="00376441"/>
    <w:rsid w:val="00376B5E"/>
    <w:rsid w:val="003854D4"/>
    <w:rsid w:val="00392E8A"/>
    <w:rsid w:val="003A14FE"/>
    <w:rsid w:val="003A46CA"/>
    <w:rsid w:val="003B0D62"/>
    <w:rsid w:val="003B6A82"/>
    <w:rsid w:val="003D0102"/>
    <w:rsid w:val="003D1811"/>
    <w:rsid w:val="003D2E66"/>
    <w:rsid w:val="003D701C"/>
    <w:rsid w:val="003D799B"/>
    <w:rsid w:val="003E07F7"/>
    <w:rsid w:val="003F279E"/>
    <w:rsid w:val="00405C70"/>
    <w:rsid w:val="004173A0"/>
    <w:rsid w:val="0041755A"/>
    <w:rsid w:val="004259AA"/>
    <w:rsid w:val="00440D62"/>
    <w:rsid w:val="004423ED"/>
    <w:rsid w:val="00444E1C"/>
    <w:rsid w:val="004519A2"/>
    <w:rsid w:val="004561F6"/>
    <w:rsid w:val="00461D8B"/>
    <w:rsid w:val="004634F1"/>
    <w:rsid w:val="00465940"/>
    <w:rsid w:val="00467D26"/>
    <w:rsid w:val="00470AB2"/>
    <w:rsid w:val="00471E27"/>
    <w:rsid w:val="0047369A"/>
    <w:rsid w:val="00484B1D"/>
    <w:rsid w:val="004901AC"/>
    <w:rsid w:val="00490934"/>
    <w:rsid w:val="00490D24"/>
    <w:rsid w:val="00494AE4"/>
    <w:rsid w:val="004A075F"/>
    <w:rsid w:val="004A0BF9"/>
    <w:rsid w:val="004A0D87"/>
    <w:rsid w:val="004A6F22"/>
    <w:rsid w:val="004B18B9"/>
    <w:rsid w:val="004B7954"/>
    <w:rsid w:val="004C2C77"/>
    <w:rsid w:val="004C3E99"/>
    <w:rsid w:val="004C4DAC"/>
    <w:rsid w:val="004D0EB0"/>
    <w:rsid w:val="004F5DD6"/>
    <w:rsid w:val="004F5E5E"/>
    <w:rsid w:val="0050579A"/>
    <w:rsid w:val="00505C0E"/>
    <w:rsid w:val="005105D5"/>
    <w:rsid w:val="00515290"/>
    <w:rsid w:val="00521BE5"/>
    <w:rsid w:val="00535729"/>
    <w:rsid w:val="00536858"/>
    <w:rsid w:val="00537422"/>
    <w:rsid w:val="0054316B"/>
    <w:rsid w:val="00545EA0"/>
    <w:rsid w:val="0054668B"/>
    <w:rsid w:val="00550043"/>
    <w:rsid w:val="00551C94"/>
    <w:rsid w:val="0056180F"/>
    <w:rsid w:val="005629B5"/>
    <w:rsid w:val="00564193"/>
    <w:rsid w:val="005664F5"/>
    <w:rsid w:val="005737B8"/>
    <w:rsid w:val="0058029C"/>
    <w:rsid w:val="00584413"/>
    <w:rsid w:val="00587179"/>
    <w:rsid w:val="00593EE3"/>
    <w:rsid w:val="005A1517"/>
    <w:rsid w:val="005A3150"/>
    <w:rsid w:val="005A32D3"/>
    <w:rsid w:val="005B1A29"/>
    <w:rsid w:val="005B22E1"/>
    <w:rsid w:val="005E4084"/>
    <w:rsid w:val="005E461C"/>
    <w:rsid w:val="005F38C2"/>
    <w:rsid w:val="006040EE"/>
    <w:rsid w:val="006057D2"/>
    <w:rsid w:val="00606A9E"/>
    <w:rsid w:val="006072A5"/>
    <w:rsid w:val="006075B5"/>
    <w:rsid w:val="00607CD7"/>
    <w:rsid w:val="00610A32"/>
    <w:rsid w:val="00621CD0"/>
    <w:rsid w:val="0062298C"/>
    <w:rsid w:val="00631153"/>
    <w:rsid w:val="00631BFA"/>
    <w:rsid w:val="00637E7D"/>
    <w:rsid w:val="00645A61"/>
    <w:rsid w:val="006736F6"/>
    <w:rsid w:val="00681D42"/>
    <w:rsid w:val="00682842"/>
    <w:rsid w:val="00686EAB"/>
    <w:rsid w:val="006904EB"/>
    <w:rsid w:val="006911F7"/>
    <w:rsid w:val="006B186A"/>
    <w:rsid w:val="006B3799"/>
    <w:rsid w:val="006D65D0"/>
    <w:rsid w:val="006D7C68"/>
    <w:rsid w:val="006F0EDE"/>
    <w:rsid w:val="006F57BD"/>
    <w:rsid w:val="006F651C"/>
    <w:rsid w:val="00714792"/>
    <w:rsid w:val="00714A60"/>
    <w:rsid w:val="007313F8"/>
    <w:rsid w:val="007448A7"/>
    <w:rsid w:val="00773AD8"/>
    <w:rsid w:val="0077763B"/>
    <w:rsid w:val="0078260E"/>
    <w:rsid w:val="00792234"/>
    <w:rsid w:val="007A4B98"/>
    <w:rsid w:val="007A4D9C"/>
    <w:rsid w:val="007D0663"/>
    <w:rsid w:val="007D27AA"/>
    <w:rsid w:val="007D67BA"/>
    <w:rsid w:val="007E4F89"/>
    <w:rsid w:val="007F5468"/>
    <w:rsid w:val="008039B0"/>
    <w:rsid w:val="00810DA7"/>
    <w:rsid w:val="00810E2F"/>
    <w:rsid w:val="008160EC"/>
    <w:rsid w:val="0082331E"/>
    <w:rsid w:val="008405EE"/>
    <w:rsid w:val="00840BE4"/>
    <w:rsid w:val="0085298D"/>
    <w:rsid w:val="00863BFE"/>
    <w:rsid w:val="00871F94"/>
    <w:rsid w:val="00874A27"/>
    <w:rsid w:val="008766D9"/>
    <w:rsid w:val="00897685"/>
    <w:rsid w:val="008A5AE6"/>
    <w:rsid w:val="008B5858"/>
    <w:rsid w:val="008C76E9"/>
    <w:rsid w:val="008C7A36"/>
    <w:rsid w:val="008D46A3"/>
    <w:rsid w:val="008E1E48"/>
    <w:rsid w:val="008E379A"/>
    <w:rsid w:val="008E3AD8"/>
    <w:rsid w:val="008F4F01"/>
    <w:rsid w:val="009113E5"/>
    <w:rsid w:val="0092307C"/>
    <w:rsid w:val="0093587A"/>
    <w:rsid w:val="00944662"/>
    <w:rsid w:val="00945965"/>
    <w:rsid w:val="00945FF1"/>
    <w:rsid w:val="0094695F"/>
    <w:rsid w:val="00950490"/>
    <w:rsid w:val="00952873"/>
    <w:rsid w:val="009538AF"/>
    <w:rsid w:val="00957D54"/>
    <w:rsid w:val="009746B8"/>
    <w:rsid w:val="00982918"/>
    <w:rsid w:val="0098683A"/>
    <w:rsid w:val="00996CCD"/>
    <w:rsid w:val="009A2043"/>
    <w:rsid w:val="009A2195"/>
    <w:rsid w:val="009A7BAE"/>
    <w:rsid w:val="009C3D98"/>
    <w:rsid w:val="009D6B8B"/>
    <w:rsid w:val="009D72FD"/>
    <w:rsid w:val="009E0F3F"/>
    <w:rsid w:val="009E7176"/>
    <w:rsid w:val="00A03BB1"/>
    <w:rsid w:val="00A12918"/>
    <w:rsid w:val="00A12F60"/>
    <w:rsid w:val="00A1473B"/>
    <w:rsid w:val="00A16680"/>
    <w:rsid w:val="00A2027A"/>
    <w:rsid w:val="00A227BE"/>
    <w:rsid w:val="00A2339B"/>
    <w:rsid w:val="00A27CC9"/>
    <w:rsid w:val="00A31072"/>
    <w:rsid w:val="00A472EB"/>
    <w:rsid w:val="00A557DE"/>
    <w:rsid w:val="00A61A0F"/>
    <w:rsid w:val="00A647C0"/>
    <w:rsid w:val="00A71335"/>
    <w:rsid w:val="00A71BE1"/>
    <w:rsid w:val="00A7636F"/>
    <w:rsid w:val="00AE01E0"/>
    <w:rsid w:val="00AF4209"/>
    <w:rsid w:val="00AF667F"/>
    <w:rsid w:val="00AF73CC"/>
    <w:rsid w:val="00B01485"/>
    <w:rsid w:val="00B052AB"/>
    <w:rsid w:val="00B309C5"/>
    <w:rsid w:val="00B30B0F"/>
    <w:rsid w:val="00B33D0A"/>
    <w:rsid w:val="00B36F75"/>
    <w:rsid w:val="00B4539B"/>
    <w:rsid w:val="00B55030"/>
    <w:rsid w:val="00B55692"/>
    <w:rsid w:val="00B57625"/>
    <w:rsid w:val="00B67C1E"/>
    <w:rsid w:val="00B72F6E"/>
    <w:rsid w:val="00B73BBD"/>
    <w:rsid w:val="00B82A8E"/>
    <w:rsid w:val="00B87474"/>
    <w:rsid w:val="00B923FA"/>
    <w:rsid w:val="00BA1B5C"/>
    <w:rsid w:val="00BB3D31"/>
    <w:rsid w:val="00BB5519"/>
    <w:rsid w:val="00BD2E1D"/>
    <w:rsid w:val="00BD78EE"/>
    <w:rsid w:val="00BE3603"/>
    <w:rsid w:val="00C0066E"/>
    <w:rsid w:val="00C054CA"/>
    <w:rsid w:val="00C05A6D"/>
    <w:rsid w:val="00C13841"/>
    <w:rsid w:val="00C153AE"/>
    <w:rsid w:val="00C208F7"/>
    <w:rsid w:val="00C22580"/>
    <w:rsid w:val="00C240E5"/>
    <w:rsid w:val="00C259CA"/>
    <w:rsid w:val="00C261AB"/>
    <w:rsid w:val="00C32CA2"/>
    <w:rsid w:val="00C360E2"/>
    <w:rsid w:val="00C42C1B"/>
    <w:rsid w:val="00C44DD7"/>
    <w:rsid w:val="00C46211"/>
    <w:rsid w:val="00C56910"/>
    <w:rsid w:val="00C719BB"/>
    <w:rsid w:val="00C92A12"/>
    <w:rsid w:val="00C9440A"/>
    <w:rsid w:val="00C951B6"/>
    <w:rsid w:val="00CC51D6"/>
    <w:rsid w:val="00CD3FA4"/>
    <w:rsid w:val="00CE6B01"/>
    <w:rsid w:val="00CE6E1E"/>
    <w:rsid w:val="00CF4C52"/>
    <w:rsid w:val="00CF5880"/>
    <w:rsid w:val="00CF6900"/>
    <w:rsid w:val="00D01E84"/>
    <w:rsid w:val="00D14C66"/>
    <w:rsid w:val="00D313CC"/>
    <w:rsid w:val="00D41D6D"/>
    <w:rsid w:val="00D4676B"/>
    <w:rsid w:val="00D521FC"/>
    <w:rsid w:val="00D57E8F"/>
    <w:rsid w:val="00D63F5A"/>
    <w:rsid w:val="00D6662D"/>
    <w:rsid w:val="00D7126F"/>
    <w:rsid w:val="00D75650"/>
    <w:rsid w:val="00D83CB0"/>
    <w:rsid w:val="00D85D21"/>
    <w:rsid w:val="00D9198E"/>
    <w:rsid w:val="00D94457"/>
    <w:rsid w:val="00DA1129"/>
    <w:rsid w:val="00DB2C2B"/>
    <w:rsid w:val="00DB47DD"/>
    <w:rsid w:val="00DB5A2C"/>
    <w:rsid w:val="00DC1626"/>
    <w:rsid w:val="00DC26ED"/>
    <w:rsid w:val="00DD0040"/>
    <w:rsid w:val="00DD7E83"/>
    <w:rsid w:val="00DE723A"/>
    <w:rsid w:val="00DF6212"/>
    <w:rsid w:val="00E04472"/>
    <w:rsid w:val="00E11BC0"/>
    <w:rsid w:val="00E12B62"/>
    <w:rsid w:val="00E20383"/>
    <w:rsid w:val="00E64DFB"/>
    <w:rsid w:val="00E8136E"/>
    <w:rsid w:val="00E86218"/>
    <w:rsid w:val="00E91DDA"/>
    <w:rsid w:val="00EA23B3"/>
    <w:rsid w:val="00EA54FB"/>
    <w:rsid w:val="00EB7D1A"/>
    <w:rsid w:val="00EC6D97"/>
    <w:rsid w:val="00ED3E67"/>
    <w:rsid w:val="00ED68CC"/>
    <w:rsid w:val="00ED7494"/>
    <w:rsid w:val="00EE5066"/>
    <w:rsid w:val="00EE6066"/>
    <w:rsid w:val="00EF0CB4"/>
    <w:rsid w:val="00EF4646"/>
    <w:rsid w:val="00EF64EC"/>
    <w:rsid w:val="00EF7D76"/>
    <w:rsid w:val="00F029B6"/>
    <w:rsid w:val="00F03D58"/>
    <w:rsid w:val="00F04D59"/>
    <w:rsid w:val="00F1762E"/>
    <w:rsid w:val="00F21C84"/>
    <w:rsid w:val="00F25E32"/>
    <w:rsid w:val="00F41066"/>
    <w:rsid w:val="00F426FD"/>
    <w:rsid w:val="00F72D6D"/>
    <w:rsid w:val="00F73539"/>
    <w:rsid w:val="00F76C8D"/>
    <w:rsid w:val="00F819CC"/>
    <w:rsid w:val="00F82E2F"/>
    <w:rsid w:val="00F91B0B"/>
    <w:rsid w:val="00F93840"/>
    <w:rsid w:val="00F94541"/>
    <w:rsid w:val="00F96C81"/>
    <w:rsid w:val="00FA5E0D"/>
    <w:rsid w:val="00FB5BEB"/>
    <w:rsid w:val="00FB6E87"/>
    <w:rsid w:val="00FC128C"/>
    <w:rsid w:val="00FC1CA3"/>
    <w:rsid w:val="00FC3E4D"/>
    <w:rsid w:val="00FC59D9"/>
    <w:rsid w:val="00FC63C6"/>
    <w:rsid w:val="00FC7E93"/>
    <w:rsid w:val="00FD09F0"/>
    <w:rsid w:val="00FD0B24"/>
    <w:rsid w:val="00FD0DA3"/>
    <w:rsid w:val="00FF41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CBBC7"/>
  <w15:docId w15:val="{A7987C6C-F549-4D1A-AD1C-7DD212480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37E7D"/>
    <w:rPr>
      <w:lang w:val="en-AU"/>
    </w:rPr>
  </w:style>
  <w:style w:type="paragraph" w:styleId="Heading1">
    <w:name w:val="heading 1"/>
    <w:basedOn w:val="Normal"/>
    <w:next w:val="BodyText"/>
    <w:autoRedefine/>
    <w:uiPriority w:val="1"/>
    <w:qFormat/>
    <w:rsid w:val="005664F5"/>
    <w:pPr>
      <w:keepNext/>
      <w:widowControl/>
      <w:numPr>
        <w:numId w:val="26"/>
      </w:numPr>
      <w:tabs>
        <w:tab w:val="left" w:pos="573"/>
        <w:tab w:val="left" w:pos="851"/>
        <w:tab w:val="left" w:pos="1272"/>
      </w:tabs>
      <w:spacing w:line="276" w:lineRule="auto"/>
      <w:ind w:left="544" w:hanging="431"/>
      <w:jc w:val="both"/>
      <w:outlineLvl w:val="0"/>
    </w:pPr>
    <w:rPr>
      <w:rFonts w:ascii="Times New Roman" w:eastAsia="Times New Roman" w:hAnsi="Times New Roman"/>
      <w:b/>
      <w:bCs/>
      <w:w w:val="95"/>
      <w:sz w:val="32"/>
      <w:szCs w:val="32"/>
    </w:rPr>
  </w:style>
  <w:style w:type="paragraph" w:styleId="Heading2">
    <w:name w:val="heading 2"/>
    <w:basedOn w:val="Normal"/>
    <w:link w:val="Heading2Char"/>
    <w:autoRedefine/>
    <w:uiPriority w:val="1"/>
    <w:qFormat/>
    <w:rsid w:val="00944662"/>
    <w:pPr>
      <w:keepNext/>
      <w:widowControl/>
      <w:numPr>
        <w:ilvl w:val="1"/>
        <w:numId w:val="26"/>
      </w:numPr>
      <w:tabs>
        <w:tab w:val="left" w:pos="716"/>
      </w:tabs>
      <w:spacing w:before="240" w:after="200" w:line="276" w:lineRule="auto"/>
      <w:ind w:left="720" w:hanging="578"/>
      <w:jc w:val="both"/>
      <w:outlineLvl w:val="1"/>
    </w:pPr>
    <w:rPr>
      <w:rFonts w:ascii="Times New Roman" w:eastAsia="Times New Roman" w:hAnsi="Times New Roman"/>
      <w:b/>
      <w:bCs/>
      <w:spacing w:val="-1"/>
      <w:sz w:val="24"/>
      <w:szCs w:val="24"/>
      <w:lang w:val="nl-BE"/>
    </w:rPr>
  </w:style>
  <w:style w:type="paragraph" w:styleId="Heading3">
    <w:name w:val="heading 3"/>
    <w:basedOn w:val="BodyText"/>
    <w:link w:val="Heading3Char"/>
    <w:autoRedefine/>
    <w:uiPriority w:val="1"/>
    <w:qFormat/>
    <w:rsid w:val="002D0BCA"/>
    <w:pPr>
      <w:keepNext/>
      <w:spacing w:before="200" w:after="0"/>
      <w:outlineLvl w:val="2"/>
    </w:pPr>
    <w:rPr>
      <w:u w:val="single"/>
    </w:rPr>
  </w:style>
  <w:style w:type="paragraph" w:styleId="Heading4">
    <w:name w:val="heading 4"/>
    <w:basedOn w:val="Normal"/>
    <w:next w:val="Normal"/>
    <w:link w:val="Heading4Char"/>
    <w:uiPriority w:val="9"/>
    <w:unhideWhenUsed/>
    <w:qFormat/>
    <w:rsid w:val="009A7BAE"/>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6662D"/>
    <w:pPr>
      <w:keepNext/>
      <w:keepLines/>
      <w:numPr>
        <w:ilvl w:val="4"/>
        <w:numId w:val="1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6662D"/>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6662D"/>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6662D"/>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6662D"/>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B309C5"/>
    <w:pPr>
      <w:widowControl/>
      <w:spacing w:before="26" w:after="200" w:line="277" w:lineRule="auto"/>
      <w:ind w:left="142" w:right="142"/>
    </w:pPr>
    <w:rPr>
      <w:rFonts w:ascii="Times New Roman" w:eastAsia="Times New Roman" w:hAnsi="Times New Roman"/>
      <w:spacing w:val="-1"/>
      <w:sz w:val="24"/>
      <w:szCs w:val="24"/>
    </w:rPr>
  </w:style>
  <w:style w:type="paragraph" w:styleId="ListParagraph">
    <w:name w:val="List Paragraph"/>
    <w:basedOn w:val="BodyText"/>
    <w:uiPriority w:val="34"/>
    <w:qFormat/>
    <w:rsid w:val="00B309C5"/>
    <w:pPr>
      <w:numPr>
        <w:numId w:val="23"/>
      </w:numPr>
      <w:spacing w:before="0" w:after="120" w:line="276" w:lineRule="auto"/>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3B0D62"/>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B0D62"/>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376441"/>
    <w:rPr>
      <w:sz w:val="18"/>
      <w:szCs w:val="18"/>
    </w:rPr>
  </w:style>
  <w:style w:type="paragraph" w:styleId="CommentText">
    <w:name w:val="annotation text"/>
    <w:basedOn w:val="Normal"/>
    <w:link w:val="CommentTextChar"/>
    <w:uiPriority w:val="99"/>
    <w:semiHidden/>
    <w:unhideWhenUsed/>
    <w:rsid w:val="00376441"/>
  </w:style>
  <w:style w:type="character" w:customStyle="1" w:styleId="CommentTextChar">
    <w:name w:val="Comment Text Char"/>
    <w:basedOn w:val="DefaultParagraphFont"/>
    <w:link w:val="CommentText"/>
    <w:uiPriority w:val="99"/>
    <w:semiHidden/>
    <w:rsid w:val="00376441"/>
  </w:style>
  <w:style w:type="paragraph" w:styleId="CommentSubject">
    <w:name w:val="annotation subject"/>
    <w:basedOn w:val="CommentText"/>
    <w:next w:val="CommentText"/>
    <w:link w:val="CommentSubjectChar"/>
    <w:uiPriority w:val="99"/>
    <w:semiHidden/>
    <w:unhideWhenUsed/>
    <w:rsid w:val="00376441"/>
    <w:rPr>
      <w:b/>
      <w:bCs/>
    </w:rPr>
  </w:style>
  <w:style w:type="character" w:customStyle="1" w:styleId="CommentSubjectChar">
    <w:name w:val="Comment Subject Char"/>
    <w:basedOn w:val="CommentTextChar"/>
    <w:link w:val="CommentSubject"/>
    <w:uiPriority w:val="99"/>
    <w:semiHidden/>
    <w:rsid w:val="00376441"/>
    <w:rPr>
      <w:b/>
      <w:bCs/>
    </w:rPr>
  </w:style>
  <w:style w:type="paragraph" w:styleId="Header">
    <w:name w:val="header"/>
    <w:basedOn w:val="Normal"/>
    <w:link w:val="HeaderChar"/>
    <w:uiPriority w:val="99"/>
    <w:unhideWhenUsed/>
    <w:rsid w:val="00440D62"/>
    <w:pPr>
      <w:tabs>
        <w:tab w:val="center" w:pos="4513"/>
        <w:tab w:val="right" w:pos="9026"/>
      </w:tabs>
      <w:snapToGrid w:val="0"/>
    </w:pPr>
  </w:style>
  <w:style w:type="character" w:customStyle="1" w:styleId="HeaderChar">
    <w:name w:val="Header Char"/>
    <w:basedOn w:val="DefaultParagraphFont"/>
    <w:link w:val="Header"/>
    <w:uiPriority w:val="99"/>
    <w:rsid w:val="00440D62"/>
  </w:style>
  <w:style w:type="paragraph" w:styleId="Footer">
    <w:name w:val="footer"/>
    <w:basedOn w:val="Normal"/>
    <w:link w:val="FooterChar"/>
    <w:uiPriority w:val="99"/>
    <w:unhideWhenUsed/>
    <w:rsid w:val="00440D62"/>
    <w:pPr>
      <w:tabs>
        <w:tab w:val="center" w:pos="4513"/>
        <w:tab w:val="right" w:pos="9026"/>
      </w:tabs>
      <w:snapToGrid w:val="0"/>
    </w:pPr>
  </w:style>
  <w:style w:type="character" w:customStyle="1" w:styleId="FooterChar">
    <w:name w:val="Footer Char"/>
    <w:basedOn w:val="DefaultParagraphFont"/>
    <w:link w:val="Footer"/>
    <w:uiPriority w:val="99"/>
    <w:rsid w:val="00440D62"/>
  </w:style>
  <w:style w:type="paragraph" w:customStyle="1" w:styleId="heading3underline">
    <w:name w:val="heading 3 underline"/>
    <w:basedOn w:val="BodyText"/>
    <w:link w:val="heading3underlineChar"/>
    <w:autoRedefine/>
    <w:uiPriority w:val="1"/>
    <w:rsid w:val="00FB6E87"/>
    <w:rPr>
      <w:u w:val="single" w:color="000000"/>
    </w:rPr>
  </w:style>
  <w:style w:type="paragraph" w:customStyle="1" w:styleId="Style1">
    <w:name w:val="Style1"/>
    <w:basedOn w:val="Heading2"/>
    <w:link w:val="Style1Char"/>
    <w:uiPriority w:val="1"/>
    <w:rsid w:val="00130D95"/>
    <w:pPr>
      <w:tabs>
        <w:tab w:val="left" w:pos="1579"/>
      </w:tabs>
      <w:spacing w:before="171"/>
      <w:ind w:firstLine="0"/>
    </w:pPr>
  </w:style>
  <w:style w:type="character" w:customStyle="1" w:styleId="BodyTextChar">
    <w:name w:val="Body Text Char"/>
    <w:basedOn w:val="DefaultParagraphFont"/>
    <w:link w:val="BodyText"/>
    <w:uiPriority w:val="1"/>
    <w:rsid w:val="00B309C5"/>
    <w:rPr>
      <w:rFonts w:ascii="Times New Roman" w:eastAsia="Times New Roman" w:hAnsi="Times New Roman"/>
      <w:spacing w:val="-1"/>
      <w:sz w:val="24"/>
      <w:szCs w:val="24"/>
    </w:rPr>
  </w:style>
  <w:style w:type="character" w:customStyle="1" w:styleId="heading3underlineChar">
    <w:name w:val="heading 3 underline Char"/>
    <w:basedOn w:val="BodyTextChar"/>
    <w:link w:val="heading3underline"/>
    <w:uiPriority w:val="1"/>
    <w:rsid w:val="00FB6E87"/>
    <w:rPr>
      <w:rFonts w:ascii="Times New Roman" w:eastAsia="Times New Roman" w:hAnsi="Times New Roman"/>
      <w:spacing w:val="-2"/>
      <w:sz w:val="24"/>
      <w:szCs w:val="24"/>
      <w:u w:val="single" w:color="000000"/>
    </w:rPr>
  </w:style>
  <w:style w:type="paragraph" w:customStyle="1" w:styleId="tabless">
    <w:name w:val="tabless"/>
    <w:basedOn w:val="Style1"/>
    <w:link w:val="tablessChar"/>
    <w:uiPriority w:val="1"/>
    <w:qFormat/>
    <w:rsid w:val="00130D95"/>
  </w:style>
  <w:style w:type="paragraph" w:customStyle="1" w:styleId="Style2">
    <w:name w:val="Style2"/>
    <w:link w:val="Style2Char"/>
    <w:uiPriority w:val="1"/>
    <w:qFormat/>
    <w:rsid w:val="00130D95"/>
    <w:pPr>
      <w:tabs>
        <w:tab w:val="left" w:pos="1579"/>
      </w:tabs>
      <w:spacing w:before="196" w:line="278" w:lineRule="auto"/>
      <w:ind w:left="1580" w:right="1068" w:hanging="1440"/>
    </w:pPr>
    <w:rPr>
      <w:rFonts w:ascii="Times New Roman" w:eastAsia="Times New Roman" w:hAnsi="Times New Roman"/>
      <w:b/>
      <w:bCs/>
      <w:sz w:val="24"/>
      <w:szCs w:val="24"/>
    </w:rPr>
  </w:style>
  <w:style w:type="character" w:customStyle="1" w:styleId="Heading2Char">
    <w:name w:val="Heading 2 Char"/>
    <w:basedOn w:val="DefaultParagraphFont"/>
    <w:link w:val="Heading2"/>
    <w:uiPriority w:val="1"/>
    <w:rsid w:val="00944662"/>
    <w:rPr>
      <w:rFonts w:ascii="Times New Roman" w:eastAsia="Times New Roman" w:hAnsi="Times New Roman"/>
      <w:b/>
      <w:bCs/>
      <w:spacing w:val="-1"/>
      <w:sz w:val="24"/>
      <w:szCs w:val="24"/>
      <w:lang w:val="nl-BE"/>
    </w:rPr>
  </w:style>
  <w:style w:type="character" w:customStyle="1" w:styleId="Style1Char">
    <w:name w:val="Style1 Char"/>
    <w:basedOn w:val="Heading2Char"/>
    <w:link w:val="Style1"/>
    <w:uiPriority w:val="1"/>
    <w:rsid w:val="00130D95"/>
    <w:rPr>
      <w:rFonts w:ascii="Times New Roman" w:eastAsia="Times New Roman" w:hAnsi="Times New Roman"/>
      <w:b/>
      <w:bCs/>
      <w:spacing w:val="-1"/>
      <w:sz w:val="24"/>
      <w:szCs w:val="24"/>
      <w:lang w:val="nl-BE"/>
    </w:rPr>
  </w:style>
  <w:style w:type="character" w:customStyle="1" w:styleId="tablessChar">
    <w:name w:val="tabless Char"/>
    <w:basedOn w:val="Style1Char"/>
    <w:link w:val="tabless"/>
    <w:uiPriority w:val="1"/>
    <w:rsid w:val="00130D95"/>
    <w:rPr>
      <w:rFonts w:ascii="Times New Roman" w:eastAsia="Times New Roman" w:hAnsi="Times New Roman"/>
      <w:b/>
      <w:bCs/>
      <w:spacing w:val="-1"/>
      <w:sz w:val="24"/>
      <w:szCs w:val="24"/>
      <w:lang w:val="nl-BE"/>
    </w:rPr>
  </w:style>
  <w:style w:type="paragraph" w:customStyle="1" w:styleId="Style3">
    <w:name w:val="Style3"/>
    <w:link w:val="Style3Char"/>
    <w:uiPriority w:val="1"/>
    <w:qFormat/>
    <w:rsid w:val="00130D95"/>
    <w:pPr>
      <w:tabs>
        <w:tab w:val="left" w:pos="1579"/>
      </w:tabs>
      <w:spacing w:before="169" w:line="277" w:lineRule="auto"/>
      <w:ind w:left="1579" w:right="1004" w:hanging="1440"/>
    </w:pPr>
    <w:rPr>
      <w:rFonts w:ascii="Times New Roman" w:eastAsia="Times New Roman" w:hAnsi="Times New Roman"/>
      <w:b/>
      <w:bCs/>
      <w:sz w:val="24"/>
      <w:szCs w:val="24"/>
    </w:rPr>
  </w:style>
  <w:style w:type="character" w:customStyle="1" w:styleId="Style2Char">
    <w:name w:val="Style2 Char"/>
    <w:basedOn w:val="DefaultParagraphFont"/>
    <w:link w:val="Style2"/>
    <w:uiPriority w:val="1"/>
    <w:rsid w:val="00130D95"/>
    <w:rPr>
      <w:rFonts w:ascii="Times New Roman" w:eastAsia="Times New Roman" w:hAnsi="Times New Roman"/>
      <w:b/>
      <w:bCs/>
      <w:sz w:val="24"/>
      <w:szCs w:val="24"/>
    </w:rPr>
  </w:style>
  <w:style w:type="paragraph" w:customStyle="1" w:styleId="Style4">
    <w:name w:val="Style4"/>
    <w:link w:val="Style4Char"/>
    <w:uiPriority w:val="1"/>
    <w:qFormat/>
    <w:rsid w:val="00130D95"/>
    <w:pPr>
      <w:tabs>
        <w:tab w:val="left" w:pos="1579"/>
      </w:tabs>
      <w:spacing w:before="204" w:line="277" w:lineRule="auto"/>
      <w:ind w:left="1580" w:right="404" w:hanging="1440"/>
    </w:pPr>
    <w:rPr>
      <w:rFonts w:ascii="Times New Roman" w:eastAsia="Times New Roman" w:hAnsi="Times New Roman"/>
      <w:b/>
      <w:bCs/>
      <w:sz w:val="24"/>
      <w:szCs w:val="24"/>
    </w:rPr>
  </w:style>
  <w:style w:type="character" w:customStyle="1" w:styleId="Style3Char">
    <w:name w:val="Style3 Char"/>
    <w:basedOn w:val="DefaultParagraphFont"/>
    <w:link w:val="Style3"/>
    <w:uiPriority w:val="1"/>
    <w:rsid w:val="00130D95"/>
    <w:rPr>
      <w:rFonts w:ascii="Times New Roman" w:eastAsia="Times New Roman" w:hAnsi="Times New Roman"/>
      <w:b/>
      <w:bCs/>
      <w:sz w:val="24"/>
      <w:szCs w:val="24"/>
    </w:rPr>
  </w:style>
  <w:style w:type="paragraph" w:customStyle="1" w:styleId="Style5">
    <w:name w:val="Style5"/>
    <w:link w:val="Style5Char"/>
    <w:uiPriority w:val="1"/>
    <w:qFormat/>
    <w:rsid w:val="00130D95"/>
    <w:pPr>
      <w:tabs>
        <w:tab w:val="left" w:pos="1579"/>
      </w:tabs>
    </w:pPr>
    <w:rPr>
      <w:rFonts w:ascii="Times New Roman" w:eastAsia="Times New Roman" w:hAnsi="Times New Roman"/>
      <w:b/>
      <w:bCs/>
      <w:sz w:val="24"/>
      <w:szCs w:val="24"/>
    </w:rPr>
  </w:style>
  <w:style w:type="character" w:customStyle="1" w:styleId="Style4Char">
    <w:name w:val="Style4 Char"/>
    <w:basedOn w:val="DefaultParagraphFont"/>
    <w:link w:val="Style4"/>
    <w:uiPriority w:val="1"/>
    <w:rsid w:val="00130D95"/>
    <w:rPr>
      <w:rFonts w:ascii="Times New Roman" w:eastAsia="Times New Roman" w:hAnsi="Times New Roman"/>
      <w:b/>
      <w:bCs/>
      <w:sz w:val="24"/>
      <w:szCs w:val="24"/>
    </w:rPr>
  </w:style>
  <w:style w:type="paragraph" w:customStyle="1" w:styleId="table11">
    <w:name w:val="table 11"/>
    <w:next w:val="E-mailSignature"/>
    <w:link w:val="table11Char"/>
    <w:uiPriority w:val="1"/>
    <w:qFormat/>
    <w:rsid w:val="00130D95"/>
    <w:pPr>
      <w:spacing w:before="207"/>
      <w:ind w:left="139"/>
      <w:jc w:val="both"/>
    </w:pPr>
    <w:rPr>
      <w:rFonts w:ascii="Times New Roman" w:eastAsia="Times New Roman" w:hAnsi="Times New Roman"/>
      <w:b/>
      <w:bCs/>
      <w:sz w:val="24"/>
      <w:szCs w:val="24"/>
    </w:rPr>
  </w:style>
  <w:style w:type="character" w:customStyle="1" w:styleId="Style5Char">
    <w:name w:val="Style5 Char"/>
    <w:basedOn w:val="DefaultParagraphFont"/>
    <w:link w:val="Style5"/>
    <w:uiPriority w:val="1"/>
    <w:rsid w:val="00130D95"/>
    <w:rPr>
      <w:rFonts w:ascii="Times New Roman" w:eastAsia="Times New Roman" w:hAnsi="Times New Roman"/>
      <w:b/>
      <w:bCs/>
      <w:sz w:val="24"/>
      <w:szCs w:val="24"/>
    </w:rPr>
  </w:style>
  <w:style w:type="paragraph" w:styleId="E-mailSignature">
    <w:name w:val="E-mail Signature"/>
    <w:basedOn w:val="Normal"/>
    <w:link w:val="E-mailSignatureChar"/>
    <w:uiPriority w:val="99"/>
    <w:semiHidden/>
    <w:unhideWhenUsed/>
    <w:rsid w:val="00130D95"/>
  </w:style>
  <w:style w:type="character" w:customStyle="1" w:styleId="E-mailSignatureChar">
    <w:name w:val="E-mail Signature Char"/>
    <w:basedOn w:val="DefaultParagraphFont"/>
    <w:link w:val="E-mailSignature"/>
    <w:uiPriority w:val="99"/>
    <w:semiHidden/>
    <w:rsid w:val="00130D95"/>
  </w:style>
  <w:style w:type="character" w:customStyle="1" w:styleId="table11Char">
    <w:name w:val="table 11 Char"/>
    <w:basedOn w:val="DefaultParagraphFont"/>
    <w:link w:val="table11"/>
    <w:uiPriority w:val="1"/>
    <w:rsid w:val="00130D95"/>
    <w:rPr>
      <w:rFonts w:ascii="Times New Roman" w:eastAsia="Times New Roman" w:hAnsi="Times New Roman"/>
      <w:b/>
      <w:bCs/>
      <w:sz w:val="24"/>
      <w:szCs w:val="24"/>
    </w:rPr>
  </w:style>
  <w:style w:type="paragraph" w:customStyle="1" w:styleId="Subheading4">
    <w:name w:val="Subheading 4"/>
    <w:basedOn w:val="Normal"/>
    <w:next w:val="BodyText"/>
    <w:link w:val="Subheading4Char"/>
    <w:uiPriority w:val="1"/>
    <w:qFormat/>
    <w:rsid w:val="00B309C5"/>
    <w:pPr>
      <w:keepNext/>
      <w:widowControl/>
      <w:spacing w:before="120" w:line="276" w:lineRule="auto"/>
      <w:ind w:left="142"/>
    </w:pPr>
    <w:rPr>
      <w:rFonts w:ascii="Times New Roman"/>
      <w:i/>
      <w:spacing w:val="-1"/>
      <w:sz w:val="24"/>
      <w:u w:val="single" w:color="000000"/>
    </w:rPr>
  </w:style>
  <w:style w:type="character" w:customStyle="1" w:styleId="Heading4Char">
    <w:name w:val="Heading 4 Char"/>
    <w:basedOn w:val="DefaultParagraphFont"/>
    <w:link w:val="Heading4"/>
    <w:uiPriority w:val="9"/>
    <w:rsid w:val="009A7BAE"/>
    <w:rPr>
      <w:rFonts w:asciiTheme="majorHAnsi" w:eastAsiaTheme="majorEastAsia" w:hAnsiTheme="majorHAnsi" w:cstheme="majorBidi"/>
      <w:i/>
      <w:iCs/>
      <w:color w:val="365F91" w:themeColor="accent1" w:themeShade="BF"/>
    </w:rPr>
  </w:style>
  <w:style w:type="paragraph" w:customStyle="1" w:styleId="Title1">
    <w:name w:val="Title1"/>
    <w:basedOn w:val="Heading1"/>
    <w:uiPriority w:val="1"/>
    <w:qFormat/>
    <w:rsid w:val="00B309C5"/>
    <w:pPr>
      <w:spacing w:before="120" w:after="240"/>
      <w:ind w:left="142" w:hanging="567"/>
    </w:pPr>
  </w:style>
  <w:style w:type="paragraph" w:styleId="Title">
    <w:name w:val="Title"/>
    <w:basedOn w:val="Normal"/>
    <w:next w:val="Normal"/>
    <w:link w:val="TitleChar"/>
    <w:uiPriority w:val="10"/>
    <w:qFormat/>
    <w:rsid w:val="00D6662D"/>
    <w:pPr>
      <w:spacing w:before="120" w:after="200" w:line="276" w:lineRule="auto"/>
      <w:contextualSpacing/>
    </w:pPr>
    <w:rPr>
      <w:rFonts w:ascii="Times New Roman" w:eastAsiaTheme="majorEastAsia" w:hAnsi="Times New Roman" w:cstheme="majorBidi"/>
      <w:spacing w:val="-10"/>
      <w:kern w:val="28"/>
      <w:sz w:val="32"/>
      <w:szCs w:val="56"/>
    </w:rPr>
  </w:style>
  <w:style w:type="character" w:customStyle="1" w:styleId="TitleChar">
    <w:name w:val="Title Char"/>
    <w:basedOn w:val="DefaultParagraphFont"/>
    <w:link w:val="Title"/>
    <w:uiPriority w:val="10"/>
    <w:rsid w:val="00D6662D"/>
    <w:rPr>
      <w:rFonts w:ascii="Times New Roman" w:eastAsiaTheme="majorEastAsia" w:hAnsi="Times New Roman" w:cstheme="majorBidi"/>
      <w:spacing w:val="-10"/>
      <w:kern w:val="28"/>
      <w:sz w:val="32"/>
      <w:szCs w:val="56"/>
    </w:rPr>
  </w:style>
  <w:style w:type="character" w:customStyle="1" w:styleId="Heading5Char">
    <w:name w:val="Heading 5 Char"/>
    <w:basedOn w:val="DefaultParagraphFont"/>
    <w:link w:val="Heading5"/>
    <w:uiPriority w:val="9"/>
    <w:semiHidden/>
    <w:rsid w:val="00D6662D"/>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D6662D"/>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D6662D"/>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6662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6662D"/>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C0066E"/>
    <w:pPr>
      <w:widowControl/>
    </w:pPr>
  </w:style>
  <w:style w:type="character" w:customStyle="1" w:styleId="Heading3Char">
    <w:name w:val="Heading 3 Char"/>
    <w:basedOn w:val="BodyTextChar"/>
    <w:link w:val="Heading3"/>
    <w:uiPriority w:val="1"/>
    <w:rsid w:val="002D0BCA"/>
    <w:rPr>
      <w:rFonts w:ascii="Times New Roman" w:eastAsia="Times New Roman" w:hAnsi="Times New Roman"/>
      <w:spacing w:val="-1"/>
      <w:sz w:val="24"/>
      <w:szCs w:val="24"/>
      <w:u w:val="single"/>
      <w:lang w:val="en-AU"/>
    </w:rPr>
  </w:style>
  <w:style w:type="paragraph" w:customStyle="1" w:styleId="subheading4BOLD">
    <w:name w:val="sub heading 4 BOLD"/>
    <w:basedOn w:val="Subheading4"/>
    <w:link w:val="subheading4BOLDChar"/>
    <w:uiPriority w:val="1"/>
    <w:qFormat/>
    <w:rsid w:val="00B309C5"/>
    <w:rPr>
      <w:b/>
    </w:rPr>
  </w:style>
  <w:style w:type="character" w:customStyle="1" w:styleId="subheading4BOLDChar">
    <w:name w:val="sub heading 4 BOLD Char"/>
    <w:basedOn w:val="DefaultParagraphFont"/>
    <w:link w:val="subheading4BOLD"/>
    <w:uiPriority w:val="1"/>
    <w:rsid w:val="00B309C5"/>
    <w:rPr>
      <w:rFonts w:ascii="Times New Roman"/>
      <w:b/>
      <w:i/>
      <w:spacing w:val="-1"/>
      <w:sz w:val="24"/>
      <w:u w:val="single" w:color="000000"/>
    </w:rPr>
  </w:style>
  <w:style w:type="character" w:customStyle="1" w:styleId="Subheading4Char">
    <w:name w:val="Subheading 4 Char"/>
    <w:basedOn w:val="DefaultParagraphFont"/>
    <w:link w:val="Subheading4"/>
    <w:uiPriority w:val="1"/>
    <w:rsid w:val="00B309C5"/>
    <w:rPr>
      <w:rFonts w:ascii="Times New Roman"/>
      <w:i/>
      <w:spacing w:val="-1"/>
      <w:sz w:val="24"/>
      <w:u w:val="single" w:color="000000"/>
    </w:rPr>
  </w:style>
  <w:style w:type="paragraph" w:customStyle="1" w:styleId="tablelegends">
    <w:name w:val="table legends"/>
    <w:basedOn w:val="BodyText"/>
    <w:next w:val="BodyText"/>
    <w:link w:val="tablelegendsChar"/>
    <w:uiPriority w:val="1"/>
    <w:qFormat/>
    <w:rsid w:val="00B309C5"/>
    <w:pPr>
      <w:keepNext/>
      <w:spacing w:before="40" w:after="160" w:line="360" w:lineRule="auto"/>
      <w:contextualSpacing/>
    </w:pPr>
    <w:rPr>
      <w:spacing w:val="-2"/>
      <w:sz w:val="18"/>
    </w:rPr>
  </w:style>
  <w:style w:type="character" w:customStyle="1" w:styleId="tablelegendsChar">
    <w:name w:val="table legends Char"/>
    <w:basedOn w:val="BodyTextChar"/>
    <w:link w:val="tablelegends"/>
    <w:uiPriority w:val="1"/>
    <w:rsid w:val="00B309C5"/>
    <w:rPr>
      <w:rFonts w:ascii="Times New Roman" w:eastAsia="Times New Roman" w:hAnsi="Times New Roman"/>
      <w:spacing w:val="-2"/>
      <w:sz w:val="18"/>
      <w:szCs w:val="24"/>
    </w:rPr>
  </w:style>
  <w:style w:type="paragraph" w:styleId="Caption">
    <w:name w:val="caption"/>
    <w:basedOn w:val="BodyText"/>
    <w:next w:val="BodyText"/>
    <w:uiPriority w:val="35"/>
    <w:unhideWhenUsed/>
    <w:qFormat/>
    <w:rsid w:val="00945FF1"/>
    <w:pPr>
      <w:keepNext/>
      <w:spacing w:line="276" w:lineRule="auto"/>
    </w:pPr>
    <w:rPr>
      <w:b/>
      <w:iCs/>
      <w:color w:val="000000" w:themeColor="text1"/>
      <w:szCs w:val="18"/>
    </w:rPr>
  </w:style>
  <w:style w:type="table" w:styleId="TableGrid">
    <w:name w:val="Table Grid"/>
    <w:basedOn w:val="TableNormal"/>
    <w:uiPriority w:val="59"/>
    <w:rsid w:val="001306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918"/>
    <w:rPr>
      <w:color w:val="0000FF" w:themeColor="hyperlink"/>
      <w:u w:val="single"/>
    </w:rPr>
  </w:style>
  <w:style w:type="character" w:styleId="UnresolvedMention">
    <w:name w:val="Unresolved Mention"/>
    <w:basedOn w:val="DefaultParagraphFont"/>
    <w:uiPriority w:val="99"/>
    <w:semiHidden/>
    <w:unhideWhenUsed/>
    <w:rsid w:val="00A12918"/>
    <w:rPr>
      <w:color w:val="605E5C"/>
      <w:shd w:val="clear" w:color="auto" w:fill="E1DFDD"/>
    </w:rPr>
  </w:style>
  <w:style w:type="character" w:styleId="PlaceholderText">
    <w:name w:val="Placeholder Text"/>
    <w:basedOn w:val="DefaultParagraphFont"/>
    <w:uiPriority w:val="99"/>
    <w:semiHidden/>
    <w:rsid w:val="00F04D59"/>
    <w:rPr>
      <w:color w:val="808080"/>
    </w:rPr>
  </w:style>
  <w:style w:type="character" w:customStyle="1" w:styleId="markedcontent">
    <w:name w:val="markedcontent"/>
    <w:basedOn w:val="DefaultParagraphFont"/>
    <w:rsid w:val="00F96C81"/>
  </w:style>
  <w:style w:type="character" w:customStyle="1" w:styleId="highlight">
    <w:name w:val="highlight"/>
    <w:basedOn w:val="DefaultParagraphFont"/>
    <w:rsid w:val="00F96C81"/>
  </w:style>
  <w:style w:type="table" w:customStyle="1" w:styleId="TableGrid2">
    <w:name w:val="Table Grid2"/>
    <w:basedOn w:val="TableNormal"/>
    <w:next w:val="TableGrid"/>
    <w:uiPriority w:val="59"/>
    <w:rsid w:val="00950490"/>
    <w:pPr>
      <w:widowControl/>
    </w:pPr>
    <w:rPr>
      <w:rFonts w:eastAsia="Cambria"/>
      <w:lang w:val="en-AU"/>
    </w:rPr>
    <w:tblPr>
      <w:tblBorders>
        <w:top w:val="single" w:sz="4" w:space="0" w:color="002C47"/>
        <w:left w:val="single" w:sz="4" w:space="0" w:color="002C47"/>
        <w:bottom w:val="single" w:sz="4" w:space="0" w:color="002C47"/>
        <w:right w:val="single" w:sz="4" w:space="0" w:color="002C47"/>
        <w:insideH w:val="single" w:sz="4" w:space="0" w:color="002C47"/>
        <w:insideV w:val="single" w:sz="4" w:space="0" w:color="002C47"/>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050557">
      <w:bodyDiv w:val="1"/>
      <w:marLeft w:val="0"/>
      <w:marRight w:val="0"/>
      <w:marTop w:val="0"/>
      <w:marBottom w:val="0"/>
      <w:divBdr>
        <w:top w:val="none" w:sz="0" w:space="0" w:color="auto"/>
        <w:left w:val="none" w:sz="0" w:space="0" w:color="auto"/>
        <w:bottom w:val="none" w:sz="0" w:space="0" w:color="auto"/>
        <w:right w:val="none" w:sz="0" w:space="0" w:color="auto"/>
      </w:divBdr>
    </w:div>
    <w:div w:id="1003044836">
      <w:bodyDiv w:val="1"/>
      <w:marLeft w:val="0"/>
      <w:marRight w:val="0"/>
      <w:marTop w:val="0"/>
      <w:marBottom w:val="0"/>
      <w:divBdr>
        <w:top w:val="none" w:sz="0" w:space="0" w:color="auto"/>
        <w:left w:val="none" w:sz="0" w:space="0" w:color="auto"/>
        <w:bottom w:val="none" w:sz="0" w:space="0" w:color="auto"/>
        <w:right w:val="none" w:sz="0" w:space="0" w:color="auto"/>
      </w:divBdr>
    </w:div>
    <w:div w:id="2006783671">
      <w:bodyDiv w:val="1"/>
      <w:marLeft w:val="0"/>
      <w:marRight w:val="0"/>
      <w:marTop w:val="0"/>
      <w:marBottom w:val="0"/>
      <w:divBdr>
        <w:top w:val="none" w:sz="0" w:space="0" w:color="auto"/>
        <w:left w:val="none" w:sz="0" w:space="0" w:color="auto"/>
        <w:bottom w:val="none" w:sz="0" w:space="0" w:color="auto"/>
        <w:right w:val="none" w:sz="0" w:space="0" w:color="auto"/>
      </w:divBdr>
    </w:div>
    <w:div w:id="2111126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tmp"/><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tga.gov.au/reporting-problem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tmp"/></Relationships>
</file>

<file path=word/_rels/header1.xml.rels><?xml version="1.0" encoding="UTF-8" standalone="yes"?>
<Relationships xmlns="http://schemas.openxmlformats.org/package/2006/relationships"><Relationship Id="rId1" Type="http://schemas.openxmlformats.org/officeDocument/2006/relationships/hyperlink" Target="https://www.tga.gov.au/products/australian-register-therapeutic-goods-artg/product-information-o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CBF66E7C0FA793429363B1390D8259F4" ma:contentTypeVersion="4" ma:contentTypeDescription="Create a new document." ma:contentTypeScope="" ma:versionID="c1b73e9ca498f3cf9ff46ce96991fb0d">
  <xsd:schema xmlns:xsd="http://www.w3.org/2001/XMLSchema" xmlns:xs="http://www.w3.org/2001/XMLSchema" xmlns:p="http://schemas.microsoft.com/office/2006/metadata/properties" xmlns:ns2="3a1e88e1-c449-4076-905f-7e4516ca7dbd" targetNamespace="http://schemas.microsoft.com/office/2006/metadata/properties" ma:root="true" ma:fieldsID="edba4a6ed7b945653aa94c8324504df6" ns2:_="">
    <xsd:import namespace="3a1e88e1-c449-4076-905f-7e4516ca7db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1e88e1-c449-4076-905f-7e4516ca7d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 xmlns="3a1e88e1-c449-4076-905f-7e4516ca7dbd">ECTD-153-67540</_dlc_DocId>
    <_dlc_DocIdUrl xmlns="3a1e88e1-c449-4076-905f-7e4516ca7dbd">
      <Url>http://portal.celltrion.com/Project/CTD/CT-P13_MAA/_layouts/DocIdRedir.aspx?ID=ECTD-153-67540</Url>
      <Description>ECTD-153-67540</Description>
    </_dlc_DocIdUrl>
  </documentManagement>
</p:properties>
</file>

<file path=customXml/itemProps1.xml><?xml version="1.0" encoding="utf-8"?>
<ds:datastoreItem xmlns:ds="http://schemas.openxmlformats.org/officeDocument/2006/customXml" ds:itemID="{CB3B6F79-9E59-42ED-BEC4-0A363826DB44}">
  <ds:schemaRefs>
    <ds:schemaRef ds:uri="http://schemas.microsoft.com/sharepoint/events"/>
  </ds:schemaRefs>
</ds:datastoreItem>
</file>

<file path=customXml/itemProps2.xml><?xml version="1.0" encoding="utf-8"?>
<ds:datastoreItem xmlns:ds="http://schemas.openxmlformats.org/officeDocument/2006/customXml" ds:itemID="{914F7A9E-6704-4157-A57D-0E4C558C2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1e88e1-c449-4076-905f-7e4516ca7d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FA186-C4BC-49B0-AEFC-1DA3E3550048}">
  <ds:schemaRefs>
    <ds:schemaRef ds:uri="http://schemas.microsoft.com/sharepoint/v3/contenttype/forms"/>
  </ds:schemaRefs>
</ds:datastoreItem>
</file>

<file path=customXml/itemProps4.xml><?xml version="1.0" encoding="utf-8"?>
<ds:datastoreItem xmlns:ds="http://schemas.openxmlformats.org/officeDocument/2006/customXml" ds:itemID="{898CCE36-C899-4C8F-B0C9-2573DFAF5286}">
  <ds:schemaRefs>
    <ds:schemaRef ds:uri="http://schemas.openxmlformats.org/officeDocument/2006/bibliography"/>
  </ds:schemaRefs>
</ds:datastoreItem>
</file>

<file path=customXml/itemProps5.xml><?xml version="1.0" encoding="utf-8"?>
<ds:datastoreItem xmlns:ds="http://schemas.openxmlformats.org/officeDocument/2006/customXml" ds:itemID="{916452C9-4BF3-4277-AC12-44364740C298}">
  <ds:schemaRefs>
    <ds:schemaRef ds:uri="http://schemas.microsoft.com/office/2006/metadata/properties"/>
    <ds:schemaRef ds:uri="http://schemas.microsoft.com/office/infopath/2007/PartnerControls"/>
    <ds:schemaRef ds:uri="3a1e88e1-c449-4076-905f-7e4516ca7d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29</Pages>
  <Words>6791</Words>
  <Characters>38578</Characters>
  <Application>Microsoft Office Word</Application>
  <DocSecurity>0</DocSecurity>
  <Lines>897</Lines>
  <Paragraphs>504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AusPAR Attachment 1: Product Information for Bijuva 1/100</vt:lpstr>
      <vt:lpstr/>
    </vt:vector>
  </TitlesOfParts>
  <Company/>
  <LinksUpToDate>false</LinksUpToDate>
  <CharactersWithSpaces>44865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AusPAR Attachment 1: Product Information for Bijuva 1/100</dc:title>
  <dc:creator>Theramex Australia Pty Ltd</dc:creator>
  <cp:lastModifiedBy>PITKIN, Brendan</cp:lastModifiedBy>
  <cp:revision>4</cp:revision>
  <cp:lastPrinted>2022-09-05T01:11:00Z</cp:lastPrinted>
  <dcterms:created xsi:type="dcterms:W3CDTF">2023-02-16T23:14:00Z</dcterms:created>
  <dcterms:modified xsi:type="dcterms:W3CDTF">2023-02-23T01:54:00Z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2020-01-22T00:00:00Z</vt:filetime>
  </property>
  <property fmtid="{D5CDD505-2E9C-101B-9397-08002B2CF9AE}" pid="3" name="LastSaved">
    <vt:filetime>2020-03-16T00:00:00Z</vt:filetime>
  </property>
  <property fmtid="{D5CDD505-2E9C-101B-9397-08002B2CF9AE}" pid="4" name="ContentTypeId">
    <vt:lpwstr>0x010100CBF66E7C0FA793429363B1390D8259F4</vt:lpwstr>
  </property>
  <property fmtid="{D5CDD505-2E9C-101B-9397-08002B2CF9AE}" pid="5" name="Order">
    <vt:r8>24493200</vt:r8>
  </property>
  <property fmtid="{D5CDD505-2E9C-101B-9397-08002B2CF9AE}" pid="6" name="_dlc_DocIdItemGuid">
    <vt:lpwstr>aa40c653-1b8d-49d5-a4d1-e1e206ba007b</vt:lpwstr>
  </property>
</Properties>
</file>