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655F66" w14:paraId="78C67C60" w14:textId="77777777" w:rsidTr="00641B86">
        <w:trPr>
          <w:trHeight w:val="1416"/>
        </w:trPr>
        <w:tc>
          <w:tcPr>
            <w:tcW w:w="9079" w:type="dxa"/>
          </w:tcPr>
          <w:p w14:paraId="04F2FC52" w14:textId="45AD11FD" w:rsidR="0032583B" w:rsidRPr="00655F66" w:rsidRDefault="0032583B" w:rsidP="00641B86">
            <w:pPr>
              <w:pStyle w:val="Title"/>
              <w:framePr w:hSpace="0" w:wrap="auto" w:vAnchor="margin" w:yAlign="inline"/>
              <w:spacing w:after="0"/>
            </w:pPr>
            <w:r w:rsidRPr="00641B86">
              <w:rPr>
                <w:color w:val="001871"/>
                <w:lang w:eastAsia="en-AU"/>
              </w:rPr>
              <w:t>Australian Public Assessment Report for</w:t>
            </w:r>
            <w:r w:rsidR="00AF2313" w:rsidRPr="00641B86">
              <w:rPr>
                <w:color w:val="001871"/>
                <w:lang w:eastAsia="en-AU"/>
              </w:rPr>
              <w:t xml:space="preserve"> </w:t>
            </w:r>
            <w:r w:rsidR="00DA75DA" w:rsidRPr="00641B86">
              <w:rPr>
                <w:color w:val="001871"/>
                <w:lang w:eastAsia="en-AU"/>
              </w:rPr>
              <w:t>Jemperli</w:t>
            </w:r>
          </w:p>
        </w:tc>
      </w:tr>
      <w:tr w:rsidR="0032583B" w:rsidRPr="00655F66" w14:paraId="637A6238" w14:textId="77777777" w:rsidTr="00641B86">
        <w:trPr>
          <w:trHeight w:val="996"/>
        </w:trPr>
        <w:tc>
          <w:tcPr>
            <w:tcW w:w="9079" w:type="dxa"/>
          </w:tcPr>
          <w:p w14:paraId="719E5D9E" w14:textId="60DCF60E" w:rsidR="0032583B" w:rsidRPr="00641B86" w:rsidRDefault="00BB75D6" w:rsidP="00641B86">
            <w:pPr>
              <w:pStyle w:val="Subtitle"/>
              <w:framePr w:hSpace="0" w:wrap="auto" w:vAnchor="margin" w:yAlign="inline"/>
              <w:spacing w:before="0" w:after="0"/>
              <w:ind w:left="0"/>
              <w:rPr>
                <w:color w:val="006BA6"/>
                <w:lang w:eastAsia="en-AU"/>
              </w:rPr>
            </w:pPr>
            <w:r w:rsidRPr="00641B86">
              <w:rPr>
                <w:color w:val="006BA6"/>
                <w:lang w:eastAsia="en-AU"/>
              </w:rPr>
              <w:t>Active ingredients</w:t>
            </w:r>
            <w:r w:rsidR="0032583B" w:rsidRPr="00641B86">
              <w:rPr>
                <w:color w:val="006BA6"/>
                <w:lang w:eastAsia="en-AU"/>
              </w:rPr>
              <w:t xml:space="preserve">: </w:t>
            </w:r>
            <w:proofErr w:type="spellStart"/>
            <w:r w:rsidR="00DA75DA" w:rsidRPr="00641B86">
              <w:rPr>
                <w:color w:val="006BA6"/>
                <w:lang w:eastAsia="en-AU"/>
              </w:rPr>
              <w:t>Dostarlimab</w:t>
            </w:r>
            <w:proofErr w:type="spellEnd"/>
          </w:p>
        </w:tc>
      </w:tr>
      <w:tr w:rsidR="0032583B" w:rsidRPr="00655F66" w14:paraId="2EA3BB66" w14:textId="77777777" w:rsidTr="00C6404D">
        <w:trPr>
          <w:trHeight w:val="1408"/>
        </w:trPr>
        <w:tc>
          <w:tcPr>
            <w:tcW w:w="9079" w:type="dxa"/>
          </w:tcPr>
          <w:p w14:paraId="6916E6DE" w14:textId="4648A737" w:rsidR="0032583B" w:rsidRPr="00641B86" w:rsidRDefault="00460036" w:rsidP="00641B86">
            <w:pPr>
              <w:pStyle w:val="Subtitle"/>
              <w:framePr w:hSpace="0" w:wrap="auto" w:vAnchor="margin" w:yAlign="inline"/>
              <w:spacing w:before="0" w:after="0"/>
              <w:ind w:left="0"/>
              <w:rPr>
                <w:color w:val="006BA6"/>
                <w:lang w:eastAsia="en-AU"/>
              </w:rPr>
            </w:pPr>
            <w:r w:rsidRPr="00641B86">
              <w:rPr>
                <w:color w:val="006BA6"/>
                <w:lang w:eastAsia="en-AU"/>
              </w:rPr>
              <w:t xml:space="preserve">Sponsor: </w:t>
            </w:r>
            <w:r w:rsidR="00DA75DA" w:rsidRPr="00641B86">
              <w:rPr>
                <w:color w:val="006BA6"/>
                <w:lang w:eastAsia="en-AU"/>
              </w:rPr>
              <w:t>GlaxoSmithKline Australia Pty Ltd</w:t>
            </w:r>
          </w:p>
        </w:tc>
      </w:tr>
      <w:tr w:rsidR="00641B86" w:rsidRPr="00655F66" w14:paraId="4F764AFE" w14:textId="77777777" w:rsidTr="0032583B">
        <w:trPr>
          <w:trHeight w:val="486"/>
        </w:trPr>
        <w:tc>
          <w:tcPr>
            <w:tcW w:w="9079" w:type="dxa"/>
          </w:tcPr>
          <w:p w14:paraId="3F021F44" w14:textId="76C11745" w:rsidR="00641B86" w:rsidRPr="00655F66" w:rsidRDefault="00641B86" w:rsidP="00641B86">
            <w:pPr>
              <w:pStyle w:val="Date"/>
              <w:framePr w:hSpace="0" w:wrap="auto" w:vAnchor="margin" w:hAnchor="text" w:yAlign="inline"/>
              <w:numPr>
                <w:ilvl w:val="1"/>
                <w:numId w:val="0"/>
              </w:numPr>
              <w:spacing w:after="0"/>
              <w:suppressOverlap w:val="0"/>
            </w:pPr>
            <w:r w:rsidRPr="00641B86">
              <w:rPr>
                <w:rFonts w:cs="Times New Roman"/>
                <w:b w:val="0"/>
                <w:color w:val="333F4A"/>
                <w:sz w:val="28"/>
                <w:szCs w:val="21"/>
                <w:lang w:eastAsia="en-AU"/>
              </w:rPr>
              <w:t>February 2023</w:t>
            </w:r>
          </w:p>
        </w:tc>
      </w:tr>
    </w:tbl>
    <w:p w14:paraId="5A590F58" w14:textId="77777777" w:rsidR="008E7846" w:rsidRPr="00655F66" w:rsidRDefault="008E7846" w:rsidP="0085156D">
      <w:r w:rsidRPr="00655F66">
        <w:br w:type="page"/>
      </w:r>
    </w:p>
    <w:p w14:paraId="25AE9443" w14:textId="500FC6B7" w:rsidR="008E7846" w:rsidRPr="00655F66" w:rsidRDefault="008E7846" w:rsidP="008E7846">
      <w:pPr>
        <w:pStyle w:val="NonTOCHeading2"/>
      </w:pPr>
      <w:r w:rsidRPr="00655F66">
        <w:lastRenderedPageBreak/>
        <w:t>About the Therapeutic Goods Administration (TGA)</w:t>
      </w:r>
    </w:p>
    <w:p w14:paraId="357A9A65" w14:textId="77777777" w:rsidR="00AF2313" w:rsidRPr="00655F66" w:rsidRDefault="00AF2313" w:rsidP="00AF2313">
      <w:pPr>
        <w:pStyle w:val="ListBullet"/>
      </w:pPr>
      <w:r w:rsidRPr="00655F66">
        <w:t>The Therapeutic Goods Administration (TGA) is part of the Australian Government Department of Health and is responsible for regulating therapeutic goods, including medicines, medical devices, and biologicals.</w:t>
      </w:r>
    </w:p>
    <w:p w14:paraId="3B81D62E" w14:textId="77777777" w:rsidR="00AF2313" w:rsidRPr="00655F66" w:rsidRDefault="00AF2313" w:rsidP="00AF2313">
      <w:pPr>
        <w:pStyle w:val="ListBullet"/>
      </w:pPr>
      <w:r w:rsidRPr="00655F66">
        <w:t xml:space="preserve">The TGA administers the </w:t>
      </w:r>
      <w:r w:rsidRPr="00655F66">
        <w:rPr>
          <w:i/>
          <w:iCs/>
        </w:rPr>
        <w:t>Therapeutic Goods Act 1989</w:t>
      </w:r>
      <w:r w:rsidRPr="00655F66">
        <w:t xml:space="preserve"> (the Act), applying a risk management approach designed to ensure therapeutic goods supplied in Australia meet acceptable standards of quality, </w:t>
      </w:r>
      <w:r w:rsidR="00CC5044" w:rsidRPr="00655F66">
        <w:t>safety,</w:t>
      </w:r>
      <w:r w:rsidRPr="00655F66">
        <w:t xml:space="preserve"> and efficacy.</w:t>
      </w:r>
    </w:p>
    <w:p w14:paraId="7F02731B" w14:textId="77777777" w:rsidR="00AF2313" w:rsidRPr="00655F66" w:rsidRDefault="00AF2313" w:rsidP="00AF2313">
      <w:pPr>
        <w:pStyle w:val="ListBullet"/>
      </w:pPr>
      <w:r w:rsidRPr="00655F66">
        <w:t>The work of the TGA is based on applying scientific and clinical expertise to decision-making, to ensure that the benefits to the Australian public outweigh any risks associated with the use of therapeutic goods.</w:t>
      </w:r>
    </w:p>
    <w:p w14:paraId="1C06CF31" w14:textId="77777777" w:rsidR="00AF2313" w:rsidRPr="00655F66" w:rsidRDefault="00AF2313" w:rsidP="00AF2313">
      <w:pPr>
        <w:pStyle w:val="ListBullet"/>
      </w:pPr>
      <w:r w:rsidRPr="00655F66">
        <w:t>The TGA relies on the public, healthcare professionals and industry to report problems with therapeutic goods. The TGA investigates reports received to determine any necessary regulatory action.</w:t>
      </w:r>
    </w:p>
    <w:p w14:paraId="4C47525B" w14:textId="2E315963" w:rsidR="00AF2313" w:rsidRPr="00655F66" w:rsidRDefault="00AF2313" w:rsidP="00AF2313">
      <w:pPr>
        <w:pStyle w:val="ListBullet"/>
      </w:pPr>
      <w:r w:rsidRPr="00655F66">
        <w:t xml:space="preserve">To report a problem with a therapeutic good, please see the information on the </w:t>
      </w:r>
      <w:hyperlink r:id="rId11" w:history="1">
        <w:r w:rsidRPr="00655F66">
          <w:rPr>
            <w:rStyle w:val="Hyperlink"/>
          </w:rPr>
          <w:t>TGA website</w:t>
        </w:r>
      </w:hyperlink>
      <w:r w:rsidRPr="00655F66">
        <w:t>.</w:t>
      </w:r>
    </w:p>
    <w:p w14:paraId="672F58CE" w14:textId="08473DC4" w:rsidR="008E7846" w:rsidRPr="00655F66" w:rsidRDefault="008E7846" w:rsidP="00875A6B">
      <w:pPr>
        <w:pStyle w:val="NonTOCHeading2"/>
      </w:pPr>
      <w:r w:rsidRPr="00655F66">
        <w:t xml:space="preserve">About </w:t>
      </w:r>
      <w:proofErr w:type="spellStart"/>
      <w:r w:rsidRPr="00655F66">
        <w:t>AusPARs</w:t>
      </w:r>
      <w:proofErr w:type="spellEnd"/>
    </w:p>
    <w:p w14:paraId="1E6EB852" w14:textId="363F009C" w:rsidR="00AF2313" w:rsidRPr="00655F66" w:rsidRDefault="00AF2313" w:rsidP="00AF2313">
      <w:pPr>
        <w:pStyle w:val="ListBullet"/>
      </w:pPr>
      <w:r>
        <w:t xml:space="preserve">The Australian Public Assessment Report (AusPAR) provides information about the evaluation of a prescription medicine and the considerations that led the TGA to approve or not approve a prescription medicine submission. Further information can be found in </w:t>
      </w:r>
      <w:hyperlink r:id="rId12">
        <w:r w:rsidRPr="2EFD2039">
          <w:rPr>
            <w:rStyle w:val="Hyperlink"/>
          </w:rPr>
          <w:t>Australian Public Assessment Report (AusPAR) guidance</w:t>
        </w:r>
      </w:hyperlink>
      <w:r>
        <w:t>.</w:t>
      </w:r>
    </w:p>
    <w:p w14:paraId="18A1E155" w14:textId="017A2793" w:rsidR="00AF2313" w:rsidRPr="00655F66" w:rsidRDefault="00AF2313" w:rsidP="00AF2313">
      <w:pPr>
        <w:pStyle w:val="ListBullet"/>
      </w:pPr>
      <w:proofErr w:type="spellStart"/>
      <w:r>
        <w:t>AusPARs</w:t>
      </w:r>
      <w:proofErr w:type="spellEnd"/>
      <w:r>
        <w:t xml:space="preserve"> are prepared and published by the TGA.</w:t>
      </w:r>
    </w:p>
    <w:p w14:paraId="154E2E8E" w14:textId="017A2793" w:rsidR="00AF2313" w:rsidRPr="00655F66" w:rsidRDefault="00AF2313" w:rsidP="00AF2313">
      <w:pPr>
        <w:pStyle w:val="ListBullet"/>
      </w:pPr>
      <w:proofErr w:type="spellStart"/>
      <w:r>
        <w:t>AusPARs</w:t>
      </w:r>
      <w:proofErr w:type="spellEnd"/>
      <w:r>
        <w:t xml:space="preserve"> are static documents that provide information that relates to a submission at a particular point in time.</w:t>
      </w:r>
      <w:r w:rsidR="008110BC">
        <w:t xml:space="preserve"> The publication of an AusPAR is an important part of the transparency of the TGA’s decision-making process.</w:t>
      </w:r>
    </w:p>
    <w:p w14:paraId="735CCBA9" w14:textId="017A2793" w:rsidR="00AF2313" w:rsidRPr="00655F66" w:rsidRDefault="00AF2313" w:rsidP="00AF2313">
      <w:pPr>
        <w:pStyle w:val="ListBullet"/>
      </w:pPr>
      <w:r>
        <w:t>A new AusPAR may be provided to reflect changes to indications or major variations to a prescription medicine subject to evaluation by the TGA.</w:t>
      </w:r>
    </w:p>
    <w:p w14:paraId="49FDF693" w14:textId="30192F2B" w:rsidR="00924482" w:rsidRPr="00655F66" w:rsidRDefault="00924482" w:rsidP="00F54B65">
      <w:pPr>
        <w:pStyle w:val="LegalSubheading"/>
        <w:spacing w:before="3120"/>
      </w:pPr>
      <w:r w:rsidRPr="00655F66">
        <w:t>Copyright</w:t>
      </w:r>
    </w:p>
    <w:p w14:paraId="2EE939B3" w14:textId="2A072BC0" w:rsidR="00924482" w:rsidRPr="00655F66" w:rsidRDefault="00924482" w:rsidP="00924482">
      <w:pPr>
        <w:pStyle w:val="LegalCopy"/>
      </w:pPr>
      <w:r w:rsidRPr="00655F66">
        <w:rPr>
          <w:rFonts w:cs="Arial"/>
          <w:lang w:val="en-GB"/>
        </w:rPr>
        <w:t>© Commonwealth of Australia 20</w:t>
      </w:r>
      <w:r w:rsidR="00460036" w:rsidRPr="00655F66">
        <w:rPr>
          <w:rFonts w:cs="Arial"/>
          <w:lang w:val="en-GB"/>
        </w:rPr>
        <w:t>2</w:t>
      </w:r>
      <w:r w:rsidR="00821445">
        <w:rPr>
          <w:rFonts w:cs="Arial"/>
          <w:lang w:val="en-GB"/>
        </w:rPr>
        <w:t>3</w:t>
      </w:r>
      <w:r w:rsidRPr="00655F66">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655F66">
        <w:rPr>
          <w:rFonts w:cs="Arial"/>
          <w:i/>
          <w:lang w:val="en-GB"/>
        </w:rPr>
        <w:t>Copyright Act 1968</w:t>
      </w:r>
      <w:r w:rsidRPr="00655F66">
        <w:rPr>
          <w:rFonts w:cs="Arial"/>
          <w:lang w:val="en-GB"/>
        </w:rPr>
        <w:t xml:space="preserve"> or allowed by this copyright notice, all other rights are </w:t>
      </w:r>
      <w:r w:rsidR="00EB36D6" w:rsidRPr="00655F66">
        <w:rPr>
          <w:rFonts w:cs="Arial"/>
          <w:lang w:val="en-GB"/>
        </w:rPr>
        <w:t>reserved,</w:t>
      </w:r>
      <w:r w:rsidRPr="00655F66">
        <w:rPr>
          <w:rFonts w:cs="Arial"/>
          <w:lang w:val="en-GB"/>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655F66">
        <w:rPr>
          <w:rFonts w:cs="Arial"/>
          <w:lang w:val="en-GB"/>
        </w:rPr>
        <w:t>Woden</w:t>
      </w:r>
      <w:proofErr w:type="spellEnd"/>
      <w:r w:rsidRPr="00655F66">
        <w:rPr>
          <w:rFonts w:cs="Arial"/>
          <w:lang w:val="en-GB"/>
        </w:rPr>
        <w:t xml:space="preserve"> ACT 2606 or emailed to &lt;</w:t>
      </w:r>
      <w:hyperlink r:id="rId13" w:history="1">
        <w:r w:rsidRPr="00655F66">
          <w:rPr>
            <w:rStyle w:val="Hyperlink"/>
            <w:rFonts w:cs="Arial"/>
            <w:lang w:val="en-GB"/>
          </w:rPr>
          <w:t>tga.copyright@tga.gov.au</w:t>
        </w:r>
      </w:hyperlink>
      <w:r w:rsidRPr="00655F66">
        <w:rPr>
          <w:rFonts w:cs="Arial"/>
        </w:rPr>
        <w:t>&gt;.</w:t>
      </w:r>
    </w:p>
    <w:p w14:paraId="445748C4" w14:textId="77777777" w:rsidR="00924482" w:rsidRPr="00655F66" w:rsidRDefault="00924482" w:rsidP="00924482">
      <w:pPr>
        <w:pStyle w:val="LegalCopy"/>
        <w:sectPr w:rsidR="00924482" w:rsidRPr="00655F66" w:rsidSect="003D1E62">
          <w:headerReference w:type="default" r:id="rId14"/>
          <w:footerReference w:type="default" r:id="rId15"/>
          <w:headerReference w:type="first" r:id="rId16"/>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Cs w:val="0"/>
        </w:rPr>
      </w:sdtEndPr>
      <w:sdtContent>
        <w:p w14:paraId="638F5EA5" w14:textId="5133497B" w:rsidR="0089635C" w:rsidRPr="00655F66" w:rsidRDefault="0089635C" w:rsidP="0010788A">
          <w:pPr>
            <w:pStyle w:val="Contents"/>
          </w:pPr>
          <w:r w:rsidRPr="00655F66">
            <w:t>Contents</w:t>
          </w:r>
        </w:p>
        <w:p w14:paraId="1C54A17F" w14:textId="3BD48015" w:rsidR="000A7290" w:rsidRDefault="00C525A2">
          <w:pPr>
            <w:pStyle w:val="TOC1"/>
            <w:rPr>
              <w:rFonts w:asciiTheme="minorHAnsi" w:eastAsiaTheme="minorEastAsia" w:hAnsiTheme="minorHAnsi" w:cstheme="minorBidi"/>
              <w:b w:val="0"/>
              <w:noProof/>
              <w:sz w:val="22"/>
              <w:lang w:eastAsia="en-AU"/>
            </w:rPr>
          </w:pPr>
          <w:r w:rsidRPr="00655F66">
            <w:fldChar w:fldCharType="begin"/>
          </w:r>
          <w:r w:rsidRPr="00655F66">
            <w:instrText xml:space="preserve"> TOC \h \z \t "Heading 2,1,Heading 3,2" </w:instrText>
          </w:r>
          <w:r w:rsidRPr="00655F66">
            <w:fldChar w:fldCharType="separate"/>
          </w:r>
          <w:hyperlink w:anchor="_Toc126579865" w:history="1">
            <w:r w:rsidR="000A7290" w:rsidRPr="00BD7562">
              <w:rPr>
                <w:rStyle w:val="Hyperlink"/>
                <w:noProof/>
              </w:rPr>
              <w:t>List of abbreviations</w:t>
            </w:r>
            <w:r w:rsidR="000A7290">
              <w:rPr>
                <w:noProof/>
                <w:webHidden/>
              </w:rPr>
              <w:tab/>
            </w:r>
            <w:r w:rsidR="000A7290">
              <w:rPr>
                <w:noProof/>
                <w:webHidden/>
              </w:rPr>
              <w:fldChar w:fldCharType="begin"/>
            </w:r>
            <w:r w:rsidR="000A7290">
              <w:rPr>
                <w:noProof/>
                <w:webHidden/>
              </w:rPr>
              <w:instrText xml:space="preserve"> PAGEREF _Toc126579865 \h </w:instrText>
            </w:r>
            <w:r w:rsidR="000A7290">
              <w:rPr>
                <w:noProof/>
                <w:webHidden/>
              </w:rPr>
            </w:r>
            <w:r w:rsidR="000A7290">
              <w:rPr>
                <w:noProof/>
                <w:webHidden/>
              </w:rPr>
              <w:fldChar w:fldCharType="separate"/>
            </w:r>
            <w:r w:rsidR="000A7290">
              <w:rPr>
                <w:noProof/>
                <w:webHidden/>
              </w:rPr>
              <w:t>4</w:t>
            </w:r>
            <w:r w:rsidR="000A7290">
              <w:rPr>
                <w:noProof/>
                <w:webHidden/>
              </w:rPr>
              <w:fldChar w:fldCharType="end"/>
            </w:r>
          </w:hyperlink>
        </w:p>
        <w:p w14:paraId="75C43803" w14:textId="5E043241" w:rsidR="000A7290" w:rsidRDefault="00B27846">
          <w:pPr>
            <w:pStyle w:val="TOC1"/>
            <w:rPr>
              <w:rFonts w:asciiTheme="minorHAnsi" w:eastAsiaTheme="minorEastAsia" w:hAnsiTheme="minorHAnsi" w:cstheme="minorBidi"/>
              <w:b w:val="0"/>
              <w:noProof/>
              <w:sz w:val="22"/>
              <w:lang w:eastAsia="en-AU"/>
            </w:rPr>
          </w:pPr>
          <w:hyperlink w:anchor="_Toc126579866" w:history="1">
            <w:r w:rsidR="000A7290" w:rsidRPr="00BD7562">
              <w:rPr>
                <w:rStyle w:val="Hyperlink"/>
                <w:noProof/>
              </w:rPr>
              <w:t>Product submission</w:t>
            </w:r>
            <w:r w:rsidR="000A7290">
              <w:rPr>
                <w:noProof/>
                <w:webHidden/>
              </w:rPr>
              <w:tab/>
            </w:r>
            <w:r w:rsidR="000A7290">
              <w:rPr>
                <w:noProof/>
                <w:webHidden/>
              </w:rPr>
              <w:fldChar w:fldCharType="begin"/>
            </w:r>
            <w:r w:rsidR="000A7290">
              <w:rPr>
                <w:noProof/>
                <w:webHidden/>
              </w:rPr>
              <w:instrText xml:space="preserve"> PAGEREF _Toc126579866 \h </w:instrText>
            </w:r>
            <w:r w:rsidR="000A7290">
              <w:rPr>
                <w:noProof/>
                <w:webHidden/>
              </w:rPr>
            </w:r>
            <w:r w:rsidR="000A7290">
              <w:rPr>
                <w:noProof/>
                <w:webHidden/>
              </w:rPr>
              <w:fldChar w:fldCharType="separate"/>
            </w:r>
            <w:r w:rsidR="000A7290">
              <w:rPr>
                <w:noProof/>
                <w:webHidden/>
              </w:rPr>
              <w:t>7</w:t>
            </w:r>
            <w:r w:rsidR="000A7290">
              <w:rPr>
                <w:noProof/>
                <w:webHidden/>
              </w:rPr>
              <w:fldChar w:fldCharType="end"/>
            </w:r>
          </w:hyperlink>
        </w:p>
        <w:p w14:paraId="03A5B1BF" w14:textId="58DFAE90" w:rsidR="000A7290" w:rsidRDefault="00B27846">
          <w:pPr>
            <w:pStyle w:val="TOC2"/>
            <w:rPr>
              <w:rFonts w:asciiTheme="minorHAnsi" w:eastAsiaTheme="minorEastAsia" w:hAnsiTheme="minorHAnsi" w:cstheme="minorBidi"/>
              <w:b w:val="0"/>
              <w:noProof/>
              <w:sz w:val="22"/>
              <w:lang w:eastAsia="en-AU"/>
            </w:rPr>
          </w:pPr>
          <w:hyperlink w:anchor="_Toc126579867" w:history="1">
            <w:r w:rsidR="000A7290" w:rsidRPr="00BD7562">
              <w:rPr>
                <w:rStyle w:val="Hyperlink"/>
                <w:noProof/>
                <w:lang w:eastAsia="en-AU"/>
              </w:rPr>
              <w:t>Submission details</w:t>
            </w:r>
            <w:r w:rsidR="000A7290">
              <w:rPr>
                <w:noProof/>
                <w:webHidden/>
              </w:rPr>
              <w:tab/>
            </w:r>
            <w:r w:rsidR="000A7290">
              <w:rPr>
                <w:noProof/>
                <w:webHidden/>
              </w:rPr>
              <w:fldChar w:fldCharType="begin"/>
            </w:r>
            <w:r w:rsidR="000A7290">
              <w:rPr>
                <w:noProof/>
                <w:webHidden/>
              </w:rPr>
              <w:instrText xml:space="preserve"> PAGEREF _Toc126579867 \h </w:instrText>
            </w:r>
            <w:r w:rsidR="000A7290">
              <w:rPr>
                <w:noProof/>
                <w:webHidden/>
              </w:rPr>
            </w:r>
            <w:r w:rsidR="000A7290">
              <w:rPr>
                <w:noProof/>
                <w:webHidden/>
              </w:rPr>
              <w:fldChar w:fldCharType="separate"/>
            </w:r>
            <w:r w:rsidR="000A7290">
              <w:rPr>
                <w:noProof/>
                <w:webHidden/>
              </w:rPr>
              <w:t>7</w:t>
            </w:r>
            <w:r w:rsidR="000A7290">
              <w:rPr>
                <w:noProof/>
                <w:webHidden/>
              </w:rPr>
              <w:fldChar w:fldCharType="end"/>
            </w:r>
          </w:hyperlink>
        </w:p>
        <w:p w14:paraId="06A09A2C" w14:textId="65F04DCE" w:rsidR="000A7290" w:rsidRDefault="00B27846">
          <w:pPr>
            <w:pStyle w:val="TOC2"/>
            <w:rPr>
              <w:rFonts w:asciiTheme="minorHAnsi" w:eastAsiaTheme="minorEastAsia" w:hAnsiTheme="minorHAnsi" w:cstheme="minorBidi"/>
              <w:b w:val="0"/>
              <w:noProof/>
              <w:sz w:val="22"/>
              <w:lang w:eastAsia="en-AU"/>
            </w:rPr>
          </w:pPr>
          <w:hyperlink w:anchor="_Toc126579868" w:history="1">
            <w:r w:rsidR="000A7290" w:rsidRPr="00BD7562">
              <w:rPr>
                <w:rStyle w:val="Hyperlink"/>
                <w:noProof/>
              </w:rPr>
              <w:t>Product background</w:t>
            </w:r>
            <w:r w:rsidR="000A7290">
              <w:rPr>
                <w:noProof/>
                <w:webHidden/>
              </w:rPr>
              <w:tab/>
            </w:r>
            <w:r w:rsidR="000A7290">
              <w:rPr>
                <w:noProof/>
                <w:webHidden/>
              </w:rPr>
              <w:fldChar w:fldCharType="begin"/>
            </w:r>
            <w:r w:rsidR="000A7290">
              <w:rPr>
                <w:noProof/>
                <w:webHidden/>
              </w:rPr>
              <w:instrText xml:space="preserve"> PAGEREF _Toc126579868 \h </w:instrText>
            </w:r>
            <w:r w:rsidR="000A7290">
              <w:rPr>
                <w:noProof/>
                <w:webHidden/>
              </w:rPr>
            </w:r>
            <w:r w:rsidR="000A7290">
              <w:rPr>
                <w:noProof/>
                <w:webHidden/>
              </w:rPr>
              <w:fldChar w:fldCharType="separate"/>
            </w:r>
            <w:r w:rsidR="000A7290">
              <w:rPr>
                <w:noProof/>
                <w:webHidden/>
              </w:rPr>
              <w:t>9</w:t>
            </w:r>
            <w:r w:rsidR="000A7290">
              <w:rPr>
                <w:noProof/>
                <w:webHidden/>
              </w:rPr>
              <w:fldChar w:fldCharType="end"/>
            </w:r>
          </w:hyperlink>
        </w:p>
        <w:p w14:paraId="5A473CC9" w14:textId="5470ACA3" w:rsidR="000A7290" w:rsidRDefault="00B27846">
          <w:pPr>
            <w:pStyle w:val="TOC2"/>
            <w:rPr>
              <w:rFonts w:asciiTheme="minorHAnsi" w:eastAsiaTheme="minorEastAsia" w:hAnsiTheme="minorHAnsi" w:cstheme="minorBidi"/>
              <w:b w:val="0"/>
              <w:noProof/>
              <w:sz w:val="22"/>
              <w:lang w:eastAsia="en-AU"/>
            </w:rPr>
          </w:pPr>
          <w:hyperlink w:anchor="_Toc126579869" w:history="1">
            <w:r w:rsidR="000A7290" w:rsidRPr="00BD7562">
              <w:rPr>
                <w:rStyle w:val="Hyperlink"/>
                <w:noProof/>
              </w:rPr>
              <w:t>Regulatory status</w:t>
            </w:r>
            <w:r w:rsidR="000A7290">
              <w:rPr>
                <w:noProof/>
                <w:webHidden/>
              </w:rPr>
              <w:tab/>
            </w:r>
            <w:r w:rsidR="000A7290">
              <w:rPr>
                <w:noProof/>
                <w:webHidden/>
              </w:rPr>
              <w:fldChar w:fldCharType="begin"/>
            </w:r>
            <w:r w:rsidR="000A7290">
              <w:rPr>
                <w:noProof/>
                <w:webHidden/>
              </w:rPr>
              <w:instrText xml:space="preserve"> PAGEREF _Toc126579869 \h </w:instrText>
            </w:r>
            <w:r w:rsidR="000A7290">
              <w:rPr>
                <w:noProof/>
                <w:webHidden/>
              </w:rPr>
            </w:r>
            <w:r w:rsidR="000A7290">
              <w:rPr>
                <w:noProof/>
                <w:webHidden/>
              </w:rPr>
              <w:fldChar w:fldCharType="separate"/>
            </w:r>
            <w:r w:rsidR="000A7290">
              <w:rPr>
                <w:noProof/>
                <w:webHidden/>
              </w:rPr>
              <w:t>10</w:t>
            </w:r>
            <w:r w:rsidR="000A7290">
              <w:rPr>
                <w:noProof/>
                <w:webHidden/>
              </w:rPr>
              <w:fldChar w:fldCharType="end"/>
            </w:r>
          </w:hyperlink>
        </w:p>
        <w:p w14:paraId="79F3CAB3" w14:textId="37CD95E3" w:rsidR="000A7290" w:rsidRDefault="00B27846">
          <w:pPr>
            <w:pStyle w:val="TOC2"/>
            <w:rPr>
              <w:rFonts w:asciiTheme="minorHAnsi" w:eastAsiaTheme="minorEastAsia" w:hAnsiTheme="minorHAnsi" w:cstheme="minorBidi"/>
              <w:b w:val="0"/>
              <w:noProof/>
              <w:sz w:val="22"/>
              <w:lang w:eastAsia="en-AU"/>
            </w:rPr>
          </w:pPr>
          <w:hyperlink w:anchor="_Toc126579870" w:history="1">
            <w:r w:rsidR="000A7290" w:rsidRPr="00BD7562">
              <w:rPr>
                <w:rStyle w:val="Hyperlink"/>
                <w:noProof/>
              </w:rPr>
              <w:t>Product Information</w:t>
            </w:r>
            <w:r w:rsidR="000A7290">
              <w:rPr>
                <w:noProof/>
                <w:webHidden/>
              </w:rPr>
              <w:tab/>
            </w:r>
            <w:r w:rsidR="000A7290">
              <w:rPr>
                <w:noProof/>
                <w:webHidden/>
              </w:rPr>
              <w:fldChar w:fldCharType="begin"/>
            </w:r>
            <w:r w:rsidR="000A7290">
              <w:rPr>
                <w:noProof/>
                <w:webHidden/>
              </w:rPr>
              <w:instrText xml:space="preserve"> PAGEREF _Toc126579870 \h </w:instrText>
            </w:r>
            <w:r w:rsidR="000A7290">
              <w:rPr>
                <w:noProof/>
                <w:webHidden/>
              </w:rPr>
            </w:r>
            <w:r w:rsidR="000A7290">
              <w:rPr>
                <w:noProof/>
                <w:webHidden/>
              </w:rPr>
              <w:fldChar w:fldCharType="separate"/>
            </w:r>
            <w:r w:rsidR="000A7290">
              <w:rPr>
                <w:noProof/>
                <w:webHidden/>
              </w:rPr>
              <w:t>10</w:t>
            </w:r>
            <w:r w:rsidR="000A7290">
              <w:rPr>
                <w:noProof/>
                <w:webHidden/>
              </w:rPr>
              <w:fldChar w:fldCharType="end"/>
            </w:r>
          </w:hyperlink>
        </w:p>
        <w:p w14:paraId="18B43382" w14:textId="1CF0910C" w:rsidR="000A7290" w:rsidRDefault="00B27846">
          <w:pPr>
            <w:pStyle w:val="TOC1"/>
            <w:rPr>
              <w:rFonts w:asciiTheme="minorHAnsi" w:eastAsiaTheme="minorEastAsia" w:hAnsiTheme="minorHAnsi" w:cstheme="minorBidi"/>
              <w:b w:val="0"/>
              <w:noProof/>
              <w:sz w:val="22"/>
              <w:lang w:eastAsia="en-AU"/>
            </w:rPr>
          </w:pPr>
          <w:hyperlink w:anchor="_Toc126579871" w:history="1">
            <w:r w:rsidR="000A7290" w:rsidRPr="00BD7562">
              <w:rPr>
                <w:rStyle w:val="Hyperlink"/>
                <w:noProof/>
              </w:rPr>
              <w:t>Registration timeline</w:t>
            </w:r>
            <w:r w:rsidR="000A7290">
              <w:rPr>
                <w:noProof/>
                <w:webHidden/>
              </w:rPr>
              <w:tab/>
            </w:r>
            <w:r w:rsidR="000A7290">
              <w:rPr>
                <w:noProof/>
                <w:webHidden/>
              </w:rPr>
              <w:fldChar w:fldCharType="begin"/>
            </w:r>
            <w:r w:rsidR="000A7290">
              <w:rPr>
                <w:noProof/>
                <w:webHidden/>
              </w:rPr>
              <w:instrText xml:space="preserve"> PAGEREF _Toc126579871 \h </w:instrText>
            </w:r>
            <w:r w:rsidR="000A7290">
              <w:rPr>
                <w:noProof/>
                <w:webHidden/>
              </w:rPr>
            </w:r>
            <w:r w:rsidR="000A7290">
              <w:rPr>
                <w:noProof/>
                <w:webHidden/>
              </w:rPr>
              <w:fldChar w:fldCharType="separate"/>
            </w:r>
            <w:r w:rsidR="000A7290">
              <w:rPr>
                <w:noProof/>
                <w:webHidden/>
              </w:rPr>
              <w:t>10</w:t>
            </w:r>
            <w:r w:rsidR="000A7290">
              <w:rPr>
                <w:noProof/>
                <w:webHidden/>
              </w:rPr>
              <w:fldChar w:fldCharType="end"/>
            </w:r>
          </w:hyperlink>
        </w:p>
        <w:p w14:paraId="5428CD14" w14:textId="018FF074" w:rsidR="000A7290" w:rsidRDefault="00B27846">
          <w:pPr>
            <w:pStyle w:val="TOC1"/>
            <w:rPr>
              <w:rFonts w:asciiTheme="minorHAnsi" w:eastAsiaTheme="minorEastAsia" w:hAnsiTheme="minorHAnsi" w:cstheme="minorBidi"/>
              <w:b w:val="0"/>
              <w:noProof/>
              <w:sz w:val="22"/>
              <w:lang w:eastAsia="en-AU"/>
            </w:rPr>
          </w:pPr>
          <w:hyperlink w:anchor="_Toc126579872" w:history="1">
            <w:r w:rsidR="000A7290" w:rsidRPr="00BD7562">
              <w:rPr>
                <w:rStyle w:val="Hyperlink"/>
                <w:noProof/>
              </w:rPr>
              <w:t>Submission overview and risk/benefit assessment</w:t>
            </w:r>
            <w:r w:rsidR="000A7290">
              <w:rPr>
                <w:noProof/>
                <w:webHidden/>
              </w:rPr>
              <w:tab/>
            </w:r>
            <w:r w:rsidR="000A7290">
              <w:rPr>
                <w:noProof/>
                <w:webHidden/>
              </w:rPr>
              <w:fldChar w:fldCharType="begin"/>
            </w:r>
            <w:r w:rsidR="000A7290">
              <w:rPr>
                <w:noProof/>
                <w:webHidden/>
              </w:rPr>
              <w:instrText xml:space="preserve"> PAGEREF _Toc126579872 \h </w:instrText>
            </w:r>
            <w:r w:rsidR="000A7290">
              <w:rPr>
                <w:noProof/>
                <w:webHidden/>
              </w:rPr>
            </w:r>
            <w:r w:rsidR="000A7290">
              <w:rPr>
                <w:noProof/>
                <w:webHidden/>
              </w:rPr>
              <w:fldChar w:fldCharType="separate"/>
            </w:r>
            <w:r w:rsidR="000A7290">
              <w:rPr>
                <w:noProof/>
                <w:webHidden/>
              </w:rPr>
              <w:t>11</w:t>
            </w:r>
            <w:r w:rsidR="000A7290">
              <w:rPr>
                <w:noProof/>
                <w:webHidden/>
              </w:rPr>
              <w:fldChar w:fldCharType="end"/>
            </w:r>
          </w:hyperlink>
        </w:p>
        <w:p w14:paraId="3C5063B7" w14:textId="0F454029" w:rsidR="000A7290" w:rsidRDefault="00B27846">
          <w:pPr>
            <w:pStyle w:val="TOC2"/>
            <w:rPr>
              <w:rFonts w:asciiTheme="minorHAnsi" w:eastAsiaTheme="minorEastAsia" w:hAnsiTheme="minorHAnsi" w:cstheme="minorBidi"/>
              <w:b w:val="0"/>
              <w:noProof/>
              <w:sz w:val="22"/>
              <w:lang w:eastAsia="en-AU"/>
            </w:rPr>
          </w:pPr>
          <w:hyperlink w:anchor="_Toc126579873" w:history="1">
            <w:r w:rsidR="000A7290" w:rsidRPr="00BD7562">
              <w:rPr>
                <w:rStyle w:val="Hyperlink"/>
                <w:noProof/>
              </w:rPr>
              <w:t>Quality</w:t>
            </w:r>
            <w:r w:rsidR="000A7290">
              <w:rPr>
                <w:noProof/>
                <w:webHidden/>
              </w:rPr>
              <w:tab/>
            </w:r>
            <w:r w:rsidR="000A7290">
              <w:rPr>
                <w:noProof/>
                <w:webHidden/>
              </w:rPr>
              <w:fldChar w:fldCharType="begin"/>
            </w:r>
            <w:r w:rsidR="000A7290">
              <w:rPr>
                <w:noProof/>
                <w:webHidden/>
              </w:rPr>
              <w:instrText xml:space="preserve"> PAGEREF _Toc126579873 \h </w:instrText>
            </w:r>
            <w:r w:rsidR="000A7290">
              <w:rPr>
                <w:noProof/>
                <w:webHidden/>
              </w:rPr>
            </w:r>
            <w:r w:rsidR="000A7290">
              <w:rPr>
                <w:noProof/>
                <w:webHidden/>
              </w:rPr>
              <w:fldChar w:fldCharType="separate"/>
            </w:r>
            <w:r w:rsidR="000A7290">
              <w:rPr>
                <w:noProof/>
                <w:webHidden/>
              </w:rPr>
              <w:t>12</w:t>
            </w:r>
            <w:r w:rsidR="000A7290">
              <w:rPr>
                <w:noProof/>
                <w:webHidden/>
              </w:rPr>
              <w:fldChar w:fldCharType="end"/>
            </w:r>
          </w:hyperlink>
        </w:p>
        <w:p w14:paraId="730E2916" w14:textId="1F5A7A76" w:rsidR="000A7290" w:rsidRDefault="00B27846">
          <w:pPr>
            <w:pStyle w:val="TOC2"/>
            <w:rPr>
              <w:rFonts w:asciiTheme="minorHAnsi" w:eastAsiaTheme="minorEastAsia" w:hAnsiTheme="minorHAnsi" w:cstheme="minorBidi"/>
              <w:b w:val="0"/>
              <w:noProof/>
              <w:sz w:val="22"/>
              <w:lang w:eastAsia="en-AU"/>
            </w:rPr>
          </w:pPr>
          <w:hyperlink w:anchor="_Toc126579874" w:history="1">
            <w:r w:rsidR="000A7290" w:rsidRPr="00BD7562">
              <w:rPr>
                <w:rStyle w:val="Hyperlink"/>
                <w:noProof/>
              </w:rPr>
              <w:t>Nonclinical</w:t>
            </w:r>
            <w:r w:rsidR="000A7290">
              <w:rPr>
                <w:noProof/>
                <w:webHidden/>
              </w:rPr>
              <w:tab/>
            </w:r>
            <w:r w:rsidR="000A7290">
              <w:rPr>
                <w:noProof/>
                <w:webHidden/>
              </w:rPr>
              <w:fldChar w:fldCharType="begin"/>
            </w:r>
            <w:r w:rsidR="000A7290">
              <w:rPr>
                <w:noProof/>
                <w:webHidden/>
              </w:rPr>
              <w:instrText xml:space="preserve"> PAGEREF _Toc126579874 \h </w:instrText>
            </w:r>
            <w:r w:rsidR="000A7290">
              <w:rPr>
                <w:noProof/>
                <w:webHidden/>
              </w:rPr>
            </w:r>
            <w:r w:rsidR="000A7290">
              <w:rPr>
                <w:noProof/>
                <w:webHidden/>
              </w:rPr>
              <w:fldChar w:fldCharType="separate"/>
            </w:r>
            <w:r w:rsidR="000A7290">
              <w:rPr>
                <w:noProof/>
                <w:webHidden/>
              </w:rPr>
              <w:t>14</w:t>
            </w:r>
            <w:r w:rsidR="000A7290">
              <w:rPr>
                <w:noProof/>
                <w:webHidden/>
              </w:rPr>
              <w:fldChar w:fldCharType="end"/>
            </w:r>
          </w:hyperlink>
        </w:p>
        <w:p w14:paraId="014B2762" w14:textId="62111F9B" w:rsidR="000A7290" w:rsidRDefault="00B27846">
          <w:pPr>
            <w:pStyle w:val="TOC2"/>
            <w:rPr>
              <w:rFonts w:asciiTheme="minorHAnsi" w:eastAsiaTheme="minorEastAsia" w:hAnsiTheme="minorHAnsi" w:cstheme="minorBidi"/>
              <w:b w:val="0"/>
              <w:noProof/>
              <w:sz w:val="22"/>
              <w:lang w:eastAsia="en-AU"/>
            </w:rPr>
          </w:pPr>
          <w:hyperlink w:anchor="_Toc126579875" w:history="1">
            <w:r w:rsidR="000A7290" w:rsidRPr="00BD7562">
              <w:rPr>
                <w:rStyle w:val="Hyperlink"/>
                <w:noProof/>
              </w:rPr>
              <w:t>Clinical</w:t>
            </w:r>
            <w:r w:rsidR="000A7290">
              <w:rPr>
                <w:noProof/>
                <w:webHidden/>
              </w:rPr>
              <w:tab/>
            </w:r>
            <w:r w:rsidR="000A7290">
              <w:rPr>
                <w:noProof/>
                <w:webHidden/>
              </w:rPr>
              <w:fldChar w:fldCharType="begin"/>
            </w:r>
            <w:r w:rsidR="000A7290">
              <w:rPr>
                <w:noProof/>
                <w:webHidden/>
              </w:rPr>
              <w:instrText xml:space="preserve"> PAGEREF _Toc126579875 \h </w:instrText>
            </w:r>
            <w:r w:rsidR="000A7290">
              <w:rPr>
                <w:noProof/>
                <w:webHidden/>
              </w:rPr>
            </w:r>
            <w:r w:rsidR="000A7290">
              <w:rPr>
                <w:noProof/>
                <w:webHidden/>
              </w:rPr>
              <w:fldChar w:fldCharType="separate"/>
            </w:r>
            <w:r w:rsidR="000A7290">
              <w:rPr>
                <w:noProof/>
                <w:webHidden/>
              </w:rPr>
              <w:t>16</w:t>
            </w:r>
            <w:r w:rsidR="000A7290">
              <w:rPr>
                <w:noProof/>
                <w:webHidden/>
              </w:rPr>
              <w:fldChar w:fldCharType="end"/>
            </w:r>
          </w:hyperlink>
        </w:p>
        <w:p w14:paraId="3B328DC7" w14:textId="291083A0" w:rsidR="000A7290" w:rsidRDefault="00B27846">
          <w:pPr>
            <w:pStyle w:val="TOC2"/>
            <w:rPr>
              <w:rFonts w:asciiTheme="minorHAnsi" w:eastAsiaTheme="minorEastAsia" w:hAnsiTheme="minorHAnsi" w:cstheme="minorBidi"/>
              <w:b w:val="0"/>
              <w:noProof/>
              <w:sz w:val="22"/>
              <w:lang w:eastAsia="en-AU"/>
            </w:rPr>
          </w:pPr>
          <w:hyperlink w:anchor="_Toc126579876" w:history="1">
            <w:r w:rsidR="000A7290" w:rsidRPr="00BD7562">
              <w:rPr>
                <w:rStyle w:val="Hyperlink"/>
                <w:noProof/>
                <w:lang w:eastAsia="en-AU"/>
              </w:rPr>
              <w:t>Risk management plan</w:t>
            </w:r>
            <w:r w:rsidR="000A7290">
              <w:rPr>
                <w:noProof/>
                <w:webHidden/>
              </w:rPr>
              <w:tab/>
            </w:r>
            <w:r w:rsidR="000A7290">
              <w:rPr>
                <w:noProof/>
                <w:webHidden/>
              </w:rPr>
              <w:fldChar w:fldCharType="begin"/>
            </w:r>
            <w:r w:rsidR="000A7290">
              <w:rPr>
                <w:noProof/>
                <w:webHidden/>
              </w:rPr>
              <w:instrText xml:space="preserve"> PAGEREF _Toc126579876 \h </w:instrText>
            </w:r>
            <w:r w:rsidR="000A7290">
              <w:rPr>
                <w:noProof/>
                <w:webHidden/>
              </w:rPr>
            </w:r>
            <w:r w:rsidR="000A7290">
              <w:rPr>
                <w:noProof/>
                <w:webHidden/>
              </w:rPr>
              <w:fldChar w:fldCharType="separate"/>
            </w:r>
            <w:r w:rsidR="000A7290">
              <w:rPr>
                <w:noProof/>
                <w:webHidden/>
              </w:rPr>
              <w:t>31</w:t>
            </w:r>
            <w:r w:rsidR="000A7290">
              <w:rPr>
                <w:noProof/>
                <w:webHidden/>
              </w:rPr>
              <w:fldChar w:fldCharType="end"/>
            </w:r>
          </w:hyperlink>
        </w:p>
        <w:p w14:paraId="1D75E775" w14:textId="7F867576" w:rsidR="000A7290" w:rsidRDefault="00B27846">
          <w:pPr>
            <w:pStyle w:val="TOC2"/>
            <w:rPr>
              <w:rFonts w:asciiTheme="minorHAnsi" w:eastAsiaTheme="minorEastAsia" w:hAnsiTheme="minorHAnsi" w:cstheme="minorBidi"/>
              <w:b w:val="0"/>
              <w:noProof/>
              <w:sz w:val="22"/>
              <w:lang w:eastAsia="en-AU"/>
            </w:rPr>
          </w:pPr>
          <w:hyperlink w:anchor="_Toc126579877" w:history="1">
            <w:r w:rsidR="000A7290" w:rsidRPr="00BD7562">
              <w:rPr>
                <w:rStyle w:val="Hyperlink"/>
                <w:noProof/>
              </w:rPr>
              <w:t>Risk-benefit analysis</w:t>
            </w:r>
            <w:r w:rsidR="000A7290">
              <w:rPr>
                <w:noProof/>
                <w:webHidden/>
              </w:rPr>
              <w:tab/>
            </w:r>
            <w:r w:rsidR="000A7290">
              <w:rPr>
                <w:noProof/>
                <w:webHidden/>
              </w:rPr>
              <w:fldChar w:fldCharType="begin"/>
            </w:r>
            <w:r w:rsidR="000A7290">
              <w:rPr>
                <w:noProof/>
                <w:webHidden/>
              </w:rPr>
              <w:instrText xml:space="preserve"> PAGEREF _Toc126579877 \h </w:instrText>
            </w:r>
            <w:r w:rsidR="000A7290">
              <w:rPr>
                <w:noProof/>
                <w:webHidden/>
              </w:rPr>
            </w:r>
            <w:r w:rsidR="000A7290">
              <w:rPr>
                <w:noProof/>
                <w:webHidden/>
              </w:rPr>
              <w:fldChar w:fldCharType="separate"/>
            </w:r>
            <w:r w:rsidR="000A7290">
              <w:rPr>
                <w:noProof/>
                <w:webHidden/>
              </w:rPr>
              <w:t>32</w:t>
            </w:r>
            <w:r w:rsidR="000A7290">
              <w:rPr>
                <w:noProof/>
                <w:webHidden/>
              </w:rPr>
              <w:fldChar w:fldCharType="end"/>
            </w:r>
          </w:hyperlink>
        </w:p>
        <w:p w14:paraId="4F3D427A" w14:textId="7876DC16" w:rsidR="000A7290" w:rsidRDefault="00B27846">
          <w:pPr>
            <w:pStyle w:val="TOC1"/>
            <w:rPr>
              <w:rFonts w:asciiTheme="minorHAnsi" w:eastAsiaTheme="minorEastAsia" w:hAnsiTheme="minorHAnsi" w:cstheme="minorBidi"/>
              <w:b w:val="0"/>
              <w:noProof/>
              <w:sz w:val="22"/>
              <w:lang w:eastAsia="en-AU"/>
            </w:rPr>
          </w:pPr>
          <w:hyperlink w:anchor="_Toc126579878" w:history="1">
            <w:r w:rsidR="000A7290" w:rsidRPr="00BD7562">
              <w:rPr>
                <w:rStyle w:val="Hyperlink"/>
                <w:noProof/>
              </w:rPr>
              <w:t>Outcome</w:t>
            </w:r>
            <w:r w:rsidR="000A7290">
              <w:rPr>
                <w:noProof/>
                <w:webHidden/>
              </w:rPr>
              <w:tab/>
            </w:r>
            <w:r w:rsidR="000A7290">
              <w:rPr>
                <w:noProof/>
                <w:webHidden/>
              </w:rPr>
              <w:fldChar w:fldCharType="begin"/>
            </w:r>
            <w:r w:rsidR="000A7290">
              <w:rPr>
                <w:noProof/>
                <w:webHidden/>
              </w:rPr>
              <w:instrText xml:space="preserve"> PAGEREF _Toc126579878 \h </w:instrText>
            </w:r>
            <w:r w:rsidR="000A7290">
              <w:rPr>
                <w:noProof/>
                <w:webHidden/>
              </w:rPr>
            </w:r>
            <w:r w:rsidR="000A7290">
              <w:rPr>
                <w:noProof/>
                <w:webHidden/>
              </w:rPr>
              <w:fldChar w:fldCharType="separate"/>
            </w:r>
            <w:r w:rsidR="000A7290">
              <w:rPr>
                <w:noProof/>
                <w:webHidden/>
              </w:rPr>
              <w:t>35</w:t>
            </w:r>
            <w:r w:rsidR="000A7290">
              <w:rPr>
                <w:noProof/>
                <w:webHidden/>
              </w:rPr>
              <w:fldChar w:fldCharType="end"/>
            </w:r>
          </w:hyperlink>
        </w:p>
        <w:p w14:paraId="7C2C2D64" w14:textId="3B4B87B0" w:rsidR="000A7290" w:rsidRDefault="00B27846">
          <w:pPr>
            <w:pStyle w:val="TOC2"/>
            <w:rPr>
              <w:rFonts w:asciiTheme="minorHAnsi" w:eastAsiaTheme="minorEastAsia" w:hAnsiTheme="minorHAnsi" w:cstheme="minorBidi"/>
              <w:b w:val="0"/>
              <w:noProof/>
              <w:sz w:val="22"/>
              <w:lang w:eastAsia="en-AU"/>
            </w:rPr>
          </w:pPr>
          <w:hyperlink w:anchor="_Toc126579879" w:history="1">
            <w:r w:rsidR="000A7290" w:rsidRPr="00BD7562">
              <w:rPr>
                <w:rStyle w:val="Hyperlink"/>
                <w:noProof/>
              </w:rPr>
              <w:t>Specific conditions of registration applying to these goods</w:t>
            </w:r>
            <w:r w:rsidR="000A7290">
              <w:rPr>
                <w:noProof/>
                <w:webHidden/>
              </w:rPr>
              <w:tab/>
            </w:r>
            <w:r w:rsidR="000A7290">
              <w:rPr>
                <w:noProof/>
                <w:webHidden/>
              </w:rPr>
              <w:fldChar w:fldCharType="begin"/>
            </w:r>
            <w:r w:rsidR="000A7290">
              <w:rPr>
                <w:noProof/>
                <w:webHidden/>
              </w:rPr>
              <w:instrText xml:space="preserve"> PAGEREF _Toc126579879 \h </w:instrText>
            </w:r>
            <w:r w:rsidR="000A7290">
              <w:rPr>
                <w:noProof/>
                <w:webHidden/>
              </w:rPr>
            </w:r>
            <w:r w:rsidR="000A7290">
              <w:rPr>
                <w:noProof/>
                <w:webHidden/>
              </w:rPr>
              <w:fldChar w:fldCharType="separate"/>
            </w:r>
            <w:r w:rsidR="000A7290">
              <w:rPr>
                <w:noProof/>
                <w:webHidden/>
              </w:rPr>
              <w:t>35</w:t>
            </w:r>
            <w:r w:rsidR="000A7290">
              <w:rPr>
                <w:noProof/>
                <w:webHidden/>
              </w:rPr>
              <w:fldChar w:fldCharType="end"/>
            </w:r>
          </w:hyperlink>
        </w:p>
        <w:p w14:paraId="45D644D2" w14:textId="4861445D" w:rsidR="000A7290" w:rsidRDefault="00B27846">
          <w:pPr>
            <w:pStyle w:val="TOC1"/>
            <w:rPr>
              <w:rFonts w:asciiTheme="minorHAnsi" w:eastAsiaTheme="minorEastAsia" w:hAnsiTheme="minorHAnsi" w:cstheme="minorBidi"/>
              <w:b w:val="0"/>
              <w:noProof/>
              <w:sz w:val="22"/>
              <w:lang w:eastAsia="en-AU"/>
            </w:rPr>
          </w:pPr>
          <w:hyperlink w:anchor="_Toc126579880" w:history="1">
            <w:r w:rsidR="000A7290" w:rsidRPr="00BD7562">
              <w:rPr>
                <w:rStyle w:val="Hyperlink"/>
                <w:noProof/>
              </w:rPr>
              <w:t>Attachment 1. Product Information</w:t>
            </w:r>
            <w:r w:rsidR="000A7290">
              <w:rPr>
                <w:noProof/>
                <w:webHidden/>
              </w:rPr>
              <w:tab/>
            </w:r>
            <w:r w:rsidR="000A7290">
              <w:rPr>
                <w:noProof/>
                <w:webHidden/>
              </w:rPr>
              <w:fldChar w:fldCharType="begin"/>
            </w:r>
            <w:r w:rsidR="000A7290">
              <w:rPr>
                <w:noProof/>
                <w:webHidden/>
              </w:rPr>
              <w:instrText xml:space="preserve"> PAGEREF _Toc126579880 \h </w:instrText>
            </w:r>
            <w:r w:rsidR="000A7290">
              <w:rPr>
                <w:noProof/>
                <w:webHidden/>
              </w:rPr>
            </w:r>
            <w:r w:rsidR="000A7290">
              <w:rPr>
                <w:noProof/>
                <w:webHidden/>
              </w:rPr>
              <w:fldChar w:fldCharType="separate"/>
            </w:r>
            <w:r w:rsidR="000A7290">
              <w:rPr>
                <w:noProof/>
                <w:webHidden/>
              </w:rPr>
              <w:t>36</w:t>
            </w:r>
            <w:r w:rsidR="000A7290">
              <w:rPr>
                <w:noProof/>
                <w:webHidden/>
              </w:rPr>
              <w:fldChar w:fldCharType="end"/>
            </w:r>
          </w:hyperlink>
        </w:p>
        <w:p w14:paraId="1303602F" w14:textId="481B10EB" w:rsidR="003A7F6C" w:rsidRPr="00655F66" w:rsidRDefault="00C525A2" w:rsidP="00EB36D6">
          <w:r w:rsidRPr="00655F66">
            <w:fldChar w:fldCharType="end"/>
          </w:r>
        </w:p>
      </w:sdtContent>
    </w:sdt>
    <w:bookmarkStart w:id="2" w:name="_Toc314842482" w:displacedByCustomXml="prev"/>
    <w:p w14:paraId="038DAAB1" w14:textId="77777777" w:rsidR="00FD119B" w:rsidRPr="00655F66" w:rsidRDefault="00FD119B">
      <w:pPr>
        <w:spacing w:before="0" w:after="200" w:line="0" w:lineRule="auto"/>
      </w:pPr>
      <w:r w:rsidRPr="00655F66">
        <w:br w:type="page"/>
      </w:r>
    </w:p>
    <w:p w14:paraId="6CDA03F1" w14:textId="3796CAC0" w:rsidR="00AF2313" w:rsidRPr="00655F66" w:rsidRDefault="00AF2313" w:rsidP="00AF2313">
      <w:pPr>
        <w:pStyle w:val="Heading2"/>
      </w:pPr>
      <w:bookmarkStart w:id="3" w:name="_Toc98931917"/>
      <w:bookmarkStart w:id="4" w:name="_Toc126579865"/>
      <w:r w:rsidRPr="00655F66">
        <w:lastRenderedPageBreak/>
        <w:t>List of abbreviations</w:t>
      </w:r>
      <w:bookmarkEnd w:id="3"/>
      <w:bookmarkEnd w:id="4"/>
    </w:p>
    <w:tbl>
      <w:tblPr>
        <w:tblStyle w:val="TableTGAblue"/>
        <w:tblW w:w="5000" w:type="pct"/>
        <w:tblLook w:val="04A0" w:firstRow="1" w:lastRow="0" w:firstColumn="1" w:lastColumn="0" w:noHBand="0" w:noVBand="1"/>
      </w:tblPr>
      <w:tblGrid>
        <w:gridCol w:w="1719"/>
        <w:gridCol w:w="1196"/>
        <w:gridCol w:w="5569"/>
      </w:tblGrid>
      <w:tr w:rsidR="00AF2313" w:rsidRPr="00655F66" w14:paraId="6287A8C5" w14:textId="77777777" w:rsidTr="00AF2313">
        <w:trPr>
          <w:cnfStyle w:val="100000000000" w:firstRow="1" w:lastRow="0" w:firstColumn="0" w:lastColumn="0" w:oddVBand="0" w:evenVBand="0" w:oddHBand="0" w:evenHBand="0" w:firstRowFirstColumn="0" w:firstRowLastColumn="0" w:lastRowFirstColumn="0" w:lastRowLastColumn="0"/>
          <w:cantSplit/>
        </w:trPr>
        <w:tc>
          <w:tcPr>
            <w:tcW w:w="1718" w:type="pct"/>
            <w:gridSpan w:val="2"/>
            <w:hideMark/>
          </w:tcPr>
          <w:p w14:paraId="04E79FB6" w14:textId="77777777" w:rsidR="00AF2313" w:rsidRPr="00655F66" w:rsidRDefault="00AF2313">
            <w:pPr>
              <w:rPr>
                <w:color w:val="FFFFFF"/>
              </w:rPr>
            </w:pPr>
            <w:r w:rsidRPr="00655F66">
              <w:t>Abbreviation</w:t>
            </w:r>
          </w:p>
        </w:tc>
        <w:tc>
          <w:tcPr>
            <w:tcW w:w="3282" w:type="pct"/>
            <w:hideMark/>
          </w:tcPr>
          <w:p w14:paraId="44E6BA58" w14:textId="77777777" w:rsidR="00AF2313" w:rsidRPr="00655F66" w:rsidRDefault="00AF2313">
            <w:r w:rsidRPr="00655F66">
              <w:t>Meaning</w:t>
            </w:r>
          </w:p>
        </w:tc>
      </w:tr>
      <w:tr w:rsidR="00655F66" w:rsidRPr="00655F66" w14:paraId="0EBC31BA" w14:textId="77777777" w:rsidTr="002921E4">
        <w:trPr>
          <w:cantSplit/>
        </w:trPr>
        <w:tc>
          <w:tcPr>
            <w:tcW w:w="1013" w:type="pct"/>
            <w:tcBorders>
              <w:top w:val="single" w:sz="8" w:space="0" w:color="002C47"/>
              <w:left w:val="single" w:sz="8" w:space="0" w:color="002C47"/>
              <w:bottom w:val="single" w:sz="8" w:space="0" w:color="002C47"/>
              <w:right w:val="single" w:sz="8" w:space="0" w:color="002C47"/>
            </w:tcBorders>
          </w:tcPr>
          <w:p w14:paraId="09626F80" w14:textId="4FC0305C" w:rsidR="00655F66" w:rsidRPr="00655F66" w:rsidRDefault="00655F66" w:rsidP="00655F66">
            <w:r w:rsidRPr="00655F66">
              <w:t>ACM</w:t>
            </w:r>
          </w:p>
        </w:tc>
        <w:tc>
          <w:tcPr>
            <w:tcW w:w="3987" w:type="pct"/>
            <w:gridSpan w:val="2"/>
            <w:tcBorders>
              <w:top w:val="single" w:sz="8" w:space="0" w:color="002C47"/>
              <w:left w:val="single" w:sz="8" w:space="0" w:color="002C47"/>
              <w:bottom w:val="single" w:sz="8" w:space="0" w:color="002C47"/>
              <w:right w:val="single" w:sz="8" w:space="0" w:color="002C47"/>
            </w:tcBorders>
          </w:tcPr>
          <w:p w14:paraId="205C447D" w14:textId="1B0C0733" w:rsidR="00655F66" w:rsidRPr="00655F66" w:rsidRDefault="00655F66" w:rsidP="00655F66">
            <w:r w:rsidRPr="00655F66">
              <w:t>Advisory Committee on Medicines</w:t>
            </w:r>
          </w:p>
        </w:tc>
      </w:tr>
      <w:tr w:rsidR="00655F66" w:rsidRPr="00655F66" w14:paraId="0D3A4A2F" w14:textId="77777777" w:rsidTr="002921E4">
        <w:trPr>
          <w:cantSplit/>
        </w:trPr>
        <w:tc>
          <w:tcPr>
            <w:tcW w:w="1013" w:type="pct"/>
            <w:tcBorders>
              <w:top w:val="single" w:sz="8" w:space="0" w:color="002C47"/>
              <w:left w:val="single" w:sz="8" w:space="0" w:color="002C47"/>
              <w:bottom w:val="single" w:sz="8" w:space="0" w:color="002C47"/>
              <w:right w:val="single" w:sz="8" w:space="0" w:color="002C47"/>
            </w:tcBorders>
          </w:tcPr>
          <w:p w14:paraId="64CC5687" w14:textId="377CF7D6" w:rsidR="00655F66" w:rsidRPr="00655F66" w:rsidRDefault="00655F66" w:rsidP="00655F66">
            <w:r w:rsidRPr="00655F66">
              <w:t>ACV</w:t>
            </w:r>
          </w:p>
        </w:tc>
        <w:tc>
          <w:tcPr>
            <w:tcW w:w="3987" w:type="pct"/>
            <w:gridSpan w:val="2"/>
            <w:tcBorders>
              <w:top w:val="single" w:sz="8" w:space="0" w:color="002C47"/>
              <w:left w:val="single" w:sz="8" w:space="0" w:color="002C47"/>
              <w:bottom w:val="single" w:sz="8" w:space="0" w:color="002C47"/>
              <w:right w:val="single" w:sz="8" w:space="0" w:color="002C47"/>
            </w:tcBorders>
          </w:tcPr>
          <w:p w14:paraId="0E206E75" w14:textId="503C8B15" w:rsidR="00655F66" w:rsidRPr="00655F66" w:rsidRDefault="00655F66" w:rsidP="00655F66">
            <w:r w:rsidRPr="00655F66">
              <w:t>Advisory Committee on Vaccines</w:t>
            </w:r>
          </w:p>
        </w:tc>
      </w:tr>
      <w:tr w:rsidR="00655F66" w:rsidRPr="00655F66" w14:paraId="2E867EFF" w14:textId="77777777" w:rsidTr="002921E4">
        <w:trPr>
          <w:cantSplit/>
        </w:trPr>
        <w:tc>
          <w:tcPr>
            <w:tcW w:w="1013" w:type="pct"/>
            <w:tcBorders>
              <w:top w:val="single" w:sz="8" w:space="0" w:color="002C47"/>
              <w:left w:val="single" w:sz="8" w:space="0" w:color="002C47"/>
              <w:bottom w:val="single" w:sz="8" w:space="0" w:color="002C47"/>
              <w:right w:val="single" w:sz="8" w:space="0" w:color="002C47"/>
            </w:tcBorders>
          </w:tcPr>
          <w:p w14:paraId="103CB216" w14:textId="3DB08344" w:rsidR="00655F66" w:rsidRPr="00655F66" w:rsidRDefault="00655F66" w:rsidP="00655F66">
            <w:r w:rsidRPr="00655F66">
              <w:t>ADA</w:t>
            </w:r>
          </w:p>
        </w:tc>
        <w:tc>
          <w:tcPr>
            <w:tcW w:w="3987" w:type="pct"/>
            <w:gridSpan w:val="2"/>
            <w:tcBorders>
              <w:top w:val="single" w:sz="8" w:space="0" w:color="002C47"/>
              <w:left w:val="single" w:sz="8" w:space="0" w:color="002C47"/>
              <w:bottom w:val="single" w:sz="8" w:space="0" w:color="002C47"/>
              <w:right w:val="single" w:sz="8" w:space="0" w:color="002C47"/>
            </w:tcBorders>
          </w:tcPr>
          <w:p w14:paraId="0388B4A3" w14:textId="37A88AFD" w:rsidR="00655F66" w:rsidRPr="00655F66" w:rsidRDefault="00655F66" w:rsidP="00655F66">
            <w:r w:rsidRPr="00655F66">
              <w:t>Anti-drug antibody</w:t>
            </w:r>
          </w:p>
        </w:tc>
      </w:tr>
      <w:tr w:rsidR="00655F66" w:rsidRPr="00655F66" w14:paraId="77DE11FE" w14:textId="77777777" w:rsidTr="002921E4">
        <w:trPr>
          <w:cantSplit/>
        </w:trPr>
        <w:tc>
          <w:tcPr>
            <w:tcW w:w="1013" w:type="pct"/>
            <w:tcBorders>
              <w:top w:val="single" w:sz="8" w:space="0" w:color="002C47"/>
              <w:left w:val="single" w:sz="8" w:space="0" w:color="002C47"/>
              <w:bottom w:val="single" w:sz="8" w:space="0" w:color="002C47"/>
              <w:right w:val="single" w:sz="8" w:space="0" w:color="002C47"/>
            </w:tcBorders>
          </w:tcPr>
          <w:p w14:paraId="4A6CCA07" w14:textId="7383AE48" w:rsidR="00655F66" w:rsidRPr="00655F66" w:rsidRDefault="00655F66" w:rsidP="00655F66">
            <w:r w:rsidRPr="00655F66">
              <w:t>ARGPM</w:t>
            </w:r>
          </w:p>
        </w:tc>
        <w:tc>
          <w:tcPr>
            <w:tcW w:w="3987" w:type="pct"/>
            <w:gridSpan w:val="2"/>
            <w:tcBorders>
              <w:top w:val="single" w:sz="8" w:space="0" w:color="002C47"/>
              <w:left w:val="single" w:sz="8" w:space="0" w:color="002C47"/>
              <w:bottom w:val="single" w:sz="8" w:space="0" w:color="002C47"/>
              <w:right w:val="single" w:sz="8" w:space="0" w:color="002C47"/>
            </w:tcBorders>
          </w:tcPr>
          <w:p w14:paraId="4A8F55DE" w14:textId="1DC1E41D" w:rsidR="00655F66" w:rsidRPr="00655F66" w:rsidRDefault="00655F66" w:rsidP="00655F66">
            <w:r w:rsidRPr="00655F66">
              <w:t>Australian Regulatory Guidelines for Prescription Medicines</w:t>
            </w:r>
          </w:p>
        </w:tc>
      </w:tr>
      <w:tr w:rsidR="00655F66" w:rsidRPr="00655F66" w14:paraId="3BC822FF" w14:textId="77777777" w:rsidTr="002921E4">
        <w:trPr>
          <w:cantSplit/>
        </w:trPr>
        <w:tc>
          <w:tcPr>
            <w:tcW w:w="1013" w:type="pct"/>
            <w:tcBorders>
              <w:top w:val="single" w:sz="8" w:space="0" w:color="002C47"/>
              <w:left w:val="single" w:sz="8" w:space="0" w:color="002C47"/>
              <w:bottom w:val="single" w:sz="8" w:space="0" w:color="002C47"/>
              <w:right w:val="single" w:sz="8" w:space="0" w:color="002C47"/>
            </w:tcBorders>
          </w:tcPr>
          <w:p w14:paraId="1D653024" w14:textId="3258EC00" w:rsidR="00655F66" w:rsidRPr="00655F66" w:rsidRDefault="00655F66" w:rsidP="00655F66">
            <w:r w:rsidRPr="00655F66">
              <w:t>ARTG</w:t>
            </w:r>
          </w:p>
        </w:tc>
        <w:tc>
          <w:tcPr>
            <w:tcW w:w="3987" w:type="pct"/>
            <w:gridSpan w:val="2"/>
            <w:tcBorders>
              <w:top w:val="single" w:sz="8" w:space="0" w:color="002C47"/>
              <w:left w:val="single" w:sz="8" w:space="0" w:color="002C47"/>
              <w:bottom w:val="single" w:sz="8" w:space="0" w:color="002C47"/>
              <w:right w:val="single" w:sz="8" w:space="0" w:color="002C47"/>
            </w:tcBorders>
          </w:tcPr>
          <w:p w14:paraId="4DF49A16" w14:textId="18629013" w:rsidR="00655F66" w:rsidRPr="00655F66" w:rsidRDefault="00655F66" w:rsidP="00655F66">
            <w:r w:rsidRPr="00655F66">
              <w:t>Australian Register of Therapeutic Goods</w:t>
            </w:r>
          </w:p>
        </w:tc>
      </w:tr>
      <w:tr w:rsidR="00655F66" w:rsidRPr="00655F66" w14:paraId="5FADC8F9" w14:textId="77777777" w:rsidTr="002921E4">
        <w:trPr>
          <w:cantSplit/>
        </w:trPr>
        <w:tc>
          <w:tcPr>
            <w:tcW w:w="1013" w:type="pct"/>
            <w:tcBorders>
              <w:top w:val="single" w:sz="8" w:space="0" w:color="002C47"/>
              <w:left w:val="single" w:sz="8" w:space="0" w:color="002C47"/>
              <w:bottom w:val="single" w:sz="8" w:space="0" w:color="002C47"/>
              <w:right w:val="single" w:sz="8" w:space="0" w:color="002C47"/>
            </w:tcBorders>
          </w:tcPr>
          <w:p w14:paraId="07F364C9" w14:textId="183DD4BD" w:rsidR="00655F66" w:rsidRPr="00655F66" w:rsidRDefault="00655F66" w:rsidP="00655F66">
            <w:r w:rsidRPr="00655F66">
              <w:t>ASA</w:t>
            </w:r>
          </w:p>
        </w:tc>
        <w:tc>
          <w:tcPr>
            <w:tcW w:w="3987" w:type="pct"/>
            <w:gridSpan w:val="2"/>
            <w:tcBorders>
              <w:top w:val="single" w:sz="8" w:space="0" w:color="002C47"/>
              <w:left w:val="single" w:sz="8" w:space="0" w:color="002C47"/>
              <w:bottom w:val="single" w:sz="8" w:space="0" w:color="002C47"/>
              <w:right w:val="single" w:sz="8" w:space="0" w:color="002C47"/>
            </w:tcBorders>
          </w:tcPr>
          <w:p w14:paraId="1F6E25D3" w14:textId="1717141B" w:rsidR="00655F66" w:rsidRPr="00655F66" w:rsidRDefault="00655F66" w:rsidP="00655F66">
            <w:r w:rsidRPr="00655F66">
              <w:t>Australia specific annex</w:t>
            </w:r>
          </w:p>
        </w:tc>
      </w:tr>
      <w:tr w:rsidR="00655F66" w:rsidRPr="00655F66" w14:paraId="5677430F"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2903D093" w14:textId="6B6B012F" w:rsidR="00655F66" w:rsidRPr="00655F66" w:rsidRDefault="00655F66" w:rsidP="00655F66">
            <w:pPr>
              <w:rPr>
                <w:color w:val="000000"/>
              </w:rPr>
            </w:pPr>
            <w:r w:rsidRPr="00655F66">
              <w:t>AUC</w:t>
            </w:r>
          </w:p>
        </w:tc>
        <w:tc>
          <w:tcPr>
            <w:tcW w:w="3987" w:type="pct"/>
            <w:gridSpan w:val="2"/>
            <w:tcBorders>
              <w:top w:val="single" w:sz="8" w:space="0" w:color="002C47"/>
              <w:left w:val="single" w:sz="8" w:space="0" w:color="002C47"/>
              <w:bottom w:val="single" w:sz="8" w:space="0" w:color="002C47"/>
              <w:right w:val="single" w:sz="8" w:space="0" w:color="002C47"/>
            </w:tcBorders>
          </w:tcPr>
          <w:p w14:paraId="12656242" w14:textId="03195CD1" w:rsidR="00655F66" w:rsidRPr="00655F66" w:rsidRDefault="00655F66" w:rsidP="00655F66">
            <w:pPr>
              <w:rPr>
                <w:color w:val="000000"/>
              </w:rPr>
            </w:pPr>
            <w:r w:rsidRPr="00655F66">
              <w:t>Area under the concentration time curve</w:t>
            </w:r>
          </w:p>
        </w:tc>
      </w:tr>
      <w:tr w:rsidR="00655F66" w:rsidRPr="00655F66" w14:paraId="5ECD7284" w14:textId="77777777" w:rsidTr="00DA75DA">
        <w:trPr>
          <w:cantSplit/>
        </w:trPr>
        <w:tc>
          <w:tcPr>
            <w:tcW w:w="1013" w:type="pct"/>
            <w:tcBorders>
              <w:top w:val="single" w:sz="8" w:space="0" w:color="002C47"/>
              <w:left w:val="single" w:sz="8" w:space="0" w:color="002C47"/>
              <w:bottom w:val="single" w:sz="8" w:space="0" w:color="002C47"/>
              <w:right w:val="single" w:sz="8" w:space="0" w:color="002C47"/>
            </w:tcBorders>
          </w:tcPr>
          <w:p w14:paraId="3854826C" w14:textId="7F0A7166" w:rsidR="00655F66" w:rsidRPr="00655F66" w:rsidRDefault="00655F66" w:rsidP="00655F66">
            <w:r w:rsidRPr="00655F66">
              <w:t>AUC</w:t>
            </w:r>
            <w:r w:rsidRPr="00655F66">
              <w:rPr>
                <w:vertAlign w:val="subscript"/>
              </w:rPr>
              <w:t>0-inf</w:t>
            </w:r>
          </w:p>
        </w:tc>
        <w:tc>
          <w:tcPr>
            <w:tcW w:w="3987" w:type="pct"/>
            <w:gridSpan w:val="2"/>
            <w:tcBorders>
              <w:top w:val="single" w:sz="8" w:space="0" w:color="002C47"/>
              <w:left w:val="single" w:sz="8" w:space="0" w:color="002C47"/>
              <w:bottom w:val="single" w:sz="8" w:space="0" w:color="002C47"/>
              <w:right w:val="single" w:sz="8" w:space="0" w:color="002C47"/>
            </w:tcBorders>
          </w:tcPr>
          <w:p w14:paraId="1D1C3943" w14:textId="4EAD4E17" w:rsidR="00655F66" w:rsidRPr="00655F66" w:rsidRDefault="00655F66" w:rsidP="00655F66">
            <w:r w:rsidRPr="00655F66">
              <w:t>Area under the concentration time curve from time zero to infinity</w:t>
            </w:r>
          </w:p>
        </w:tc>
      </w:tr>
      <w:tr w:rsidR="00655F66" w:rsidRPr="00655F66" w14:paraId="12F580E0" w14:textId="77777777" w:rsidTr="00DA75DA">
        <w:trPr>
          <w:cantSplit/>
        </w:trPr>
        <w:tc>
          <w:tcPr>
            <w:tcW w:w="1013" w:type="pct"/>
            <w:tcBorders>
              <w:top w:val="single" w:sz="8" w:space="0" w:color="002C47"/>
              <w:left w:val="single" w:sz="8" w:space="0" w:color="002C47"/>
              <w:bottom w:val="single" w:sz="8" w:space="0" w:color="002C47"/>
              <w:right w:val="single" w:sz="8" w:space="0" w:color="002C47"/>
            </w:tcBorders>
          </w:tcPr>
          <w:p w14:paraId="0AAF0E1E" w14:textId="6999B8D2" w:rsidR="00655F66" w:rsidRPr="00655F66" w:rsidRDefault="00655F66" w:rsidP="00655F66">
            <w:pPr>
              <w:rPr>
                <w:color w:val="000000"/>
              </w:rPr>
            </w:pPr>
            <w:r w:rsidRPr="00655F66">
              <w:t>AUC</w:t>
            </w:r>
            <w:r w:rsidRPr="00655F66">
              <w:rPr>
                <w:vertAlign w:val="subscript"/>
              </w:rPr>
              <w:t>0-tau</w:t>
            </w:r>
          </w:p>
        </w:tc>
        <w:tc>
          <w:tcPr>
            <w:tcW w:w="3987" w:type="pct"/>
            <w:gridSpan w:val="2"/>
            <w:tcBorders>
              <w:top w:val="single" w:sz="8" w:space="0" w:color="002C47"/>
              <w:left w:val="single" w:sz="8" w:space="0" w:color="002C47"/>
              <w:bottom w:val="single" w:sz="8" w:space="0" w:color="002C47"/>
              <w:right w:val="single" w:sz="8" w:space="0" w:color="002C47"/>
            </w:tcBorders>
          </w:tcPr>
          <w:p w14:paraId="78BD5868" w14:textId="495442C7" w:rsidR="00655F66" w:rsidRPr="00655F66" w:rsidRDefault="00655F66" w:rsidP="00655F66">
            <w:r w:rsidRPr="00655F66">
              <w:t>Area under the concentration time curve from time zero to the end of the dosing period</w:t>
            </w:r>
          </w:p>
        </w:tc>
      </w:tr>
      <w:tr w:rsidR="00560279" w:rsidRPr="00655F66" w14:paraId="498DA7B4" w14:textId="77777777" w:rsidTr="00DA75DA">
        <w:trPr>
          <w:cantSplit/>
        </w:trPr>
        <w:tc>
          <w:tcPr>
            <w:tcW w:w="1013" w:type="pct"/>
            <w:tcBorders>
              <w:top w:val="single" w:sz="8" w:space="0" w:color="002C47"/>
              <w:left w:val="single" w:sz="8" w:space="0" w:color="002C47"/>
              <w:bottom w:val="single" w:sz="8" w:space="0" w:color="002C47"/>
              <w:right w:val="single" w:sz="8" w:space="0" w:color="002C47"/>
            </w:tcBorders>
          </w:tcPr>
          <w:p w14:paraId="2795D195" w14:textId="40FF563C" w:rsidR="00560279" w:rsidRPr="00655F66" w:rsidRDefault="00560279" w:rsidP="00655F66">
            <w:r w:rsidRPr="00000FBE">
              <w:t>CHMP</w:t>
            </w:r>
          </w:p>
        </w:tc>
        <w:tc>
          <w:tcPr>
            <w:tcW w:w="3987" w:type="pct"/>
            <w:gridSpan w:val="2"/>
            <w:tcBorders>
              <w:top w:val="single" w:sz="8" w:space="0" w:color="002C47"/>
              <w:left w:val="single" w:sz="8" w:space="0" w:color="002C47"/>
              <w:bottom w:val="single" w:sz="8" w:space="0" w:color="002C47"/>
              <w:right w:val="single" w:sz="8" w:space="0" w:color="002C47"/>
            </w:tcBorders>
          </w:tcPr>
          <w:p w14:paraId="3995F967" w14:textId="3AE114E9" w:rsidR="00560279" w:rsidRPr="00655F66" w:rsidRDefault="00560279" w:rsidP="00655F66">
            <w:r w:rsidRPr="00000FBE">
              <w:t>Committee for Medicinal Products for Human Use (</w:t>
            </w:r>
            <w:r>
              <w:t>European Medicines Agency (European Union</w:t>
            </w:r>
            <w:r w:rsidRPr="00000FBE">
              <w:t>)</w:t>
            </w:r>
            <w:r>
              <w:t>)</w:t>
            </w:r>
          </w:p>
        </w:tc>
      </w:tr>
      <w:tr w:rsidR="00655F66" w:rsidRPr="00655F66" w14:paraId="685E8D02" w14:textId="77777777" w:rsidTr="00DA75DA">
        <w:trPr>
          <w:cantSplit/>
        </w:trPr>
        <w:tc>
          <w:tcPr>
            <w:tcW w:w="1013" w:type="pct"/>
            <w:tcBorders>
              <w:top w:val="single" w:sz="8" w:space="0" w:color="002C47"/>
              <w:left w:val="single" w:sz="8" w:space="0" w:color="002C47"/>
              <w:bottom w:val="single" w:sz="8" w:space="0" w:color="002C47"/>
              <w:right w:val="single" w:sz="8" w:space="0" w:color="002C47"/>
            </w:tcBorders>
          </w:tcPr>
          <w:p w14:paraId="72F70440" w14:textId="4092BB1D" w:rsidR="00655F66" w:rsidRPr="00655F66" w:rsidRDefault="00655F66" w:rsidP="00655F66">
            <w:r w:rsidRPr="00655F66">
              <w:t>CI</w:t>
            </w:r>
          </w:p>
        </w:tc>
        <w:tc>
          <w:tcPr>
            <w:tcW w:w="3987" w:type="pct"/>
            <w:gridSpan w:val="2"/>
            <w:tcBorders>
              <w:top w:val="single" w:sz="8" w:space="0" w:color="002C47"/>
              <w:left w:val="single" w:sz="8" w:space="0" w:color="002C47"/>
              <w:bottom w:val="single" w:sz="8" w:space="0" w:color="002C47"/>
              <w:right w:val="single" w:sz="8" w:space="0" w:color="002C47"/>
            </w:tcBorders>
          </w:tcPr>
          <w:p w14:paraId="096AFC52" w14:textId="582113D0" w:rsidR="00655F66" w:rsidRPr="00655F66" w:rsidRDefault="00655F66" w:rsidP="00655F66">
            <w:r w:rsidRPr="00655F66">
              <w:t>Confidence interval</w:t>
            </w:r>
          </w:p>
        </w:tc>
      </w:tr>
      <w:tr w:rsidR="00655F66" w:rsidRPr="00655F66" w14:paraId="451D3224" w14:textId="77777777" w:rsidTr="00DA75DA">
        <w:trPr>
          <w:cantSplit/>
        </w:trPr>
        <w:tc>
          <w:tcPr>
            <w:tcW w:w="1013" w:type="pct"/>
            <w:tcBorders>
              <w:top w:val="single" w:sz="8" w:space="0" w:color="002C47"/>
              <w:left w:val="single" w:sz="8" w:space="0" w:color="002C47"/>
              <w:bottom w:val="single" w:sz="8" w:space="0" w:color="002C47"/>
              <w:right w:val="single" w:sz="8" w:space="0" w:color="002C47"/>
            </w:tcBorders>
          </w:tcPr>
          <w:p w14:paraId="1DE00A48" w14:textId="0801E8F5" w:rsidR="00655F66" w:rsidRPr="00655F66" w:rsidRDefault="00655F66" w:rsidP="00655F66">
            <w:r w:rsidRPr="00655F66">
              <w:t>C</w:t>
            </w:r>
            <w:r w:rsidRPr="00655F66">
              <w:rPr>
                <w:vertAlign w:val="subscript"/>
              </w:rPr>
              <w:t>max</w:t>
            </w:r>
          </w:p>
        </w:tc>
        <w:tc>
          <w:tcPr>
            <w:tcW w:w="3987" w:type="pct"/>
            <w:gridSpan w:val="2"/>
            <w:tcBorders>
              <w:top w:val="single" w:sz="8" w:space="0" w:color="002C47"/>
              <w:left w:val="single" w:sz="8" w:space="0" w:color="002C47"/>
              <w:bottom w:val="single" w:sz="8" w:space="0" w:color="002C47"/>
              <w:right w:val="single" w:sz="8" w:space="0" w:color="002C47"/>
            </w:tcBorders>
          </w:tcPr>
          <w:p w14:paraId="36F7379C" w14:textId="4C52C30A" w:rsidR="00655F66" w:rsidRPr="00655F66" w:rsidRDefault="00655F66" w:rsidP="00655F66">
            <w:r w:rsidRPr="00655F66">
              <w:t>Maximum observed plasma concentration</w:t>
            </w:r>
          </w:p>
        </w:tc>
      </w:tr>
      <w:tr w:rsidR="00655F66" w:rsidRPr="00655F66" w14:paraId="1397989E" w14:textId="77777777" w:rsidTr="00DA75DA">
        <w:trPr>
          <w:cantSplit/>
        </w:trPr>
        <w:tc>
          <w:tcPr>
            <w:tcW w:w="1013" w:type="pct"/>
            <w:tcBorders>
              <w:top w:val="single" w:sz="8" w:space="0" w:color="002C47"/>
              <w:left w:val="single" w:sz="8" w:space="0" w:color="002C47"/>
              <w:bottom w:val="single" w:sz="8" w:space="0" w:color="002C47"/>
              <w:right w:val="single" w:sz="8" w:space="0" w:color="002C47"/>
            </w:tcBorders>
          </w:tcPr>
          <w:p w14:paraId="34C2F07E" w14:textId="1E112DC7" w:rsidR="00655F66" w:rsidRPr="00655F66" w:rsidRDefault="00655F66" w:rsidP="00655F66">
            <w:r w:rsidRPr="00655F66">
              <w:t>CMI</w:t>
            </w:r>
          </w:p>
        </w:tc>
        <w:tc>
          <w:tcPr>
            <w:tcW w:w="3987" w:type="pct"/>
            <w:gridSpan w:val="2"/>
            <w:tcBorders>
              <w:top w:val="single" w:sz="8" w:space="0" w:color="002C47"/>
              <w:left w:val="single" w:sz="8" w:space="0" w:color="002C47"/>
              <w:bottom w:val="single" w:sz="8" w:space="0" w:color="002C47"/>
              <w:right w:val="single" w:sz="8" w:space="0" w:color="002C47"/>
            </w:tcBorders>
          </w:tcPr>
          <w:p w14:paraId="3590EB17" w14:textId="1415E84A" w:rsidR="00655F66" w:rsidRPr="00655F66" w:rsidRDefault="00655F66" w:rsidP="00655F66">
            <w:r w:rsidRPr="00655F66">
              <w:t>Consumer Medicines Information</w:t>
            </w:r>
          </w:p>
        </w:tc>
      </w:tr>
      <w:tr w:rsidR="00655F66" w:rsidRPr="00655F66" w14:paraId="154C8B79" w14:textId="77777777" w:rsidTr="00DA75DA">
        <w:trPr>
          <w:cantSplit/>
        </w:trPr>
        <w:tc>
          <w:tcPr>
            <w:tcW w:w="1013" w:type="pct"/>
            <w:tcBorders>
              <w:top w:val="single" w:sz="8" w:space="0" w:color="002C47"/>
              <w:left w:val="single" w:sz="8" w:space="0" w:color="002C47"/>
              <w:bottom w:val="single" w:sz="8" w:space="0" w:color="002C47"/>
              <w:right w:val="single" w:sz="8" w:space="0" w:color="002C47"/>
            </w:tcBorders>
          </w:tcPr>
          <w:p w14:paraId="4D695992" w14:textId="277D0CD1" w:rsidR="00655F66" w:rsidRPr="00655F66" w:rsidRDefault="00655F66" w:rsidP="00655F66">
            <w:r w:rsidRPr="00655F66">
              <w:t>CPD</w:t>
            </w:r>
          </w:p>
        </w:tc>
        <w:tc>
          <w:tcPr>
            <w:tcW w:w="3987" w:type="pct"/>
            <w:gridSpan w:val="2"/>
            <w:tcBorders>
              <w:top w:val="single" w:sz="8" w:space="0" w:color="002C47"/>
              <w:left w:val="single" w:sz="8" w:space="0" w:color="002C47"/>
              <w:bottom w:val="single" w:sz="8" w:space="0" w:color="002C47"/>
              <w:right w:val="single" w:sz="8" w:space="0" w:color="002C47"/>
            </w:tcBorders>
          </w:tcPr>
          <w:p w14:paraId="5D9E19B1" w14:textId="03616EAB" w:rsidR="00655F66" w:rsidRPr="00655F66" w:rsidRDefault="00655F66" w:rsidP="00655F66">
            <w:r w:rsidRPr="00655F66">
              <w:t>Certified Product Details</w:t>
            </w:r>
          </w:p>
        </w:tc>
      </w:tr>
      <w:tr w:rsidR="00655F66" w:rsidRPr="00655F66" w14:paraId="6E33D0D9" w14:textId="77777777" w:rsidTr="00DA75DA">
        <w:trPr>
          <w:cantSplit/>
        </w:trPr>
        <w:tc>
          <w:tcPr>
            <w:tcW w:w="1013" w:type="pct"/>
            <w:tcBorders>
              <w:top w:val="single" w:sz="8" w:space="0" w:color="002C47"/>
              <w:left w:val="single" w:sz="8" w:space="0" w:color="002C47"/>
              <w:bottom w:val="single" w:sz="8" w:space="0" w:color="002C47"/>
              <w:right w:val="single" w:sz="8" w:space="0" w:color="002C47"/>
            </w:tcBorders>
          </w:tcPr>
          <w:p w14:paraId="44B27932" w14:textId="4BDF4733" w:rsidR="00655F66" w:rsidRPr="00655F66" w:rsidRDefault="00655F66" w:rsidP="00655F66">
            <w:r w:rsidRPr="00655F66">
              <w:t>DLP</w:t>
            </w:r>
          </w:p>
        </w:tc>
        <w:tc>
          <w:tcPr>
            <w:tcW w:w="3987" w:type="pct"/>
            <w:gridSpan w:val="2"/>
            <w:tcBorders>
              <w:top w:val="single" w:sz="8" w:space="0" w:color="002C47"/>
              <w:left w:val="single" w:sz="8" w:space="0" w:color="002C47"/>
              <w:bottom w:val="single" w:sz="8" w:space="0" w:color="002C47"/>
              <w:right w:val="single" w:sz="8" w:space="0" w:color="002C47"/>
            </w:tcBorders>
          </w:tcPr>
          <w:p w14:paraId="0DE03A93" w14:textId="4FBB4864" w:rsidR="00655F66" w:rsidRPr="00655F66" w:rsidRDefault="00655F66" w:rsidP="00655F66">
            <w:r w:rsidRPr="00655F66">
              <w:t>Data lock point</w:t>
            </w:r>
          </w:p>
        </w:tc>
      </w:tr>
      <w:tr w:rsidR="00655F66" w:rsidRPr="00655F66" w14:paraId="7A803CF6" w14:textId="77777777" w:rsidTr="00DA75DA">
        <w:trPr>
          <w:cantSplit/>
        </w:trPr>
        <w:tc>
          <w:tcPr>
            <w:tcW w:w="1013" w:type="pct"/>
            <w:tcBorders>
              <w:top w:val="single" w:sz="8" w:space="0" w:color="002C47"/>
              <w:left w:val="single" w:sz="8" w:space="0" w:color="002C47"/>
              <w:bottom w:val="single" w:sz="8" w:space="0" w:color="002C47"/>
              <w:right w:val="single" w:sz="8" w:space="0" w:color="002C47"/>
            </w:tcBorders>
          </w:tcPr>
          <w:p w14:paraId="6DEC06A0" w14:textId="6BC107CC" w:rsidR="00655F66" w:rsidRPr="00655F66" w:rsidRDefault="00655F66" w:rsidP="00655F66">
            <w:proofErr w:type="spellStart"/>
            <w:r w:rsidRPr="00655F66">
              <w:t>dMMR</w:t>
            </w:r>
            <w:proofErr w:type="spellEnd"/>
          </w:p>
        </w:tc>
        <w:tc>
          <w:tcPr>
            <w:tcW w:w="3987" w:type="pct"/>
            <w:gridSpan w:val="2"/>
            <w:tcBorders>
              <w:top w:val="single" w:sz="8" w:space="0" w:color="002C47"/>
              <w:left w:val="single" w:sz="8" w:space="0" w:color="002C47"/>
              <w:bottom w:val="single" w:sz="8" w:space="0" w:color="002C47"/>
              <w:right w:val="single" w:sz="8" w:space="0" w:color="002C47"/>
            </w:tcBorders>
          </w:tcPr>
          <w:p w14:paraId="12C71513" w14:textId="37F143C7" w:rsidR="00655F66" w:rsidRPr="00655F66" w:rsidRDefault="004D0366" w:rsidP="00655F66">
            <w:r>
              <w:t xml:space="preserve">DNA </w:t>
            </w:r>
            <w:r w:rsidR="00DA2C29">
              <w:t>m</w:t>
            </w:r>
            <w:r w:rsidR="00655F66" w:rsidRPr="00655F66">
              <w:t>ismatch repair</w:t>
            </w:r>
            <w:r w:rsidR="00655F66">
              <w:t xml:space="preserve"> </w:t>
            </w:r>
            <w:r w:rsidR="00655F66" w:rsidRPr="00655F66">
              <w:t>deficient</w:t>
            </w:r>
          </w:p>
        </w:tc>
      </w:tr>
      <w:tr w:rsidR="00655F66" w:rsidRPr="00655F66" w14:paraId="305CE57B" w14:textId="77777777" w:rsidTr="00DA75DA">
        <w:trPr>
          <w:cantSplit/>
        </w:trPr>
        <w:tc>
          <w:tcPr>
            <w:tcW w:w="1013" w:type="pct"/>
            <w:tcBorders>
              <w:top w:val="single" w:sz="8" w:space="0" w:color="002C47"/>
              <w:left w:val="single" w:sz="8" w:space="0" w:color="002C47"/>
              <w:bottom w:val="single" w:sz="8" w:space="0" w:color="002C47"/>
              <w:right w:val="single" w:sz="8" w:space="0" w:color="002C47"/>
            </w:tcBorders>
          </w:tcPr>
          <w:p w14:paraId="39FBF091" w14:textId="46528365" w:rsidR="00655F66" w:rsidRPr="00655F66" w:rsidRDefault="00655F66" w:rsidP="00655F66">
            <w:r w:rsidRPr="00655F66">
              <w:t>DNA</w:t>
            </w:r>
          </w:p>
        </w:tc>
        <w:tc>
          <w:tcPr>
            <w:tcW w:w="3987" w:type="pct"/>
            <w:gridSpan w:val="2"/>
            <w:tcBorders>
              <w:top w:val="single" w:sz="8" w:space="0" w:color="002C47"/>
              <w:left w:val="single" w:sz="8" w:space="0" w:color="002C47"/>
              <w:bottom w:val="single" w:sz="8" w:space="0" w:color="002C47"/>
              <w:right w:val="single" w:sz="8" w:space="0" w:color="002C47"/>
            </w:tcBorders>
          </w:tcPr>
          <w:p w14:paraId="1148C93D" w14:textId="66879028" w:rsidR="00655F66" w:rsidRPr="00655F66" w:rsidRDefault="00655F66" w:rsidP="00655F66">
            <w:r w:rsidRPr="00655F66">
              <w:t>Deoxyribonucleic acid</w:t>
            </w:r>
          </w:p>
        </w:tc>
      </w:tr>
      <w:tr w:rsidR="00655F66" w:rsidRPr="00655F66" w14:paraId="53E89805" w14:textId="77777777" w:rsidTr="00DA75DA">
        <w:trPr>
          <w:cantSplit/>
        </w:trPr>
        <w:tc>
          <w:tcPr>
            <w:tcW w:w="1013" w:type="pct"/>
            <w:tcBorders>
              <w:top w:val="single" w:sz="8" w:space="0" w:color="002C47"/>
              <w:left w:val="single" w:sz="8" w:space="0" w:color="002C47"/>
              <w:bottom w:val="single" w:sz="8" w:space="0" w:color="002C47"/>
              <w:right w:val="single" w:sz="8" w:space="0" w:color="002C47"/>
            </w:tcBorders>
          </w:tcPr>
          <w:p w14:paraId="6D3A6D4E" w14:textId="26C34422" w:rsidR="00655F66" w:rsidRPr="00655F66" w:rsidRDefault="00655F66" w:rsidP="00655F66">
            <w:r w:rsidRPr="00655F66">
              <w:t>EC</w:t>
            </w:r>
          </w:p>
        </w:tc>
        <w:tc>
          <w:tcPr>
            <w:tcW w:w="3987" w:type="pct"/>
            <w:gridSpan w:val="2"/>
            <w:tcBorders>
              <w:top w:val="single" w:sz="8" w:space="0" w:color="002C47"/>
              <w:left w:val="single" w:sz="8" w:space="0" w:color="002C47"/>
              <w:bottom w:val="single" w:sz="8" w:space="0" w:color="002C47"/>
              <w:right w:val="single" w:sz="8" w:space="0" w:color="002C47"/>
            </w:tcBorders>
          </w:tcPr>
          <w:p w14:paraId="75803E72" w14:textId="2C199D20" w:rsidR="00655F66" w:rsidRPr="00655F66" w:rsidRDefault="00655F66" w:rsidP="00655F66">
            <w:r w:rsidRPr="00655F66">
              <w:t>Endometrial cancer</w:t>
            </w:r>
          </w:p>
        </w:tc>
      </w:tr>
      <w:tr w:rsidR="00655F66" w:rsidRPr="00655F66" w14:paraId="0C7B576B" w14:textId="77777777" w:rsidTr="00DA75DA">
        <w:trPr>
          <w:cantSplit/>
        </w:trPr>
        <w:tc>
          <w:tcPr>
            <w:tcW w:w="1013" w:type="pct"/>
            <w:tcBorders>
              <w:top w:val="single" w:sz="8" w:space="0" w:color="002C47"/>
              <w:left w:val="single" w:sz="8" w:space="0" w:color="002C47"/>
              <w:bottom w:val="single" w:sz="8" w:space="0" w:color="002C47"/>
              <w:right w:val="single" w:sz="8" w:space="0" w:color="002C47"/>
            </w:tcBorders>
          </w:tcPr>
          <w:p w14:paraId="34D73A02" w14:textId="6DADA71E" w:rsidR="00655F66" w:rsidRPr="00655F66" w:rsidRDefault="00655F66" w:rsidP="00655F66">
            <w:r w:rsidRPr="00655F66">
              <w:t>EC</w:t>
            </w:r>
            <w:r w:rsidRPr="00655F66">
              <w:rPr>
                <w:vertAlign w:val="subscript"/>
              </w:rPr>
              <w:t>50</w:t>
            </w:r>
          </w:p>
        </w:tc>
        <w:tc>
          <w:tcPr>
            <w:tcW w:w="3987" w:type="pct"/>
            <w:gridSpan w:val="2"/>
            <w:tcBorders>
              <w:top w:val="single" w:sz="8" w:space="0" w:color="002C47"/>
              <w:left w:val="single" w:sz="8" w:space="0" w:color="002C47"/>
              <w:bottom w:val="single" w:sz="8" w:space="0" w:color="002C47"/>
              <w:right w:val="single" w:sz="8" w:space="0" w:color="002C47"/>
            </w:tcBorders>
          </w:tcPr>
          <w:p w14:paraId="3FD9400F" w14:textId="39F12994" w:rsidR="00655F66" w:rsidRPr="00655F66" w:rsidRDefault="00655F66" w:rsidP="00655F66">
            <w:r w:rsidRPr="00655F66">
              <w:t>Half maximal effective concentration</w:t>
            </w:r>
          </w:p>
        </w:tc>
      </w:tr>
      <w:tr w:rsidR="00560279" w:rsidRPr="00655F66" w14:paraId="7EE8829E" w14:textId="77777777" w:rsidTr="00DA75DA">
        <w:trPr>
          <w:cantSplit/>
        </w:trPr>
        <w:tc>
          <w:tcPr>
            <w:tcW w:w="1013" w:type="pct"/>
            <w:tcBorders>
              <w:top w:val="single" w:sz="8" w:space="0" w:color="002C47"/>
              <w:left w:val="single" w:sz="8" w:space="0" w:color="002C47"/>
              <w:bottom w:val="single" w:sz="8" w:space="0" w:color="002C47"/>
              <w:right w:val="single" w:sz="8" w:space="0" w:color="002C47"/>
            </w:tcBorders>
          </w:tcPr>
          <w:p w14:paraId="1BB639EE" w14:textId="5C9D09ED" w:rsidR="00560279" w:rsidRPr="00655F66" w:rsidRDefault="00560279" w:rsidP="00655F66">
            <w:r>
              <w:t>EMA</w:t>
            </w:r>
          </w:p>
        </w:tc>
        <w:tc>
          <w:tcPr>
            <w:tcW w:w="3987" w:type="pct"/>
            <w:gridSpan w:val="2"/>
            <w:tcBorders>
              <w:top w:val="single" w:sz="8" w:space="0" w:color="002C47"/>
              <w:left w:val="single" w:sz="8" w:space="0" w:color="002C47"/>
              <w:bottom w:val="single" w:sz="8" w:space="0" w:color="002C47"/>
              <w:right w:val="single" w:sz="8" w:space="0" w:color="002C47"/>
            </w:tcBorders>
          </w:tcPr>
          <w:p w14:paraId="38D92EE3" w14:textId="2675E00F" w:rsidR="00560279" w:rsidRPr="00655F66" w:rsidRDefault="00560279" w:rsidP="00655F66">
            <w:r>
              <w:t>European Medicines Agency (European Union)</w:t>
            </w:r>
          </w:p>
        </w:tc>
      </w:tr>
      <w:tr w:rsidR="00655F66" w:rsidRPr="00655F66" w14:paraId="195C2624" w14:textId="77777777" w:rsidTr="00DA75DA">
        <w:trPr>
          <w:cantSplit/>
        </w:trPr>
        <w:tc>
          <w:tcPr>
            <w:tcW w:w="1013" w:type="pct"/>
            <w:tcBorders>
              <w:top w:val="single" w:sz="8" w:space="0" w:color="002C47"/>
              <w:left w:val="single" w:sz="8" w:space="0" w:color="002C47"/>
              <w:bottom w:val="single" w:sz="8" w:space="0" w:color="002C47"/>
              <w:right w:val="single" w:sz="8" w:space="0" w:color="002C47"/>
            </w:tcBorders>
          </w:tcPr>
          <w:p w14:paraId="21FD3731" w14:textId="351F2CD7" w:rsidR="00655F66" w:rsidRPr="00655F66" w:rsidRDefault="00655F66" w:rsidP="00655F66">
            <w:r w:rsidRPr="00655F66">
              <w:t>EU</w:t>
            </w:r>
          </w:p>
        </w:tc>
        <w:tc>
          <w:tcPr>
            <w:tcW w:w="3987" w:type="pct"/>
            <w:gridSpan w:val="2"/>
            <w:tcBorders>
              <w:top w:val="single" w:sz="8" w:space="0" w:color="002C47"/>
              <w:left w:val="single" w:sz="8" w:space="0" w:color="002C47"/>
              <w:bottom w:val="single" w:sz="8" w:space="0" w:color="002C47"/>
              <w:right w:val="single" w:sz="8" w:space="0" w:color="002C47"/>
            </w:tcBorders>
          </w:tcPr>
          <w:p w14:paraId="0A3B208B" w14:textId="08080016" w:rsidR="00655F66" w:rsidRPr="00655F66" w:rsidRDefault="00655F66" w:rsidP="00655F66">
            <w:r w:rsidRPr="00655F66">
              <w:t>European Union</w:t>
            </w:r>
          </w:p>
        </w:tc>
      </w:tr>
      <w:tr w:rsidR="00655F66" w:rsidRPr="00655F66" w14:paraId="08502F7C" w14:textId="77777777" w:rsidTr="00DA75DA">
        <w:trPr>
          <w:cantSplit/>
        </w:trPr>
        <w:tc>
          <w:tcPr>
            <w:tcW w:w="1013" w:type="pct"/>
            <w:tcBorders>
              <w:top w:val="single" w:sz="8" w:space="0" w:color="002C47"/>
              <w:left w:val="single" w:sz="8" w:space="0" w:color="002C47"/>
              <w:bottom w:val="single" w:sz="8" w:space="0" w:color="002C47"/>
              <w:right w:val="single" w:sz="8" w:space="0" w:color="002C47"/>
            </w:tcBorders>
          </w:tcPr>
          <w:p w14:paraId="3F5B9C98" w14:textId="3D8A9BD1" w:rsidR="00655F66" w:rsidRPr="00655F66" w:rsidRDefault="00655F66" w:rsidP="00655F66">
            <w:r w:rsidRPr="00655F66">
              <w:t>GMP</w:t>
            </w:r>
          </w:p>
        </w:tc>
        <w:tc>
          <w:tcPr>
            <w:tcW w:w="3987" w:type="pct"/>
            <w:gridSpan w:val="2"/>
            <w:tcBorders>
              <w:top w:val="single" w:sz="8" w:space="0" w:color="002C47"/>
              <w:left w:val="single" w:sz="8" w:space="0" w:color="002C47"/>
              <w:bottom w:val="single" w:sz="8" w:space="0" w:color="002C47"/>
              <w:right w:val="single" w:sz="8" w:space="0" w:color="002C47"/>
            </w:tcBorders>
          </w:tcPr>
          <w:p w14:paraId="38935C7E" w14:textId="09886C02" w:rsidR="00655F66" w:rsidRPr="00655F66" w:rsidRDefault="00655F66" w:rsidP="00655F66">
            <w:r w:rsidRPr="00655F66">
              <w:t>Good Manufacturing Practice</w:t>
            </w:r>
          </w:p>
        </w:tc>
      </w:tr>
      <w:tr w:rsidR="00655F66" w:rsidRPr="00655F66" w14:paraId="01AACD37" w14:textId="77777777" w:rsidTr="00DA75DA">
        <w:trPr>
          <w:cantSplit/>
        </w:trPr>
        <w:tc>
          <w:tcPr>
            <w:tcW w:w="1013" w:type="pct"/>
            <w:tcBorders>
              <w:top w:val="single" w:sz="8" w:space="0" w:color="002C47"/>
              <w:left w:val="single" w:sz="8" w:space="0" w:color="002C47"/>
              <w:bottom w:val="single" w:sz="8" w:space="0" w:color="002C47"/>
              <w:right w:val="single" w:sz="8" w:space="0" w:color="002C47"/>
            </w:tcBorders>
          </w:tcPr>
          <w:p w14:paraId="684F5E87" w14:textId="51A43C5A" w:rsidR="00655F66" w:rsidRPr="00655F66" w:rsidRDefault="00655F66" w:rsidP="00655F66">
            <w:r w:rsidRPr="00655F66">
              <w:t>GVP</w:t>
            </w:r>
          </w:p>
        </w:tc>
        <w:tc>
          <w:tcPr>
            <w:tcW w:w="3987" w:type="pct"/>
            <w:gridSpan w:val="2"/>
            <w:tcBorders>
              <w:top w:val="single" w:sz="8" w:space="0" w:color="002C47"/>
              <w:left w:val="single" w:sz="8" w:space="0" w:color="002C47"/>
              <w:bottom w:val="single" w:sz="8" w:space="0" w:color="002C47"/>
              <w:right w:val="single" w:sz="8" w:space="0" w:color="002C47"/>
            </w:tcBorders>
          </w:tcPr>
          <w:p w14:paraId="47EA46CC" w14:textId="24AC284E" w:rsidR="00655F66" w:rsidRPr="00655F66" w:rsidRDefault="00655F66" w:rsidP="00655F66">
            <w:r w:rsidRPr="00655F66">
              <w:t>Good Pharmacovigilance Practices</w:t>
            </w:r>
          </w:p>
        </w:tc>
      </w:tr>
      <w:tr w:rsidR="00000FBE" w:rsidRPr="00655F66" w14:paraId="30BEB113" w14:textId="77777777" w:rsidTr="00DA75DA">
        <w:trPr>
          <w:cantSplit/>
        </w:trPr>
        <w:tc>
          <w:tcPr>
            <w:tcW w:w="1013" w:type="pct"/>
            <w:tcBorders>
              <w:top w:val="single" w:sz="8" w:space="0" w:color="002C47"/>
              <w:left w:val="single" w:sz="8" w:space="0" w:color="002C47"/>
              <w:bottom w:val="single" w:sz="8" w:space="0" w:color="002C47"/>
              <w:right w:val="single" w:sz="8" w:space="0" w:color="002C47"/>
            </w:tcBorders>
          </w:tcPr>
          <w:p w14:paraId="3DF08329" w14:textId="652151FB" w:rsidR="00000FBE" w:rsidRPr="00655F66" w:rsidRDefault="00000FBE" w:rsidP="00000FBE">
            <w:r w:rsidRPr="00655F66">
              <w:lastRenderedPageBreak/>
              <w:t>IC</w:t>
            </w:r>
            <w:r w:rsidRPr="00655F66">
              <w:rPr>
                <w:vertAlign w:val="subscript"/>
              </w:rPr>
              <w:t>50</w:t>
            </w:r>
          </w:p>
        </w:tc>
        <w:tc>
          <w:tcPr>
            <w:tcW w:w="3987" w:type="pct"/>
            <w:gridSpan w:val="2"/>
            <w:tcBorders>
              <w:top w:val="single" w:sz="8" w:space="0" w:color="002C47"/>
              <w:left w:val="single" w:sz="8" w:space="0" w:color="002C47"/>
              <w:bottom w:val="single" w:sz="8" w:space="0" w:color="002C47"/>
              <w:right w:val="single" w:sz="8" w:space="0" w:color="002C47"/>
            </w:tcBorders>
          </w:tcPr>
          <w:p w14:paraId="4EE48B3E" w14:textId="4A52E898" w:rsidR="00000FBE" w:rsidRPr="00655F66" w:rsidRDefault="00000FBE" w:rsidP="00000FBE">
            <w:r w:rsidRPr="00655F66">
              <w:t>Half maximal inhibitory concentration</w:t>
            </w:r>
          </w:p>
        </w:tc>
      </w:tr>
      <w:tr w:rsidR="00000FBE" w:rsidRPr="00655F66" w14:paraId="352F7CB2" w14:textId="77777777" w:rsidTr="00DA75DA">
        <w:trPr>
          <w:cantSplit/>
        </w:trPr>
        <w:tc>
          <w:tcPr>
            <w:tcW w:w="1013" w:type="pct"/>
            <w:tcBorders>
              <w:top w:val="single" w:sz="8" w:space="0" w:color="002C47"/>
              <w:left w:val="single" w:sz="8" w:space="0" w:color="002C47"/>
              <w:bottom w:val="single" w:sz="8" w:space="0" w:color="002C47"/>
              <w:right w:val="single" w:sz="8" w:space="0" w:color="002C47"/>
            </w:tcBorders>
          </w:tcPr>
          <w:p w14:paraId="6148BD4E" w14:textId="7B93097B" w:rsidR="00000FBE" w:rsidRPr="00655F66" w:rsidRDefault="00000FBE" w:rsidP="00000FBE">
            <w:r w:rsidRPr="00655F66">
              <w:t>ICH</w:t>
            </w:r>
          </w:p>
        </w:tc>
        <w:tc>
          <w:tcPr>
            <w:tcW w:w="3987" w:type="pct"/>
            <w:gridSpan w:val="2"/>
            <w:tcBorders>
              <w:top w:val="single" w:sz="8" w:space="0" w:color="002C47"/>
              <w:left w:val="single" w:sz="8" w:space="0" w:color="002C47"/>
              <w:bottom w:val="single" w:sz="8" w:space="0" w:color="002C47"/>
              <w:right w:val="single" w:sz="8" w:space="0" w:color="002C47"/>
            </w:tcBorders>
          </w:tcPr>
          <w:p w14:paraId="3E9354F8" w14:textId="52DFA905" w:rsidR="00000FBE" w:rsidRPr="00655F66" w:rsidRDefault="00000FBE" w:rsidP="00000FBE">
            <w:r w:rsidRPr="00655F66">
              <w:t>International Council for Harmonisation</w:t>
            </w:r>
          </w:p>
        </w:tc>
      </w:tr>
      <w:tr w:rsidR="00000FBE" w:rsidRPr="00655F66" w14:paraId="471C5A71" w14:textId="77777777" w:rsidTr="00DA75DA">
        <w:trPr>
          <w:cantSplit/>
        </w:trPr>
        <w:tc>
          <w:tcPr>
            <w:tcW w:w="1013" w:type="pct"/>
            <w:tcBorders>
              <w:top w:val="single" w:sz="8" w:space="0" w:color="002C47"/>
              <w:left w:val="single" w:sz="8" w:space="0" w:color="002C47"/>
              <w:bottom w:val="single" w:sz="8" w:space="0" w:color="002C47"/>
              <w:right w:val="single" w:sz="8" w:space="0" w:color="002C47"/>
            </w:tcBorders>
          </w:tcPr>
          <w:p w14:paraId="621CF49B" w14:textId="36C7E531" w:rsidR="00000FBE" w:rsidRPr="00655F66" w:rsidRDefault="00000FBE" w:rsidP="00000FBE">
            <w:r w:rsidRPr="00655F66">
              <w:t>IFN</w:t>
            </w:r>
          </w:p>
        </w:tc>
        <w:tc>
          <w:tcPr>
            <w:tcW w:w="3987" w:type="pct"/>
            <w:gridSpan w:val="2"/>
            <w:tcBorders>
              <w:top w:val="single" w:sz="8" w:space="0" w:color="002C47"/>
              <w:left w:val="single" w:sz="8" w:space="0" w:color="002C47"/>
              <w:bottom w:val="single" w:sz="8" w:space="0" w:color="002C47"/>
              <w:right w:val="single" w:sz="8" w:space="0" w:color="002C47"/>
            </w:tcBorders>
          </w:tcPr>
          <w:p w14:paraId="0BE0B8C0" w14:textId="2DB069FC" w:rsidR="00000FBE" w:rsidRPr="00655F66" w:rsidRDefault="00000FBE" w:rsidP="00000FBE">
            <w:r w:rsidRPr="00655F66">
              <w:t>Interferon</w:t>
            </w:r>
          </w:p>
        </w:tc>
      </w:tr>
      <w:tr w:rsidR="00000FBE" w:rsidRPr="00655F66" w14:paraId="2BBA99EB" w14:textId="77777777" w:rsidTr="00DA75DA">
        <w:trPr>
          <w:cantSplit/>
        </w:trPr>
        <w:tc>
          <w:tcPr>
            <w:tcW w:w="1013" w:type="pct"/>
            <w:tcBorders>
              <w:top w:val="single" w:sz="8" w:space="0" w:color="002C47"/>
              <w:left w:val="single" w:sz="8" w:space="0" w:color="002C47"/>
              <w:bottom w:val="single" w:sz="8" w:space="0" w:color="002C47"/>
              <w:right w:val="single" w:sz="8" w:space="0" w:color="002C47"/>
            </w:tcBorders>
          </w:tcPr>
          <w:p w14:paraId="17FD8732" w14:textId="69641009" w:rsidR="00000FBE" w:rsidRPr="00655F66" w:rsidRDefault="00000FBE" w:rsidP="00000FBE">
            <w:r w:rsidRPr="00655F66">
              <w:t>IgG1</w:t>
            </w:r>
          </w:p>
        </w:tc>
        <w:tc>
          <w:tcPr>
            <w:tcW w:w="3987" w:type="pct"/>
            <w:gridSpan w:val="2"/>
            <w:tcBorders>
              <w:top w:val="single" w:sz="8" w:space="0" w:color="002C47"/>
              <w:left w:val="single" w:sz="8" w:space="0" w:color="002C47"/>
              <w:bottom w:val="single" w:sz="8" w:space="0" w:color="002C47"/>
              <w:right w:val="single" w:sz="8" w:space="0" w:color="002C47"/>
            </w:tcBorders>
          </w:tcPr>
          <w:p w14:paraId="7438379E" w14:textId="1897AEA3" w:rsidR="00000FBE" w:rsidRPr="00655F66" w:rsidRDefault="00000FBE" w:rsidP="00000FBE">
            <w:r w:rsidRPr="00655F66">
              <w:t xml:space="preserve">Immunoglobulin </w:t>
            </w:r>
            <w:r w:rsidR="00B4512C">
              <w:t>G</w:t>
            </w:r>
            <w:r w:rsidRPr="00655F66">
              <w:t>1</w:t>
            </w:r>
          </w:p>
        </w:tc>
      </w:tr>
      <w:tr w:rsidR="00000FBE" w:rsidRPr="00655F66" w14:paraId="045BE345" w14:textId="77777777" w:rsidTr="00DA75DA">
        <w:trPr>
          <w:cantSplit/>
        </w:trPr>
        <w:tc>
          <w:tcPr>
            <w:tcW w:w="1013" w:type="pct"/>
            <w:tcBorders>
              <w:top w:val="single" w:sz="8" w:space="0" w:color="002C47"/>
              <w:left w:val="single" w:sz="8" w:space="0" w:color="002C47"/>
              <w:bottom w:val="single" w:sz="8" w:space="0" w:color="002C47"/>
              <w:right w:val="single" w:sz="8" w:space="0" w:color="002C47"/>
            </w:tcBorders>
          </w:tcPr>
          <w:p w14:paraId="37FCC148" w14:textId="1F817D6B" w:rsidR="00000FBE" w:rsidRPr="00655F66" w:rsidRDefault="00000FBE" w:rsidP="00000FBE">
            <w:r w:rsidRPr="00655F66">
              <w:t>IgG4</w:t>
            </w:r>
          </w:p>
        </w:tc>
        <w:tc>
          <w:tcPr>
            <w:tcW w:w="3987" w:type="pct"/>
            <w:gridSpan w:val="2"/>
            <w:tcBorders>
              <w:top w:val="single" w:sz="8" w:space="0" w:color="002C47"/>
              <w:left w:val="single" w:sz="8" w:space="0" w:color="002C47"/>
              <w:bottom w:val="single" w:sz="8" w:space="0" w:color="002C47"/>
              <w:right w:val="single" w:sz="8" w:space="0" w:color="002C47"/>
            </w:tcBorders>
          </w:tcPr>
          <w:p w14:paraId="768FC3EA" w14:textId="0E1352B9" w:rsidR="00000FBE" w:rsidRPr="00655F66" w:rsidRDefault="00000FBE" w:rsidP="00000FBE">
            <w:r w:rsidRPr="00655F66">
              <w:t xml:space="preserve">Immunoglobulin </w:t>
            </w:r>
            <w:r w:rsidR="00B4512C">
              <w:t>G</w:t>
            </w:r>
            <w:r w:rsidRPr="00655F66">
              <w:t>4</w:t>
            </w:r>
          </w:p>
        </w:tc>
      </w:tr>
      <w:tr w:rsidR="00000FBE" w:rsidRPr="00655F66" w14:paraId="72AD6105" w14:textId="77777777" w:rsidTr="00DA75DA">
        <w:trPr>
          <w:cantSplit/>
        </w:trPr>
        <w:tc>
          <w:tcPr>
            <w:tcW w:w="1013" w:type="pct"/>
            <w:tcBorders>
              <w:top w:val="single" w:sz="8" w:space="0" w:color="002C47"/>
              <w:left w:val="single" w:sz="8" w:space="0" w:color="002C47"/>
              <w:bottom w:val="single" w:sz="8" w:space="0" w:color="002C47"/>
              <w:right w:val="single" w:sz="8" w:space="0" w:color="002C47"/>
            </w:tcBorders>
          </w:tcPr>
          <w:p w14:paraId="4C87CE2F" w14:textId="53A8DF2B" w:rsidR="00000FBE" w:rsidRPr="00655F66" w:rsidRDefault="00000FBE" w:rsidP="00000FBE">
            <w:r w:rsidRPr="00655F66">
              <w:t>IL</w:t>
            </w:r>
          </w:p>
        </w:tc>
        <w:tc>
          <w:tcPr>
            <w:tcW w:w="3987" w:type="pct"/>
            <w:gridSpan w:val="2"/>
            <w:tcBorders>
              <w:top w:val="single" w:sz="8" w:space="0" w:color="002C47"/>
              <w:left w:val="single" w:sz="8" w:space="0" w:color="002C47"/>
              <w:bottom w:val="single" w:sz="8" w:space="0" w:color="002C47"/>
              <w:right w:val="single" w:sz="8" w:space="0" w:color="002C47"/>
            </w:tcBorders>
          </w:tcPr>
          <w:p w14:paraId="10FDC64E" w14:textId="10864B3E" w:rsidR="00000FBE" w:rsidRPr="00655F66" w:rsidRDefault="00000FBE" w:rsidP="00000FBE">
            <w:r w:rsidRPr="00655F66">
              <w:t>Interleukin</w:t>
            </w:r>
          </w:p>
        </w:tc>
      </w:tr>
      <w:tr w:rsidR="00000FBE" w:rsidRPr="00655F66" w14:paraId="224D5318" w14:textId="77777777" w:rsidTr="00DA75DA">
        <w:trPr>
          <w:cantSplit/>
        </w:trPr>
        <w:tc>
          <w:tcPr>
            <w:tcW w:w="1013" w:type="pct"/>
            <w:tcBorders>
              <w:top w:val="single" w:sz="8" w:space="0" w:color="002C47"/>
              <w:left w:val="single" w:sz="8" w:space="0" w:color="002C47"/>
              <w:bottom w:val="single" w:sz="8" w:space="0" w:color="002C47"/>
              <w:right w:val="single" w:sz="8" w:space="0" w:color="002C47"/>
            </w:tcBorders>
          </w:tcPr>
          <w:p w14:paraId="265655F7" w14:textId="0F0416D1" w:rsidR="00000FBE" w:rsidRPr="00655F66" w:rsidRDefault="00000FBE" w:rsidP="00000FBE">
            <w:r>
              <w:t>K</w:t>
            </w:r>
            <w:r w:rsidRPr="006624F5">
              <w:rPr>
                <w:vertAlign w:val="subscript"/>
              </w:rPr>
              <w:t>D</w:t>
            </w:r>
          </w:p>
        </w:tc>
        <w:tc>
          <w:tcPr>
            <w:tcW w:w="3987" w:type="pct"/>
            <w:gridSpan w:val="2"/>
            <w:tcBorders>
              <w:top w:val="single" w:sz="8" w:space="0" w:color="002C47"/>
              <w:left w:val="single" w:sz="8" w:space="0" w:color="002C47"/>
              <w:bottom w:val="single" w:sz="8" w:space="0" w:color="002C47"/>
              <w:right w:val="single" w:sz="8" w:space="0" w:color="002C47"/>
            </w:tcBorders>
          </w:tcPr>
          <w:p w14:paraId="592CAF48" w14:textId="1B5B2827" w:rsidR="00000FBE" w:rsidRPr="00655F66" w:rsidRDefault="00000FBE" w:rsidP="00000FBE">
            <w:r w:rsidRPr="006624F5">
              <w:t>Dissociation constant</w:t>
            </w:r>
          </w:p>
        </w:tc>
      </w:tr>
      <w:tr w:rsidR="00000FBE" w:rsidRPr="00655F66" w14:paraId="44EC6475" w14:textId="77777777" w:rsidTr="00DA75DA">
        <w:trPr>
          <w:cantSplit/>
        </w:trPr>
        <w:tc>
          <w:tcPr>
            <w:tcW w:w="1013" w:type="pct"/>
            <w:tcBorders>
              <w:top w:val="single" w:sz="8" w:space="0" w:color="002C47"/>
              <w:left w:val="single" w:sz="8" w:space="0" w:color="002C47"/>
              <w:bottom w:val="single" w:sz="8" w:space="0" w:color="002C47"/>
              <w:right w:val="single" w:sz="8" w:space="0" w:color="002C47"/>
            </w:tcBorders>
          </w:tcPr>
          <w:p w14:paraId="6657EC30" w14:textId="106BC12A" w:rsidR="00000FBE" w:rsidRPr="00000FBE" w:rsidRDefault="00000FBE" w:rsidP="00000FBE">
            <w:r w:rsidRPr="00655F66">
              <w:t>MSI</w:t>
            </w:r>
          </w:p>
        </w:tc>
        <w:tc>
          <w:tcPr>
            <w:tcW w:w="3987" w:type="pct"/>
            <w:gridSpan w:val="2"/>
            <w:tcBorders>
              <w:top w:val="single" w:sz="8" w:space="0" w:color="002C47"/>
              <w:left w:val="single" w:sz="8" w:space="0" w:color="002C47"/>
              <w:bottom w:val="single" w:sz="8" w:space="0" w:color="002C47"/>
              <w:right w:val="single" w:sz="8" w:space="0" w:color="002C47"/>
            </w:tcBorders>
          </w:tcPr>
          <w:p w14:paraId="560CD24B" w14:textId="10DE2A59" w:rsidR="00000FBE" w:rsidRPr="00000FBE" w:rsidRDefault="00000FBE" w:rsidP="00000FBE">
            <w:r w:rsidRPr="00655F66">
              <w:t>Microsatellite instability</w:t>
            </w:r>
          </w:p>
        </w:tc>
      </w:tr>
      <w:tr w:rsidR="00000FBE" w:rsidRPr="00655F66" w14:paraId="3CD764CA" w14:textId="77777777" w:rsidTr="00DA75DA">
        <w:trPr>
          <w:cantSplit/>
        </w:trPr>
        <w:tc>
          <w:tcPr>
            <w:tcW w:w="1013" w:type="pct"/>
            <w:tcBorders>
              <w:top w:val="single" w:sz="8" w:space="0" w:color="002C47"/>
              <w:left w:val="single" w:sz="8" w:space="0" w:color="002C47"/>
              <w:bottom w:val="single" w:sz="8" w:space="0" w:color="002C47"/>
              <w:right w:val="single" w:sz="8" w:space="0" w:color="002C47"/>
            </w:tcBorders>
          </w:tcPr>
          <w:p w14:paraId="29609CFE" w14:textId="0B013C1B" w:rsidR="00000FBE" w:rsidRPr="00655F66" w:rsidRDefault="00000FBE" w:rsidP="00000FBE">
            <w:pPr>
              <w:rPr>
                <w:color w:val="000000"/>
              </w:rPr>
            </w:pPr>
            <w:r w:rsidRPr="00655F66">
              <w:t>MSI-H</w:t>
            </w:r>
          </w:p>
        </w:tc>
        <w:tc>
          <w:tcPr>
            <w:tcW w:w="3987" w:type="pct"/>
            <w:gridSpan w:val="2"/>
            <w:tcBorders>
              <w:top w:val="single" w:sz="8" w:space="0" w:color="002C47"/>
              <w:left w:val="single" w:sz="8" w:space="0" w:color="002C47"/>
              <w:bottom w:val="single" w:sz="8" w:space="0" w:color="002C47"/>
              <w:right w:val="single" w:sz="8" w:space="0" w:color="002C47"/>
            </w:tcBorders>
          </w:tcPr>
          <w:p w14:paraId="7A73858D" w14:textId="496B7C39" w:rsidR="00000FBE" w:rsidRPr="00655F66" w:rsidRDefault="00000FBE" w:rsidP="00000FBE">
            <w:pPr>
              <w:rPr>
                <w:color w:val="000000"/>
              </w:rPr>
            </w:pPr>
            <w:r w:rsidRPr="00655F66">
              <w:t>Microsatellite instability-high</w:t>
            </w:r>
          </w:p>
        </w:tc>
      </w:tr>
      <w:tr w:rsidR="00000FBE" w:rsidRPr="00655F66" w14:paraId="69DC364F" w14:textId="77777777" w:rsidTr="00DA75DA">
        <w:trPr>
          <w:cantSplit/>
        </w:trPr>
        <w:tc>
          <w:tcPr>
            <w:tcW w:w="1013" w:type="pct"/>
            <w:tcBorders>
              <w:top w:val="single" w:sz="8" w:space="0" w:color="002C47"/>
              <w:left w:val="single" w:sz="8" w:space="0" w:color="002C47"/>
              <w:bottom w:val="single" w:sz="8" w:space="0" w:color="002C47"/>
              <w:right w:val="single" w:sz="8" w:space="0" w:color="002C47"/>
            </w:tcBorders>
          </w:tcPr>
          <w:p w14:paraId="59A404B7" w14:textId="3B897B30" w:rsidR="00000FBE" w:rsidRPr="00655F66" w:rsidRDefault="00000FBE" w:rsidP="00000FBE">
            <w:pPr>
              <w:rPr>
                <w:color w:val="000000"/>
              </w:rPr>
            </w:pPr>
            <w:r w:rsidRPr="00655F66">
              <w:t>NCCN</w:t>
            </w:r>
          </w:p>
        </w:tc>
        <w:tc>
          <w:tcPr>
            <w:tcW w:w="3987" w:type="pct"/>
            <w:gridSpan w:val="2"/>
            <w:tcBorders>
              <w:top w:val="single" w:sz="8" w:space="0" w:color="002C47"/>
              <w:left w:val="single" w:sz="8" w:space="0" w:color="002C47"/>
              <w:bottom w:val="single" w:sz="8" w:space="0" w:color="002C47"/>
              <w:right w:val="single" w:sz="8" w:space="0" w:color="002C47"/>
            </w:tcBorders>
          </w:tcPr>
          <w:p w14:paraId="0455C7BC" w14:textId="2447AA2B" w:rsidR="00000FBE" w:rsidRPr="00655F66" w:rsidRDefault="00000FBE" w:rsidP="00000FBE">
            <w:pPr>
              <w:rPr>
                <w:color w:val="000000"/>
              </w:rPr>
            </w:pPr>
            <w:r w:rsidRPr="00655F66">
              <w:t>National Comprehensive Cancer Network</w:t>
            </w:r>
          </w:p>
        </w:tc>
      </w:tr>
      <w:tr w:rsidR="00000FBE" w:rsidRPr="00655F66" w14:paraId="7E53CC6E" w14:textId="77777777" w:rsidTr="00DA75DA">
        <w:trPr>
          <w:cantSplit/>
        </w:trPr>
        <w:tc>
          <w:tcPr>
            <w:tcW w:w="1013" w:type="pct"/>
            <w:tcBorders>
              <w:top w:val="single" w:sz="8" w:space="0" w:color="002C47"/>
              <w:left w:val="single" w:sz="8" w:space="0" w:color="002C47"/>
              <w:bottom w:val="single" w:sz="8" w:space="0" w:color="002C47"/>
              <w:right w:val="single" w:sz="8" w:space="0" w:color="002C47"/>
            </w:tcBorders>
          </w:tcPr>
          <w:p w14:paraId="5AC25C91" w14:textId="6FD6995C" w:rsidR="00000FBE" w:rsidRPr="00655F66" w:rsidRDefault="00000FBE" w:rsidP="00000FBE">
            <w:r w:rsidRPr="00655F66">
              <w:t>PBMC</w:t>
            </w:r>
          </w:p>
        </w:tc>
        <w:tc>
          <w:tcPr>
            <w:tcW w:w="3987" w:type="pct"/>
            <w:gridSpan w:val="2"/>
            <w:tcBorders>
              <w:top w:val="single" w:sz="8" w:space="0" w:color="002C47"/>
              <w:left w:val="single" w:sz="8" w:space="0" w:color="002C47"/>
              <w:bottom w:val="single" w:sz="8" w:space="0" w:color="002C47"/>
              <w:right w:val="single" w:sz="8" w:space="0" w:color="002C47"/>
            </w:tcBorders>
          </w:tcPr>
          <w:p w14:paraId="6D660828" w14:textId="498A3F97" w:rsidR="00000FBE" w:rsidRPr="00655F66" w:rsidRDefault="00000FBE" w:rsidP="00000FBE">
            <w:r w:rsidRPr="00655F66">
              <w:t>Peripheral blood mononuclear cells</w:t>
            </w:r>
          </w:p>
        </w:tc>
      </w:tr>
      <w:tr w:rsidR="00000FBE" w:rsidRPr="00655F66" w14:paraId="798F2117" w14:textId="77777777" w:rsidTr="00DA75DA">
        <w:trPr>
          <w:cantSplit/>
        </w:trPr>
        <w:tc>
          <w:tcPr>
            <w:tcW w:w="1013" w:type="pct"/>
            <w:tcBorders>
              <w:top w:val="single" w:sz="8" w:space="0" w:color="002C47"/>
              <w:left w:val="single" w:sz="8" w:space="0" w:color="002C47"/>
              <w:bottom w:val="single" w:sz="8" w:space="0" w:color="002C47"/>
              <w:right w:val="single" w:sz="8" w:space="0" w:color="002C47"/>
            </w:tcBorders>
          </w:tcPr>
          <w:p w14:paraId="2B9F9EFC" w14:textId="02F570B0" w:rsidR="00000FBE" w:rsidRPr="00655F66" w:rsidRDefault="00000FBE" w:rsidP="00000FBE">
            <w:r w:rsidRPr="00655F66">
              <w:t>PD</w:t>
            </w:r>
          </w:p>
        </w:tc>
        <w:tc>
          <w:tcPr>
            <w:tcW w:w="3987" w:type="pct"/>
            <w:gridSpan w:val="2"/>
            <w:tcBorders>
              <w:top w:val="single" w:sz="8" w:space="0" w:color="002C47"/>
              <w:left w:val="single" w:sz="8" w:space="0" w:color="002C47"/>
              <w:bottom w:val="single" w:sz="8" w:space="0" w:color="002C47"/>
              <w:right w:val="single" w:sz="8" w:space="0" w:color="002C47"/>
            </w:tcBorders>
          </w:tcPr>
          <w:p w14:paraId="25A301F7" w14:textId="1CF0B0D5" w:rsidR="00000FBE" w:rsidRPr="00655F66" w:rsidRDefault="00000FBE" w:rsidP="00000FBE">
            <w:r w:rsidRPr="00655F66">
              <w:t>Pharmacodynamic(s)</w:t>
            </w:r>
          </w:p>
        </w:tc>
      </w:tr>
      <w:tr w:rsidR="00000FBE" w:rsidRPr="00655F66" w14:paraId="05421398" w14:textId="77777777" w:rsidTr="00DA75DA">
        <w:trPr>
          <w:cantSplit/>
        </w:trPr>
        <w:tc>
          <w:tcPr>
            <w:tcW w:w="1013" w:type="pct"/>
            <w:tcBorders>
              <w:top w:val="single" w:sz="8" w:space="0" w:color="002C47"/>
              <w:left w:val="single" w:sz="8" w:space="0" w:color="002C47"/>
              <w:bottom w:val="single" w:sz="8" w:space="0" w:color="002C47"/>
              <w:right w:val="single" w:sz="8" w:space="0" w:color="002C47"/>
            </w:tcBorders>
          </w:tcPr>
          <w:p w14:paraId="596EA2AE" w14:textId="52F65D93" w:rsidR="00000FBE" w:rsidRPr="00655F66" w:rsidRDefault="00000FBE" w:rsidP="00000FBE">
            <w:r w:rsidRPr="00655F66">
              <w:t>PD-1</w:t>
            </w:r>
          </w:p>
        </w:tc>
        <w:tc>
          <w:tcPr>
            <w:tcW w:w="3987" w:type="pct"/>
            <w:gridSpan w:val="2"/>
            <w:tcBorders>
              <w:top w:val="single" w:sz="8" w:space="0" w:color="002C47"/>
              <w:left w:val="single" w:sz="8" w:space="0" w:color="002C47"/>
              <w:bottom w:val="single" w:sz="8" w:space="0" w:color="002C47"/>
              <w:right w:val="single" w:sz="8" w:space="0" w:color="002C47"/>
            </w:tcBorders>
          </w:tcPr>
          <w:p w14:paraId="0463D72A" w14:textId="5070A273" w:rsidR="00000FBE" w:rsidRPr="00655F66" w:rsidRDefault="00000FBE" w:rsidP="00000FBE">
            <w:r w:rsidRPr="00655F66">
              <w:t xml:space="preserve">Programmed cell death </w:t>
            </w:r>
            <w:proofErr w:type="gramStart"/>
            <w:r w:rsidRPr="00655F66">
              <w:t>receptor-1</w:t>
            </w:r>
            <w:proofErr w:type="gramEnd"/>
          </w:p>
        </w:tc>
      </w:tr>
      <w:tr w:rsidR="00000FBE" w:rsidRPr="00655F66" w14:paraId="1D47EA23" w14:textId="77777777" w:rsidTr="00DA75DA">
        <w:trPr>
          <w:cantSplit/>
        </w:trPr>
        <w:tc>
          <w:tcPr>
            <w:tcW w:w="1013" w:type="pct"/>
            <w:tcBorders>
              <w:top w:val="single" w:sz="8" w:space="0" w:color="002C47"/>
              <w:left w:val="single" w:sz="8" w:space="0" w:color="002C47"/>
              <w:bottom w:val="single" w:sz="8" w:space="0" w:color="002C47"/>
              <w:right w:val="single" w:sz="8" w:space="0" w:color="002C47"/>
            </w:tcBorders>
          </w:tcPr>
          <w:p w14:paraId="4F7A69B9" w14:textId="6AEDF83C" w:rsidR="00000FBE" w:rsidRPr="00655F66" w:rsidRDefault="00000FBE" w:rsidP="00000FBE">
            <w:r w:rsidRPr="00655F66">
              <w:t>PDF</w:t>
            </w:r>
          </w:p>
        </w:tc>
        <w:tc>
          <w:tcPr>
            <w:tcW w:w="3987" w:type="pct"/>
            <w:gridSpan w:val="2"/>
            <w:tcBorders>
              <w:top w:val="single" w:sz="8" w:space="0" w:color="002C47"/>
              <w:left w:val="single" w:sz="8" w:space="0" w:color="002C47"/>
              <w:bottom w:val="single" w:sz="8" w:space="0" w:color="002C47"/>
              <w:right w:val="single" w:sz="8" w:space="0" w:color="002C47"/>
            </w:tcBorders>
          </w:tcPr>
          <w:p w14:paraId="2636BEF1" w14:textId="4659067D" w:rsidR="00000FBE" w:rsidRPr="00655F66" w:rsidRDefault="00000FBE" w:rsidP="00000FBE">
            <w:r w:rsidRPr="00655F66">
              <w:t>Portable document format</w:t>
            </w:r>
          </w:p>
        </w:tc>
      </w:tr>
      <w:tr w:rsidR="00000FBE" w:rsidRPr="00655F66" w14:paraId="534D395F" w14:textId="77777777" w:rsidTr="00DA75DA">
        <w:trPr>
          <w:cantSplit/>
        </w:trPr>
        <w:tc>
          <w:tcPr>
            <w:tcW w:w="1013" w:type="pct"/>
            <w:tcBorders>
              <w:top w:val="single" w:sz="8" w:space="0" w:color="002C47"/>
              <w:left w:val="single" w:sz="8" w:space="0" w:color="002C47"/>
              <w:bottom w:val="single" w:sz="8" w:space="0" w:color="002C47"/>
              <w:right w:val="single" w:sz="8" w:space="0" w:color="002C47"/>
            </w:tcBorders>
          </w:tcPr>
          <w:p w14:paraId="4665CFA1" w14:textId="549ECE46" w:rsidR="00000FBE" w:rsidRPr="00655F66" w:rsidRDefault="00000FBE" w:rsidP="00000FBE">
            <w:r w:rsidRPr="00655F66">
              <w:t>PD-L1</w:t>
            </w:r>
          </w:p>
        </w:tc>
        <w:tc>
          <w:tcPr>
            <w:tcW w:w="3987" w:type="pct"/>
            <w:gridSpan w:val="2"/>
            <w:tcBorders>
              <w:top w:val="single" w:sz="8" w:space="0" w:color="002C47"/>
              <w:left w:val="single" w:sz="8" w:space="0" w:color="002C47"/>
              <w:bottom w:val="single" w:sz="8" w:space="0" w:color="002C47"/>
              <w:right w:val="single" w:sz="8" w:space="0" w:color="002C47"/>
            </w:tcBorders>
          </w:tcPr>
          <w:p w14:paraId="4ADB1F51" w14:textId="6B5C2852" w:rsidR="00000FBE" w:rsidRPr="00655F66" w:rsidRDefault="00000FBE" w:rsidP="00000FBE">
            <w:r w:rsidRPr="00655F66">
              <w:t xml:space="preserve">Programmed cell death </w:t>
            </w:r>
            <w:proofErr w:type="gramStart"/>
            <w:r w:rsidRPr="00655F66">
              <w:t>ligand-1</w:t>
            </w:r>
            <w:proofErr w:type="gramEnd"/>
          </w:p>
        </w:tc>
      </w:tr>
      <w:tr w:rsidR="00000FBE" w:rsidRPr="00655F66" w14:paraId="12794A10" w14:textId="77777777" w:rsidTr="00DA75DA">
        <w:trPr>
          <w:cantSplit/>
        </w:trPr>
        <w:tc>
          <w:tcPr>
            <w:tcW w:w="1013" w:type="pct"/>
            <w:tcBorders>
              <w:top w:val="single" w:sz="8" w:space="0" w:color="002C47"/>
              <w:left w:val="single" w:sz="8" w:space="0" w:color="002C47"/>
              <w:bottom w:val="single" w:sz="8" w:space="0" w:color="002C47"/>
              <w:right w:val="single" w:sz="8" w:space="0" w:color="002C47"/>
            </w:tcBorders>
          </w:tcPr>
          <w:p w14:paraId="248A5891" w14:textId="521AF9CA" w:rsidR="00000FBE" w:rsidRPr="00655F66" w:rsidRDefault="00000FBE" w:rsidP="00000FBE">
            <w:r w:rsidRPr="00655F66">
              <w:t>PD-L2</w:t>
            </w:r>
          </w:p>
        </w:tc>
        <w:tc>
          <w:tcPr>
            <w:tcW w:w="3987" w:type="pct"/>
            <w:gridSpan w:val="2"/>
            <w:tcBorders>
              <w:top w:val="single" w:sz="8" w:space="0" w:color="002C47"/>
              <w:left w:val="single" w:sz="8" w:space="0" w:color="002C47"/>
              <w:bottom w:val="single" w:sz="8" w:space="0" w:color="002C47"/>
              <w:right w:val="single" w:sz="8" w:space="0" w:color="002C47"/>
            </w:tcBorders>
          </w:tcPr>
          <w:p w14:paraId="6A7480AD" w14:textId="6FED9A23" w:rsidR="00000FBE" w:rsidRPr="00655F66" w:rsidRDefault="00000FBE" w:rsidP="00000FBE">
            <w:r w:rsidRPr="00655F66">
              <w:t xml:space="preserve">Programmed cell death </w:t>
            </w:r>
            <w:proofErr w:type="gramStart"/>
            <w:r w:rsidRPr="00655F66">
              <w:t>ligand-2</w:t>
            </w:r>
            <w:proofErr w:type="gramEnd"/>
          </w:p>
        </w:tc>
      </w:tr>
      <w:tr w:rsidR="00000FBE" w:rsidRPr="00655F66" w14:paraId="0F6E7F75" w14:textId="77777777" w:rsidTr="00DA75DA">
        <w:trPr>
          <w:cantSplit/>
        </w:trPr>
        <w:tc>
          <w:tcPr>
            <w:tcW w:w="1013" w:type="pct"/>
            <w:tcBorders>
              <w:top w:val="single" w:sz="8" w:space="0" w:color="002C47"/>
              <w:left w:val="single" w:sz="8" w:space="0" w:color="002C47"/>
              <w:bottom w:val="single" w:sz="8" w:space="0" w:color="002C47"/>
              <w:right w:val="single" w:sz="8" w:space="0" w:color="002C47"/>
            </w:tcBorders>
          </w:tcPr>
          <w:p w14:paraId="033AD169" w14:textId="1D1C527C" w:rsidR="00000FBE" w:rsidRPr="00655F66" w:rsidRDefault="00000FBE" w:rsidP="00000FBE">
            <w:r w:rsidRPr="00655F66">
              <w:t>PI</w:t>
            </w:r>
          </w:p>
        </w:tc>
        <w:tc>
          <w:tcPr>
            <w:tcW w:w="3987" w:type="pct"/>
            <w:gridSpan w:val="2"/>
            <w:tcBorders>
              <w:top w:val="single" w:sz="8" w:space="0" w:color="002C47"/>
              <w:left w:val="single" w:sz="8" w:space="0" w:color="002C47"/>
              <w:bottom w:val="single" w:sz="8" w:space="0" w:color="002C47"/>
              <w:right w:val="single" w:sz="8" w:space="0" w:color="002C47"/>
            </w:tcBorders>
          </w:tcPr>
          <w:p w14:paraId="02804F4A" w14:textId="62952B6A" w:rsidR="00000FBE" w:rsidRPr="00655F66" w:rsidRDefault="00000FBE" w:rsidP="00000FBE">
            <w:r w:rsidRPr="00655F66">
              <w:t>Product Information</w:t>
            </w:r>
          </w:p>
        </w:tc>
      </w:tr>
      <w:tr w:rsidR="00000FBE" w:rsidRPr="00655F66" w14:paraId="2D1CA2E2" w14:textId="77777777" w:rsidTr="00DA75DA">
        <w:trPr>
          <w:cantSplit/>
        </w:trPr>
        <w:tc>
          <w:tcPr>
            <w:tcW w:w="1013" w:type="pct"/>
            <w:tcBorders>
              <w:top w:val="single" w:sz="8" w:space="0" w:color="002C47"/>
              <w:left w:val="single" w:sz="8" w:space="0" w:color="002C47"/>
              <w:bottom w:val="single" w:sz="8" w:space="0" w:color="002C47"/>
              <w:right w:val="single" w:sz="8" w:space="0" w:color="002C47"/>
            </w:tcBorders>
          </w:tcPr>
          <w:p w14:paraId="123AC51E" w14:textId="3EA18A00" w:rsidR="00000FBE" w:rsidRPr="00655F66" w:rsidRDefault="00000FBE" w:rsidP="00000FBE">
            <w:r w:rsidRPr="00655F66">
              <w:t>PK</w:t>
            </w:r>
          </w:p>
        </w:tc>
        <w:tc>
          <w:tcPr>
            <w:tcW w:w="3987" w:type="pct"/>
            <w:gridSpan w:val="2"/>
            <w:tcBorders>
              <w:top w:val="single" w:sz="8" w:space="0" w:color="002C47"/>
              <w:left w:val="single" w:sz="8" w:space="0" w:color="002C47"/>
              <w:bottom w:val="single" w:sz="8" w:space="0" w:color="002C47"/>
              <w:right w:val="single" w:sz="8" w:space="0" w:color="002C47"/>
            </w:tcBorders>
          </w:tcPr>
          <w:p w14:paraId="73A8C864" w14:textId="5637E9EE" w:rsidR="00000FBE" w:rsidRPr="00655F66" w:rsidRDefault="00000FBE" w:rsidP="00000FBE">
            <w:r w:rsidRPr="00655F66">
              <w:t>Pharmacokinetic(s)</w:t>
            </w:r>
          </w:p>
        </w:tc>
      </w:tr>
      <w:tr w:rsidR="008C6055" w:rsidRPr="00655F66" w14:paraId="4EF7B614" w14:textId="77777777" w:rsidTr="00DA75DA">
        <w:trPr>
          <w:cantSplit/>
        </w:trPr>
        <w:tc>
          <w:tcPr>
            <w:tcW w:w="1013" w:type="pct"/>
            <w:tcBorders>
              <w:top w:val="single" w:sz="8" w:space="0" w:color="002C47"/>
              <w:left w:val="single" w:sz="8" w:space="0" w:color="002C47"/>
              <w:bottom w:val="single" w:sz="8" w:space="0" w:color="002C47"/>
              <w:right w:val="single" w:sz="8" w:space="0" w:color="002C47"/>
            </w:tcBorders>
          </w:tcPr>
          <w:p w14:paraId="0D28508F" w14:textId="504F5123" w:rsidR="008C6055" w:rsidRPr="00655F66" w:rsidRDefault="008C6055" w:rsidP="00000FBE">
            <w:r w:rsidRPr="00655F66">
              <w:rPr>
                <w:i/>
                <w:iCs/>
              </w:rPr>
              <w:t>PMS2</w:t>
            </w:r>
          </w:p>
        </w:tc>
        <w:tc>
          <w:tcPr>
            <w:tcW w:w="3987" w:type="pct"/>
            <w:gridSpan w:val="2"/>
            <w:tcBorders>
              <w:top w:val="single" w:sz="8" w:space="0" w:color="002C47"/>
              <w:left w:val="single" w:sz="8" w:space="0" w:color="002C47"/>
              <w:bottom w:val="single" w:sz="8" w:space="0" w:color="002C47"/>
              <w:right w:val="single" w:sz="8" w:space="0" w:color="002C47"/>
            </w:tcBorders>
          </w:tcPr>
          <w:p w14:paraId="5EA73060" w14:textId="6DE1F6E5" w:rsidR="008C6055" w:rsidRPr="00655F66" w:rsidRDefault="008C6055" w:rsidP="00000FBE">
            <w:r w:rsidRPr="008C6055">
              <w:t>Post</w:t>
            </w:r>
            <w:r>
              <w:t>-</w:t>
            </w:r>
            <w:r w:rsidRPr="008C6055">
              <w:t xml:space="preserve">meiotic segregation increased </w:t>
            </w:r>
            <w:r>
              <w:t>2</w:t>
            </w:r>
          </w:p>
        </w:tc>
      </w:tr>
      <w:tr w:rsidR="00000FBE" w:rsidRPr="00655F66" w14:paraId="77CB93DF" w14:textId="77777777" w:rsidTr="00DA75DA">
        <w:trPr>
          <w:cantSplit/>
        </w:trPr>
        <w:tc>
          <w:tcPr>
            <w:tcW w:w="1013" w:type="pct"/>
            <w:tcBorders>
              <w:top w:val="single" w:sz="8" w:space="0" w:color="002C47"/>
              <w:left w:val="single" w:sz="8" w:space="0" w:color="002C47"/>
              <w:bottom w:val="single" w:sz="8" w:space="0" w:color="002C47"/>
              <w:right w:val="single" w:sz="8" w:space="0" w:color="002C47"/>
            </w:tcBorders>
          </w:tcPr>
          <w:p w14:paraId="53FB3E56" w14:textId="57F4B78A" w:rsidR="00000FBE" w:rsidRPr="00655F66" w:rsidRDefault="00000FBE" w:rsidP="00000FBE">
            <w:r w:rsidRPr="00655F66">
              <w:t>PopPK</w:t>
            </w:r>
          </w:p>
        </w:tc>
        <w:tc>
          <w:tcPr>
            <w:tcW w:w="3987" w:type="pct"/>
            <w:gridSpan w:val="2"/>
            <w:tcBorders>
              <w:top w:val="single" w:sz="8" w:space="0" w:color="002C47"/>
              <w:left w:val="single" w:sz="8" w:space="0" w:color="002C47"/>
              <w:bottom w:val="single" w:sz="8" w:space="0" w:color="002C47"/>
              <w:right w:val="single" w:sz="8" w:space="0" w:color="002C47"/>
            </w:tcBorders>
          </w:tcPr>
          <w:p w14:paraId="68935909" w14:textId="623207C4" w:rsidR="00000FBE" w:rsidRPr="00655F66" w:rsidRDefault="00000FBE" w:rsidP="00000FBE">
            <w:r w:rsidRPr="00655F66">
              <w:t>Pharmacokinetic(s)</w:t>
            </w:r>
          </w:p>
        </w:tc>
      </w:tr>
      <w:tr w:rsidR="00000FBE" w:rsidRPr="00655F66" w14:paraId="57A6628A" w14:textId="77777777" w:rsidTr="00DA75DA">
        <w:trPr>
          <w:cantSplit/>
        </w:trPr>
        <w:tc>
          <w:tcPr>
            <w:tcW w:w="1013" w:type="pct"/>
            <w:tcBorders>
              <w:top w:val="single" w:sz="8" w:space="0" w:color="002C47"/>
              <w:left w:val="single" w:sz="8" w:space="0" w:color="002C47"/>
              <w:bottom w:val="single" w:sz="8" w:space="0" w:color="002C47"/>
              <w:right w:val="single" w:sz="8" w:space="0" w:color="002C47"/>
            </w:tcBorders>
          </w:tcPr>
          <w:p w14:paraId="45C8DF71" w14:textId="251F24BF" w:rsidR="00000FBE" w:rsidRPr="00655F66" w:rsidRDefault="00000FBE" w:rsidP="00000FBE">
            <w:r w:rsidRPr="00655F66">
              <w:t>PSUR</w:t>
            </w:r>
          </w:p>
        </w:tc>
        <w:tc>
          <w:tcPr>
            <w:tcW w:w="3987" w:type="pct"/>
            <w:gridSpan w:val="2"/>
            <w:tcBorders>
              <w:top w:val="single" w:sz="8" w:space="0" w:color="002C47"/>
              <w:left w:val="single" w:sz="8" w:space="0" w:color="002C47"/>
              <w:bottom w:val="single" w:sz="8" w:space="0" w:color="002C47"/>
              <w:right w:val="single" w:sz="8" w:space="0" w:color="002C47"/>
            </w:tcBorders>
          </w:tcPr>
          <w:p w14:paraId="4630C29A" w14:textId="36D17A58" w:rsidR="00000FBE" w:rsidRPr="00655F66" w:rsidRDefault="00000FBE" w:rsidP="00000FBE">
            <w:r w:rsidRPr="00655F66">
              <w:t>Periodic safety update report</w:t>
            </w:r>
          </w:p>
        </w:tc>
      </w:tr>
      <w:tr w:rsidR="00000FBE" w:rsidRPr="00655F66" w14:paraId="4BC36746" w14:textId="77777777" w:rsidTr="00DA75DA">
        <w:trPr>
          <w:cantSplit/>
        </w:trPr>
        <w:tc>
          <w:tcPr>
            <w:tcW w:w="1013" w:type="pct"/>
            <w:tcBorders>
              <w:top w:val="single" w:sz="8" w:space="0" w:color="002C47"/>
              <w:left w:val="single" w:sz="8" w:space="0" w:color="002C47"/>
              <w:bottom w:val="single" w:sz="8" w:space="0" w:color="002C47"/>
              <w:right w:val="single" w:sz="8" w:space="0" w:color="002C47"/>
            </w:tcBorders>
          </w:tcPr>
          <w:p w14:paraId="4FB384D8" w14:textId="4BFB1A00" w:rsidR="00000FBE" w:rsidRPr="00655F66" w:rsidRDefault="00000FBE" w:rsidP="00000FBE">
            <w:proofErr w:type="spellStart"/>
            <w:r w:rsidRPr="00655F66">
              <w:t>QTcF</w:t>
            </w:r>
            <w:proofErr w:type="spellEnd"/>
          </w:p>
        </w:tc>
        <w:tc>
          <w:tcPr>
            <w:tcW w:w="3987" w:type="pct"/>
            <w:gridSpan w:val="2"/>
            <w:tcBorders>
              <w:top w:val="single" w:sz="8" w:space="0" w:color="002C47"/>
              <w:left w:val="single" w:sz="8" w:space="0" w:color="002C47"/>
              <w:bottom w:val="single" w:sz="8" w:space="0" w:color="002C47"/>
              <w:right w:val="single" w:sz="8" w:space="0" w:color="002C47"/>
            </w:tcBorders>
          </w:tcPr>
          <w:p w14:paraId="34FC3D2B" w14:textId="4136E405" w:rsidR="00000FBE" w:rsidRPr="00655F66" w:rsidRDefault="00000FBE" w:rsidP="00000FBE">
            <w:r w:rsidRPr="00655F66">
              <w:t>QT interval corrected for heart rate using Fridericia’s formula</w:t>
            </w:r>
          </w:p>
        </w:tc>
      </w:tr>
      <w:tr w:rsidR="00000FBE" w:rsidRPr="00655F66" w14:paraId="73D46F59" w14:textId="77777777" w:rsidTr="00DA75DA">
        <w:trPr>
          <w:cantSplit/>
        </w:trPr>
        <w:tc>
          <w:tcPr>
            <w:tcW w:w="1013" w:type="pct"/>
            <w:tcBorders>
              <w:top w:val="single" w:sz="8" w:space="0" w:color="002C47"/>
              <w:left w:val="single" w:sz="8" w:space="0" w:color="002C47"/>
              <w:bottom w:val="single" w:sz="8" w:space="0" w:color="002C47"/>
              <w:right w:val="single" w:sz="8" w:space="0" w:color="002C47"/>
            </w:tcBorders>
          </w:tcPr>
          <w:p w14:paraId="7E495AA2" w14:textId="37C0ABDC" w:rsidR="00000FBE" w:rsidRPr="00655F66" w:rsidRDefault="00000FBE" w:rsidP="00000FBE">
            <w:r w:rsidRPr="00655F66">
              <w:t>RECIST</w:t>
            </w:r>
          </w:p>
        </w:tc>
        <w:tc>
          <w:tcPr>
            <w:tcW w:w="3987" w:type="pct"/>
            <w:gridSpan w:val="2"/>
            <w:tcBorders>
              <w:top w:val="single" w:sz="8" w:space="0" w:color="002C47"/>
              <w:left w:val="single" w:sz="8" w:space="0" w:color="002C47"/>
              <w:bottom w:val="single" w:sz="8" w:space="0" w:color="002C47"/>
              <w:right w:val="single" w:sz="8" w:space="0" w:color="002C47"/>
            </w:tcBorders>
          </w:tcPr>
          <w:p w14:paraId="5F26F010" w14:textId="758DDA94" w:rsidR="00000FBE" w:rsidRPr="00655F66" w:rsidRDefault="00000FBE" w:rsidP="00000FBE">
            <w:r w:rsidRPr="00655F66">
              <w:t xml:space="preserve">Response Evaluation Criteria </w:t>
            </w:r>
            <w:proofErr w:type="gramStart"/>
            <w:r w:rsidRPr="00655F66">
              <w:t>In</w:t>
            </w:r>
            <w:proofErr w:type="gramEnd"/>
            <w:r w:rsidRPr="00655F66">
              <w:t xml:space="preserve"> Solid Tumours</w:t>
            </w:r>
          </w:p>
        </w:tc>
      </w:tr>
      <w:tr w:rsidR="00000FBE" w:rsidRPr="00655F66" w14:paraId="667851A1" w14:textId="77777777" w:rsidTr="00DA75DA">
        <w:trPr>
          <w:cantSplit/>
        </w:trPr>
        <w:tc>
          <w:tcPr>
            <w:tcW w:w="1013" w:type="pct"/>
            <w:tcBorders>
              <w:top w:val="single" w:sz="8" w:space="0" w:color="002C47"/>
              <w:left w:val="single" w:sz="8" w:space="0" w:color="002C47"/>
              <w:bottom w:val="single" w:sz="8" w:space="0" w:color="002C47"/>
              <w:right w:val="single" w:sz="8" w:space="0" w:color="002C47"/>
            </w:tcBorders>
          </w:tcPr>
          <w:p w14:paraId="4A8D4B22" w14:textId="30E07C4F" w:rsidR="00000FBE" w:rsidRPr="00655F66" w:rsidRDefault="00000FBE" w:rsidP="00000FBE">
            <w:r w:rsidRPr="00655F66">
              <w:t>RMP</w:t>
            </w:r>
          </w:p>
        </w:tc>
        <w:tc>
          <w:tcPr>
            <w:tcW w:w="3987" w:type="pct"/>
            <w:gridSpan w:val="2"/>
            <w:tcBorders>
              <w:top w:val="single" w:sz="8" w:space="0" w:color="002C47"/>
              <w:left w:val="single" w:sz="8" w:space="0" w:color="002C47"/>
              <w:bottom w:val="single" w:sz="8" w:space="0" w:color="002C47"/>
              <w:right w:val="single" w:sz="8" w:space="0" w:color="002C47"/>
            </w:tcBorders>
          </w:tcPr>
          <w:p w14:paraId="29882175" w14:textId="2F0DAEFA" w:rsidR="00000FBE" w:rsidRPr="00655F66" w:rsidRDefault="00000FBE" w:rsidP="00000FBE">
            <w:r w:rsidRPr="00655F66">
              <w:t>Risk management plan</w:t>
            </w:r>
          </w:p>
        </w:tc>
      </w:tr>
      <w:tr w:rsidR="00000FBE" w:rsidRPr="00655F66" w14:paraId="03078AB3" w14:textId="77777777" w:rsidTr="00DA75DA">
        <w:trPr>
          <w:cantSplit/>
        </w:trPr>
        <w:tc>
          <w:tcPr>
            <w:tcW w:w="1013" w:type="pct"/>
            <w:tcBorders>
              <w:top w:val="single" w:sz="8" w:space="0" w:color="002C47"/>
              <w:left w:val="single" w:sz="8" w:space="0" w:color="002C47"/>
              <w:bottom w:val="single" w:sz="8" w:space="0" w:color="002C47"/>
              <w:right w:val="single" w:sz="8" w:space="0" w:color="002C47"/>
            </w:tcBorders>
          </w:tcPr>
          <w:p w14:paraId="05870599" w14:textId="5360B5C4" w:rsidR="00000FBE" w:rsidRPr="00655F66" w:rsidRDefault="00000FBE" w:rsidP="00000FBE">
            <w:r w:rsidRPr="00655F66">
              <w:t>TNF</w:t>
            </w:r>
          </w:p>
        </w:tc>
        <w:tc>
          <w:tcPr>
            <w:tcW w:w="3987" w:type="pct"/>
            <w:gridSpan w:val="2"/>
            <w:tcBorders>
              <w:top w:val="single" w:sz="8" w:space="0" w:color="002C47"/>
              <w:left w:val="single" w:sz="8" w:space="0" w:color="002C47"/>
              <w:bottom w:val="single" w:sz="8" w:space="0" w:color="002C47"/>
              <w:right w:val="single" w:sz="8" w:space="0" w:color="002C47"/>
            </w:tcBorders>
          </w:tcPr>
          <w:p w14:paraId="27EE7B93" w14:textId="4029F7A6" w:rsidR="00000FBE" w:rsidRPr="00655F66" w:rsidRDefault="00000FBE" w:rsidP="00000FBE">
            <w:r w:rsidRPr="00655F66">
              <w:t>Tumour necrosis factor</w:t>
            </w:r>
          </w:p>
        </w:tc>
      </w:tr>
      <w:tr w:rsidR="00000FBE" w:rsidRPr="00655F66" w14:paraId="3C6C6E77" w14:textId="77777777" w:rsidTr="00DA75DA">
        <w:trPr>
          <w:cantSplit/>
        </w:trPr>
        <w:tc>
          <w:tcPr>
            <w:tcW w:w="1013" w:type="pct"/>
            <w:tcBorders>
              <w:top w:val="single" w:sz="8" w:space="0" w:color="002C47"/>
              <w:left w:val="single" w:sz="8" w:space="0" w:color="002C47"/>
              <w:bottom w:val="single" w:sz="8" w:space="0" w:color="002C47"/>
              <w:right w:val="single" w:sz="8" w:space="0" w:color="002C47"/>
            </w:tcBorders>
          </w:tcPr>
          <w:p w14:paraId="524FABC2" w14:textId="26D69AA8" w:rsidR="00000FBE" w:rsidRPr="00655F66" w:rsidRDefault="00000FBE" w:rsidP="00000FBE">
            <w:r w:rsidRPr="00655F66">
              <w:t>TGA</w:t>
            </w:r>
          </w:p>
        </w:tc>
        <w:tc>
          <w:tcPr>
            <w:tcW w:w="3987" w:type="pct"/>
            <w:gridSpan w:val="2"/>
            <w:tcBorders>
              <w:top w:val="single" w:sz="8" w:space="0" w:color="002C47"/>
              <w:left w:val="single" w:sz="8" w:space="0" w:color="002C47"/>
              <w:bottom w:val="single" w:sz="8" w:space="0" w:color="002C47"/>
              <w:right w:val="single" w:sz="8" w:space="0" w:color="002C47"/>
            </w:tcBorders>
          </w:tcPr>
          <w:p w14:paraId="557D211E" w14:textId="11F7E731" w:rsidR="00000FBE" w:rsidRPr="00655F66" w:rsidRDefault="00000FBE" w:rsidP="00000FBE">
            <w:r w:rsidRPr="00655F66">
              <w:t>Therapeutic Goods Administration</w:t>
            </w:r>
          </w:p>
        </w:tc>
      </w:tr>
      <w:tr w:rsidR="00000FBE" w:rsidRPr="00655F66" w14:paraId="1143DB6D" w14:textId="77777777" w:rsidTr="00DA75DA">
        <w:trPr>
          <w:cantSplit/>
        </w:trPr>
        <w:tc>
          <w:tcPr>
            <w:tcW w:w="1013" w:type="pct"/>
            <w:tcBorders>
              <w:top w:val="single" w:sz="8" w:space="0" w:color="002C47"/>
              <w:left w:val="single" w:sz="8" w:space="0" w:color="002C47"/>
              <w:bottom w:val="single" w:sz="8" w:space="0" w:color="002C47"/>
              <w:right w:val="single" w:sz="8" w:space="0" w:color="002C47"/>
            </w:tcBorders>
          </w:tcPr>
          <w:p w14:paraId="73E6602D" w14:textId="7345B1C5" w:rsidR="00000FBE" w:rsidRPr="00655F66" w:rsidRDefault="00000FBE" w:rsidP="00000FBE">
            <w:r w:rsidRPr="00655F66">
              <w:rPr>
                <w:color w:val="000000"/>
              </w:rPr>
              <w:lastRenderedPageBreak/>
              <w:t>US(A)</w:t>
            </w:r>
          </w:p>
        </w:tc>
        <w:tc>
          <w:tcPr>
            <w:tcW w:w="3987" w:type="pct"/>
            <w:gridSpan w:val="2"/>
            <w:tcBorders>
              <w:top w:val="single" w:sz="8" w:space="0" w:color="002C47"/>
              <w:left w:val="single" w:sz="8" w:space="0" w:color="002C47"/>
              <w:bottom w:val="single" w:sz="8" w:space="0" w:color="002C47"/>
              <w:right w:val="single" w:sz="8" w:space="0" w:color="002C47"/>
            </w:tcBorders>
          </w:tcPr>
          <w:p w14:paraId="68048A8B" w14:textId="53C1D637" w:rsidR="00000FBE" w:rsidRPr="00655F66" w:rsidRDefault="00000FBE" w:rsidP="00000FBE">
            <w:r w:rsidRPr="00655F66">
              <w:rPr>
                <w:color w:val="000000"/>
              </w:rPr>
              <w:t>United States (of America)</w:t>
            </w:r>
          </w:p>
        </w:tc>
      </w:tr>
    </w:tbl>
    <w:p w14:paraId="6F5DC4D9" w14:textId="77777777" w:rsidR="00FD119B" w:rsidRPr="00655F66" w:rsidRDefault="00FD119B" w:rsidP="00FD119B">
      <w:pPr>
        <w:spacing w:before="0" w:after="200" w:line="0" w:lineRule="auto"/>
        <w:rPr>
          <w:b/>
          <w:i/>
          <w:sz w:val="24"/>
          <w:szCs w:val="24"/>
        </w:rPr>
      </w:pPr>
      <w:r w:rsidRPr="00655F66">
        <w:rPr>
          <w:b/>
          <w:i/>
          <w:sz w:val="24"/>
          <w:szCs w:val="24"/>
        </w:rPr>
        <w:br w:type="page"/>
      </w:r>
    </w:p>
    <w:p w14:paraId="3C8023AD" w14:textId="2EED0423" w:rsidR="008E7846" w:rsidRPr="00655F66" w:rsidRDefault="009F2673" w:rsidP="008E7846">
      <w:pPr>
        <w:pStyle w:val="Heading2"/>
      </w:pPr>
      <w:bookmarkStart w:id="5" w:name="_Toc126579866"/>
      <w:r w:rsidRPr="00655F66">
        <w:lastRenderedPageBreak/>
        <w:t>Pr</w:t>
      </w:r>
      <w:r w:rsidR="008E7846" w:rsidRPr="00655F66">
        <w:t>oduct submission</w:t>
      </w:r>
      <w:bookmarkEnd w:id="5"/>
      <w:bookmarkEnd w:id="2"/>
      <w:bookmarkEnd w:id="0"/>
    </w:p>
    <w:p w14:paraId="6EC6551E" w14:textId="55C48B21" w:rsidR="008E7846" w:rsidRPr="00655F66" w:rsidRDefault="008E7846" w:rsidP="009E5A87">
      <w:pPr>
        <w:pStyle w:val="Heading3"/>
        <w:rPr>
          <w:lang w:eastAsia="en-AU"/>
        </w:rPr>
      </w:pPr>
      <w:bookmarkStart w:id="6" w:name="_Toc247691502"/>
      <w:bookmarkStart w:id="7" w:name="_Toc314842483"/>
      <w:bookmarkStart w:id="8" w:name="_Toc126579867"/>
      <w:r w:rsidRPr="00655F66">
        <w:rPr>
          <w:lang w:eastAsia="en-AU"/>
        </w:rPr>
        <w:t>Submission details</w:t>
      </w:r>
      <w:bookmarkEnd w:id="6"/>
      <w:bookmarkEnd w:id="7"/>
      <w:bookmarkEnd w:id="8"/>
    </w:p>
    <w:tbl>
      <w:tblPr>
        <w:tblW w:w="5000" w:type="pct"/>
        <w:tblLook w:val="01E0" w:firstRow="1" w:lastRow="1" w:firstColumn="1" w:lastColumn="1" w:noHBand="0" w:noVBand="0"/>
      </w:tblPr>
      <w:tblGrid>
        <w:gridCol w:w="2682"/>
        <w:gridCol w:w="5822"/>
      </w:tblGrid>
      <w:tr w:rsidR="009F2673" w:rsidRPr="00655F66" w14:paraId="2A7544BE" w14:textId="77777777" w:rsidTr="00DA75DA">
        <w:tc>
          <w:tcPr>
            <w:tcW w:w="1577" w:type="pct"/>
          </w:tcPr>
          <w:p w14:paraId="49BC607A" w14:textId="77777777" w:rsidR="009F2673" w:rsidRPr="00655F66" w:rsidRDefault="009F2673" w:rsidP="009E5A87">
            <w:pPr>
              <w:rPr>
                <w:i/>
              </w:rPr>
            </w:pPr>
            <w:r w:rsidRPr="00655F66">
              <w:rPr>
                <w:i/>
              </w:rPr>
              <w:t>Type of submission:</w:t>
            </w:r>
          </w:p>
        </w:tc>
        <w:tc>
          <w:tcPr>
            <w:tcW w:w="3423" w:type="pct"/>
          </w:tcPr>
          <w:p w14:paraId="5ACDF678" w14:textId="4F8D6959" w:rsidR="009F2673" w:rsidRPr="00655F66" w:rsidRDefault="00DA75DA" w:rsidP="009E5A87">
            <w:r w:rsidRPr="00655F66">
              <w:t>New biological entity</w:t>
            </w:r>
          </w:p>
        </w:tc>
      </w:tr>
      <w:tr w:rsidR="009F2673" w:rsidRPr="00655F66" w14:paraId="4CFF539B" w14:textId="77777777" w:rsidTr="00DA75DA">
        <w:tc>
          <w:tcPr>
            <w:tcW w:w="1577" w:type="pct"/>
          </w:tcPr>
          <w:p w14:paraId="6FDAFD1F" w14:textId="18884F32" w:rsidR="009F2673" w:rsidRPr="00655F66" w:rsidRDefault="009F2673" w:rsidP="009E5A87">
            <w:pPr>
              <w:rPr>
                <w:i/>
              </w:rPr>
            </w:pPr>
            <w:r w:rsidRPr="00655F66">
              <w:rPr>
                <w:i/>
              </w:rPr>
              <w:t>Product name:</w:t>
            </w:r>
          </w:p>
        </w:tc>
        <w:tc>
          <w:tcPr>
            <w:tcW w:w="3423" w:type="pct"/>
          </w:tcPr>
          <w:p w14:paraId="3F2D6EC5" w14:textId="5B6A760C" w:rsidR="009F2673" w:rsidRPr="00655F66" w:rsidRDefault="00DA75DA" w:rsidP="009E5A87">
            <w:r w:rsidRPr="00655F66">
              <w:t>Jemperli</w:t>
            </w:r>
          </w:p>
        </w:tc>
      </w:tr>
      <w:tr w:rsidR="009F2673" w:rsidRPr="00655F66" w14:paraId="4773A1D7" w14:textId="77777777" w:rsidTr="00DA75DA">
        <w:tc>
          <w:tcPr>
            <w:tcW w:w="1577" w:type="pct"/>
          </w:tcPr>
          <w:p w14:paraId="7A374B8E" w14:textId="04D68E4F" w:rsidR="009F2673" w:rsidRPr="00655F66" w:rsidRDefault="009F2673" w:rsidP="009E5A87">
            <w:pPr>
              <w:rPr>
                <w:i/>
              </w:rPr>
            </w:pPr>
            <w:r w:rsidRPr="00655F66">
              <w:rPr>
                <w:i/>
              </w:rPr>
              <w:t>Active ingredient:</w:t>
            </w:r>
          </w:p>
        </w:tc>
        <w:tc>
          <w:tcPr>
            <w:tcW w:w="3423" w:type="pct"/>
          </w:tcPr>
          <w:p w14:paraId="365A7628" w14:textId="372BB445" w:rsidR="009F2673" w:rsidRPr="00655F66" w:rsidRDefault="00DA75DA" w:rsidP="009E5A87">
            <w:r w:rsidRPr="00655F66">
              <w:t>Dostarlimab</w:t>
            </w:r>
          </w:p>
        </w:tc>
      </w:tr>
      <w:tr w:rsidR="009F2673" w:rsidRPr="00655F66" w14:paraId="5E892BE5" w14:textId="77777777" w:rsidTr="00DA75DA">
        <w:tc>
          <w:tcPr>
            <w:tcW w:w="1577" w:type="pct"/>
          </w:tcPr>
          <w:p w14:paraId="3A148F9F" w14:textId="77777777" w:rsidR="009F2673" w:rsidRPr="00655F66" w:rsidRDefault="009F2673" w:rsidP="009E5A87">
            <w:pPr>
              <w:rPr>
                <w:i/>
              </w:rPr>
            </w:pPr>
            <w:r w:rsidRPr="00655F66">
              <w:rPr>
                <w:i/>
              </w:rPr>
              <w:t>Decision:</w:t>
            </w:r>
          </w:p>
        </w:tc>
        <w:tc>
          <w:tcPr>
            <w:tcW w:w="3423" w:type="pct"/>
          </w:tcPr>
          <w:p w14:paraId="41D68A6C" w14:textId="1DF93B54" w:rsidR="009F2673" w:rsidRPr="00655F66" w:rsidRDefault="00DA75DA" w:rsidP="009E5A87">
            <w:r w:rsidRPr="00655F66">
              <w:t>Approved for provisional registration</w:t>
            </w:r>
          </w:p>
        </w:tc>
      </w:tr>
      <w:tr w:rsidR="009F2673" w:rsidRPr="00655F66" w14:paraId="61725D33" w14:textId="77777777" w:rsidTr="00DA75DA">
        <w:tc>
          <w:tcPr>
            <w:tcW w:w="1577" w:type="pct"/>
          </w:tcPr>
          <w:p w14:paraId="4F65E827" w14:textId="77777777" w:rsidR="009F2673" w:rsidRPr="00655F66" w:rsidRDefault="009F2673" w:rsidP="009E5A87">
            <w:pPr>
              <w:rPr>
                <w:i/>
              </w:rPr>
            </w:pPr>
            <w:r w:rsidRPr="00655F66">
              <w:rPr>
                <w:i/>
              </w:rPr>
              <w:t>Date of decision:</w:t>
            </w:r>
          </w:p>
        </w:tc>
        <w:tc>
          <w:tcPr>
            <w:tcW w:w="3423" w:type="pct"/>
          </w:tcPr>
          <w:p w14:paraId="1387F298" w14:textId="6B873C02" w:rsidR="009F2673" w:rsidRPr="00655F66" w:rsidRDefault="00DA75DA" w:rsidP="009E5A87">
            <w:r w:rsidRPr="00655F66">
              <w:t>15 February 2022</w:t>
            </w:r>
          </w:p>
        </w:tc>
      </w:tr>
      <w:tr w:rsidR="009F2673" w:rsidRPr="00655F66" w14:paraId="28FAEEE0" w14:textId="77777777" w:rsidTr="00DA75DA">
        <w:tc>
          <w:tcPr>
            <w:tcW w:w="1577" w:type="pct"/>
          </w:tcPr>
          <w:p w14:paraId="7B6E5F44" w14:textId="77777777" w:rsidR="009F2673" w:rsidRPr="00655F66" w:rsidRDefault="009F2673" w:rsidP="009E5A87">
            <w:pPr>
              <w:rPr>
                <w:i/>
              </w:rPr>
            </w:pPr>
            <w:r w:rsidRPr="00655F66">
              <w:rPr>
                <w:i/>
              </w:rPr>
              <w:t>Date of entry onto ARTG:</w:t>
            </w:r>
          </w:p>
        </w:tc>
        <w:tc>
          <w:tcPr>
            <w:tcW w:w="3423" w:type="pct"/>
          </w:tcPr>
          <w:p w14:paraId="5449A990" w14:textId="21F01F79" w:rsidR="009F2673" w:rsidRPr="00655F66" w:rsidRDefault="00DA75DA" w:rsidP="009E5A87">
            <w:r w:rsidRPr="00655F66">
              <w:t>17 February 2022</w:t>
            </w:r>
          </w:p>
        </w:tc>
      </w:tr>
      <w:tr w:rsidR="009F2673" w:rsidRPr="00655F66" w14:paraId="397ABE63" w14:textId="77777777" w:rsidTr="00DA75DA">
        <w:tc>
          <w:tcPr>
            <w:tcW w:w="1577" w:type="pct"/>
          </w:tcPr>
          <w:p w14:paraId="3DAAE0FD" w14:textId="09576772" w:rsidR="009F2673" w:rsidRPr="00655F66" w:rsidRDefault="009F2673" w:rsidP="009E5A87">
            <w:pPr>
              <w:rPr>
                <w:i/>
              </w:rPr>
            </w:pPr>
            <w:r w:rsidRPr="00655F66">
              <w:rPr>
                <w:i/>
              </w:rPr>
              <w:t>ARTG number:</w:t>
            </w:r>
          </w:p>
        </w:tc>
        <w:tc>
          <w:tcPr>
            <w:tcW w:w="3423" w:type="pct"/>
          </w:tcPr>
          <w:p w14:paraId="5F862D0A" w14:textId="677A233B" w:rsidR="009F2673" w:rsidRPr="00655F66" w:rsidRDefault="00DA75DA" w:rsidP="009E5A87">
            <w:r w:rsidRPr="00655F66">
              <w:t>352631</w:t>
            </w:r>
          </w:p>
        </w:tc>
      </w:tr>
      <w:tr w:rsidR="009F2673" w:rsidRPr="00655F66" w14:paraId="10911EB3" w14:textId="77777777" w:rsidTr="00DA75DA">
        <w:tc>
          <w:tcPr>
            <w:tcW w:w="1577" w:type="pct"/>
          </w:tcPr>
          <w:p w14:paraId="34E6A911" w14:textId="5BA7CC2A" w:rsidR="009F2673" w:rsidRPr="00655F66" w:rsidRDefault="001B1DA4" w:rsidP="009E5A87">
            <w:pPr>
              <w:rPr>
                <w:i/>
              </w:rPr>
            </w:pPr>
            <w:r w:rsidRPr="00655F66">
              <w:rPr>
                <w:rFonts w:ascii="Wingdings 3" w:hAnsi="Wingdings 3"/>
                <w:sz w:val="34"/>
                <w:szCs w:val="34"/>
                <w:lang w:eastAsia="en-AU"/>
              </w:rPr>
              <w:t></w:t>
            </w:r>
            <w:hyperlink r:id="rId17" w:history="1">
              <w:r w:rsidR="009F2673" w:rsidRPr="00655F66">
                <w:rPr>
                  <w:rStyle w:val="Hyperlink"/>
                  <w:i/>
                </w:rPr>
                <w:t>Black Triangle Scheme</w:t>
              </w:r>
            </w:hyperlink>
            <w:r w:rsidR="009F2673" w:rsidRPr="00655F66">
              <w:rPr>
                <w:i/>
              </w:rPr>
              <w:t>:</w:t>
            </w:r>
          </w:p>
        </w:tc>
        <w:tc>
          <w:tcPr>
            <w:tcW w:w="3423" w:type="pct"/>
          </w:tcPr>
          <w:p w14:paraId="2BD3738E" w14:textId="10B18F47" w:rsidR="00DA75DA" w:rsidRPr="00655F66" w:rsidRDefault="009F2673" w:rsidP="009E5A87">
            <w:r w:rsidRPr="00655F66">
              <w:t>Yes</w:t>
            </w:r>
            <w:r w:rsidR="00DA75DA" w:rsidRPr="00655F66">
              <w:t>.</w:t>
            </w:r>
          </w:p>
          <w:p w14:paraId="2DC59926" w14:textId="3D9DDBD8" w:rsidR="009F2673" w:rsidRPr="00655F66" w:rsidRDefault="009F2673" w:rsidP="009E5A87">
            <w:r w:rsidRPr="00655F66">
              <w:t>As a provisionally registered product, this medicine will remain in the Black Triangle Scheme for the duration of its provisional registration</w:t>
            </w:r>
            <w:r w:rsidR="00811CB6" w:rsidRPr="00655F66">
              <w:t>.</w:t>
            </w:r>
          </w:p>
        </w:tc>
      </w:tr>
      <w:tr w:rsidR="009F2673" w:rsidRPr="00655F66" w14:paraId="58C2A18D" w14:textId="77777777" w:rsidTr="00DA75DA">
        <w:tc>
          <w:tcPr>
            <w:tcW w:w="1577" w:type="pct"/>
          </w:tcPr>
          <w:p w14:paraId="2A536EFA" w14:textId="77777777" w:rsidR="009F2673" w:rsidRPr="00655F66" w:rsidRDefault="009F2673" w:rsidP="009E5A87">
            <w:pPr>
              <w:rPr>
                <w:i/>
              </w:rPr>
            </w:pPr>
            <w:r w:rsidRPr="00655F66">
              <w:rPr>
                <w:i/>
              </w:rPr>
              <w:t>Sponsor’s name and address:</w:t>
            </w:r>
          </w:p>
        </w:tc>
        <w:tc>
          <w:tcPr>
            <w:tcW w:w="3423" w:type="pct"/>
          </w:tcPr>
          <w:p w14:paraId="49FEA9BF" w14:textId="77777777" w:rsidR="009F2673" w:rsidRPr="00655F66" w:rsidRDefault="00DA75DA" w:rsidP="009E5A87">
            <w:pPr>
              <w:rPr>
                <w:lang w:val="es-ES"/>
              </w:rPr>
            </w:pPr>
            <w:r w:rsidRPr="00655F66">
              <w:rPr>
                <w:lang w:val="es-ES"/>
              </w:rPr>
              <w:t xml:space="preserve">GlaxoSmithKline Australia </w:t>
            </w:r>
            <w:proofErr w:type="spellStart"/>
            <w:r w:rsidRPr="00655F66">
              <w:rPr>
                <w:lang w:val="es-ES"/>
              </w:rPr>
              <w:t>Pty</w:t>
            </w:r>
            <w:proofErr w:type="spellEnd"/>
            <w:r w:rsidRPr="00655F66">
              <w:rPr>
                <w:lang w:val="es-ES"/>
              </w:rPr>
              <w:t xml:space="preserve"> </w:t>
            </w:r>
            <w:proofErr w:type="spellStart"/>
            <w:r w:rsidRPr="00655F66">
              <w:rPr>
                <w:lang w:val="es-ES"/>
              </w:rPr>
              <w:t>Ltd</w:t>
            </w:r>
            <w:proofErr w:type="spellEnd"/>
          </w:p>
          <w:p w14:paraId="49C2D47C" w14:textId="77777777" w:rsidR="00DA75DA" w:rsidRPr="00655F66" w:rsidRDefault="00DA75DA" w:rsidP="00DA75DA">
            <w:pPr>
              <w:rPr>
                <w:lang w:val="es-ES"/>
              </w:rPr>
            </w:pPr>
            <w:proofErr w:type="spellStart"/>
            <w:r w:rsidRPr="00655F66">
              <w:rPr>
                <w:lang w:val="es-ES"/>
              </w:rPr>
              <w:t>Level</w:t>
            </w:r>
            <w:proofErr w:type="spellEnd"/>
            <w:r w:rsidRPr="00655F66">
              <w:rPr>
                <w:lang w:val="es-ES"/>
              </w:rPr>
              <w:t xml:space="preserve"> 4, 436 Johnston Street,</w:t>
            </w:r>
          </w:p>
          <w:p w14:paraId="5DD53E44" w14:textId="43744EDD" w:rsidR="00DA75DA" w:rsidRPr="00655F66" w:rsidRDefault="00DA75DA" w:rsidP="00DA75DA">
            <w:proofErr w:type="spellStart"/>
            <w:r w:rsidRPr="00655F66">
              <w:rPr>
                <w:lang w:val="es-ES"/>
              </w:rPr>
              <w:t>Abbotsford</w:t>
            </w:r>
            <w:proofErr w:type="spellEnd"/>
            <w:r w:rsidRPr="00655F66">
              <w:rPr>
                <w:lang w:val="es-ES"/>
              </w:rPr>
              <w:t xml:space="preserve"> VIC 3067</w:t>
            </w:r>
          </w:p>
        </w:tc>
      </w:tr>
      <w:tr w:rsidR="00DA75DA" w:rsidRPr="00655F66" w14:paraId="2622C458" w14:textId="77777777" w:rsidTr="00DA75DA">
        <w:tc>
          <w:tcPr>
            <w:tcW w:w="1577" w:type="pct"/>
          </w:tcPr>
          <w:p w14:paraId="3DBC78D0" w14:textId="3AD8D630" w:rsidR="00DA75DA" w:rsidRPr="00655F66" w:rsidRDefault="00DA75DA" w:rsidP="00DA75DA">
            <w:pPr>
              <w:rPr>
                <w:i/>
              </w:rPr>
            </w:pPr>
            <w:r w:rsidRPr="00655F66">
              <w:rPr>
                <w:i/>
              </w:rPr>
              <w:t>Dose form:</w:t>
            </w:r>
          </w:p>
        </w:tc>
        <w:tc>
          <w:tcPr>
            <w:tcW w:w="3423" w:type="pct"/>
          </w:tcPr>
          <w:p w14:paraId="02738E32" w14:textId="3CE26271" w:rsidR="00DA75DA" w:rsidRPr="00655F66" w:rsidRDefault="00DA75DA" w:rsidP="00DA75DA">
            <w:r w:rsidRPr="00655F66">
              <w:t>Solution for infusion (concentrate)</w:t>
            </w:r>
          </w:p>
        </w:tc>
      </w:tr>
      <w:tr w:rsidR="00DA75DA" w:rsidRPr="00655F66" w14:paraId="6F53F12D" w14:textId="77777777" w:rsidTr="00DA75DA">
        <w:tc>
          <w:tcPr>
            <w:tcW w:w="1577" w:type="pct"/>
          </w:tcPr>
          <w:p w14:paraId="1ED335F2" w14:textId="6598B90A" w:rsidR="00DA75DA" w:rsidRPr="00655F66" w:rsidRDefault="00DA75DA" w:rsidP="00DA75DA">
            <w:pPr>
              <w:rPr>
                <w:i/>
              </w:rPr>
            </w:pPr>
            <w:r w:rsidRPr="00655F66">
              <w:rPr>
                <w:i/>
              </w:rPr>
              <w:t>Strength:</w:t>
            </w:r>
          </w:p>
        </w:tc>
        <w:tc>
          <w:tcPr>
            <w:tcW w:w="3423" w:type="pct"/>
          </w:tcPr>
          <w:p w14:paraId="27C94474" w14:textId="21C6750D" w:rsidR="00DA75DA" w:rsidRPr="00655F66" w:rsidRDefault="00DA75DA" w:rsidP="00DA75DA">
            <w:r w:rsidRPr="00655F66">
              <w:t>500 mg/10 mL</w:t>
            </w:r>
          </w:p>
        </w:tc>
      </w:tr>
      <w:tr w:rsidR="00DA75DA" w:rsidRPr="00655F66" w14:paraId="5AF8C67D" w14:textId="77777777" w:rsidTr="00DA75DA">
        <w:tc>
          <w:tcPr>
            <w:tcW w:w="1577" w:type="pct"/>
          </w:tcPr>
          <w:p w14:paraId="02583FCA" w14:textId="06F5364E" w:rsidR="00DA75DA" w:rsidRPr="00655F66" w:rsidRDefault="00DA75DA" w:rsidP="00DA75DA">
            <w:pPr>
              <w:rPr>
                <w:i/>
              </w:rPr>
            </w:pPr>
            <w:r w:rsidRPr="00655F66">
              <w:rPr>
                <w:i/>
              </w:rPr>
              <w:t>Container:</w:t>
            </w:r>
          </w:p>
        </w:tc>
        <w:tc>
          <w:tcPr>
            <w:tcW w:w="3423" w:type="pct"/>
          </w:tcPr>
          <w:p w14:paraId="0E93E65A" w14:textId="5C8989F0" w:rsidR="00DA75DA" w:rsidRPr="00655F66" w:rsidRDefault="00DA75DA" w:rsidP="00DA75DA">
            <w:r w:rsidRPr="00655F66">
              <w:t>Vial</w:t>
            </w:r>
          </w:p>
        </w:tc>
      </w:tr>
      <w:tr w:rsidR="00DA75DA" w:rsidRPr="00655F66" w14:paraId="6C671566" w14:textId="77777777" w:rsidTr="00DA75DA">
        <w:tc>
          <w:tcPr>
            <w:tcW w:w="1577" w:type="pct"/>
          </w:tcPr>
          <w:p w14:paraId="14E3984F" w14:textId="0F5BC906" w:rsidR="00DA75DA" w:rsidRPr="00655F66" w:rsidRDefault="00DA75DA" w:rsidP="00DA75DA">
            <w:pPr>
              <w:rPr>
                <w:i/>
              </w:rPr>
            </w:pPr>
            <w:r w:rsidRPr="00655F66">
              <w:rPr>
                <w:i/>
              </w:rPr>
              <w:t>Pack size:</w:t>
            </w:r>
          </w:p>
        </w:tc>
        <w:tc>
          <w:tcPr>
            <w:tcW w:w="3423" w:type="pct"/>
          </w:tcPr>
          <w:p w14:paraId="7A56BB94" w14:textId="4C3B47EC" w:rsidR="00DA75DA" w:rsidRPr="00655F66" w:rsidRDefault="00DA75DA" w:rsidP="00DA75DA">
            <w:r w:rsidRPr="00655F66">
              <w:t>One</w:t>
            </w:r>
          </w:p>
        </w:tc>
      </w:tr>
      <w:tr w:rsidR="00DA75DA" w:rsidRPr="00655F66" w14:paraId="12AE9B9F" w14:textId="77777777" w:rsidTr="00DA75DA">
        <w:tc>
          <w:tcPr>
            <w:tcW w:w="1577" w:type="pct"/>
          </w:tcPr>
          <w:p w14:paraId="49ACD4FA" w14:textId="77777777" w:rsidR="00DA75DA" w:rsidRPr="00655F66" w:rsidRDefault="00DA75DA" w:rsidP="00DA75DA">
            <w:pPr>
              <w:rPr>
                <w:i/>
              </w:rPr>
            </w:pPr>
            <w:r w:rsidRPr="00655F66">
              <w:rPr>
                <w:i/>
              </w:rPr>
              <w:t>Approved therapeutic use:</w:t>
            </w:r>
          </w:p>
        </w:tc>
        <w:tc>
          <w:tcPr>
            <w:tcW w:w="3423" w:type="pct"/>
          </w:tcPr>
          <w:p w14:paraId="33D387E3" w14:textId="77777777" w:rsidR="00DA75DA" w:rsidRPr="00655F66" w:rsidRDefault="00DA75DA" w:rsidP="00DA75DA">
            <w:pPr>
              <w:rPr>
                <w:i/>
                <w:iCs/>
              </w:rPr>
            </w:pPr>
            <w:r w:rsidRPr="00655F66">
              <w:rPr>
                <w:i/>
                <w:iCs/>
              </w:rPr>
              <w:t>Jemperli is indicated as monotherapy for the treatment of adult patients with recurrent or advanced mismatch repair deficient (</w:t>
            </w:r>
            <w:proofErr w:type="spellStart"/>
            <w:r w:rsidRPr="00655F66">
              <w:rPr>
                <w:i/>
                <w:iCs/>
              </w:rPr>
              <w:t>dMMR</w:t>
            </w:r>
            <w:proofErr w:type="spellEnd"/>
            <w:r w:rsidRPr="00655F66">
              <w:rPr>
                <w:i/>
                <w:iCs/>
              </w:rPr>
              <w:t>) endometrial cancer (EC) that has progressed on or following prior treatment with a platinum-containing regimen.</w:t>
            </w:r>
          </w:p>
          <w:p w14:paraId="06735C75" w14:textId="19D398EE" w:rsidR="00DA75DA" w:rsidRPr="00655F66" w:rsidRDefault="00DA75DA" w:rsidP="00DA75DA">
            <w:pPr>
              <w:rPr>
                <w:i/>
                <w:iCs/>
              </w:rPr>
            </w:pPr>
            <w:r w:rsidRPr="00655F66">
              <w:rPr>
                <w:i/>
                <w:iCs/>
              </w:rPr>
              <w:t>This medicine and indication have provisional approval, based on objective response rate and duration of response in a single-arm trial. Full registration for this indication depends on verification and description of clinical benefit in confirmatory trials.</w:t>
            </w:r>
          </w:p>
        </w:tc>
      </w:tr>
      <w:tr w:rsidR="00DA75DA" w:rsidRPr="00655F66" w14:paraId="3E83EA0C" w14:textId="77777777" w:rsidTr="00DA75DA">
        <w:tc>
          <w:tcPr>
            <w:tcW w:w="1577" w:type="pct"/>
          </w:tcPr>
          <w:p w14:paraId="4F94CF32" w14:textId="73466C47" w:rsidR="00DA75DA" w:rsidRPr="00655F66" w:rsidRDefault="00DA75DA" w:rsidP="00DA75DA">
            <w:pPr>
              <w:rPr>
                <w:i/>
              </w:rPr>
            </w:pPr>
            <w:r w:rsidRPr="00655F66">
              <w:rPr>
                <w:i/>
              </w:rPr>
              <w:t>Route of administration:</w:t>
            </w:r>
          </w:p>
        </w:tc>
        <w:tc>
          <w:tcPr>
            <w:tcW w:w="3423" w:type="pct"/>
          </w:tcPr>
          <w:p w14:paraId="1ADD7FFE" w14:textId="61B52B08" w:rsidR="00DA75DA" w:rsidRPr="00655F66" w:rsidRDefault="00DA75DA" w:rsidP="00DA75DA">
            <w:r w:rsidRPr="00655F66">
              <w:t>Intravenous</w:t>
            </w:r>
          </w:p>
        </w:tc>
      </w:tr>
      <w:tr w:rsidR="00DA75DA" w:rsidRPr="00655F66" w14:paraId="177FF5B0" w14:textId="77777777" w:rsidTr="00DA75DA">
        <w:tc>
          <w:tcPr>
            <w:tcW w:w="1577" w:type="pct"/>
          </w:tcPr>
          <w:p w14:paraId="65B69FBB" w14:textId="77777777" w:rsidR="00DA75DA" w:rsidRPr="00655F66" w:rsidRDefault="00DA75DA" w:rsidP="00DA75DA">
            <w:pPr>
              <w:rPr>
                <w:i/>
              </w:rPr>
            </w:pPr>
            <w:r w:rsidRPr="00655F66">
              <w:rPr>
                <w:i/>
              </w:rPr>
              <w:t>Dosage:</w:t>
            </w:r>
          </w:p>
        </w:tc>
        <w:tc>
          <w:tcPr>
            <w:tcW w:w="3423" w:type="pct"/>
          </w:tcPr>
          <w:p w14:paraId="09329961" w14:textId="57CFC07C" w:rsidR="00565895" w:rsidRDefault="00903A01" w:rsidP="00DA75DA">
            <w:r>
              <w:t xml:space="preserve">Jemperli is administered as </w:t>
            </w:r>
            <w:r w:rsidR="00565895">
              <w:t xml:space="preserve">monotherapy via intravenous </w:t>
            </w:r>
            <w:r w:rsidR="00D415C9">
              <w:t>infusion and</w:t>
            </w:r>
            <w:r w:rsidR="00565895">
              <w:t xml:space="preserve"> is to be given as cycles.</w:t>
            </w:r>
          </w:p>
          <w:p w14:paraId="19354AE2" w14:textId="38CAE3B6" w:rsidR="00DA75DA" w:rsidRDefault="00565895" w:rsidP="00DA75DA">
            <w:r>
              <w:t xml:space="preserve">The recommended dose and schedule </w:t>
            </w:r>
            <w:r w:rsidR="00D415C9">
              <w:t>are</w:t>
            </w:r>
            <w:r>
              <w:t xml:space="preserve"> 500</w:t>
            </w:r>
            <w:r w:rsidR="00A95652">
              <w:t> </w:t>
            </w:r>
            <w:r>
              <w:t xml:space="preserve">mg dostarlimab </w:t>
            </w:r>
            <w:r w:rsidR="00A95652">
              <w:t xml:space="preserve">administered over 30 minutes and </w:t>
            </w:r>
            <w:r>
              <w:t xml:space="preserve">given once </w:t>
            </w:r>
            <w:r>
              <w:lastRenderedPageBreak/>
              <w:t xml:space="preserve">every 3 weeks, for </w:t>
            </w:r>
            <w:r w:rsidR="005E5D2D">
              <w:t xml:space="preserve">the first </w:t>
            </w:r>
            <w:r>
              <w:t>4 cycles.</w:t>
            </w:r>
            <w:r w:rsidR="00B45FE8">
              <w:t xml:space="preserve"> For Cycle 5 onwards, the recommended dose and schedule is 1000 mg give</w:t>
            </w:r>
            <w:r w:rsidR="003C7794">
              <w:t>n</w:t>
            </w:r>
            <w:r w:rsidR="00B45FE8">
              <w:t xml:space="preserve"> every 6 weeks.</w:t>
            </w:r>
            <w:r w:rsidR="00D415C9">
              <w:t xml:space="preserve"> </w:t>
            </w:r>
            <w:r w:rsidR="00B45FE8">
              <w:t>See the following for further details.</w:t>
            </w:r>
          </w:p>
          <w:tbl>
            <w:tblPr>
              <w:tblStyle w:val="TableGrid"/>
              <w:tblW w:w="0" w:type="auto"/>
              <w:tblLook w:val="04A0" w:firstRow="1" w:lastRow="0" w:firstColumn="1" w:lastColumn="0" w:noHBand="0" w:noVBand="1"/>
            </w:tblPr>
            <w:tblGrid>
              <w:gridCol w:w="985"/>
              <w:gridCol w:w="1080"/>
              <w:gridCol w:w="3531"/>
            </w:tblGrid>
            <w:tr w:rsidR="00565895" w14:paraId="12EB4A88" w14:textId="77777777" w:rsidTr="00411D91">
              <w:tc>
                <w:tcPr>
                  <w:tcW w:w="985" w:type="dxa"/>
                  <w:tcBorders>
                    <w:left w:val="nil"/>
                  </w:tcBorders>
                </w:tcPr>
                <w:p w14:paraId="49095426" w14:textId="02305E9B" w:rsidR="00565895" w:rsidRPr="00411D91" w:rsidRDefault="000123F5" w:rsidP="00411D91">
                  <w:pPr>
                    <w:jc w:val="center"/>
                    <w:rPr>
                      <w:i/>
                      <w:sz w:val="18"/>
                    </w:rPr>
                  </w:pPr>
                  <w:r w:rsidRPr="00411D91">
                    <w:rPr>
                      <w:i/>
                      <w:sz w:val="18"/>
                    </w:rPr>
                    <w:t>Cycle</w:t>
                  </w:r>
                </w:p>
              </w:tc>
              <w:tc>
                <w:tcPr>
                  <w:tcW w:w="1080" w:type="dxa"/>
                </w:tcPr>
                <w:p w14:paraId="05EE05FB" w14:textId="5AC3437F" w:rsidR="00565895" w:rsidRPr="00411D91" w:rsidRDefault="000123F5" w:rsidP="00411D91">
                  <w:pPr>
                    <w:jc w:val="center"/>
                    <w:rPr>
                      <w:i/>
                      <w:sz w:val="18"/>
                    </w:rPr>
                  </w:pPr>
                  <w:r w:rsidRPr="00411D91">
                    <w:rPr>
                      <w:i/>
                      <w:sz w:val="18"/>
                    </w:rPr>
                    <w:t>Week</w:t>
                  </w:r>
                </w:p>
              </w:tc>
              <w:tc>
                <w:tcPr>
                  <w:tcW w:w="3531" w:type="dxa"/>
                  <w:tcBorders>
                    <w:right w:val="nil"/>
                  </w:tcBorders>
                </w:tcPr>
                <w:p w14:paraId="17682F4D" w14:textId="398F824C" w:rsidR="00565895" w:rsidRPr="00411D91" w:rsidRDefault="00B45FE8" w:rsidP="00411D91">
                  <w:pPr>
                    <w:jc w:val="center"/>
                    <w:rPr>
                      <w:i/>
                      <w:sz w:val="18"/>
                    </w:rPr>
                  </w:pPr>
                  <w:r w:rsidRPr="00411D91">
                    <w:rPr>
                      <w:i/>
                      <w:sz w:val="18"/>
                    </w:rPr>
                    <w:t>Dosage</w:t>
                  </w:r>
                </w:p>
              </w:tc>
            </w:tr>
            <w:tr w:rsidR="000123F5" w14:paraId="440CCB6F" w14:textId="77777777" w:rsidTr="00411D91">
              <w:tc>
                <w:tcPr>
                  <w:tcW w:w="985" w:type="dxa"/>
                  <w:tcBorders>
                    <w:left w:val="nil"/>
                  </w:tcBorders>
                </w:tcPr>
                <w:p w14:paraId="679707AA" w14:textId="1F32E65D" w:rsidR="000123F5" w:rsidRPr="00411D91" w:rsidRDefault="000123F5" w:rsidP="00411D91">
                  <w:pPr>
                    <w:jc w:val="center"/>
                    <w:rPr>
                      <w:sz w:val="18"/>
                    </w:rPr>
                  </w:pPr>
                  <w:r w:rsidRPr="00411D91">
                    <w:rPr>
                      <w:sz w:val="18"/>
                    </w:rPr>
                    <w:t>1</w:t>
                  </w:r>
                </w:p>
              </w:tc>
              <w:tc>
                <w:tcPr>
                  <w:tcW w:w="1080" w:type="dxa"/>
                </w:tcPr>
                <w:p w14:paraId="280DF0CE" w14:textId="6BC7CE56" w:rsidR="000123F5" w:rsidRPr="00411D91" w:rsidRDefault="000123F5" w:rsidP="00411D91">
                  <w:pPr>
                    <w:jc w:val="center"/>
                    <w:rPr>
                      <w:sz w:val="18"/>
                    </w:rPr>
                  </w:pPr>
                  <w:r w:rsidRPr="00411D91">
                    <w:rPr>
                      <w:sz w:val="18"/>
                    </w:rPr>
                    <w:t>1</w:t>
                  </w:r>
                </w:p>
              </w:tc>
              <w:tc>
                <w:tcPr>
                  <w:tcW w:w="3531" w:type="dxa"/>
                  <w:vMerge w:val="restart"/>
                  <w:tcBorders>
                    <w:right w:val="nil"/>
                  </w:tcBorders>
                </w:tcPr>
                <w:p w14:paraId="3F5CB73C" w14:textId="526FF9C0" w:rsidR="000123F5" w:rsidRPr="00411D91" w:rsidRDefault="000123F5" w:rsidP="00411D91">
                  <w:pPr>
                    <w:jc w:val="center"/>
                    <w:rPr>
                      <w:b/>
                      <w:sz w:val="18"/>
                    </w:rPr>
                  </w:pPr>
                  <w:r w:rsidRPr="00411D91">
                    <w:rPr>
                      <w:b/>
                      <w:sz w:val="18"/>
                    </w:rPr>
                    <w:t>500 mg once every 3 weeks</w:t>
                  </w:r>
                </w:p>
                <w:p w14:paraId="39DBE5D4" w14:textId="37F88635" w:rsidR="000123F5" w:rsidRPr="00411D91" w:rsidRDefault="000123F5" w:rsidP="00411D91">
                  <w:pPr>
                    <w:jc w:val="center"/>
                    <w:rPr>
                      <w:sz w:val="18"/>
                    </w:rPr>
                  </w:pPr>
                  <w:r w:rsidRPr="00411D91">
                    <w:rPr>
                      <w:sz w:val="18"/>
                    </w:rPr>
                    <w:t>(Each cycle = 3 weeks duration, from Cycle</w:t>
                  </w:r>
                  <w:r w:rsidR="00A95652">
                    <w:rPr>
                      <w:sz w:val="18"/>
                    </w:rPr>
                    <w:t> </w:t>
                  </w:r>
                  <w:r w:rsidRPr="00411D91">
                    <w:rPr>
                      <w:sz w:val="18"/>
                    </w:rPr>
                    <w:t>1 to 4)</w:t>
                  </w:r>
                </w:p>
              </w:tc>
            </w:tr>
            <w:tr w:rsidR="000123F5" w14:paraId="40397AB8" w14:textId="77777777" w:rsidTr="00411D91">
              <w:tc>
                <w:tcPr>
                  <w:tcW w:w="985" w:type="dxa"/>
                  <w:tcBorders>
                    <w:left w:val="nil"/>
                  </w:tcBorders>
                </w:tcPr>
                <w:p w14:paraId="39E53DDD" w14:textId="138789F3" w:rsidR="000123F5" w:rsidRPr="00411D91" w:rsidRDefault="000123F5" w:rsidP="00411D91">
                  <w:pPr>
                    <w:jc w:val="center"/>
                    <w:rPr>
                      <w:sz w:val="18"/>
                    </w:rPr>
                  </w:pPr>
                  <w:r w:rsidRPr="00411D91">
                    <w:rPr>
                      <w:sz w:val="18"/>
                    </w:rPr>
                    <w:t>2</w:t>
                  </w:r>
                </w:p>
              </w:tc>
              <w:tc>
                <w:tcPr>
                  <w:tcW w:w="1080" w:type="dxa"/>
                </w:tcPr>
                <w:p w14:paraId="2A830747" w14:textId="0467B488" w:rsidR="000123F5" w:rsidRPr="00411D91" w:rsidRDefault="000123F5" w:rsidP="00411D91">
                  <w:pPr>
                    <w:jc w:val="center"/>
                    <w:rPr>
                      <w:sz w:val="18"/>
                    </w:rPr>
                  </w:pPr>
                  <w:r w:rsidRPr="00411D91">
                    <w:rPr>
                      <w:sz w:val="18"/>
                    </w:rPr>
                    <w:t>4</w:t>
                  </w:r>
                </w:p>
              </w:tc>
              <w:tc>
                <w:tcPr>
                  <w:tcW w:w="3531" w:type="dxa"/>
                  <w:vMerge/>
                  <w:tcBorders>
                    <w:right w:val="nil"/>
                  </w:tcBorders>
                </w:tcPr>
                <w:p w14:paraId="7FBAE6E9" w14:textId="77777777" w:rsidR="000123F5" w:rsidRPr="00411D91" w:rsidRDefault="000123F5" w:rsidP="00411D91">
                  <w:pPr>
                    <w:jc w:val="center"/>
                    <w:rPr>
                      <w:sz w:val="18"/>
                    </w:rPr>
                  </w:pPr>
                </w:p>
              </w:tc>
            </w:tr>
            <w:tr w:rsidR="000123F5" w14:paraId="343A0ED3" w14:textId="77777777" w:rsidTr="00411D91">
              <w:tc>
                <w:tcPr>
                  <w:tcW w:w="985" w:type="dxa"/>
                  <w:tcBorders>
                    <w:left w:val="nil"/>
                  </w:tcBorders>
                </w:tcPr>
                <w:p w14:paraId="7825CB45" w14:textId="63FBC484" w:rsidR="000123F5" w:rsidRPr="00411D91" w:rsidRDefault="000123F5" w:rsidP="00411D91">
                  <w:pPr>
                    <w:jc w:val="center"/>
                    <w:rPr>
                      <w:sz w:val="18"/>
                    </w:rPr>
                  </w:pPr>
                  <w:r w:rsidRPr="00411D91">
                    <w:rPr>
                      <w:sz w:val="18"/>
                    </w:rPr>
                    <w:t>3</w:t>
                  </w:r>
                </w:p>
              </w:tc>
              <w:tc>
                <w:tcPr>
                  <w:tcW w:w="1080" w:type="dxa"/>
                </w:tcPr>
                <w:p w14:paraId="5CF3FB85" w14:textId="2F416EF3" w:rsidR="000123F5" w:rsidRPr="00411D91" w:rsidRDefault="000123F5" w:rsidP="00411D91">
                  <w:pPr>
                    <w:jc w:val="center"/>
                    <w:rPr>
                      <w:sz w:val="18"/>
                    </w:rPr>
                  </w:pPr>
                  <w:r w:rsidRPr="00411D91">
                    <w:rPr>
                      <w:sz w:val="18"/>
                    </w:rPr>
                    <w:t>7</w:t>
                  </w:r>
                </w:p>
              </w:tc>
              <w:tc>
                <w:tcPr>
                  <w:tcW w:w="3531" w:type="dxa"/>
                  <w:vMerge/>
                  <w:tcBorders>
                    <w:right w:val="nil"/>
                  </w:tcBorders>
                </w:tcPr>
                <w:p w14:paraId="1704F50F" w14:textId="77777777" w:rsidR="000123F5" w:rsidRPr="00411D91" w:rsidRDefault="000123F5" w:rsidP="00411D91">
                  <w:pPr>
                    <w:jc w:val="center"/>
                    <w:rPr>
                      <w:sz w:val="18"/>
                    </w:rPr>
                  </w:pPr>
                </w:p>
              </w:tc>
            </w:tr>
            <w:tr w:rsidR="000123F5" w14:paraId="0C76D3A9" w14:textId="77777777" w:rsidTr="00411D91">
              <w:tc>
                <w:tcPr>
                  <w:tcW w:w="985" w:type="dxa"/>
                  <w:tcBorders>
                    <w:left w:val="nil"/>
                  </w:tcBorders>
                </w:tcPr>
                <w:p w14:paraId="32578E58" w14:textId="2CB21109" w:rsidR="000123F5" w:rsidRPr="00411D91" w:rsidRDefault="000123F5" w:rsidP="00411D91">
                  <w:pPr>
                    <w:jc w:val="center"/>
                    <w:rPr>
                      <w:sz w:val="18"/>
                    </w:rPr>
                  </w:pPr>
                  <w:r w:rsidRPr="00411D91">
                    <w:rPr>
                      <w:sz w:val="18"/>
                    </w:rPr>
                    <w:t>4</w:t>
                  </w:r>
                </w:p>
              </w:tc>
              <w:tc>
                <w:tcPr>
                  <w:tcW w:w="1080" w:type="dxa"/>
                </w:tcPr>
                <w:p w14:paraId="63FC89B4" w14:textId="3E83A862" w:rsidR="000123F5" w:rsidRPr="00411D91" w:rsidRDefault="000123F5" w:rsidP="00411D91">
                  <w:pPr>
                    <w:jc w:val="center"/>
                    <w:rPr>
                      <w:sz w:val="18"/>
                    </w:rPr>
                  </w:pPr>
                  <w:r w:rsidRPr="00411D91">
                    <w:rPr>
                      <w:sz w:val="18"/>
                    </w:rPr>
                    <w:t>10</w:t>
                  </w:r>
                </w:p>
              </w:tc>
              <w:tc>
                <w:tcPr>
                  <w:tcW w:w="3531" w:type="dxa"/>
                  <w:vMerge/>
                  <w:tcBorders>
                    <w:right w:val="nil"/>
                  </w:tcBorders>
                </w:tcPr>
                <w:p w14:paraId="6A3BA005" w14:textId="77777777" w:rsidR="000123F5" w:rsidRPr="00411D91" w:rsidRDefault="000123F5" w:rsidP="00411D91">
                  <w:pPr>
                    <w:jc w:val="center"/>
                    <w:rPr>
                      <w:sz w:val="18"/>
                    </w:rPr>
                  </w:pPr>
                </w:p>
              </w:tc>
            </w:tr>
            <w:tr w:rsidR="000123F5" w14:paraId="5AAEC2ED" w14:textId="77777777" w:rsidTr="00A95652">
              <w:tc>
                <w:tcPr>
                  <w:tcW w:w="985" w:type="dxa"/>
                  <w:tcBorders>
                    <w:left w:val="nil"/>
                  </w:tcBorders>
                </w:tcPr>
                <w:p w14:paraId="1269E613" w14:textId="4425F76F" w:rsidR="000123F5" w:rsidRPr="00A95652" w:rsidRDefault="000123F5" w:rsidP="00A95652">
                  <w:pPr>
                    <w:jc w:val="center"/>
                    <w:rPr>
                      <w:sz w:val="18"/>
                      <w:vertAlign w:val="superscript"/>
                    </w:rPr>
                  </w:pPr>
                  <w:r w:rsidRPr="00A95652">
                    <w:rPr>
                      <w:sz w:val="18"/>
                    </w:rPr>
                    <w:t>5</w:t>
                  </w:r>
                  <w:r w:rsidR="00B45FE8" w:rsidRPr="00A95652">
                    <w:rPr>
                      <w:sz w:val="18"/>
                      <w:vertAlign w:val="superscript"/>
                    </w:rPr>
                    <w:t>*</w:t>
                  </w:r>
                </w:p>
              </w:tc>
              <w:tc>
                <w:tcPr>
                  <w:tcW w:w="1080" w:type="dxa"/>
                </w:tcPr>
                <w:p w14:paraId="03AC1F41" w14:textId="2B04A983" w:rsidR="000123F5" w:rsidRPr="00A95652" w:rsidRDefault="000123F5" w:rsidP="00A95652">
                  <w:pPr>
                    <w:jc w:val="center"/>
                    <w:rPr>
                      <w:sz w:val="18"/>
                      <w:vertAlign w:val="superscript"/>
                    </w:rPr>
                  </w:pPr>
                  <w:r w:rsidRPr="00A95652">
                    <w:rPr>
                      <w:sz w:val="18"/>
                    </w:rPr>
                    <w:t>13</w:t>
                  </w:r>
                  <w:r w:rsidR="00B45FE8" w:rsidRPr="00A95652">
                    <w:rPr>
                      <w:sz w:val="18"/>
                      <w:vertAlign w:val="superscript"/>
                    </w:rPr>
                    <w:t>*</w:t>
                  </w:r>
                </w:p>
              </w:tc>
              <w:tc>
                <w:tcPr>
                  <w:tcW w:w="3531" w:type="dxa"/>
                  <w:vMerge w:val="restart"/>
                  <w:tcBorders>
                    <w:right w:val="nil"/>
                  </w:tcBorders>
                </w:tcPr>
                <w:p w14:paraId="3F198B05" w14:textId="77777777" w:rsidR="000123F5" w:rsidRPr="00A95652" w:rsidRDefault="000123F5" w:rsidP="00A95652">
                  <w:pPr>
                    <w:jc w:val="center"/>
                    <w:rPr>
                      <w:b/>
                      <w:sz w:val="18"/>
                    </w:rPr>
                  </w:pPr>
                  <w:r w:rsidRPr="00A95652">
                    <w:rPr>
                      <w:b/>
                      <w:sz w:val="18"/>
                    </w:rPr>
                    <w:t>1,000 mg once every 6 weeks</w:t>
                  </w:r>
                </w:p>
                <w:p w14:paraId="2E9679CB" w14:textId="0922E356" w:rsidR="000123F5" w:rsidRPr="00A95652" w:rsidRDefault="000123F5" w:rsidP="00A95652">
                  <w:pPr>
                    <w:jc w:val="center"/>
                    <w:rPr>
                      <w:sz w:val="18"/>
                    </w:rPr>
                  </w:pPr>
                  <w:r w:rsidRPr="00A95652">
                    <w:rPr>
                      <w:sz w:val="18"/>
                    </w:rPr>
                    <w:t>(Each cycle = 6 weeks duration, from Cycle 5 onwards)</w:t>
                  </w:r>
                </w:p>
                <w:p w14:paraId="7D37A480" w14:textId="2CC48BE1" w:rsidR="000123F5" w:rsidRPr="00A95652" w:rsidRDefault="000123F5" w:rsidP="00A95652">
                  <w:pPr>
                    <w:jc w:val="center"/>
                    <w:rPr>
                      <w:sz w:val="18"/>
                    </w:rPr>
                  </w:pPr>
                </w:p>
              </w:tc>
            </w:tr>
            <w:tr w:rsidR="000123F5" w14:paraId="63C571AA" w14:textId="77777777" w:rsidTr="00A95652">
              <w:tc>
                <w:tcPr>
                  <w:tcW w:w="985" w:type="dxa"/>
                  <w:tcBorders>
                    <w:left w:val="nil"/>
                  </w:tcBorders>
                </w:tcPr>
                <w:p w14:paraId="028E987D" w14:textId="51CDEDD1" w:rsidR="000123F5" w:rsidRPr="00A95652" w:rsidRDefault="000123F5" w:rsidP="00A95652">
                  <w:pPr>
                    <w:jc w:val="center"/>
                    <w:rPr>
                      <w:sz w:val="18"/>
                    </w:rPr>
                  </w:pPr>
                  <w:r w:rsidRPr="00A95652">
                    <w:rPr>
                      <w:sz w:val="18"/>
                    </w:rPr>
                    <w:t>6</w:t>
                  </w:r>
                </w:p>
              </w:tc>
              <w:tc>
                <w:tcPr>
                  <w:tcW w:w="1080" w:type="dxa"/>
                </w:tcPr>
                <w:p w14:paraId="337CA264" w14:textId="06E932FA" w:rsidR="000123F5" w:rsidRPr="00A95652" w:rsidRDefault="000123F5" w:rsidP="00A95652">
                  <w:pPr>
                    <w:jc w:val="center"/>
                    <w:rPr>
                      <w:sz w:val="18"/>
                    </w:rPr>
                  </w:pPr>
                  <w:r w:rsidRPr="00A95652">
                    <w:rPr>
                      <w:sz w:val="18"/>
                    </w:rPr>
                    <w:t>19</w:t>
                  </w:r>
                </w:p>
              </w:tc>
              <w:tc>
                <w:tcPr>
                  <w:tcW w:w="3531" w:type="dxa"/>
                  <w:vMerge/>
                  <w:tcBorders>
                    <w:right w:val="nil"/>
                  </w:tcBorders>
                </w:tcPr>
                <w:p w14:paraId="4F6EABE6" w14:textId="77777777" w:rsidR="000123F5" w:rsidRPr="00A95652" w:rsidRDefault="000123F5" w:rsidP="00A95652">
                  <w:pPr>
                    <w:jc w:val="center"/>
                    <w:rPr>
                      <w:sz w:val="18"/>
                    </w:rPr>
                  </w:pPr>
                </w:p>
              </w:tc>
            </w:tr>
            <w:tr w:rsidR="000123F5" w14:paraId="3BC06FB1" w14:textId="77777777" w:rsidTr="00A95652">
              <w:tc>
                <w:tcPr>
                  <w:tcW w:w="985" w:type="dxa"/>
                  <w:tcBorders>
                    <w:left w:val="nil"/>
                  </w:tcBorders>
                </w:tcPr>
                <w:p w14:paraId="151E3538" w14:textId="681A7567" w:rsidR="000123F5" w:rsidRPr="00A95652" w:rsidRDefault="000123F5" w:rsidP="00A95652">
                  <w:pPr>
                    <w:jc w:val="center"/>
                    <w:rPr>
                      <w:sz w:val="18"/>
                    </w:rPr>
                  </w:pPr>
                  <w:r w:rsidRPr="00A95652">
                    <w:rPr>
                      <w:sz w:val="18"/>
                    </w:rPr>
                    <w:t>7</w:t>
                  </w:r>
                </w:p>
              </w:tc>
              <w:tc>
                <w:tcPr>
                  <w:tcW w:w="1080" w:type="dxa"/>
                </w:tcPr>
                <w:p w14:paraId="42EC561F" w14:textId="63DD7F93" w:rsidR="000123F5" w:rsidRPr="00A95652" w:rsidRDefault="000123F5" w:rsidP="00A95652">
                  <w:pPr>
                    <w:jc w:val="center"/>
                    <w:rPr>
                      <w:sz w:val="18"/>
                    </w:rPr>
                  </w:pPr>
                  <w:r w:rsidRPr="00A95652">
                    <w:rPr>
                      <w:sz w:val="18"/>
                    </w:rPr>
                    <w:t>25</w:t>
                  </w:r>
                </w:p>
              </w:tc>
              <w:tc>
                <w:tcPr>
                  <w:tcW w:w="3531" w:type="dxa"/>
                  <w:vMerge/>
                  <w:tcBorders>
                    <w:right w:val="nil"/>
                  </w:tcBorders>
                </w:tcPr>
                <w:p w14:paraId="7FB0C69D" w14:textId="77777777" w:rsidR="000123F5" w:rsidRPr="00A95652" w:rsidRDefault="000123F5" w:rsidP="00A95652">
                  <w:pPr>
                    <w:jc w:val="center"/>
                    <w:rPr>
                      <w:sz w:val="18"/>
                    </w:rPr>
                  </w:pPr>
                </w:p>
              </w:tc>
            </w:tr>
            <w:tr w:rsidR="00B45FE8" w14:paraId="7F23C6F7" w14:textId="77777777" w:rsidTr="00A95652">
              <w:tc>
                <w:tcPr>
                  <w:tcW w:w="5596" w:type="dxa"/>
                  <w:gridSpan w:val="3"/>
                  <w:tcBorders>
                    <w:left w:val="nil"/>
                    <w:bottom w:val="nil"/>
                    <w:right w:val="nil"/>
                  </w:tcBorders>
                </w:tcPr>
                <w:p w14:paraId="628EE464" w14:textId="159D0015" w:rsidR="00D415C9" w:rsidRDefault="00D415C9" w:rsidP="00D415C9">
                  <w:pPr>
                    <w:pStyle w:val="TableDescription"/>
                  </w:pPr>
                  <w:r>
                    <w:t>Administration of dostarlimab should continue according to the recommended dose and schedule until disease progression or unacceptable toxicity.</w:t>
                  </w:r>
                </w:p>
                <w:p w14:paraId="3B81D70C" w14:textId="5A6646CC" w:rsidR="00B45FE8" w:rsidRDefault="00B45FE8" w:rsidP="00A95652">
                  <w:pPr>
                    <w:pStyle w:val="TableDescription"/>
                  </w:pPr>
                  <w:r>
                    <w:t>* Note: Cycle 5 should be given 3 w</w:t>
                  </w:r>
                  <w:r w:rsidR="005E5D2D">
                    <w:t>eeks following Cycle 4. Cycle 6 </w:t>
                  </w:r>
                  <w:r>
                    <w:t>and all subsequent cycles are given once every 6 weeks.</w:t>
                  </w:r>
                </w:p>
              </w:tc>
            </w:tr>
          </w:tbl>
          <w:p w14:paraId="6960E5D0" w14:textId="77777777" w:rsidR="00B45FE8" w:rsidRPr="00A95652" w:rsidRDefault="00B45FE8" w:rsidP="00B45FE8">
            <w:pPr>
              <w:rPr>
                <w:i/>
              </w:rPr>
            </w:pPr>
            <w:r w:rsidRPr="00A95652">
              <w:rPr>
                <w:i/>
              </w:rPr>
              <w:t>Dose modifications</w:t>
            </w:r>
          </w:p>
          <w:p w14:paraId="7656FD99" w14:textId="414782B4" w:rsidR="00565895" w:rsidRPr="00D415C9" w:rsidRDefault="00B45FE8" w:rsidP="00B45FE8">
            <w:pPr>
              <w:rPr>
                <w:iCs/>
              </w:rPr>
            </w:pPr>
            <w:r>
              <w:t>Dose reduction is not recommended. Dosing delay or discont</w:t>
            </w:r>
            <w:r w:rsidR="00903A01">
              <w:t xml:space="preserve">inuation may be required based </w:t>
            </w:r>
            <w:r>
              <w:t>on individual safety and tolerability. Recommended m</w:t>
            </w:r>
            <w:r w:rsidR="00903A01">
              <w:t xml:space="preserve">odifications to manage adverse </w:t>
            </w:r>
            <w:r>
              <w:t xml:space="preserve">reactions are provided in </w:t>
            </w:r>
            <w:r w:rsidRPr="00D415C9">
              <w:rPr>
                <w:iCs/>
              </w:rPr>
              <w:t>Table 2</w:t>
            </w:r>
            <w:r w:rsidR="00903A01" w:rsidRPr="00D415C9">
              <w:rPr>
                <w:iCs/>
              </w:rPr>
              <w:t xml:space="preserve"> of the Product Information</w:t>
            </w:r>
            <w:r w:rsidRPr="00D415C9">
              <w:rPr>
                <w:iCs/>
              </w:rPr>
              <w:t>. Detailed guidelin</w:t>
            </w:r>
            <w:r w:rsidR="00903A01" w:rsidRPr="00D415C9">
              <w:rPr>
                <w:iCs/>
              </w:rPr>
              <w:t>es for the management of immune-</w:t>
            </w:r>
            <w:r w:rsidRPr="00D415C9">
              <w:rPr>
                <w:iCs/>
              </w:rPr>
              <w:t>related adverse reactions and infusion-related reactions are de</w:t>
            </w:r>
            <w:r w:rsidR="00903A01" w:rsidRPr="00D415C9">
              <w:rPr>
                <w:iCs/>
              </w:rPr>
              <w:t>scribed in Section 4.4 Special Warnings and Precautions of the Product Information.</w:t>
            </w:r>
          </w:p>
          <w:p w14:paraId="5C648645" w14:textId="77777777" w:rsidR="00DA75DA" w:rsidRPr="00655F66" w:rsidRDefault="00DA75DA" w:rsidP="00DA75DA">
            <w:r w:rsidRPr="00655F66">
              <w:t>For further information regarding dosage, refer to the Product Information.</w:t>
            </w:r>
          </w:p>
        </w:tc>
      </w:tr>
      <w:tr w:rsidR="00DA75DA" w:rsidRPr="00655F66" w14:paraId="7BD4670F" w14:textId="77777777" w:rsidTr="00DA75DA">
        <w:tc>
          <w:tcPr>
            <w:tcW w:w="1577" w:type="pct"/>
          </w:tcPr>
          <w:p w14:paraId="230114A4" w14:textId="77777777" w:rsidR="00DA75DA" w:rsidRPr="00655F66" w:rsidRDefault="00DA75DA" w:rsidP="00DA75DA">
            <w:pPr>
              <w:rPr>
                <w:i/>
              </w:rPr>
            </w:pPr>
            <w:r w:rsidRPr="00655F66">
              <w:rPr>
                <w:i/>
              </w:rPr>
              <w:lastRenderedPageBreak/>
              <w:t>Pregnancy category:</w:t>
            </w:r>
          </w:p>
        </w:tc>
        <w:tc>
          <w:tcPr>
            <w:tcW w:w="3423" w:type="pct"/>
          </w:tcPr>
          <w:p w14:paraId="7AA73BFE" w14:textId="77777777" w:rsidR="00DA75DA" w:rsidRPr="00655F66" w:rsidRDefault="00DA75DA" w:rsidP="00DA75DA">
            <w:r w:rsidRPr="00655F66">
              <w:t>D</w:t>
            </w:r>
          </w:p>
          <w:p w14:paraId="7CB5786E" w14:textId="77777777" w:rsidR="00DA75DA" w:rsidRPr="00655F66" w:rsidRDefault="00DA75DA" w:rsidP="00DA75DA">
            <w:r w:rsidRPr="00655F66">
              <w:t>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p w14:paraId="33987BDC" w14:textId="6B30EC3B" w:rsidR="00DA75DA" w:rsidRPr="00655F66" w:rsidRDefault="00DA75DA" w:rsidP="00DA75DA">
            <w:r w:rsidRPr="00655F66">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1E8296DF" w14:textId="701A57B6" w:rsidR="008E7846" w:rsidRPr="00655F66" w:rsidRDefault="008E7846" w:rsidP="008E7846">
      <w:pPr>
        <w:pStyle w:val="Heading3"/>
      </w:pPr>
      <w:bookmarkStart w:id="9" w:name="_Toc247691503"/>
      <w:bookmarkStart w:id="10" w:name="_Toc314842484"/>
      <w:bookmarkStart w:id="11" w:name="_Toc126579868"/>
      <w:r w:rsidRPr="00655F66">
        <w:lastRenderedPageBreak/>
        <w:t>Product background</w:t>
      </w:r>
      <w:bookmarkEnd w:id="9"/>
      <w:bookmarkEnd w:id="10"/>
      <w:bookmarkEnd w:id="11"/>
    </w:p>
    <w:p w14:paraId="12E2BC8F" w14:textId="288DDB67" w:rsidR="009F2673" w:rsidRPr="00655F66" w:rsidRDefault="009F2673" w:rsidP="009F2673">
      <w:r w:rsidRPr="00655F66">
        <w:t xml:space="preserve">This AusPAR describes the </w:t>
      </w:r>
      <w:r w:rsidR="001E359E" w:rsidRPr="00655F66">
        <w:t>submission</w:t>
      </w:r>
      <w:r w:rsidRPr="00655F66">
        <w:t xml:space="preserve"> by </w:t>
      </w:r>
      <w:r w:rsidR="00DA75DA" w:rsidRPr="00655F66">
        <w:rPr>
          <w:lang w:val="es-ES"/>
        </w:rPr>
        <w:t xml:space="preserve">GlaxoSmithKline Australia </w:t>
      </w:r>
      <w:proofErr w:type="spellStart"/>
      <w:r w:rsidR="00DA75DA" w:rsidRPr="00655F66">
        <w:rPr>
          <w:lang w:val="es-ES"/>
        </w:rPr>
        <w:t>Pty</w:t>
      </w:r>
      <w:proofErr w:type="spellEnd"/>
      <w:r w:rsidR="00DA75DA" w:rsidRPr="00655F66">
        <w:rPr>
          <w:lang w:val="es-ES"/>
        </w:rPr>
        <w:t xml:space="preserve"> </w:t>
      </w:r>
      <w:proofErr w:type="spellStart"/>
      <w:r w:rsidR="00DA75DA" w:rsidRPr="00655F66">
        <w:rPr>
          <w:lang w:val="es-ES"/>
        </w:rPr>
        <w:t>Ltd</w:t>
      </w:r>
      <w:proofErr w:type="spellEnd"/>
      <w:r w:rsidRPr="00655F66">
        <w:t xml:space="preserve"> (the sponsor) to register </w:t>
      </w:r>
      <w:r w:rsidR="00DA75DA" w:rsidRPr="00655F66">
        <w:t xml:space="preserve">Jemperli </w:t>
      </w:r>
      <w:r w:rsidRPr="00655F66">
        <w:t>(</w:t>
      </w:r>
      <w:r w:rsidR="00DA75DA" w:rsidRPr="00655F66">
        <w:t>dostarlimab</w:t>
      </w:r>
      <w:r w:rsidRPr="00655F66">
        <w:t xml:space="preserve">) </w:t>
      </w:r>
      <w:r w:rsidR="00DA75DA" w:rsidRPr="00655F66">
        <w:t>500 mg/10 mL</w:t>
      </w:r>
      <w:r w:rsidRPr="00655F66">
        <w:t xml:space="preserve">, </w:t>
      </w:r>
      <w:r w:rsidR="00DA75DA" w:rsidRPr="00655F66">
        <w:t>solution for infusion</w:t>
      </w:r>
      <w:r w:rsidRPr="00655F66">
        <w:t xml:space="preserve"> for the following proposed indication:</w:t>
      </w:r>
    </w:p>
    <w:p w14:paraId="6526CD64" w14:textId="266D5EC6" w:rsidR="00C44C93" w:rsidRPr="00655F66" w:rsidRDefault="00C44C93" w:rsidP="00C44C93">
      <w:pPr>
        <w:ind w:left="720"/>
        <w:rPr>
          <w:i/>
          <w:iCs/>
        </w:rPr>
      </w:pPr>
      <w:r w:rsidRPr="00655F66">
        <w:rPr>
          <w:i/>
          <w:iCs/>
        </w:rPr>
        <w:t>Jemperli is indicated as monotherapy for the treatment of patients with recurrent or advanced mismatch repair deficient/microsatellite instability-high (</w:t>
      </w:r>
      <w:proofErr w:type="spellStart"/>
      <w:r w:rsidRPr="00655F66">
        <w:rPr>
          <w:i/>
          <w:iCs/>
        </w:rPr>
        <w:t>dMMR</w:t>
      </w:r>
      <w:proofErr w:type="spellEnd"/>
      <w:r w:rsidRPr="00655F66">
        <w:rPr>
          <w:i/>
          <w:iCs/>
        </w:rPr>
        <w:t>/MSI-H) endometrial cancer (EC) who have progressed on or after treatment with a platinum-containing regimen.</w:t>
      </w:r>
    </w:p>
    <w:p w14:paraId="41F3B85E" w14:textId="635F5511" w:rsidR="00C44C93" w:rsidRPr="00655F66" w:rsidRDefault="00C44C93" w:rsidP="00900029">
      <w:bookmarkStart w:id="12" w:name="_Toc314842485"/>
      <w:bookmarkStart w:id="13" w:name="_Toc247691504"/>
      <w:r w:rsidRPr="00655F66">
        <w:t xml:space="preserve">Deficiencies in </w:t>
      </w:r>
      <w:r w:rsidR="00584E39" w:rsidRPr="00655F66">
        <w:t>deoxyribonucleic acid (</w:t>
      </w:r>
      <w:r w:rsidRPr="00655F66">
        <w:t>DNA</w:t>
      </w:r>
      <w:r w:rsidR="00584E39" w:rsidRPr="00655F66">
        <w:t>)</w:t>
      </w:r>
      <w:r w:rsidRPr="00655F66">
        <w:t xml:space="preserve"> mismatch repair</w:t>
      </w:r>
      <w:r w:rsidR="006624F5">
        <w:t xml:space="preserve"> </w:t>
      </w:r>
      <w:r w:rsidRPr="00655F66">
        <w:t xml:space="preserve">processes lead to an accumulation of mutations, which are typically short repetitive DNA sequences and single nucleotide substitutions. Lynch syndrome results from pathogenic germline mutations in any one of the five </w:t>
      </w:r>
      <w:r w:rsidR="00EF79D8" w:rsidRPr="00EF79D8">
        <w:t>DNA mismatch repair</w:t>
      </w:r>
      <w:r w:rsidRPr="00655F66">
        <w:t xml:space="preserve"> genes</w:t>
      </w:r>
      <w:r w:rsidR="00C02D9E">
        <w:t xml:space="preserve">, </w:t>
      </w:r>
      <w:r w:rsidR="00C02D9E" w:rsidRPr="00821445">
        <w:rPr>
          <w:i/>
        </w:rPr>
        <w:t>MLH1, MSH2, MSH6, PMS2</w:t>
      </w:r>
      <w:r w:rsidR="00C02D9E">
        <w:t xml:space="preserve"> and </w:t>
      </w:r>
      <w:r w:rsidR="00C02D9E" w:rsidRPr="00821445">
        <w:rPr>
          <w:i/>
        </w:rPr>
        <w:t>EPCAM</w:t>
      </w:r>
      <w:r w:rsidR="00C02D9E">
        <w:rPr>
          <w:i/>
        </w:rPr>
        <w:t>.</w:t>
      </w:r>
      <w:r w:rsidR="00821445">
        <w:t xml:space="preserve"> </w:t>
      </w:r>
      <w:r w:rsidR="00BD4C1C">
        <w:t>Such mutations are associated</w:t>
      </w:r>
      <w:r w:rsidRPr="00655F66">
        <w:t xml:space="preserve"> with an increased risk of cancer, most commonly colorectal and endometrial cancer; other cancers may occur, with differing frequencies depending upon the </w:t>
      </w:r>
      <w:proofErr w:type="gramStart"/>
      <w:r w:rsidRPr="00655F66">
        <w:t>particular gene</w:t>
      </w:r>
      <w:proofErr w:type="gramEnd"/>
      <w:r w:rsidRPr="00655F66">
        <w:t xml:space="preserve"> involved. Sporadic </w:t>
      </w:r>
      <w:r w:rsidR="00BD4C1C">
        <w:t xml:space="preserve">DNA </w:t>
      </w:r>
      <w:r w:rsidRPr="00655F66">
        <w:t>mismatch repair</w:t>
      </w:r>
      <w:r w:rsidR="00655F66">
        <w:t xml:space="preserve"> </w:t>
      </w:r>
      <w:r w:rsidRPr="00655F66">
        <w:t>deficient</w:t>
      </w:r>
      <w:r w:rsidR="005E5D2D">
        <w:t xml:space="preserve"> </w:t>
      </w:r>
      <w:r w:rsidRPr="00655F66">
        <w:t>tumours arise where there is either epigenetic inactivation of these genes (</w:t>
      </w:r>
      <w:r w:rsidR="00584E39" w:rsidRPr="00655F66">
        <w:t>for example,</w:t>
      </w:r>
      <w:r w:rsidRPr="00655F66">
        <w:t xml:space="preserve"> methylation of </w:t>
      </w:r>
      <w:r w:rsidRPr="00655F66">
        <w:rPr>
          <w:i/>
          <w:iCs/>
        </w:rPr>
        <w:t>MLH1</w:t>
      </w:r>
      <w:r w:rsidRPr="00655F66">
        <w:t>), or occasionally where somatic mutations may be acquired as part of a</w:t>
      </w:r>
      <w:r w:rsidR="008D7E1F" w:rsidRPr="00655F66">
        <w:t>n</w:t>
      </w:r>
      <w:r w:rsidRPr="00655F66">
        <w:t xml:space="preserve"> ultra</w:t>
      </w:r>
      <w:r w:rsidR="008D7E1F" w:rsidRPr="00655F66">
        <w:t>-</w:t>
      </w:r>
      <w:r w:rsidRPr="00655F66">
        <w:t>mutated phenotype arising from a pathogenic germline mutation in other genes such as</w:t>
      </w:r>
      <w:r w:rsidR="00BD4C1C">
        <w:t xml:space="preserve"> those for DNA</w:t>
      </w:r>
      <w:r w:rsidRPr="00655F66">
        <w:t xml:space="preserve"> </w:t>
      </w:r>
      <w:r w:rsidR="008D7E1F" w:rsidRPr="00655F66">
        <w:t xml:space="preserve">polymerase </w:t>
      </w:r>
      <w:r w:rsidR="00BD4C1C">
        <w:t>epsilon</w:t>
      </w:r>
      <w:r w:rsidRPr="00655F66">
        <w:t>.</w:t>
      </w:r>
    </w:p>
    <w:p w14:paraId="70BD7CB2" w14:textId="4DA150CA" w:rsidR="00C44C93" w:rsidRPr="00655F66" w:rsidRDefault="00C44C93" w:rsidP="00C44C93">
      <w:r w:rsidRPr="00655F66">
        <w:t xml:space="preserve">The most common subtype of endometrial cancer associated with </w:t>
      </w:r>
      <w:r w:rsidR="005E5D2D">
        <w:t xml:space="preserve">DNA mismatch repair deficient </w:t>
      </w:r>
      <w:r w:rsidR="00BD4C1C">
        <w:t>tumours</w:t>
      </w:r>
      <w:r w:rsidR="00BD4C1C" w:rsidRPr="00655F66">
        <w:t xml:space="preserve"> </w:t>
      </w:r>
      <w:r w:rsidRPr="00655F66">
        <w:t xml:space="preserve">is endometrioid endometrial carcinoma. Endometrial cancers arising from mutations in the polymerase proofreading domains of the </w:t>
      </w:r>
      <w:r w:rsidR="00BD4C1C">
        <w:t xml:space="preserve">DNA </w:t>
      </w:r>
      <w:r w:rsidR="008D7E1F" w:rsidRPr="00655F66">
        <w:t xml:space="preserve">polymerase </w:t>
      </w:r>
      <w:r w:rsidR="00BD4C1C">
        <w:t>epsilon</w:t>
      </w:r>
      <w:r w:rsidRPr="00655F66">
        <w:t xml:space="preserve"> gene have the highest number of somatic mutations (ultramutated) and are associated with a prolonged survival</w:t>
      </w:r>
      <w:r w:rsidR="008D7E1F" w:rsidRPr="00655F66">
        <w:t>,</w:t>
      </w:r>
      <w:r w:rsidRPr="00655F66">
        <w:rPr>
          <w:vertAlign w:val="superscript"/>
        </w:rPr>
        <w:footnoteReference w:id="2"/>
      </w:r>
      <w:r w:rsidRPr="00655F66">
        <w:t xml:space="preserve"> whereas those with mismatch repair deficiency due to the absence of </w:t>
      </w:r>
      <w:r w:rsidRPr="00655F66">
        <w:rPr>
          <w:i/>
          <w:iCs/>
        </w:rPr>
        <w:t>MLH1</w:t>
      </w:r>
      <w:r w:rsidR="0010293E">
        <w:t xml:space="preserve"> or</w:t>
      </w:r>
      <w:r w:rsidRPr="00655F66">
        <w:t xml:space="preserve"> </w:t>
      </w:r>
      <w:r w:rsidRPr="00655F66">
        <w:rPr>
          <w:i/>
          <w:iCs/>
        </w:rPr>
        <w:t>MSH2</w:t>
      </w:r>
      <w:r w:rsidRPr="00655F66">
        <w:t xml:space="preserve"> (either loss of heterozygosity in an individual with Lynch syndrome or somatic mutations or </w:t>
      </w:r>
      <w:r w:rsidRPr="00655F66">
        <w:rPr>
          <w:i/>
          <w:iCs/>
        </w:rPr>
        <w:t>MLH1</w:t>
      </w:r>
      <w:r w:rsidRPr="00655F66">
        <w:t xml:space="preserve"> methylation) have an </w:t>
      </w:r>
      <w:bookmarkStart w:id="14" w:name="_Hlk110337524"/>
      <w:r w:rsidR="00584E39" w:rsidRPr="00655F66">
        <w:t>microsatellite instability</w:t>
      </w:r>
      <w:bookmarkEnd w:id="14"/>
      <w:r w:rsidR="0010293E">
        <w:t xml:space="preserve"> (MSI)-</w:t>
      </w:r>
      <w:r w:rsidR="00584E39" w:rsidRPr="00655F66">
        <w:t xml:space="preserve">high </w:t>
      </w:r>
      <w:r w:rsidRPr="00655F66">
        <w:t xml:space="preserve">phenotype but are associated with a poorer prognosis. Germline pathogenic variants in either the </w:t>
      </w:r>
      <w:r w:rsidRPr="00655F66">
        <w:rPr>
          <w:i/>
          <w:iCs/>
        </w:rPr>
        <w:t>MSH6</w:t>
      </w:r>
      <w:r w:rsidRPr="00655F66">
        <w:t xml:space="preserve"> or the </w:t>
      </w:r>
      <w:r w:rsidRPr="00655F66">
        <w:rPr>
          <w:i/>
          <w:iCs/>
        </w:rPr>
        <w:t>PMS2</w:t>
      </w:r>
      <w:r w:rsidRPr="00655F66">
        <w:t xml:space="preserve"> gene are associated with an increased risk of endometrial cancer but do not necessarily give rise to an </w:t>
      </w:r>
      <w:r w:rsidR="0010293E">
        <w:t>MSI-high</w:t>
      </w:r>
      <w:r w:rsidRPr="00655F66">
        <w:t xml:space="preserve"> phenotype and more often result in </w:t>
      </w:r>
      <w:proofErr w:type="gramStart"/>
      <w:r w:rsidRPr="00655F66">
        <w:t>a</w:t>
      </w:r>
      <w:proofErr w:type="gramEnd"/>
      <w:r w:rsidRPr="00655F66">
        <w:t xml:space="preserve"> </w:t>
      </w:r>
      <w:r w:rsidR="0010293E">
        <w:t>MSI</w:t>
      </w:r>
      <w:r w:rsidR="0030219E">
        <w:t>-</w:t>
      </w:r>
      <w:r w:rsidR="0010293E">
        <w:t>intermediate</w:t>
      </w:r>
      <w:r w:rsidR="008D7E1F" w:rsidRPr="00655F66">
        <w:t xml:space="preserve"> </w:t>
      </w:r>
      <w:r w:rsidRPr="00655F66">
        <w:t>or MSI-stable phenotype</w:t>
      </w:r>
      <w:r w:rsidR="005A2272" w:rsidRPr="00655F66">
        <w:t>.</w:t>
      </w:r>
      <w:r w:rsidRPr="00655F66">
        <w:rPr>
          <w:vertAlign w:val="superscript"/>
        </w:rPr>
        <w:fldChar w:fldCharType="begin"/>
      </w:r>
      <w:r w:rsidRPr="00655F66">
        <w:rPr>
          <w:vertAlign w:val="superscript"/>
        </w:rPr>
        <w:instrText xml:space="preserve"> NOTEREF _Ref72755586 \h  \* MERGEFORMAT </w:instrText>
      </w:r>
      <w:r w:rsidRPr="00655F66">
        <w:rPr>
          <w:vertAlign w:val="superscript"/>
        </w:rPr>
      </w:r>
      <w:r w:rsidRPr="00655F66">
        <w:rPr>
          <w:vertAlign w:val="superscript"/>
        </w:rPr>
        <w:fldChar w:fldCharType="separate"/>
      </w:r>
      <w:r w:rsidR="000A7290">
        <w:rPr>
          <w:vertAlign w:val="superscript"/>
        </w:rPr>
        <w:t>2</w:t>
      </w:r>
      <w:r w:rsidRPr="00655F66">
        <w:rPr>
          <w:vertAlign w:val="superscript"/>
        </w:rPr>
        <w:fldChar w:fldCharType="end"/>
      </w:r>
    </w:p>
    <w:p w14:paraId="45C03905" w14:textId="4E5C9DD8" w:rsidR="00C44C93" w:rsidRPr="00655F66" w:rsidRDefault="00C44C93" w:rsidP="00C44C93">
      <w:r w:rsidRPr="00655F66">
        <w:t>Thus</w:t>
      </w:r>
      <w:r w:rsidR="008D7E1F" w:rsidRPr="00655F66">
        <w:t>,</w:t>
      </w:r>
      <w:r w:rsidRPr="00655F66">
        <w:t xml:space="preserve"> a single test approach to identifying patients with mismatch repair deficiency has its limitations. Loss of protein expression of one of more of the four proteins by immunohistochemistry will detect the majority of cases and is recommended as routine to identify those requiring further testing for potential Lynch </w:t>
      </w:r>
      <w:proofErr w:type="gramStart"/>
      <w:r w:rsidRPr="00655F66">
        <w:t>syndrome, but</w:t>
      </w:r>
      <w:proofErr w:type="gramEnd"/>
      <w:r w:rsidRPr="00655F66">
        <w:t xml:space="preserve"> may yield false positive results where the protein is expressed but not functional. Assessing </w:t>
      </w:r>
      <w:r w:rsidR="00584E39" w:rsidRPr="00655F66">
        <w:t>MSI</w:t>
      </w:r>
      <w:r w:rsidR="0010293E">
        <w:t xml:space="preserve"> status</w:t>
      </w:r>
      <w:r w:rsidR="00584E39" w:rsidRPr="00655F66">
        <w:t xml:space="preserve"> </w:t>
      </w:r>
      <w:r w:rsidRPr="00655F66">
        <w:t>has significant limitations as only a proportion of endometrial cancer that harbours a mismatch repair deficiency will have an MSI-</w:t>
      </w:r>
      <w:r w:rsidR="0010293E">
        <w:t>high</w:t>
      </w:r>
      <w:r w:rsidRPr="00655F66">
        <w:t xml:space="preserve"> phenotype reliance upon this to identify eligible patients will not identify the majority of </w:t>
      </w:r>
      <w:r w:rsidRPr="00655F66">
        <w:rPr>
          <w:i/>
          <w:iCs/>
        </w:rPr>
        <w:t>MSH6</w:t>
      </w:r>
      <w:r w:rsidRPr="00655F66">
        <w:t xml:space="preserve"> or </w:t>
      </w:r>
      <w:r w:rsidRPr="00655F66">
        <w:rPr>
          <w:i/>
          <w:iCs/>
        </w:rPr>
        <w:t>PMS2</w:t>
      </w:r>
      <w:r w:rsidR="008D7E1F" w:rsidRPr="00655F66">
        <w:t xml:space="preserve"> </w:t>
      </w:r>
      <w:r w:rsidRPr="00655F66">
        <w:t>mutated endometrial cancers</w:t>
      </w:r>
      <w:bookmarkStart w:id="15" w:name="_Ref72755586"/>
      <w:r w:rsidRPr="00655F66">
        <w:t xml:space="preserve"> which more often have a microsatellite stable phenotype</w:t>
      </w:r>
      <w:r w:rsidR="008D7E1F" w:rsidRPr="00655F66">
        <w:t>.</w:t>
      </w:r>
      <w:r w:rsidRPr="00655F66">
        <w:rPr>
          <w:vertAlign w:val="superscript"/>
        </w:rPr>
        <w:footnoteReference w:id="3"/>
      </w:r>
      <w:bookmarkEnd w:id="15"/>
    </w:p>
    <w:p w14:paraId="2CFCAB29" w14:textId="3C807801" w:rsidR="004D7C1D" w:rsidRDefault="00C44C93" w:rsidP="00352761">
      <w:r w:rsidRPr="00655F66">
        <w:t>Currently approved options for these patients as a second</w:t>
      </w:r>
      <w:r w:rsidR="00D040FC" w:rsidRPr="00655F66">
        <w:t xml:space="preserve"> </w:t>
      </w:r>
      <w:r w:rsidRPr="00655F66">
        <w:t>line therapy or beyond include</w:t>
      </w:r>
      <w:r w:rsidR="00D040FC" w:rsidRPr="00655F66">
        <w:t xml:space="preserve"> </w:t>
      </w:r>
      <w:r w:rsidR="00900029">
        <w:t>the</w:t>
      </w:r>
      <w:r w:rsidR="00EF79D8" w:rsidRPr="00EF79D8">
        <w:t xml:space="preserve"> </w:t>
      </w:r>
      <w:r w:rsidR="00EF79D8">
        <w:t>p</w:t>
      </w:r>
      <w:r w:rsidR="00EF79D8" w:rsidRPr="00EF79D8">
        <w:t>rogrammed cell death receptor-1</w:t>
      </w:r>
      <w:r w:rsidR="00EF79D8">
        <w:t xml:space="preserve"> (</w:t>
      </w:r>
      <w:r w:rsidR="00900029">
        <w:t>PD-1</w:t>
      </w:r>
      <w:r w:rsidR="00EF79D8">
        <w:t>)</w:t>
      </w:r>
      <w:r w:rsidR="00900029">
        <w:t xml:space="preserve"> checkpoint inhibitor, </w:t>
      </w:r>
      <w:r w:rsidR="00D040FC" w:rsidRPr="00655F66">
        <w:t xml:space="preserve">Keytruda </w:t>
      </w:r>
      <w:r w:rsidR="00342EAA" w:rsidRPr="00655F66">
        <w:t>(pembrolizumab)</w:t>
      </w:r>
      <w:r w:rsidR="0010293E">
        <w:t>.</w:t>
      </w:r>
      <w:r w:rsidRPr="00655F66">
        <w:rPr>
          <w:vertAlign w:val="superscript"/>
        </w:rPr>
        <w:footnoteReference w:id="4"/>
      </w:r>
      <w:r w:rsidR="00342EAA" w:rsidRPr="00655F66">
        <w:t xml:space="preserve"> </w:t>
      </w:r>
      <w:r w:rsidR="00D040FC" w:rsidRPr="00655F66">
        <w:t>Keytruda i</w:t>
      </w:r>
      <w:r w:rsidRPr="00655F66">
        <w:t xml:space="preserve">s indicated </w:t>
      </w:r>
      <w:r w:rsidR="0010293E">
        <w:t xml:space="preserve">for use </w:t>
      </w:r>
      <w:r w:rsidRPr="00655F66">
        <w:t xml:space="preserve">in adult and paediatric patients for the treatment of unresectable or metastatic solid tumours that are </w:t>
      </w:r>
      <w:r w:rsidR="0010293E">
        <w:t xml:space="preserve">determined as </w:t>
      </w:r>
      <w:r w:rsidRPr="00655F66">
        <w:t>MSI</w:t>
      </w:r>
      <w:r w:rsidR="0010293E">
        <w:noBreakHyphen/>
        <w:t>high</w:t>
      </w:r>
      <w:r w:rsidRPr="00655F66">
        <w:t xml:space="preserve"> or </w:t>
      </w:r>
      <w:r w:rsidR="00EF79D8">
        <w:t xml:space="preserve">DNA </w:t>
      </w:r>
      <w:r w:rsidR="00EF79D8" w:rsidRPr="00655F66">
        <w:t>mismatch repair</w:t>
      </w:r>
      <w:r w:rsidR="00EF79D8">
        <w:t xml:space="preserve"> </w:t>
      </w:r>
      <w:r w:rsidR="00EF79D8" w:rsidRPr="00655F66">
        <w:t>deficient</w:t>
      </w:r>
      <w:r w:rsidRPr="00655F66">
        <w:t xml:space="preserve"> as determined by a validated test, that have progressed following prior treatment and when there are no satisfactory alternative treatment </w:t>
      </w:r>
      <w:r w:rsidRPr="00655F66">
        <w:lastRenderedPageBreak/>
        <w:t>options.</w:t>
      </w:r>
      <w:r w:rsidR="00D040FC" w:rsidRPr="00655F66">
        <w:t xml:space="preserve"> </w:t>
      </w:r>
      <w:r w:rsidRPr="00655F66">
        <w:t xml:space="preserve">This indication was approved via the </w:t>
      </w:r>
      <w:r w:rsidR="0010293E">
        <w:t xml:space="preserve">TGA’s </w:t>
      </w:r>
      <w:hyperlink r:id="rId18" w:history="1">
        <w:r w:rsidRPr="0010293E">
          <w:rPr>
            <w:rStyle w:val="Hyperlink"/>
          </w:rPr>
          <w:t>provisional approval pathway</w:t>
        </w:r>
      </w:hyperlink>
      <w:r w:rsidRPr="00655F66">
        <w:t>, based on the pooling of data on objective response rate and response duration across multiple different tissue types in a single</w:t>
      </w:r>
      <w:r w:rsidR="00EE4C77" w:rsidRPr="00655F66">
        <w:t xml:space="preserve"> </w:t>
      </w:r>
      <w:r w:rsidRPr="00655F66">
        <w:t>arm trial. Sample sizes for individual tissue types were too small to provide data on clinical utility of the MSI/</w:t>
      </w:r>
      <w:r w:rsidR="00EF79D8" w:rsidRPr="00EF79D8">
        <w:t xml:space="preserve"> </w:t>
      </w:r>
      <w:r w:rsidR="00EF79D8">
        <w:t xml:space="preserve">DNA </w:t>
      </w:r>
      <w:r w:rsidR="00EF79D8" w:rsidRPr="00655F66">
        <w:t>mismatch repair</w:t>
      </w:r>
      <w:r w:rsidR="00EF79D8">
        <w:t xml:space="preserve"> </w:t>
      </w:r>
      <w:r w:rsidR="00EF79D8" w:rsidRPr="00655F66">
        <w:t>deficient</w:t>
      </w:r>
      <w:r w:rsidRPr="00655F66">
        <w:t xml:space="preserve"> tests for each of the tissue types, individually. The assumption that MSI-</w:t>
      </w:r>
      <w:r w:rsidR="00900029">
        <w:t>high</w:t>
      </w:r>
      <w:r w:rsidRPr="00655F66">
        <w:t>/</w:t>
      </w:r>
      <w:r w:rsidR="00EE4C77" w:rsidRPr="00655F66">
        <w:t xml:space="preserve"> </w:t>
      </w:r>
      <w:r w:rsidR="00EF79D8">
        <w:t xml:space="preserve">DNA </w:t>
      </w:r>
      <w:r w:rsidR="00EF79D8" w:rsidRPr="00655F66">
        <w:t>mismatch repair</w:t>
      </w:r>
      <w:r w:rsidR="00EF79D8">
        <w:t xml:space="preserve"> </w:t>
      </w:r>
      <w:r w:rsidR="00EF79D8" w:rsidRPr="00655F66">
        <w:t>deficient</w:t>
      </w:r>
      <w:r w:rsidR="00EE4C77" w:rsidRPr="00655F66">
        <w:t xml:space="preserve"> </w:t>
      </w:r>
      <w:r w:rsidRPr="00655F66">
        <w:t xml:space="preserve">status is predictive of the treatment effect of </w:t>
      </w:r>
      <w:r w:rsidR="00D040FC" w:rsidRPr="00655F66">
        <w:t xml:space="preserve">Keytruda </w:t>
      </w:r>
      <w:r w:rsidRPr="00655F66">
        <w:t>for every tissue type has not been verified.</w:t>
      </w:r>
      <w:r w:rsidR="003B233F">
        <w:t xml:space="preserve"> </w:t>
      </w:r>
      <w:r w:rsidR="003B233F" w:rsidRPr="000D581B">
        <w:rPr>
          <w:rFonts w:asciiTheme="minorHAnsi" w:hAnsiTheme="minorHAnsi"/>
          <w:lang w:eastAsia="ja-JP"/>
        </w:rPr>
        <w:t xml:space="preserve">Continued approval for this indication depends on verification and description of clinical benefit in the confirmatory trials. </w:t>
      </w:r>
      <w:r w:rsidR="003B233F" w:rsidRPr="003B233F">
        <w:t xml:space="preserve">The Keytruda </w:t>
      </w:r>
      <w:r w:rsidR="0092060B" w:rsidRPr="003B233F">
        <w:t>P</w:t>
      </w:r>
      <w:r w:rsidR="0092060B">
        <w:t>roduct</w:t>
      </w:r>
      <w:r w:rsidR="003B233F">
        <w:t xml:space="preserve"> Information (PI) </w:t>
      </w:r>
      <w:r w:rsidR="003B233F" w:rsidRPr="003B233F">
        <w:t xml:space="preserve">reports an objective response rate of 54% (95% </w:t>
      </w:r>
      <w:r w:rsidR="003B233F">
        <w:t>confidence interval (</w:t>
      </w:r>
      <w:r w:rsidR="003B233F" w:rsidRPr="003B233F">
        <w:t>CI</w:t>
      </w:r>
      <w:r w:rsidR="003B233F">
        <w:t>)</w:t>
      </w:r>
      <w:r w:rsidR="003B233F" w:rsidRPr="003B233F">
        <w:t>: 33%, 74%) for MSI-</w:t>
      </w:r>
      <w:r w:rsidR="00821445">
        <w:t>high</w:t>
      </w:r>
      <w:r w:rsidR="003B233F" w:rsidRPr="003B233F">
        <w:t xml:space="preserve">, including </w:t>
      </w:r>
      <w:r w:rsidR="00EF79D8">
        <w:t xml:space="preserve">DNA </w:t>
      </w:r>
      <w:r w:rsidR="00EF79D8" w:rsidRPr="00655F66">
        <w:t>mismatch repair</w:t>
      </w:r>
      <w:r w:rsidR="00EF79D8">
        <w:t xml:space="preserve"> </w:t>
      </w:r>
      <w:r w:rsidR="00EF79D8" w:rsidRPr="00655F66">
        <w:t>deficient</w:t>
      </w:r>
      <w:r w:rsidR="003B233F" w:rsidRPr="003B233F">
        <w:t xml:space="preserve"> </w:t>
      </w:r>
      <w:r w:rsidR="0010293E">
        <w:t>endometrial cancer</w:t>
      </w:r>
      <w:r w:rsidR="003B233F">
        <w:t>.</w:t>
      </w:r>
    </w:p>
    <w:p w14:paraId="7AF94468" w14:textId="0D0F982D" w:rsidR="000B6B80" w:rsidRDefault="00CF74CE" w:rsidP="00AA618B">
      <w:r>
        <w:t>Programmed cell death protein 1 (</w:t>
      </w:r>
      <w:r w:rsidR="00352761">
        <w:t>PD-1</w:t>
      </w:r>
      <w:r w:rsidR="001D5AC7">
        <w:t xml:space="preserve">) </w:t>
      </w:r>
      <w:r w:rsidR="00352761">
        <w:t>is an immune checkpoint protein</w:t>
      </w:r>
      <w:r w:rsidR="001D5AC7">
        <w:t xml:space="preserve"> and cell surface receptor</w:t>
      </w:r>
      <w:r w:rsidR="005E5D2D">
        <w:t>.</w:t>
      </w:r>
      <w:r w:rsidR="00B914F6">
        <w:t xml:space="preserve"> </w:t>
      </w:r>
      <w:proofErr w:type="gramStart"/>
      <w:r w:rsidR="00B914F6">
        <w:t>Binding of the PD-1 ligands,</w:t>
      </w:r>
      <w:proofErr w:type="gramEnd"/>
      <w:r w:rsidR="00B914F6">
        <w:t xml:space="preserve"> </w:t>
      </w:r>
      <w:r w:rsidR="00B914F6" w:rsidRPr="00B914F6">
        <w:t>programmed cell death-ligand 1 (PD-L1) and programmed cell death-ligand 2 (PD-L2)</w:t>
      </w:r>
      <w:r w:rsidR="00B914F6">
        <w:t>, to the PD-1 receptor found on T</w:t>
      </w:r>
      <w:r w:rsidR="00B914F6">
        <w:noBreakHyphen/>
        <w:t>cells inhibits T</w:t>
      </w:r>
      <w:r w:rsidR="00B914F6">
        <w:noBreakHyphen/>
        <w:t xml:space="preserve">cell proliferation and cytokine production. Upregulation of PD-1 ligands occurs in some tumours and signalling through this pathway can contribute to inhibition of active T-cell immune surveillance of tumours. </w:t>
      </w:r>
      <w:r w:rsidR="001D5AC7">
        <w:t xml:space="preserve">PD-1 and PD-L1 inhibitors are a class of drugs used in certain types of cancer that can block PD-1 and its inhibition of the immune system </w:t>
      </w:r>
      <w:proofErr w:type="gramStart"/>
      <w:r w:rsidR="001D5AC7">
        <w:t>in order to</w:t>
      </w:r>
      <w:proofErr w:type="gramEnd"/>
      <w:r w:rsidR="001D5AC7">
        <w:t xml:space="preserve"> activate the immune system to target tumour cells.</w:t>
      </w:r>
      <w:r w:rsidR="00B914F6">
        <w:t xml:space="preserve"> </w:t>
      </w:r>
      <w:r w:rsidR="000B6B80" w:rsidRPr="00655F66">
        <w:t>The mode of action of Jemperli (dostarlimab) is consistent with other PD-1</w:t>
      </w:r>
      <w:r w:rsidR="000B6B80">
        <w:t xml:space="preserve"> inhibitors such as </w:t>
      </w:r>
      <w:r w:rsidR="000B6B80" w:rsidRPr="001D5AC7">
        <w:t>nivolumab (</w:t>
      </w:r>
      <w:proofErr w:type="spellStart"/>
      <w:r w:rsidR="000B6B80" w:rsidRPr="001D5AC7">
        <w:t>Opdiv</w:t>
      </w:r>
      <w:r w:rsidR="000B6B80">
        <w:t>o</w:t>
      </w:r>
      <w:proofErr w:type="spellEnd"/>
      <w:r w:rsidR="000B6B80">
        <w:t>) and pembrolizumab (Keytruda).</w:t>
      </w:r>
    </w:p>
    <w:p w14:paraId="4C3AADCA" w14:textId="2777D50E" w:rsidR="0010293E" w:rsidRPr="00655F66" w:rsidRDefault="0010293E" w:rsidP="00AA618B">
      <w:r>
        <w:t xml:space="preserve">Dostarlimab is a humanised </w:t>
      </w:r>
      <w:r w:rsidR="00BF0F3D">
        <w:t>monoclonal antibody</w:t>
      </w:r>
      <w:r>
        <w:t xml:space="preserve"> o</w:t>
      </w:r>
      <w:r w:rsidR="00900029">
        <w:t xml:space="preserve">f </w:t>
      </w:r>
      <w:r w:rsidR="00B4512C">
        <w:t>i</w:t>
      </w:r>
      <w:r w:rsidR="00B4512C" w:rsidRPr="00B4512C">
        <w:t>mmunoglobulin G4</w:t>
      </w:r>
      <w:r w:rsidR="00B4512C">
        <w:t xml:space="preserve"> (</w:t>
      </w:r>
      <w:r w:rsidR="00900029">
        <w:t>IgG4</w:t>
      </w:r>
      <w:r w:rsidR="00B4512C">
        <w:t>)</w:t>
      </w:r>
      <w:r w:rsidR="00900029">
        <w:t xml:space="preserve"> isotype that binds to PD</w:t>
      </w:r>
      <w:r w:rsidR="00900029">
        <w:noBreakHyphen/>
      </w:r>
      <w:r>
        <w:t>1, resulting in inhibition of binding to PD-L1 and PD-L2, releasing inhibition of PD-1 pathway</w:t>
      </w:r>
      <w:r w:rsidR="000B6B80">
        <w:t xml:space="preserve"> </w:t>
      </w:r>
      <w:r>
        <w:t>mediated immune response, including the anti-tumour immune response. In syngeneic mouse tumour models, blocking PD-1 activity resulted in decreased tumour growth.</w:t>
      </w:r>
    </w:p>
    <w:p w14:paraId="2BBE2767" w14:textId="3DA3E272" w:rsidR="008E7846" w:rsidRPr="00655F66" w:rsidRDefault="00386150" w:rsidP="008E7846">
      <w:pPr>
        <w:pStyle w:val="Heading3"/>
      </w:pPr>
      <w:bookmarkStart w:id="16" w:name="_Toc126579869"/>
      <w:r w:rsidRPr="00655F66">
        <w:t>Regulatory s</w:t>
      </w:r>
      <w:r w:rsidR="008E7846" w:rsidRPr="00655F66">
        <w:t>tatus</w:t>
      </w:r>
      <w:bookmarkEnd w:id="12"/>
      <w:bookmarkEnd w:id="13"/>
      <w:bookmarkEnd w:id="16"/>
    </w:p>
    <w:p w14:paraId="38FA6592" w14:textId="49BC2926" w:rsidR="00332715" w:rsidRPr="00655F66" w:rsidRDefault="00332715" w:rsidP="00332715">
      <w:bookmarkStart w:id="17" w:name="_Toc247691505"/>
      <w:bookmarkStart w:id="18" w:name="_Toc314842486"/>
      <w:r w:rsidRPr="00655F66">
        <w:t>This product is considered a new biological entity</w:t>
      </w:r>
      <w:r w:rsidR="00DA75DA" w:rsidRPr="00655F66">
        <w:t xml:space="preserve"> </w:t>
      </w:r>
      <w:r w:rsidRPr="00655F66">
        <w:t>for Australian regulatory purposes.</w:t>
      </w:r>
    </w:p>
    <w:p w14:paraId="00714BA1" w14:textId="22FAED2B" w:rsidR="00332715" w:rsidRPr="00655F66" w:rsidRDefault="00332715" w:rsidP="00332715">
      <w:r w:rsidRPr="00655F66">
        <w:t xml:space="preserve">At the time the TGA considered this </w:t>
      </w:r>
      <w:r w:rsidR="00BB0B78" w:rsidRPr="00655F66">
        <w:t>submission</w:t>
      </w:r>
      <w:r w:rsidRPr="00655F66">
        <w:t xml:space="preserve">, similar </w:t>
      </w:r>
      <w:r w:rsidR="00BB0B78" w:rsidRPr="00655F66">
        <w:t>submission</w:t>
      </w:r>
      <w:r w:rsidR="00C44C93" w:rsidRPr="00655F66">
        <w:t>s were</w:t>
      </w:r>
      <w:r w:rsidRPr="00655F66">
        <w:t xml:space="preserve"> under consideration in </w:t>
      </w:r>
      <w:r w:rsidR="00C44C93" w:rsidRPr="00655F66">
        <w:t xml:space="preserve">the </w:t>
      </w:r>
      <w:r w:rsidR="00ED6587" w:rsidRPr="00655F66">
        <w:t>United States of America (</w:t>
      </w:r>
      <w:r w:rsidR="00C44C93" w:rsidRPr="00655F66">
        <w:t>USA</w:t>
      </w:r>
      <w:r w:rsidR="00ED6587" w:rsidRPr="00655F66">
        <w:t>)</w:t>
      </w:r>
      <w:r w:rsidRPr="00655F66">
        <w:t xml:space="preserve"> (submitted on </w:t>
      </w:r>
      <w:r w:rsidR="00C44C93" w:rsidRPr="00655F66">
        <w:t>19 December 2019</w:t>
      </w:r>
      <w:r w:rsidRPr="00655F66">
        <w:t>)</w:t>
      </w:r>
      <w:r w:rsidR="00C44C93" w:rsidRPr="00655F66">
        <w:t xml:space="preserve">, </w:t>
      </w:r>
      <w:r w:rsidR="00900029">
        <w:t>the </w:t>
      </w:r>
      <w:r w:rsidR="00C44C93" w:rsidRPr="00655F66">
        <w:t>European Union</w:t>
      </w:r>
      <w:r w:rsidR="009A22AB" w:rsidRPr="00655F66">
        <w:t xml:space="preserve"> (EU)</w:t>
      </w:r>
      <w:r w:rsidR="00C44C93" w:rsidRPr="00655F66">
        <w:t xml:space="preserve"> (submitted on 6 March 2020) and Brazil (submitted on 20</w:t>
      </w:r>
      <w:r w:rsidR="00900029">
        <w:t> </w:t>
      </w:r>
      <w:r w:rsidR="00C44C93" w:rsidRPr="00655F66">
        <w:t>August 2020).</w:t>
      </w:r>
    </w:p>
    <w:p w14:paraId="12E9678F" w14:textId="5332F6AC" w:rsidR="008E7846" w:rsidRPr="00655F66" w:rsidRDefault="008E7846" w:rsidP="00940A89">
      <w:pPr>
        <w:pStyle w:val="Heading3"/>
      </w:pPr>
      <w:bookmarkStart w:id="19" w:name="_Toc126579870"/>
      <w:r w:rsidRPr="00655F66">
        <w:t>Product Information</w:t>
      </w:r>
      <w:bookmarkEnd w:id="17"/>
      <w:bookmarkEnd w:id="18"/>
      <w:bookmarkEnd w:id="19"/>
    </w:p>
    <w:p w14:paraId="21775881" w14:textId="27888B9E" w:rsidR="00900029" w:rsidRPr="00655F66" w:rsidRDefault="00332715" w:rsidP="00220321">
      <w:bookmarkStart w:id="20" w:name="_Toc504480011"/>
      <w:bookmarkStart w:id="21" w:name="_Toc247691506"/>
      <w:bookmarkStart w:id="22" w:name="_Toc314842487"/>
      <w:r w:rsidRPr="00655F66">
        <w:t xml:space="preserve">The Product Information (PI) approved with the submission which is described in this AusPAR can be found as Attachment 1. For the most recent PI, please refer to the TGA </w:t>
      </w:r>
      <w:hyperlink r:id="rId19" w:history="1">
        <w:r w:rsidRPr="00655F66">
          <w:rPr>
            <w:rStyle w:val="Hyperlink"/>
          </w:rPr>
          <w:t>PI/CMI search facility</w:t>
        </w:r>
        <w:r w:rsidRPr="00655F66">
          <w:rPr>
            <w:rStyle w:val="Hyperlink"/>
            <w:color w:val="auto"/>
            <w:u w:val="none"/>
          </w:rPr>
          <w:t>.</w:t>
        </w:r>
      </w:hyperlink>
    </w:p>
    <w:p w14:paraId="500511DF" w14:textId="652DF45B" w:rsidR="00500337" w:rsidRPr="00655F66" w:rsidRDefault="00500337" w:rsidP="00500337">
      <w:pPr>
        <w:pStyle w:val="Heading2"/>
      </w:pPr>
      <w:bookmarkStart w:id="23" w:name="_Toc126579871"/>
      <w:r w:rsidRPr="00655F66">
        <w:t>Registration timeline</w:t>
      </w:r>
      <w:bookmarkEnd w:id="20"/>
      <w:bookmarkEnd w:id="23"/>
    </w:p>
    <w:p w14:paraId="4F537419" w14:textId="5388B65D" w:rsidR="00900029" w:rsidRPr="00655F66" w:rsidRDefault="0074163C" w:rsidP="0074163C">
      <w:r w:rsidRPr="00655F66">
        <w:t xml:space="preserve">The following table captures the key steps and dates for this </w:t>
      </w:r>
      <w:r w:rsidR="00804D99" w:rsidRPr="00655F66">
        <w:t>submission</w:t>
      </w:r>
      <w:r w:rsidRPr="00655F66">
        <w:t>.</w:t>
      </w:r>
    </w:p>
    <w:p w14:paraId="74D9CF3E" w14:textId="7D1BDC3A" w:rsidR="0074163C" w:rsidRPr="00117AEB" w:rsidRDefault="0074163C" w:rsidP="00EB5720">
      <w:pPr>
        <w:pStyle w:val="TableTitle"/>
      </w:pPr>
      <w:r w:rsidRPr="00117AEB">
        <w:t xml:space="preserve">Table </w:t>
      </w:r>
      <w:r>
        <w:rPr>
          <w:b w:val="0"/>
        </w:rPr>
        <w:fldChar w:fldCharType="begin"/>
      </w:r>
      <w:r>
        <w:instrText>SEQ Table \* ARABIC</w:instrText>
      </w:r>
      <w:r>
        <w:rPr>
          <w:b w:val="0"/>
        </w:rPr>
        <w:fldChar w:fldCharType="separate"/>
      </w:r>
      <w:r w:rsidR="000A7290">
        <w:rPr>
          <w:noProof/>
        </w:rPr>
        <w:t>1</w:t>
      </w:r>
      <w:r>
        <w:rPr>
          <w:b w:val="0"/>
        </w:rPr>
        <w:fldChar w:fldCharType="end"/>
      </w:r>
      <w:r w:rsidRPr="00117AEB">
        <w:t xml:space="preserve">: Timeline for Submission </w:t>
      </w:r>
      <w:r w:rsidR="00C44C93" w:rsidRPr="00117AEB">
        <w:t>PM-2020-06455-1-4</w:t>
      </w:r>
    </w:p>
    <w:p w14:paraId="30A9057B" w14:textId="6AD324DC" w:rsidR="0074163C" w:rsidRPr="00655F66" w:rsidRDefault="00B27846" w:rsidP="00BF16E8">
      <w:pPr>
        <w:pStyle w:val="Instructions"/>
        <w:rPr>
          <w:szCs w:val="20"/>
        </w:rPr>
      </w:pPr>
      <w:hyperlink r:id="rId20" w:history="1">
        <w:r w:rsidR="0074163C" w:rsidRPr="00655F66">
          <w:rPr>
            <w:rStyle w:val="Hyperlink"/>
            <w:szCs w:val="20"/>
          </w:rPr>
          <w:t>Provisional review pathway</w:t>
        </w:r>
      </w:hyperlink>
    </w:p>
    <w:tbl>
      <w:tblPr>
        <w:tblStyle w:val="TableTGAblue"/>
        <w:tblW w:w="0" w:type="auto"/>
        <w:tblLook w:val="04A0" w:firstRow="1" w:lastRow="0" w:firstColumn="1" w:lastColumn="0" w:noHBand="0" w:noVBand="1"/>
      </w:tblPr>
      <w:tblGrid>
        <w:gridCol w:w="4265"/>
        <w:gridCol w:w="4229"/>
      </w:tblGrid>
      <w:tr w:rsidR="0074163C" w:rsidRPr="00655F66" w14:paraId="6CC474CD" w14:textId="77777777" w:rsidTr="00C44C93">
        <w:trPr>
          <w:cnfStyle w:val="100000000000" w:firstRow="1" w:lastRow="0" w:firstColumn="0" w:lastColumn="0" w:oddVBand="0" w:evenVBand="0" w:oddHBand="0" w:evenHBand="0" w:firstRowFirstColumn="0" w:firstRowLastColumn="0" w:lastRowFirstColumn="0" w:lastRowLastColumn="0"/>
        </w:trPr>
        <w:tc>
          <w:tcPr>
            <w:tcW w:w="4265" w:type="dxa"/>
            <w:tcBorders>
              <w:top w:val="single" w:sz="4" w:space="0" w:color="auto"/>
              <w:left w:val="single" w:sz="4" w:space="0" w:color="auto"/>
              <w:bottom w:val="single" w:sz="4" w:space="0" w:color="auto"/>
              <w:right w:val="single" w:sz="4" w:space="0" w:color="auto"/>
            </w:tcBorders>
          </w:tcPr>
          <w:p w14:paraId="5F4416F9" w14:textId="77777777" w:rsidR="0074163C" w:rsidRPr="00655F66" w:rsidRDefault="0074163C" w:rsidP="009E5A87">
            <w:r w:rsidRPr="00655F66">
              <w:t>Description</w:t>
            </w:r>
          </w:p>
        </w:tc>
        <w:tc>
          <w:tcPr>
            <w:tcW w:w="4229" w:type="dxa"/>
            <w:tcBorders>
              <w:top w:val="single" w:sz="4" w:space="0" w:color="auto"/>
              <w:left w:val="single" w:sz="4" w:space="0" w:color="auto"/>
              <w:bottom w:val="single" w:sz="4" w:space="0" w:color="auto"/>
              <w:right w:val="single" w:sz="4" w:space="0" w:color="auto"/>
            </w:tcBorders>
          </w:tcPr>
          <w:p w14:paraId="52323FBF" w14:textId="77777777" w:rsidR="0074163C" w:rsidRPr="00655F66" w:rsidRDefault="0074163C" w:rsidP="009E5A87">
            <w:r w:rsidRPr="00655F66">
              <w:t>Date</w:t>
            </w:r>
          </w:p>
        </w:tc>
      </w:tr>
      <w:tr w:rsidR="00C44C93" w:rsidRPr="00655F66" w14:paraId="1475DF18" w14:textId="77777777" w:rsidTr="00C44C93">
        <w:tc>
          <w:tcPr>
            <w:tcW w:w="4265" w:type="dxa"/>
            <w:tcBorders>
              <w:top w:val="single" w:sz="4" w:space="0" w:color="auto"/>
            </w:tcBorders>
          </w:tcPr>
          <w:p w14:paraId="5C9FB502" w14:textId="68CA12B3" w:rsidR="00C44C93" w:rsidRPr="00655F66" w:rsidRDefault="00C44C93" w:rsidP="009A22AB">
            <w:r w:rsidRPr="00655F66">
              <w:t>Determination (Provisional)</w:t>
            </w:r>
          </w:p>
        </w:tc>
        <w:tc>
          <w:tcPr>
            <w:tcW w:w="4229" w:type="dxa"/>
            <w:tcBorders>
              <w:top w:val="single" w:sz="4" w:space="0" w:color="auto"/>
            </w:tcBorders>
          </w:tcPr>
          <w:p w14:paraId="75F00828" w14:textId="442961D0" w:rsidR="00C44C93" w:rsidRPr="00655F66" w:rsidRDefault="00C44C93" w:rsidP="00C44C93">
            <w:r w:rsidRPr="00655F66">
              <w:t>15 September 2020</w:t>
            </w:r>
          </w:p>
        </w:tc>
      </w:tr>
      <w:tr w:rsidR="00C44C93" w:rsidRPr="00655F66" w14:paraId="7390127A" w14:textId="77777777" w:rsidTr="00C44C93">
        <w:tc>
          <w:tcPr>
            <w:tcW w:w="4265" w:type="dxa"/>
          </w:tcPr>
          <w:p w14:paraId="08FC593D" w14:textId="77777777" w:rsidR="00C44C93" w:rsidRPr="00655F66" w:rsidRDefault="00C44C93" w:rsidP="00C44C93">
            <w:r w:rsidRPr="00655F66">
              <w:lastRenderedPageBreak/>
              <w:t>Submission dossier accepted and first round evaluation commenced</w:t>
            </w:r>
          </w:p>
        </w:tc>
        <w:tc>
          <w:tcPr>
            <w:tcW w:w="4229" w:type="dxa"/>
          </w:tcPr>
          <w:p w14:paraId="53F83181" w14:textId="029A470D" w:rsidR="00C44C93" w:rsidRPr="00655F66" w:rsidRDefault="00C44C93" w:rsidP="00C44C93">
            <w:r w:rsidRPr="00655F66">
              <w:rPr>
                <w:color w:val="auto"/>
              </w:rPr>
              <w:t>1 February 2021</w:t>
            </w:r>
          </w:p>
        </w:tc>
      </w:tr>
      <w:tr w:rsidR="00C44C93" w:rsidRPr="00655F66" w14:paraId="64A2C392" w14:textId="77777777" w:rsidTr="00C44C93">
        <w:tc>
          <w:tcPr>
            <w:tcW w:w="4265" w:type="dxa"/>
          </w:tcPr>
          <w:p w14:paraId="7921D2BF" w14:textId="77777777" w:rsidR="00C44C93" w:rsidRPr="00655F66" w:rsidRDefault="00C44C93" w:rsidP="00C44C93">
            <w:r w:rsidRPr="00655F66">
              <w:t>First round evaluation completed</w:t>
            </w:r>
          </w:p>
        </w:tc>
        <w:tc>
          <w:tcPr>
            <w:tcW w:w="4229" w:type="dxa"/>
          </w:tcPr>
          <w:p w14:paraId="219ED01E" w14:textId="73A47312" w:rsidR="00C44C93" w:rsidRPr="00655F66" w:rsidRDefault="00C44C93" w:rsidP="00C44C93">
            <w:r w:rsidRPr="00655F66">
              <w:rPr>
                <w:color w:val="auto"/>
              </w:rPr>
              <w:t>30 June 2021</w:t>
            </w:r>
          </w:p>
        </w:tc>
      </w:tr>
      <w:tr w:rsidR="00C44C93" w:rsidRPr="00655F66" w14:paraId="5F1B0AB8" w14:textId="77777777" w:rsidTr="00C44C93">
        <w:tc>
          <w:tcPr>
            <w:tcW w:w="4265" w:type="dxa"/>
          </w:tcPr>
          <w:p w14:paraId="5335AC7A" w14:textId="77777777" w:rsidR="00C44C93" w:rsidRPr="00655F66" w:rsidRDefault="00C44C93" w:rsidP="00C44C93">
            <w:r w:rsidRPr="00655F66">
              <w:t>Sponsor provides responses on questions raised in first round evaluation</w:t>
            </w:r>
          </w:p>
        </w:tc>
        <w:tc>
          <w:tcPr>
            <w:tcW w:w="4229" w:type="dxa"/>
          </w:tcPr>
          <w:p w14:paraId="4D26A880" w14:textId="06DF5FF9" w:rsidR="00C44C93" w:rsidRPr="00655F66" w:rsidRDefault="00C44C93" w:rsidP="00C44C93">
            <w:r w:rsidRPr="00655F66">
              <w:rPr>
                <w:color w:val="auto"/>
              </w:rPr>
              <w:t>31 August 2021</w:t>
            </w:r>
          </w:p>
        </w:tc>
      </w:tr>
      <w:tr w:rsidR="00C44C93" w:rsidRPr="00655F66" w14:paraId="6AD20617" w14:textId="77777777" w:rsidTr="00C44C93">
        <w:tc>
          <w:tcPr>
            <w:tcW w:w="4265" w:type="dxa"/>
          </w:tcPr>
          <w:p w14:paraId="2B7714FA" w14:textId="77777777" w:rsidR="00C44C93" w:rsidRPr="00655F66" w:rsidRDefault="00C44C93" w:rsidP="00C44C93">
            <w:r w:rsidRPr="00655F66">
              <w:t>Second round evaluation completed</w:t>
            </w:r>
          </w:p>
        </w:tc>
        <w:tc>
          <w:tcPr>
            <w:tcW w:w="4229" w:type="dxa"/>
          </w:tcPr>
          <w:p w14:paraId="126C9663" w14:textId="42718330" w:rsidR="00C44C93" w:rsidRPr="00655F66" w:rsidRDefault="00C44C93" w:rsidP="00C44C93">
            <w:r w:rsidRPr="00655F66">
              <w:rPr>
                <w:color w:val="auto"/>
              </w:rPr>
              <w:t>6 October 2021</w:t>
            </w:r>
          </w:p>
        </w:tc>
      </w:tr>
      <w:tr w:rsidR="00C44C93" w:rsidRPr="00655F66" w14:paraId="34DD0529" w14:textId="77777777" w:rsidTr="00C44C93">
        <w:tc>
          <w:tcPr>
            <w:tcW w:w="4265" w:type="dxa"/>
          </w:tcPr>
          <w:p w14:paraId="16408E0E" w14:textId="193C724F" w:rsidR="00C44C93" w:rsidRPr="00655F66" w:rsidRDefault="00C44C93" w:rsidP="00C44C93">
            <w:r w:rsidRPr="00655F66">
              <w:t>Delegate’s Overall benefit-risk assessment</w:t>
            </w:r>
          </w:p>
        </w:tc>
        <w:tc>
          <w:tcPr>
            <w:tcW w:w="4229" w:type="dxa"/>
          </w:tcPr>
          <w:p w14:paraId="45965F91" w14:textId="17C296F7" w:rsidR="00C44C93" w:rsidRPr="00655F66" w:rsidRDefault="00C44C93" w:rsidP="00C44C93">
            <w:r w:rsidRPr="00655F66">
              <w:rPr>
                <w:color w:val="auto"/>
              </w:rPr>
              <w:t>6 January 2022</w:t>
            </w:r>
          </w:p>
        </w:tc>
      </w:tr>
      <w:tr w:rsidR="00C44C93" w:rsidRPr="00655F66" w14:paraId="02A10F81" w14:textId="77777777" w:rsidTr="00C44C93">
        <w:tc>
          <w:tcPr>
            <w:tcW w:w="4265" w:type="dxa"/>
          </w:tcPr>
          <w:p w14:paraId="1E1BB450" w14:textId="77777777" w:rsidR="00C44C93" w:rsidRPr="00655F66" w:rsidRDefault="00C44C93" w:rsidP="00C44C93">
            <w:r w:rsidRPr="00655F66">
              <w:t>Sponsor’s pre-Advisory Committee response</w:t>
            </w:r>
          </w:p>
        </w:tc>
        <w:tc>
          <w:tcPr>
            <w:tcW w:w="4229" w:type="dxa"/>
          </w:tcPr>
          <w:p w14:paraId="27E1204E" w14:textId="1F2642FF" w:rsidR="00C44C93" w:rsidRPr="00655F66" w:rsidRDefault="00C44C93" w:rsidP="00C44C93">
            <w:r w:rsidRPr="00655F66">
              <w:rPr>
                <w:color w:val="auto"/>
              </w:rPr>
              <w:t>Not applicable</w:t>
            </w:r>
          </w:p>
        </w:tc>
      </w:tr>
      <w:tr w:rsidR="00C44C93" w:rsidRPr="00655F66" w14:paraId="153DC54D" w14:textId="77777777" w:rsidTr="00C44C93">
        <w:tc>
          <w:tcPr>
            <w:tcW w:w="4265" w:type="dxa"/>
          </w:tcPr>
          <w:p w14:paraId="77DC800E" w14:textId="77777777" w:rsidR="00C44C93" w:rsidRPr="00655F66" w:rsidRDefault="00C44C93" w:rsidP="00C44C93">
            <w:r w:rsidRPr="00655F66">
              <w:t>Advisory Committee meeting</w:t>
            </w:r>
          </w:p>
        </w:tc>
        <w:tc>
          <w:tcPr>
            <w:tcW w:w="4229" w:type="dxa"/>
          </w:tcPr>
          <w:p w14:paraId="6129A221" w14:textId="19E4EC22" w:rsidR="00C44C93" w:rsidRPr="00655F66" w:rsidRDefault="00C44C93" w:rsidP="00C44C93">
            <w:r w:rsidRPr="00655F66">
              <w:rPr>
                <w:color w:val="auto"/>
              </w:rPr>
              <w:t>Not applicable</w:t>
            </w:r>
          </w:p>
        </w:tc>
      </w:tr>
      <w:tr w:rsidR="00C44C93" w:rsidRPr="00655F66" w14:paraId="70DEADFA" w14:textId="77777777" w:rsidTr="00C44C93">
        <w:tc>
          <w:tcPr>
            <w:tcW w:w="4265" w:type="dxa"/>
          </w:tcPr>
          <w:p w14:paraId="7DC6D15E" w14:textId="77777777" w:rsidR="00C44C93" w:rsidRPr="00655F66" w:rsidRDefault="00C44C93" w:rsidP="00C44C93">
            <w:r w:rsidRPr="00655F66">
              <w:t>Registration decision (Outcome)</w:t>
            </w:r>
          </w:p>
        </w:tc>
        <w:tc>
          <w:tcPr>
            <w:tcW w:w="4229" w:type="dxa"/>
          </w:tcPr>
          <w:p w14:paraId="4F5AFE68" w14:textId="7E43905E" w:rsidR="00C44C93" w:rsidRPr="00655F66" w:rsidRDefault="00C44C93" w:rsidP="00C44C93">
            <w:r w:rsidRPr="00655F66">
              <w:rPr>
                <w:color w:val="auto"/>
              </w:rPr>
              <w:t>15 February 2022</w:t>
            </w:r>
          </w:p>
        </w:tc>
      </w:tr>
      <w:tr w:rsidR="00C44C93" w:rsidRPr="00655F66" w14:paraId="5E100B06" w14:textId="77777777" w:rsidTr="00C44C93">
        <w:tc>
          <w:tcPr>
            <w:tcW w:w="4265" w:type="dxa"/>
          </w:tcPr>
          <w:p w14:paraId="29C533A0" w14:textId="77777777" w:rsidR="00C44C93" w:rsidRPr="00655F66" w:rsidRDefault="00C44C93" w:rsidP="00C44C93">
            <w:r w:rsidRPr="00655F66">
              <w:t>Completion of administrative activities and registration on the ARTG</w:t>
            </w:r>
          </w:p>
        </w:tc>
        <w:tc>
          <w:tcPr>
            <w:tcW w:w="4229" w:type="dxa"/>
          </w:tcPr>
          <w:p w14:paraId="0D5A58DF" w14:textId="010652F3" w:rsidR="00C44C93" w:rsidRPr="00655F66" w:rsidRDefault="00C44C93" w:rsidP="00C44C93">
            <w:r w:rsidRPr="00655F66">
              <w:rPr>
                <w:color w:val="auto"/>
              </w:rPr>
              <w:t>17 February 2022</w:t>
            </w:r>
          </w:p>
        </w:tc>
      </w:tr>
      <w:tr w:rsidR="00C44C93" w:rsidRPr="00655F66" w14:paraId="2A7A6505" w14:textId="77777777" w:rsidTr="00C44C93">
        <w:tc>
          <w:tcPr>
            <w:tcW w:w="4265" w:type="dxa"/>
          </w:tcPr>
          <w:p w14:paraId="2883BEDF" w14:textId="77777777" w:rsidR="00C44C93" w:rsidRPr="00655F66" w:rsidRDefault="00C44C93" w:rsidP="00C44C93">
            <w:r w:rsidRPr="00655F66">
              <w:t>Number of working days from submission dossier acceptance to registration decision*</w:t>
            </w:r>
          </w:p>
        </w:tc>
        <w:tc>
          <w:tcPr>
            <w:tcW w:w="4229" w:type="dxa"/>
          </w:tcPr>
          <w:p w14:paraId="613E34BF" w14:textId="6AA8DDDC" w:rsidR="00C44C93" w:rsidRPr="00655F66" w:rsidRDefault="00C44C93" w:rsidP="00C44C93">
            <w:r w:rsidRPr="00655F66">
              <w:rPr>
                <w:color w:val="auto"/>
              </w:rPr>
              <w:t>208</w:t>
            </w:r>
          </w:p>
        </w:tc>
      </w:tr>
    </w:tbl>
    <w:p w14:paraId="34823E4B" w14:textId="77777777" w:rsidR="0074163C" w:rsidRPr="00655F66" w:rsidRDefault="0074163C" w:rsidP="0074163C">
      <w:pPr>
        <w:pStyle w:val="TableDescription"/>
      </w:pPr>
      <w:r w:rsidRPr="00655F66">
        <w:t xml:space="preserve">*Statutory timeframe for standard </w:t>
      </w:r>
      <w:r w:rsidR="00BB0B78" w:rsidRPr="00655F66">
        <w:t>submission</w:t>
      </w:r>
      <w:r w:rsidRPr="00655F66">
        <w:t>s is 255 working days</w:t>
      </w:r>
    </w:p>
    <w:p w14:paraId="46EF4F0F" w14:textId="2F043907" w:rsidR="008E7846" w:rsidRPr="00655F66" w:rsidRDefault="00006FAB" w:rsidP="008E7846">
      <w:pPr>
        <w:pStyle w:val="Heading2"/>
      </w:pPr>
      <w:bookmarkStart w:id="24" w:name="_Toc196046504"/>
      <w:bookmarkStart w:id="25" w:name="_Toc247691527"/>
      <w:bookmarkStart w:id="26" w:name="_Toc314842510"/>
      <w:bookmarkStart w:id="27" w:name="_Toc126579872"/>
      <w:bookmarkStart w:id="28" w:name="_Toc163441390"/>
      <w:bookmarkEnd w:id="21"/>
      <w:bookmarkEnd w:id="22"/>
      <w:bookmarkEnd w:id="1"/>
      <w:r w:rsidRPr="00655F66">
        <w:t xml:space="preserve">Submission overview </w:t>
      </w:r>
      <w:r w:rsidR="008E7846" w:rsidRPr="00655F66">
        <w:t>and risk/benefit assessment</w:t>
      </w:r>
      <w:bookmarkEnd w:id="24"/>
      <w:bookmarkEnd w:id="25"/>
      <w:bookmarkEnd w:id="26"/>
      <w:bookmarkEnd w:id="27"/>
    </w:p>
    <w:p w14:paraId="65B8DBDF" w14:textId="77777777" w:rsidR="005A79F5" w:rsidRPr="00655F66" w:rsidRDefault="005A79F5" w:rsidP="0074163C">
      <w:pPr>
        <w:pStyle w:val="Instructions"/>
        <w:rPr>
          <w:i w:val="0"/>
          <w:color w:val="auto"/>
        </w:rPr>
      </w:pPr>
      <w:bookmarkStart w:id="29" w:name="_Toc247691528"/>
      <w:bookmarkStart w:id="30" w:name="_Toc314842511"/>
      <w:r w:rsidRPr="00655F66">
        <w:rPr>
          <w:i w:val="0"/>
          <w:color w:val="auto"/>
        </w:rPr>
        <w:t>A summary of the TGA’s assessment for this submission is provided below.</w:t>
      </w:r>
    </w:p>
    <w:p w14:paraId="252033F2" w14:textId="73B84ECB" w:rsidR="0074163C" w:rsidRPr="00655F66" w:rsidRDefault="0074163C" w:rsidP="006365F2">
      <w:r w:rsidRPr="00655F66">
        <w:t xml:space="preserve">Relevant guidelines or guidance documents referred to by the Delegate </w:t>
      </w:r>
      <w:r w:rsidR="006365F2" w:rsidRPr="00655F66">
        <w:t>are</w:t>
      </w:r>
      <w:r w:rsidRPr="00655F66">
        <w:t xml:space="preserve"> listed </w:t>
      </w:r>
      <w:r w:rsidR="00900029">
        <w:t>as follows</w:t>
      </w:r>
      <w:r w:rsidR="006365F2" w:rsidRPr="00655F66">
        <w:t>:</w:t>
      </w:r>
    </w:p>
    <w:p w14:paraId="1E49909A" w14:textId="0C550B52" w:rsidR="00560279" w:rsidRDefault="00560279" w:rsidP="00560279">
      <w:pPr>
        <w:pStyle w:val="ListBullet"/>
      </w:pPr>
      <w:r>
        <w:t xml:space="preserve">European Medicines Agency (EMA), </w:t>
      </w:r>
      <w:r w:rsidRPr="00000FBE">
        <w:t>Committee for Medicinal Products for Human Use (CHMP)</w:t>
      </w:r>
      <w:r>
        <w:t>,</w:t>
      </w:r>
      <w:r w:rsidRPr="00560279">
        <w:t xml:space="preserve"> </w:t>
      </w:r>
      <w:r>
        <w:t xml:space="preserve">Appendix 1 to the Guideline on the Evaluation of Anticancer Medicinal Products in Man, Methodological Consideration for Using Progression-Free Survival (PFS) or Disease-Free Survival (DFS) in Confirmatory Trials, </w:t>
      </w:r>
      <w:r w:rsidRPr="003C1AE3">
        <w:t>EMA/CHMP/27994/2008/Rev.1</w:t>
      </w:r>
      <w:r>
        <w:t xml:space="preserve">, </w:t>
      </w:r>
      <w:r w:rsidRPr="00560279">
        <w:t>13 December 2012</w:t>
      </w:r>
      <w:r>
        <w:t>.</w:t>
      </w:r>
    </w:p>
    <w:p w14:paraId="17D48007" w14:textId="545E883B" w:rsidR="00560279" w:rsidRPr="00655F66" w:rsidRDefault="00560279" w:rsidP="00560279">
      <w:pPr>
        <w:pStyle w:val="ListBullet"/>
      </w:pPr>
      <w:r w:rsidRPr="00560279">
        <w:t xml:space="preserve">European Medicines Agency (EMA), </w:t>
      </w:r>
      <w:r w:rsidRPr="00000FBE">
        <w:t xml:space="preserve">Committee for Medicinal Products for Human Use </w:t>
      </w:r>
      <w:r w:rsidRPr="00560279">
        <w:t>(CHMP)</w:t>
      </w:r>
      <w:r>
        <w:t xml:space="preserve">, Guideline on the Evaluation of Anticancer Medicinal Products in Man, </w:t>
      </w:r>
      <w:r w:rsidRPr="003C1AE3">
        <w:t>EMA/CHMP/205/95/Rev.4</w:t>
      </w:r>
      <w:r>
        <w:t xml:space="preserve">, </w:t>
      </w:r>
      <w:r w:rsidRPr="00560279">
        <w:t>13 December 2012</w:t>
      </w:r>
      <w:r>
        <w:t>.</w:t>
      </w:r>
    </w:p>
    <w:p w14:paraId="31898F43" w14:textId="2C917093" w:rsidR="00000FBE" w:rsidRDefault="00000FBE" w:rsidP="00C140DE">
      <w:pPr>
        <w:pStyle w:val="ListBullet"/>
      </w:pPr>
      <w:r>
        <w:t xml:space="preserve">European Medicines Agency (EMA), </w:t>
      </w:r>
      <w:r w:rsidRPr="00000FBE">
        <w:t xml:space="preserve">Committee for </w:t>
      </w:r>
      <w:r w:rsidR="00560279" w:rsidRPr="00000FBE">
        <w:t xml:space="preserve">Medicinal Products </w:t>
      </w:r>
      <w:r w:rsidRPr="00000FBE">
        <w:t xml:space="preserve">for </w:t>
      </w:r>
      <w:r w:rsidR="00560279" w:rsidRPr="00000FBE">
        <w:t xml:space="preserve">Human Use </w:t>
      </w:r>
      <w:r w:rsidRPr="00000FBE">
        <w:t>(CHMP)</w:t>
      </w:r>
      <w:r>
        <w:t xml:space="preserve">, ICH guideline S6 (R1) </w:t>
      </w:r>
      <w:r w:rsidR="00560279">
        <w:t>-</w:t>
      </w:r>
      <w:r>
        <w:t xml:space="preserve"> </w:t>
      </w:r>
      <w:r w:rsidR="00560279">
        <w:t xml:space="preserve">Preclinical Safety Evaluation of Biotechnology-Derived Pharmaceuticals, </w:t>
      </w:r>
      <w:r w:rsidR="00560279" w:rsidRPr="003C1AE3">
        <w:t>EMA/CHMP/ICH/731268/1998</w:t>
      </w:r>
      <w:r w:rsidR="00560279">
        <w:t xml:space="preserve">, </w:t>
      </w:r>
      <w:r w:rsidR="00560279" w:rsidRPr="00560279">
        <w:t>June 2011</w:t>
      </w:r>
      <w:r w:rsidR="00560279">
        <w:t>.</w:t>
      </w:r>
    </w:p>
    <w:p w14:paraId="3B811CDA" w14:textId="500C7F95" w:rsidR="008E7846" w:rsidRPr="00655F66" w:rsidRDefault="008E7846" w:rsidP="008E7846">
      <w:pPr>
        <w:pStyle w:val="Heading3"/>
      </w:pPr>
      <w:bookmarkStart w:id="31" w:name="_Toc126579873"/>
      <w:r w:rsidRPr="00655F66">
        <w:lastRenderedPageBreak/>
        <w:t>Quality</w:t>
      </w:r>
      <w:bookmarkEnd w:id="29"/>
      <w:bookmarkEnd w:id="30"/>
      <w:bookmarkEnd w:id="31"/>
    </w:p>
    <w:p w14:paraId="62425788" w14:textId="33868364" w:rsidR="006365F2" w:rsidRPr="00655F66" w:rsidRDefault="006365F2" w:rsidP="006365F2">
      <w:r w:rsidRPr="00655F66">
        <w:t>Dostarlimab is a glycosylated IgG4 monoclonal antibody that selectively binds to PD-1. The molecular weight is approximately 14</w:t>
      </w:r>
      <w:r w:rsidR="002A5FA9" w:rsidRPr="00655F66">
        <w:t>4</w:t>
      </w:r>
      <w:r w:rsidRPr="00655F66">
        <w:t xml:space="preserve"> </w:t>
      </w:r>
      <w:proofErr w:type="spellStart"/>
      <w:r w:rsidRPr="00655F66">
        <w:t>kD</w:t>
      </w:r>
      <w:proofErr w:type="spellEnd"/>
      <w:r w:rsidRPr="00655F66">
        <w:t xml:space="preserve"> comprising 2 identical heavy chains and 2</w:t>
      </w:r>
      <w:r w:rsidR="002A5FA9" w:rsidRPr="00655F66">
        <w:t> </w:t>
      </w:r>
      <w:r w:rsidRPr="00655F66">
        <w:t>identical light chains linked through intra- and inter-chain disulfide bonds.</w:t>
      </w:r>
    </w:p>
    <w:p w14:paraId="2624DE90" w14:textId="62988853" w:rsidR="006365F2" w:rsidRPr="00655F66" w:rsidRDefault="006365F2" w:rsidP="006365F2">
      <w:r w:rsidRPr="00655F66">
        <w:t>The active ingredient was produced using recombinant DNA technology. Information about the manufacturing, storage and control facilities for the active substance ha</w:t>
      </w:r>
      <w:r w:rsidR="00BF0F3D">
        <w:t>ve</w:t>
      </w:r>
      <w:r w:rsidRPr="00655F66">
        <w:t xml:space="preserve"> been provided.</w:t>
      </w:r>
    </w:p>
    <w:p w14:paraId="6F7B1233" w14:textId="418E30B8" w:rsidR="006365F2" w:rsidRPr="00655F66" w:rsidRDefault="006365F2" w:rsidP="006365F2">
      <w:r w:rsidRPr="00655F66">
        <w:t>The dostarlimab active substance is manufactured from Chinese hamster ovary cells in distinct batches.</w:t>
      </w:r>
    </w:p>
    <w:p w14:paraId="544A6956" w14:textId="33602391" w:rsidR="006365F2" w:rsidRPr="00655F66" w:rsidRDefault="006365F2" w:rsidP="006365F2">
      <w:r w:rsidRPr="00655F66">
        <w:t xml:space="preserve">Dostarlimab active substance is in </w:t>
      </w:r>
      <w:r w:rsidR="002A5FA9" w:rsidRPr="00655F66">
        <w:t xml:space="preserve">drug substance </w:t>
      </w:r>
      <w:r w:rsidRPr="00655F66">
        <w:t>bottles stored</w:t>
      </w:r>
      <w:r w:rsidR="00516F8B" w:rsidRPr="00655F66">
        <w:t xml:space="preserve"> at</w:t>
      </w:r>
      <w:r w:rsidRPr="00655F66">
        <w:t xml:space="preserve"> and shipped in qualified containers that maintain temperatures </w:t>
      </w:r>
      <w:r w:rsidR="00BF0F3D">
        <w:t>of -</w:t>
      </w:r>
      <w:r w:rsidRPr="00655F66">
        <w:t>35°C</w:t>
      </w:r>
      <w:r w:rsidR="00BF0F3D">
        <w:t xml:space="preserve"> or less</w:t>
      </w:r>
      <w:r w:rsidRPr="00655F66">
        <w:t>. From the available information the risk for patients due to substances leaching into dostarlimab active substance is negligible.</w:t>
      </w:r>
    </w:p>
    <w:p w14:paraId="45B7F317" w14:textId="54B54D03" w:rsidR="006365F2" w:rsidRPr="00655F66" w:rsidRDefault="006365F2" w:rsidP="006365F2">
      <w:r w:rsidRPr="00655F66">
        <w:t>The overall quality of the active substance was demonstrated via adequate control of the starting material, control of critical steps and intermediates, process validation, extensive characterisation using orthogonal and state</w:t>
      </w:r>
      <w:r w:rsidR="00A970CC" w:rsidRPr="00655F66">
        <w:t xml:space="preserve"> </w:t>
      </w:r>
      <w:r w:rsidRPr="00655F66">
        <w:t>of</w:t>
      </w:r>
      <w:r w:rsidR="00A970CC" w:rsidRPr="00655F66">
        <w:t xml:space="preserve"> </w:t>
      </w:r>
      <w:r w:rsidRPr="00655F66">
        <w:t>the</w:t>
      </w:r>
      <w:r w:rsidR="00A970CC" w:rsidRPr="00655F66">
        <w:t xml:space="preserve"> </w:t>
      </w:r>
      <w:r w:rsidRPr="00655F66">
        <w:t>art analytical methods, control of impurities and contaminants, generation of robust reference materials and batch analyses that covered multiple manufacturing campaigns.</w:t>
      </w:r>
    </w:p>
    <w:p w14:paraId="3CF593F2" w14:textId="5294B412" w:rsidR="006365F2" w:rsidRPr="00655F66" w:rsidRDefault="006365F2" w:rsidP="006365F2">
      <w:r w:rsidRPr="00655F66">
        <w:t>The proposed release specification for the active substance is found acceptable, with respect to test methods chosen. The proposed specification limits are based on batch analysis and stability study results. This approach is considered acceptable.</w:t>
      </w:r>
    </w:p>
    <w:p w14:paraId="1B5F2C0A" w14:textId="0BA949C4" w:rsidR="006365F2" w:rsidRPr="00655F66" w:rsidRDefault="006365F2" w:rsidP="006365F2">
      <w:r w:rsidRPr="00655F66">
        <w:t xml:space="preserve">Dostarlimab drug </w:t>
      </w:r>
      <w:r w:rsidR="00A970CC" w:rsidRPr="00655F66">
        <w:t>product</w:t>
      </w:r>
      <w:r w:rsidRPr="00655F66">
        <w:t xml:space="preserve"> is presented as a clear, </w:t>
      </w:r>
      <w:r w:rsidR="00780341">
        <w:t>to slightly opalescent</w:t>
      </w:r>
      <w:r w:rsidR="00780341" w:rsidRPr="00655F66">
        <w:t xml:space="preserve"> </w:t>
      </w:r>
      <w:r w:rsidRPr="00655F66">
        <w:t xml:space="preserve">colourless to yellow solution essentially free from visible particles, for intravenous administration. The primary container closure system for the dostarlimab 50 mg/mL </w:t>
      </w:r>
      <w:r w:rsidR="00A970CC" w:rsidRPr="00655F66">
        <w:t xml:space="preserve">drug product </w:t>
      </w:r>
      <w:r w:rsidRPr="00655F66">
        <w:t xml:space="preserve">is a clear glass vial with a chlorobutyl elastomer stopper and an aluminium overseal with a flip-off cap. The </w:t>
      </w:r>
      <w:r w:rsidR="00A970CC" w:rsidRPr="00655F66">
        <w:t>drug product</w:t>
      </w:r>
      <w:r w:rsidRPr="00655F66">
        <w:t xml:space="preserve"> is provided as a sterile liquid solution for infusion and does not require reconstitution with a diluent.</w:t>
      </w:r>
    </w:p>
    <w:p w14:paraId="2D294D9B" w14:textId="5CEC00A6" w:rsidR="006365F2" w:rsidRPr="00655F66" w:rsidRDefault="006365F2" w:rsidP="006365F2">
      <w:r w:rsidRPr="00655F66">
        <w:t xml:space="preserve">All excipients are well known pharmaceutical ingredients and their quality is compliant with </w:t>
      </w:r>
      <w:r w:rsidR="00BF0F3D">
        <w:t xml:space="preserve">international </w:t>
      </w:r>
      <w:r w:rsidR="00BF0F3D" w:rsidRPr="00BF0F3D">
        <w:t>pharmacopoeial</w:t>
      </w:r>
      <w:r w:rsidR="00BF0F3D">
        <w:t xml:space="preserve"> standards</w:t>
      </w:r>
      <w:r w:rsidRPr="00655F66">
        <w:t>. The container closure is considered suitable for its intended use as demonstrated by compatibility and stability studies.</w:t>
      </w:r>
    </w:p>
    <w:p w14:paraId="26B180DA" w14:textId="602A77CF" w:rsidR="006365F2" w:rsidRPr="00655F66" w:rsidRDefault="006365F2" w:rsidP="006365F2">
      <w:r w:rsidRPr="00655F66">
        <w:t xml:space="preserve">The manufacturing process </w:t>
      </w:r>
      <w:r w:rsidR="000703C2" w:rsidRPr="00655F66">
        <w:t>and f</w:t>
      </w:r>
      <w:r w:rsidRPr="00655F66">
        <w:t>inished product comparability studies were assessed and considered satisfactory.</w:t>
      </w:r>
      <w:r w:rsidR="000703C2" w:rsidRPr="00655F66">
        <w:t xml:space="preserve"> </w:t>
      </w:r>
      <w:r w:rsidRPr="00655F66">
        <w:t>All analytical methods used for testing of the finished product are satisfactorily described in the dossier and non-compendial methods have been validated.</w:t>
      </w:r>
      <w:r w:rsidR="000703C2" w:rsidRPr="00655F66">
        <w:t xml:space="preserve"> </w:t>
      </w:r>
      <w:r w:rsidRPr="00655F66">
        <w:t>The reference standard used in the testing and release of dostarlimab finished product is the same as the one used for the testing and release of dostarlimab active substance.</w:t>
      </w:r>
      <w:r w:rsidR="000703C2" w:rsidRPr="00655F66">
        <w:t xml:space="preserve"> </w:t>
      </w:r>
      <w:r w:rsidRPr="00655F66">
        <w:t xml:space="preserve">The finished product </w:t>
      </w:r>
      <w:r w:rsidR="00A970CC" w:rsidRPr="00655F66">
        <w:t xml:space="preserve">quality control </w:t>
      </w:r>
      <w:r w:rsidRPr="00655F66">
        <w:t>for batch release includes identity, potency, purity, impurities, sterility (Ph. Eur.), bacterial endotoxin (Ph. Eur.) and several other general tests.</w:t>
      </w:r>
    </w:p>
    <w:p w14:paraId="1CE7E6CE" w14:textId="7CE828B2" w:rsidR="000703C2" w:rsidRDefault="000703C2" w:rsidP="000703C2">
      <w:r w:rsidRPr="00655F66">
        <w:t xml:space="preserve">Based upon stability data submitted by the sponsor, the recommended shelf life and storage conditions for the drug substance is 30 months when stored at </w:t>
      </w:r>
      <w:r w:rsidRPr="00655F66">
        <w:rPr>
          <w:rFonts w:eastAsiaTheme="minorHAnsi" w:cs="TimesNewRomanPSMT"/>
        </w:rPr>
        <w:t>-35°C to -90°C</w:t>
      </w:r>
      <w:r w:rsidRPr="00655F66">
        <w:t>.</w:t>
      </w:r>
      <w:r w:rsidR="00B81AC6" w:rsidRPr="00655F66">
        <w:t xml:space="preserve"> </w:t>
      </w:r>
      <w:r w:rsidRPr="00655F66">
        <w:t xml:space="preserve">The recommended shelf life and storage conditions for the drug product is 30 months when stored at </w:t>
      </w:r>
      <w:r w:rsidR="00B81AC6" w:rsidRPr="00655F66">
        <w:t>2</w:t>
      </w:r>
      <w:r w:rsidRPr="00655F66">
        <w:t xml:space="preserve">°C </w:t>
      </w:r>
      <w:r w:rsidR="00B81AC6" w:rsidRPr="00655F66">
        <w:t>to 8</w:t>
      </w:r>
      <w:r w:rsidRPr="00655F66">
        <w:t>°C. No temperature excursion from the approved conditions is allowable.</w:t>
      </w:r>
    </w:p>
    <w:p w14:paraId="1126E793" w14:textId="2BC263D4" w:rsidR="00967945" w:rsidRDefault="00967945" w:rsidP="0001725C">
      <w:r>
        <w:t xml:space="preserve">One vial of Jemperli 10 mL concentrate for solution for infusion contains 500 mg of dostarlimab (50 mg/mL) </w:t>
      </w:r>
      <w:r w:rsidR="0001725C">
        <w:t>as the active ingredient and is formulated with sodium citrate dehydrate, citric acid monohydrate, arginine hydrochloride, sodium chloride, po</w:t>
      </w:r>
      <w:r>
        <w:t>lysorbate </w:t>
      </w:r>
      <w:r w:rsidR="0001725C">
        <w:t>80 and water for injection.</w:t>
      </w:r>
    </w:p>
    <w:p w14:paraId="31D5B514" w14:textId="1B41D426" w:rsidR="0001725C" w:rsidRDefault="00967945" w:rsidP="0001725C">
      <w:r>
        <w:t xml:space="preserve">The finished product is supplied in a sealed </w:t>
      </w:r>
      <w:r w:rsidR="0001725C">
        <w:t xml:space="preserve">10 mL Type I borosilicate clear glass vial, with a grey </w:t>
      </w:r>
      <w:r>
        <w:t xml:space="preserve">stopper and </w:t>
      </w:r>
      <w:r w:rsidR="0001725C">
        <w:t xml:space="preserve">an aluminium </w:t>
      </w:r>
      <w:r>
        <w:t>flip-off cap.</w:t>
      </w:r>
    </w:p>
    <w:p w14:paraId="6609D11B" w14:textId="77777777" w:rsidR="0001725C" w:rsidRDefault="0001725C" w:rsidP="000703C2">
      <w:r>
        <w:lastRenderedPageBreak/>
        <w:t>Precautions and conditions for storage are as follows:</w:t>
      </w:r>
    </w:p>
    <w:p w14:paraId="6F492B62" w14:textId="77777777" w:rsidR="0001725C" w:rsidRDefault="0001725C" w:rsidP="00E9234C">
      <w:pPr>
        <w:pStyle w:val="ListBullet"/>
      </w:pPr>
      <w:r>
        <w:t xml:space="preserve">Jemperli should be store in a refrigerator 2°C to 8°C and not frozen. Store in the original carton until time of preparation </w:t>
      </w:r>
      <w:proofErr w:type="gramStart"/>
      <w:r>
        <w:t>in order to</w:t>
      </w:r>
      <w:proofErr w:type="gramEnd"/>
      <w:r>
        <w:t xml:space="preserve"> protect from light.</w:t>
      </w:r>
    </w:p>
    <w:p w14:paraId="51E3B34F" w14:textId="0A876042" w:rsidR="0001725C" w:rsidRDefault="0001725C" w:rsidP="00E9234C">
      <w:pPr>
        <w:pStyle w:val="ListBullet"/>
      </w:pPr>
      <w:r>
        <w:t>The prepared dose may be stored either</w:t>
      </w:r>
    </w:p>
    <w:p w14:paraId="02CE89F5" w14:textId="77777777" w:rsidR="00E9234C" w:rsidRPr="00E9234C" w:rsidRDefault="0001725C" w:rsidP="00E9234C">
      <w:pPr>
        <w:pStyle w:val="ListBullet2"/>
      </w:pPr>
      <w:r w:rsidRPr="00E9234C">
        <w:t>At room temperature up to 25ºC for no more than 6 hours from the time of dilution until the end of infusion.; or</w:t>
      </w:r>
    </w:p>
    <w:p w14:paraId="4FB96883" w14:textId="424D3806" w:rsidR="0001725C" w:rsidRPr="00E9234C" w:rsidRDefault="001D56A9" w:rsidP="00E9234C">
      <w:pPr>
        <w:pStyle w:val="ListBullet2"/>
      </w:pPr>
      <w:r>
        <w:t>u</w:t>
      </w:r>
      <w:r w:rsidR="0001725C" w:rsidRPr="00E9234C">
        <w:t>nder refrigeration at 2°C to 8°C for no more than 24 hours from time of dilution until end of infusion.</w:t>
      </w:r>
      <w:r w:rsidR="00E9234C" w:rsidRPr="00E9234C">
        <w:t xml:space="preserve"> </w:t>
      </w:r>
      <w:r w:rsidR="0001725C" w:rsidRPr="00E9234C">
        <w:t>If refrigerated, allow the diluted solution to come to room temperature prior to administration.</w:t>
      </w:r>
    </w:p>
    <w:p w14:paraId="03F43B1B" w14:textId="77777777" w:rsidR="0001725C" w:rsidRDefault="0001725C" w:rsidP="00E9234C">
      <w:pPr>
        <w:pStyle w:val="ListBullet"/>
      </w:pPr>
      <w:r>
        <w:t>After preparation of infusion:</w:t>
      </w:r>
    </w:p>
    <w:p w14:paraId="071B1217" w14:textId="77777777" w:rsidR="0001725C" w:rsidRDefault="0001725C" w:rsidP="00E9234C">
      <w:pPr>
        <w:pStyle w:val="ListBullet2"/>
      </w:pPr>
      <w:r>
        <w:t>To reduce microbiological hazard, use as soon as practicable after reconstitution/preparation.</w:t>
      </w:r>
    </w:p>
    <w:p w14:paraId="1A307219" w14:textId="6364FC70" w:rsidR="0001725C" w:rsidRDefault="0001725C" w:rsidP="00E9234C">
      <w:pPr>
        <w:pStyle w:val="ListBullet2"/>
      </w:pPr>
      <w:r>
        <w:t>If not used immediately, in-use chemical and physical stability have been demonstrated for up to 24 hours at 2°C to 8°C and up to 6 hours at room temperature (up to 25°C) from time of vial puncture to the end of administration. Due to the lack of preservative, the product must not be used beyond these storage times. Product is for single use in one patient only, discard any residue.</w:t>
      </w:r>
    </w:p>
    <w:p w14:paraId="343548D4" w14:textId="3DFD0782" w:rsidR="00967945" w:rsidRPr="00821445" w:rsidRDefault="00967945" w:rsidP="00E9234C">
      <w:pPr>
        <w:pStyle w:val="Heading4"/>
      </w:pPr>
      <w:r>
        <w:t>Conclusions and recommendation</w:t>
      </w:r>
    </w:p>
    <w:p w14:paraId="230F3C99" w14:textId="2A7D9B63" w:rsidR="00516F8B" w:rsidRPr="00655F66" w:rsidRDefault="00516F8B" w:rsidP="006365F2">
      <w:r w:rsidRPr="00655F66">
        <w:t xml:space="preserve">The quality evaluator recommended approval of dostarlimab provided the </w:t>
      </w:r>
      <w:r w:rsidR="00454A7A" w:rsidRPr="00655F66">
        <w:t>Good Manufacturing Practice (</w:t>
      </w:r>
      <w:r w:rsidRPr="00655F66">
        <w:t>GMP</w:t>
      </w:r>
      <w:r w:rsidR="00454A7A" w:rsidRPr="00655F66">
        <w:t>)</w:t>
      </w:r>
      <w:r w:rsidR="00454A7A" w:rsidRPr="00655F66">
        <w:rPr>
          <w:rStyle w:val="FootnoteReference"/>
        </w:rPr>
        <w:footnoteReference w:id="5"/>
      </w:r>
      <w:r w:rsidRPr="00655F66">
        <w:t xml:space="preserve"> certification for all sites is obtained. GMP certification has been provided to the TGA prior to approval.</w:t>
      </w:r>
    </w:p>
    <w:p w14:paraId="525B7C31" w14:textId="06847163" w:rsidR="006365F2" w:rsidRPr="00655F66" w:rsidRDefault="006365F2" w:rsidP="006365F2">
      <w:pPr>
        <w:pStyle w:val="Heading4"/>
      </w:pPr>
      <w:r w:rsidRPr="00655F66">
        <w:t>Quality related conditions of registration</w:t>
      </w:r>
    </w:p>
    <w:p w14:paraId="5E0157F4" w14:textId="194F4CCD" w:rsidR="006365F2" w:rsidRPr="00655F66" w:rsidRDefault="006365F2" w:rsidP="006365F2">
      <w:pPr>
        <w:pStyle w:val="ListBullet"/>
      </w:pPr>
      <w:r w:rsidRPr="00655F66">
        <w:t xml:space="preserve">Laboratory testing </w:t>
      </w:r>
      <w:r w:rsidR="00B81AC6" w:rsidRPr="00655F66">
        <w:t>and</w:t>
      </w:r>
      <w:r w:rsidRPr="00655F66">
        <w:t xml:space="preserve"> compliance with Certified Product Details (CPD)</w:t>
      </w:r>
    </w:p>
    <w:p w14:paraId="74981057" w14:textId="5435C1BB" w:rsidR="006365F2" w:rsidRPr="00655F66" w:rsidRDefault="006365F2" w:rsidP="006365F2">
      <w:pPr>
        <w:pStyle w:val="ListBullet2"/>
      </w:pPr>
      <w:r>
        <w:t xml:space="preserve">All batches of </w:t>
      </w:r>
      <w:r w:rsidR="00B81AC6">
        <w:t>Jemperli</w:t>
      </w:r>
      <w:r>
        <w:t xml:space="preserve"> dostarlimab 500 mg solution for infusion 10 mL vial supplied in Australia must comply with the product details and specifications approved during evaluation and detailed in the Certified Product Details (CPD).</w:t>
      </w:r>
    </w:p>
    <w:p w14:paraId="08B7DE9B" w14:textId="413A0B61" w:rsidR="006365F2" w:rsidRPr="00655F66" w:rsidRDefault="006365F2" w:rsidP="006365F2">
      <w:pPr>
        <w:pStyle w:val="ListBullet2"/>
      </w:pPr>
      <w:r w:rsidRPr="00655F66">
        <w:t xml:space="preserve">When requested by the TGA, the </w:t>
      </w:r>
      <w:r w:rsidR="00B81AC6" w:rsidRPr="00655F66">
        <w:t>sponsor</w:t>
      </w:r>
      <w:r w:rsidRPr="00655F66">
        <w:t xml:space="preserve"> should be prepared to provide product samples, specified reference materials and documentary evidence to enable the TGA to conduct laboratory testing on the </w:t>
      </w:r>
      <w:r w:rsidR="00B81AC6" w:rsidRPr="00655F66">
        <w:t>product</w:t>
      </w:r>
      <w:r w:rsidRPr="00655F66">
        <w:t xml:space="preserve">. Outcomes of laboratory testing are published biannually in the TGA Database of Laboratory Testing Results </w:t>
      </w:r>
      <w:hyperlink r:id="rId21" w:history="1">
        <w:r w:rsidR="00B81AC6" w:rsidRPr="00655F66">
          <w:rPr>
            <w:rStyle w:val="Hyperlink"/>
          </w:rPr>
          <w:t>http://www.tga.gov.au/ws-labs-index</w:t>
        </w:r>
      </w:hyperlink>
      <w:r w:rsidR="00B81AC6" w:rsidRPr="00655F66">
        <w:t xml:space="preserve"> </w:t>
      </w:r>
      <w:r w:rsidRPr="00655F66">
        <w:t>and periodically in testing reports on the TGA website.</w:t>
      </w:r>
    </w:p>
    <w:p w14:paraId="10E3A3AC" w14:textId="77777777" w:rsidR="006365F2" w:rsidRPr="00655F66" w:rsidRDefault="006365F2" w:rsidP="006365F2">
      <w:pPr>
        <w:pStyle w:val="ListBullet"/>
      </w:pPr>
      <w:r w:rsidRPr="00655F66">
        <w:t>Certified Product Details</w:t>
      </w:r>
    </w:p>
    <w:p w14:paraId="080ABC47" w14:textId="6AD35197" w:rsidR="006365F2" w:rsidRPr="00655F66" w:rsidRDefault="006365F2" w:rsidP="006365F2">
      <w:pPr>
        <w:pStyle w:val="ListBullet"/>
        <w:numPr>
          <w:ilvl w:val="0"/>
          <w:numId w:val="0"/>
        </w:numPr>
        <w:ind w:left="360"/>
      </w:pPr>
      <w:r w:rsidRPr="00655F66">
        <w:t xml:space="preserve">The Certified Product Details (CPD), as described in Guidance 7: Certified Product Details of the Australian Regulatory Guidelines for Prescription Medicines (ARGPM) </w:t>
      </w:r>
      <w:hyperlink r:id="rId22" w:history="1">
        <w:r w:rsidRPr="00655F66">
          <w:rPr>
            <w:rStyle w:val="Hyperlink"/>
          </w:rPr>
          <w:t>http://www.tga.gov.au/industry/pm-argpm-guidance-7.htm</w:t>
        </w:r>
      </w:hyperlink>
      <w:r w:rsidRPr="00655F66">
        <w:t xml:space="preserve">, in </w:t>
      </w:r>
      <w:r w:rsidR="00ED0DA0" w:rsidRPr="00655F66">
        <w:t>portable document format (PD</w:t>
      </w:r>
      <w:r w:rsidRPr="00655F66">
        <w:t>F</w:t>
      </w:r>
      <w:r w:rsidR="00ED0DA0" w:rsidRPr="00655F66">
        <w:t>)</w:t>
      </w:r>
      <w:r w:rsidRPr="00655F66">
        <w:t xml:space="preserve">, for the above products should be provided upon registration of these therapeutic goods. In addition, an updated CPD should be provided when changes to </w:t>
      </w:r>
      <w:r w:rsidRPr="00655F66">
        <w:lastRenderedPageBreak/>
        <w:t>finished product specifications and test methods are approved in a Category 3 application</w:t>
      </w:r>
      <w:r w:rsidR="00ED0DA0" w:rsidRPr="00655F66">
        <w:t>;</w:t>
      </w:r>
      <w:r w:rsidR="00ED0DA0" w:rsidRPr="00655F66">
        <w:rPr>
          <w:rStyle w:val="FootnoteReference"/>
        </w:rPr>
        <w:footnoteReference w:id="6"/>
      </w:r>
      <w:r w:rsidRPr="00655F66">
        <w:t xml:space="preserve"> or notified through a self-assessable change.</w:t>
      </w:r>
    </w:p>
    <w:p w14:paraId="1EE5AB83" w14:textId="47EE0764" w:rsidR="006365F2" w:rsidRPr="00655F66" w:rsidRDefault="006365F2" w:rsidP="006365F2">
      <w:pPr>
        <w:pStyle w:val="ListBullet"/>
        <w:numPr>
          <w:ilvl w:val="0"/>
          <w:numId w:val="0"/>
        </w:numPr>
        <w:ind w:left="360"/>
        <w:rPr>
          <w:bCs/>
        </w:rPr>
      </w:pPr>
      <w:r w:rsidRPr="00655F66">
        <w:rPr>
          <w:bCs/>
        </w:rPr>
        <w:t xml:space="preserve">The CPD should be emailed to </w:t>
      </w:r>
      <w:hyperlink r:id="rId23" w:history="1">
        <w:r w:rsidR="00B81AC6" w:rsidRPr="00655F66">
          <w:rPr>
            <w:rStyle w:val="Hyperlink"/>
            <w:bCs/>
          </w:rPr>
          <w:t>biochemistry.testing@health.gov.au</w:t>
        </w:r>
      </w:hyperlink>
      <w:r w:rsidRPr="00655F66">
        <w:rPr>
          <w:bCs/>
        </w:rPr>
        <w:t xml:space="preserve"> as a single PDF document.</w:t>
      </w:r>
    </w:p>
    <w:p w14:paraId="716C2FD5" w14:textId="21FE994A" w:rsidR="008E7846" w:rsidRPr="00655F66" w:rsidRDefault="008E7846" w:rsidP="008E7846">
      <w:pPr>
        <w:pStyle w:val="Heading3"/>
      </w:pPr>
      <w:bookmarkStart w:id="32" w:name="_Toc314842512"/>
      <w:bookmarkStart w:id="33" w:name="_Toc126579874"/>
      <w:r w:rsidRPr="00655F66">
        <w:t>Nonclinical</w:t>
      </w:r>
      <w:bookmarkEnd w:id="32"/>
      <w:bookmarkEnd w:id="33"/>
    </w:p>
    <w:p w14:paraId="75A7F93A" w14:textId="64E1D783" w:rsidR="006365F2" w:rsidRPr="00655F66" w:rsidRDefault="006365F2" w:rsidP="006365F2">
      <w:r w:rsidRPr="00655F66">
        <w:t>The nonclinical evaluat</w:t>
      </w:r>
      <w:r w:rsidR="00967945">
        <w:t>ion raised</w:t>
      </w:r>
      <w:r w:rsidRPr="00655F66">
        <w:t xml:space="preserve"> no objections to the registration of dostarlimab.</w:t>
      </w:r>
    </w:p>
    <w:p w14:paraId="48112F44" w14:textId="4715BC6B" w:rsidR="006365F2" w:rsidRPr="00655F66" w:rsidRDefault="006365F2" w:rsidP="006365F2">
      <w:r w:rsidRPr="00655F66">
        <w:t xml:space="preserve">The key findings from the nonclinical evaluation </w:t>
      </w:r>
      <w:r w:rsidR="00967945">
        <w:t>are summarised below.</w:t>
      </w:r>
    </w:p>
    <w:p w14:paraId="564F0DA8" w14:textId="70D42775" w:rsidR="006365F2" w:rsidRPr="00655F66" w:rsidRDefault="006365F2" w:rsidP="003C1AE3">
      <w:r w:rsidRPr="00655F66">
        <w:t>The overall quality of the nonclinical dossier was high, all pivotal safety</w:t>
      </w:r>
      <w:r w:rsidR="00B81AC6" w:rsidRPr="00655F66">
        <w:t xml:space="preserve"> </w:t>
      </w:r>
      <w:r w:rsidRPr="00655F66">
        <w:t xml:space="preserve">related studies were </w:t>
      </w:r>
      <w:r w:rsidR="004E2B83" w:rsidRPr="00655F66">
        <w:t>Good Laboratory Practice</w:t>
      </w:r>
      <w:r w:rsidR="00000FBE">
        <w:t>;</w:t>
      </w:r>
      <w:r w:rsidR="00ED0DA0" w:rsidRPr="00655F66">
        <w:rPr>
          <w:rStyle w:val="FootnoteReference"/>
        </w:rPr>
        <w:footnoteReference w:id="7"/>
      </w:r>
      <w:r w:rsidRPr="00655F66">
        <w:t xml:space="preserve"> compliant and the dossier was in accordance with the relevant </w:t>
      </w:r>
      <w:r w:rsidR="00ED0DA0" w:rsidRPr="00655F66">
        <w:t>International Council for Harmonisation (</w:t>
      </w:r>
      <w:r w:rsidRPr="00655F66">
        <w:t>ICH</w:t>
      </w:r>
      <w:r w:rsidR="00ED0DA0" w:rsidRPr="00655F66">
        <w:t>);</w:t>
      </w:r>
      <w:r w:rsidR="00ED0DA0" w:rsidRPr="00655F66">
        <w:rPr>
          <w:rStyle w:val="FootnoteReference"/>
        </w:rPr>
        <w:footnoteReference w:id="8"/>
      </w:r>
      <w:r w:rsidRPr="00655F66">
        <w:t xml:space="preserve"> guideline</w:t>
      </w:r>
      <w:r w:rsidR="00B81AC6" w:rsidRPr="00655F66">
        <w:t>.</w:t>
      </w:r>
      <w:r w:rsidR="00B81AC6" w:rsidRPr="00655F66">
        <w:rPr>
          <w:rStyle w:val="FootnoteReference"/>
        </w:rPr>
        <w:footnoteReference w:id="9"/>
      </w:r>
    </w:p>
    <w:p w14:paraId="31CBCA96" w14:textId="249CF1E8" w:rsidR="006365F2" w:rsidRPr="00655F66" w:rsidRDefault="006365F2" w:rsidP="003C1AE3">
      <w:r>
        <w:t xml:space="preserve">The primary pharmacology studies broadly supported the proposed mechanism of action for dostarlimab. In </w:t>
      </w:r>
      <w:r w:rsidRPr="2EFD2039">
        <w:rPr>
          <w:i/>
          <w:iCs/>
        </w:rPr>
        <w:t>in vitro</w:t>
      </w:r>
      <w:r>
        <w:t xml:space="preserve"> binding studies, dostarlimab demonstrated binding to human PD-1 at an average </w:t>
      </w:r>
      <w:r w:rsidR="004E2B83">
        <w:t>`half maximal effective concentration (</w:t>
      </w:r>
      <w:r>
        <w:t>EC</w:t>
      </w:r>
      <w:r w:rsidRPr="2EFD2039">
        <w:rPr>
          <w:vertAlign w:val="subscript"/>
        </w:rPr>
        <w:t>50</w:t>
      </w:r>
      <w:r w:rsidR="004E2B83">
        <w:t xml:space="preserve">) </w:t>
      </w:r>
      <w:r>
        <w:t xml:space="preserve">of 2.8 </w:t>
      </w:r>
      <w:proofErr w:type="spellStart"/>
      <w:r>
        <w:t>nM</w:t>
      </w:r>
      <w:proofErr w:type="spellEnd"/>
      <w:r>
        <w:t xml:space="preserve"> and, blocking of PD-L1 and PD-L2 binding with </w:t>
      </w:r>
      <w:proofErr w:type="gramStart"/>
      <w:r>
        <w:t>an</w:t>
      </w:r>
      <w:proofErr w:type="gramEnd"/>
      <w:r>
        <w:t xml:space="preserve"> </w:t>
      </w:r>
      <w:r w:rsidR="004E2B83">
        <w:t>half maximal inhibitory concentration (</w:t>
      </w:r>
      <w:r>
        <w:t>IC</w:t>
      </w:r>
      <w:r w:rsidRPr="2EFD2039">
        <w:rPr>
          <w:vertAlign w:val="subscript"/>
        </w:rPr>
        <w:t>50</w:t>
      </w:r>
      <w:r w:rsidR="004E2B83">
        <w:t xml:space="preserve">) </w:t>
      </w:r>
      <w:r>
        <w:t xml:space="preserve">of 1.8 </w:t>
      </w:r>
      <w:proofErr w:type="spellStart"/>
      <w:r>
        <w:t>nM</w:t>
      </w:r>
      <w:proofErr w:type="spellEnd"/>
      <w:r>
        <w:t xml:space="preserve"> and 1.5 </w:t>
      </w:r>
      <w:proofErr w:type="spellStart"/>
      <w:r>
        <w:t>nM</w:t>
      </w:r>
      <w:proofErr w:type="spellEnd"/>
      <w:r>
        <w:t xml:space="preserve">, respectively. The </w:t>
      </w:r>
      <w:r w:rsidR="006624F5">
        <w:t>dissociation constant (</w:t>
      </w:r>
      <w:r>
        <w:t>K</w:t>
      </w:r>
      <w:r w:rsidRPr="2EFD2039">
        <w:rPr>
          <w:vertAlign w:val="subscript"/>
        </w:rPr>
        <w:t>D</w:t>
      </w:r>
      <w:r w:rsidR="006624F5">
        <w:t xml:space="preserve">) </w:t>
      </w:r>
      <w:r>
        <w:t>for PD-1 receptor binding was 2</w:t>
      </w:r>
      <w:r w:rsidR="00F035BB">
        <w:t> </w:t>
      </w:r>
      <w:r>
        <w:t xml:space="preserve">to 4 </w:t>
      </w:r>
      <w:proofErr w:type="spellStart"/>
      <w:r>
        <w:t>nM</w:t>
      </w:r>
      <w:proofErr w:type="spellEnd"/>
      <w:r>
        <w:t xml:space="preserve">, which is comparable to that of nivolumab (at 3.06 </w:t>
      </w:r>
      <w:proofErr w:type="spellStart"/>
      <w:r>
        <w:t>nM</w:t>
      </w:r>
      <w:proofErr w:type="spellEnd"/>
      <w:r>
        <w:t xml:space="preserve">). An </w:t>
      </w:r>
      <w:r w:rsidRPr="2EFD2039">
        <w:rPr>
          <w:i/>
          <w:iCs/>
        </w:rPr>
        <w:t>in vitro</w:t>
      </w:r>
      <w:r>
        <w:t xml:space="preserve"> functional assay found that dostarlimab enhanced human CD4+ T cell activation based on </w:t>
      </w:r>
      <w:r w:rsidR="004E2B83">
        <w:t>interleukin (</w:t>
      </w:r>
      <w:r>
        <w:t>IL</w:t>
      </w:r>
      <w:r w:rsidR="004E2B83">
        <w:t>)</w:t>
      </w:r>
      <w:r>
        <w:t xml:space="preserve">-2 secretion in </w:t>
      </w:r>
      <w:r w:rsidR="00F035BB">
        <w:t>mixed lymphocyte reaction</w:t>
      </w:r>
      <w:r>
        <w:t xml:space="preserve"> assays (</w:t>
      </w:r>
      <w:r w:rsidR="00B81AC6">
        <w:t>EC</w:t>
      </w:r>
      <w:r w:rsidR="00B81AC6" w:rsidRPr="2EFD2039">
        <w:rPr>
          <w:vertAlign w:val="subscript"/>
        </w:rPr>
        <w:t>50</w:t>
      </w:r>
      <w:r>
        <w:t xml:space="preserve"> 0.13</w:t>
      </w:r>
      <w:r w:rsidR="00F035BB">
        <w:t xml:space="preserve"> to </w:t>
      </w:r>
      <w:r>
        <w:t xml:space="preserve">2 </w:t>
      </w:r>
      <w:proofErr w:type="spellStart"/>
      <w:r>
        <w:t>nM</w:t>
      </w:r>
      <w:proofErr w:type="spellEnd"/>
      <w:r>
        <w:t>, comparable to nivolumab). Cross</w:t>
      </w:r>
      <w:r w:rsidR="00F035BB">
        <w:t xml:space="preserve"> </w:t>
      </w:r>
      <w:r>
        <w:t xml:space="preserve">species reactivity studies demonstrated high levels of cynomolgus monkey and human </w:t>
      </w:r>
      <w:r w:rsidR="00F035BB">
        <w:t>peripheral blood mononuclear cells (</w:t>
      </w:r>
      <w:r>
        <w:t>PBMC</w:t>
      </w:r>
      <w:r w:rsidR="00F035BB">
        <w:t>)</w:t>
      </w:r>
      <w:r>
        <w:t xml:space="preserve"> binding compared with mouse, </w:t>
      </w:r>
      <w:proofErr w:type="gramStart"/>
      <w:r>
        <w:t>rat</w:t>
      </w:r>
      <w:proofErr w:type="gramEnd"/>
      <w:r>
        <w:t xml:space="preserve"> and dog. The extent of occupancy and saturation of binding was comparable between monkey and human PBMCs. These findings </w:t>
      </w:r>
      <w:r w:rsidRPr="00BB7AED">
        <w:t>support</w:t>
      </w:r>
      <w:r>
        <w:t xml:space="preserve"> the use of cynomolgus monkey in the toxicology studies. </w:t>
      </w:r>
      <w:r w:rsidRPr="2EFD2039">
        <w:rPr>
          <w:i/>
          <w:iCs/>
        </w:rPr>
        <w:t>In vivo</w:t>
      </w:r>
      <w:r>
        <w:t>, the surrogate dostarlimab antibody decreased tumour load and increased survival following murine colon carcinoma grafts.</w:t>
      </w:r>
    </w:p>
    <w:p w14:paraId="772BFC53" w14:textId="6C4E68CE" w:rsidR="006365F2" w:rsidRPr="00655F66" w:rsidRDefault="006365F2" w:rsidP="003C1AE3">
      <w:r w:rsidRPr="00655F66">
        <w:t xml:space="preserve">The </w:t>
      </w:r>
      <w:r w:rsidRPr="00BB7AED">
        <w:t>pharmacokinetics</w:t>
      </w:r>
      <w:r w:rsidR="00F035BB" w:rsidRPr="00655F66">
        <w:t xml:space="preserve"> (PK)</w:t>
      </w:r>
      <w:r w:rsidRPr="00655F66">
        <w:t xml:space="preserve"> of dostarlimab in monkeys and human subjects was generally consistent with the protein nature of the drug</w:t>
      </w:r>
      <w:r w:rsidR="00F035BB" w:rsidRPr="00655F66">
        <w:t>.</w:t>
      </w:r>
    </w:p>
    <w:p w14:paraId="4916FA99" w14:textId="00820D6D" w:rsidR="006365F2" w:rsidRPr="00BB7AED" w:rsidRDefault="006365F2" w:rsidP="003C1AE3">
      <w:r w:rsidRPr="00655F66">
        <w:t xml:space="preserve">Dostarlimab is unlikely to demonstrate complement dependent cytotoxicity due to negligible binding to C1q. Dostarlimab demonstrated a low affinity for Fc-γ receptor compared with </w:t>
      </w:r>
      <w:r w:rsidR="00756C1B" w:rsidRPr="00655F66">
        <w:t xml:space="preserve">immunoglobulin </w:t>
      </w:r>
      <w:r w:rsidR="00967945">
        <w:t>G</w:t>
      </w:r>
      <w:r w:rsidR="00756C1B" w:rsidRPr="00655F66">
        <w:t>1</w:t>
      </w:r>
      <w:r w:rsidR="00967945">
        <w:t xml:space="preserve"> isotype</w:t>
      </w:r>
      <w:r w:rsidR="00756C1B" w:rsidRPr="00655F66">
        <w:t xml:space="preserve"> (</w:t>
      </w:r>
      <w:r w:rsidRPr="00655F66">
        <w:t>IgG1</w:t>
      </w:r>
      <w:r w:rsidR="00756C1B" w:rsidRPr="00655F66">
        <w:t>)</w:t>
      </w:r>
      <w:r w:rsidRPr="00655F66">
        <w:t xml:space="preserve"> antibod</w:t>
      </w:r>
      <w:r w:rsidR="00967945">
        <w:t>ies as control</w:t>
      </w:r>
      <w:r w:rsidRPr="00655F66">
        <w:t>, thus suggesting lower potential for antibody-dependent cell</w:t>
      </w:r>
      <w:r w:rsidR="00F035BB" w:rsidRPr="00655F66">
        <w:t xml:space="preserve"> </w:t>
      </w:r>
      <w:r w:rsidRPr="00655F66">
        <w:t xml:space="preserve">mediated cytotoxicity than is generally found with IgG1 antibodies. Dostarlimab is also unlikely to induce excessive cytokine release, since </w:t>
      </w:r>
      <w:r w:rsidRPr="2EFD2039">
        <w:rPr>
          <w:i/>
          <w:iCs/>
        </w:rPr>
        <w:t>in vitro</w:t>
      </w:r>
      <w:r w:rsidRPr="00655F66">
        <w:t xml:space="preserve"> incubation with donor PBMCs did not induce significant production of </w:t>
      </w:r>
      <w:r w:rsidR="00454A7A" w:rsidRPr="00655F66">
        <w:t>interferon (</w:t>
      </w:r>
      <w:r w:rsidRPr="00655F66">
        <w:t>IFN</w:t>
      </w:r>
      <w:r w:rsidR="00454A7A" w:rsidRPr="00655F66">
        <w:t>)</w:t>
      </w:r>
      <w:r w:rsidR="00967945">
        <w:t xml:space="preserve"> gamma</w:t>
      </w:r>
      <w:r w:rsidRPr="00655F66">
        <w:t xml:space="preserve">, </w:t>
      </w:r>
      <w:r w:rsidR="00454A7A" w:rsidRPr="00655F66">
        <w:t>tumour necrosis factor (</w:t>
      </w:r>
      <w:r w:rsidRPr="00655F66">
        <w:t>TNF</w:t>
      </w:r>
      <w:r w:rsidR="00454A7A" w:rsidRPr="00655F66">
        <w:t>)</w:t>
      </w:r>
      <w:r w:rsidR="00967945">
        <w:t xml:space="preserve"> alpha</w:t>
      </w:r>
      <w:r w:rsidRPr="00655F66">
        <w:t xml:space="preserve">, </w:t>
      </w:r>
      <w:r w:rsidR="00967945">
        <w:t>and interleukin (IL)-2, IL-4,</w:t>
      </w:r>
      <w:r w:rsidRPr="00655F66">
        <w:t xml:space="preserve"> IL-6, and IL-10. Immunohistochemical assays examining cross</w:t>
      </w:r>
      <w:r w:rsidR="00F035BB" w:rsidRPr="00655F66">
        <w:t xml:space="preserve"> </w:t>
      </w:r>
      <w:r w:rsidRPr="00655F66">
        <w:t>reactivity revealed no off-target binding for dostarlimab, with staining limited to CD4+ T</w:t>
      </w:r>
      <w:r w:rsidR="00F035BB" w:rsidRPr="00655F66">
        <w:noBreakHyphen/>
      </w:r>
      <w:r w:rsidRPr="00655F66">
        <w:t>cells, CD8+ T-cells, natural killer T</w:t>
      </w:r>
      <w:r w:rsidR="00F035BB" w:rsidRPr="00655F66">
        <w:noBreakHyphen/>
      </w:r>
      <w:r w:rsidRPr="00655F66">
        <w:t>cells, B</w:t>
      </w:r>
      <w:r w:rsidR="00F035BB" w:rsidRPr="00655F66">
        <w:noBreakHyphen/>
      </w:r>
      <w:r w:rsidRPr="00655F66">
        <w:t>cells, and monocytes, consistent with the known tissue expression of PD-1</w:t>
      </w:r>
      <w:r w:rsidR="00F74BAD" w:rsidRPr="00655F66">
        <w:t>.</w:t>
      </w:r>
    </w:p>
    <w:p w14:paraId="11989A06" w14:textId="0DDDE5A8" w:rsidR="006365F2" w:rsidRPr="00655F66" w:rsidRDefault="006365F2" w:rsidP="003C1AE3">
      <w:r>
        <w:lastRenderedPageBreak/>
        <w:t>Examination of safety pharmacology (incorporated into the repeat</w:t>
      </w:r>
      <w:r w:rsidR="00975A3C">
        <w:t xml:space="preserve"> </w:t>
      </w:r>
      <w:r>
        <w:t xml:space="preserve">dose toxicity studies) revealed no effects of dostarlimab on </w:t>
      </w:r>
      <w:r w:rsidR="00F035BB" w:rsidRPr="00BB7AED">
        <w:t>central</w:t>
      </w:r>
      <w:r w:rsidR="00F035BB">
        <w:t xml:space="preserve"> nervous system</w:t>
      </w:r>
      <w:r>
        <w:t xml:space="preserve">, respiratory function, or the </w:t>
      </w:r>
      <w:r w:rsidR="00F035BB">
        <w:t>electrocardiogram</w:t>
      </w:r>
      <w:r>
        <w:t xml:space="preserve"> in monkeys.</w:t>
      </w:r>
    </w:p>
    <w:p w14:paraId="265994E0" w14:textId="7B7B713C" w:rsidR="006365F2" w:rsidRPr="00655F66" w:rsidRDefault="006365F2" w:rsidP="003C1AE3">
      <w:r>
        <w:t>Following repeat</w:t>
      </w:r>
      <w:r w:rsidR="00F035BB">
        <w:t xml:space="preserve"> </w:t>
      </w:r>
      <w:r>
        <w:t>dose administration to monkeys, the increase in dostarlimab exposure was broadly dose</w:t>
      </w:r>
      <w:r w:rsidR="00F035BB">
        <w:t xml:space="preserve"> </w:t>
      </w:r>
      <w:r>
        <w:t>proportional from 10 mg/kg, 30 mg/kg through to 100</w:t>
      </w:r>
      <w:r w:rsidR="00F035BB">
        <w:t> </w:t>
      </w:r>
      <w:r>
        <w:t xml:space="preserve">mg/kg weekly doses. No gender differences were observed in the </w:t>
      </w:r>
      <w:r w:rsidR="00967945">
        <w:t>pharmacokinetic (</w:t>
      </w:r>
      <w:r>
        <w:t>PK</w:t>
      </w:r>
      <w:r w:rsidR="00967945">
        <w:t>)</w:t>
      </w:r>
      <w:r>
        <w:t xml:space="preserve"> parameters. An increase in exposure over the treatment period suggested an accumulation of dostarlimab, which also occurs in humans. While the presence of anti-dostarlimab antibodies was detected in most animals, the titre was generally low. No difference in </w:t>
      </w:r>
      <w:r w:rsidR="00967945">
        <w:t>exposure (by area under the curve)</w:t>
      </w:r>
      <w:r>
        <w:t xml:space="preserve"> were observed between dose</w:t>
      </w:r>
      <w:r w:rsidR="00F035BB">
        <w:t xml:space="preserve"> </w:t>
      </w:r>
      <w:r>
        <w:t>matched anti-drug antibody (ADA)</w:t>
      </w:r>
      <w:r w:rsidR="00967945">
        <w:t xml:space="preserve"> </w:t>
      </w:r>
      <w:r>
        <w:t xml:space="preserve">positive animals </w:t>
      </w:r>
      <w:r w:rsidR="00967945">
        <w:t>compared with</w:t>
      </w:r>
      <w:r>
        <w:t xml:space="preserve"> ADA</w:t>
      </w:r>
      <w:r w:rsidR="00F035BB">
        <w:t xml:space="preserve"> </w:t>
      </w:r>
      <w:r>
        <w:t xml:space="preserve">negative animals. Thus, the ADA response in these animals did not appear to impact the </w:t>
      </w:r>
      <w:r w:rsidR="00756C1B">
        <w:t>PK</w:t>
      </w:r>
      <w:r>
        <w:t xml:space="preserve"> of dostarlimab.</w:t>
      </w:r>
    </w:p>
    <w:p w14:paraId="046B1C56" w14:textId="1848955A" w:rsidR="006365F2" w:rsidRPr="00655F66" w:rsidRDefault="006365F2" w:rsidP="003C1AE3">
      <w:r w:rsidRPr="00655F66">
        <w:t>No local tolerance issues were identified in the repeat dose toxicity studies.</w:t>
      </w:r>
    </w:p>
    <w:p w14:paraId="1C2ABED3" w14:textId="775D9B83" w:rsidR="006365F2" w:rsidRPr="00655F66" w:rsidRDefault="006365F2" w:rsidP="003C1AE3">
      <w:r w:rsidRPr="00655F66">
        <w:t>Repeat</w:t>
      </w:r>
      <w:r w:rsidR="00F035BB" w:rsidRPr="00655F66">
        <w:t xml:space="preserve"> </w:t>
      </w:r>
      <w:r w:rsidRPr="00655F66">
        <w:t xml:space="preserve">dose toxicity studies by the </w:t>
      </w:r>
      <w:r w:rsidR="00F035BB" w:rsidRPr="00655F66">
        <w:t>intravenous</w:t>
      </w:r>
      <w:r w:rsidRPr="00655F66">
        <w:t xml:space="preserve"> route were conducted in </w:t>
      </w:r>
      <w:r w:rsidR="00F035BB" w:rsidRPr="00655F66">
        <w:t>c</w:t>
      </w:r>
      <w:r w:rsidRPr="00655F66">
        <w:t>ynomolgus monkeys (up to 13 weeks). The studies were adequately conducted, achieving high relative exposures. A single incidence of severe skin irritation was noted which resulted in premature termination of the animal.</w:t>
      </w:r>
    </w:p>
    <w:p w14:paraId="2EE7653E" w14:textId="49B3F618" w:rsidR="006365F2" w:rsidRPr="00655F66" w:rsidRDefault="006365F2" w:rsidP="003C1AE3">
      <w:r w:rsidRPr="00655F66">
        <w:t>Minimal to moderate mononuclear cell infiltrates were observed in most tissues in the 13</w:t>
      </w:r>
      <w:r w:rsidR="00F035BB" w:rsidRPr="00655F66">
        <w:noBreakHyphen/>
      </w:r>
      <w:r w:rsidRPr="00655F66">
        <w:t xml:space="preserve">week monkey study, with mild to moderate mononuclear cell infiltrates observed in kidney, </w:t>
      </w:r>
      <w:proofErr w:type="gramStart"/>
      <w:r w:rsidRPr="00655F66">
        <w:t>liver</w:t>
      </w:r>
      <w:proofErr w:type="gramEnd"/>
      <w:r w:rsidRPr="00655F66">
        <w:t xml:space="preserve"> and heart of some animals in the mid-dose and high</w:t>
      </w:r>
      <w:r w:rsidR="00975A3C" w:rsidRPr="00655F66">
        <w:t xml:space="preserve"> </w:t>
      </w:r>
      <w:r w:rsidRPr="00655F66">
        <w:t>dose groups. The kidney, liver and heart findings are likely to be dostarlimab</w:t>
      </w:r>
      <w:r w:rsidR="00F035BB" w:rsidRPr="00655F66">
        <w:t xml:space="preserve"> </w:t>
      </w:r>
      <w:r w:rsidRPr="00655F66">
        <w:t>related, or a dostarlimab</w:t>
      </w:r>
      <w:r w:rsidR="00F035BB" w:rsidRPr="00655F66">
        <w:t xml:space="preserve"> </w:t>
      </w:r>
      <w:r w:rsidRPr="00655F66">
        <w:t>related exacerbation of background finding for this species. The cell infiltrates could be attributed to a pharmacological effect of dostarlimab. However, an ADA</w:t>
      </w:r>
      <w:r w:rsidR="00967945">
        <w:t>-</w:t>
      </w:r>
      <w:r w:rsidRPr="00655F66">
        <w:t>related effect could not be precluded given the higher incidence of ADAs detected in these dose groups, despite the low ADA titres throughout the study. Minimal perivascular mononuclear cell infiltrate was also observed in brain of some mid-dose and high</w:t>
      </w:r>
      <w:r w:rsidR="00975A3C" w:rsidRPr="00655F66">
        <w:t xml:space="preserve"> </w:t>
      </w:r>
      <w:r w:rsidRPr="00655F66">
        <w:t>dose animals. The observed effects were likely due to the pharmacological effect of dostarlimab.</w:t>
      </w:r>
    </w:p>
    <w:p w14:paraId="7E23C506" w14:textId="04A8D62A" w:rsidR="006365F2" w:rsidRPr="00655F66" w:rsidRDefault="006365F2" w:rsidP="003C1AE3">
      <w:r w:rsidRPr="00655F66">
        <w:t xml:space="preserve">No dedicated immunotoxicity studies were performed. However, endpoints related to assessment of immunotoxicity were examined in the </w:t>
      </w:r>
      <w:r w:rsidRPr="2EFD2039">
        <w:rPr>
          <w:i/>
          <w:iCs/>
        </w:rPr>
        <w:t>in vitro</w:t>
      </w:r>
      <w:r w:rsidRPr="00655F66">
        <w:t xml:space="preserve"> pharmacology studies and as part of single or repeat</w:t>
      </w:r>
      <w:r w:rsidR="00F035BB" w:rsidRPr="00655F66">
        <w:t xml:space="preserve"> </w:t>
      </w:r>
      <w:r w:rsidRPr="00655F66">
        <w:t xml:space="preserve">dose toxicity studies in cynomolgus monkeys. While the </w:t>
      </w:r>
      <w:r w:rsidRPr="2EFD2039">
        <w:rPr>
          <w:i/>
          <w:iCs/>
        </w:rPr>
        <w:t>in vitro</w:t>
      </w:r>
      <w:r w:rsidRPr="00655F66">
        <w:t xml:space="preserve"> studies (binding to FcγR1 </w:t>
      </w:r>
      <w:r w:rsidR="00F035BB" w:rsidRPr="00655F66">
        <w:t>(</w:t>
      </w:r>
      <w:r w:rsidRPr="00655F66">
        <w:t>CD64</w:t>
      </w:r>
      <w:r w:rsidR="00F035BB" w:rsidRPr="00655F66">
        <w:t>)</w:t>
      </w:r>
      <w:r w:rsidRPr="00655F66">
        <w:t>, binding to complement component C1q, and effect on cytokine release by human PBMCs) did not demonstrate significant immunotoxicity potential, skin findings consistent with the features of an immune reaction were noted in some animals in the 13-week repeat dose toxicity study. In addition, sporadic microscopic findings of an immune</w:t>
      </w:r>
      <w:r w:rsidR="00F035BB" w:rsidRPr="00655F66">
        <w:t xml:space="preserve"> </w:t>
      </w:r>
      <w:r w:rsidRPr="00655F66">
        <w:t xml:space="preserve">mediated nature were noted in the kidney, liver, or heart of </w:t>
      </w:r>
      <w:r w:rsidR="00F035BB" w:rsidRPr="00655F66">
        <w:t>one</w:t>
      </w:r>
      <w:r w:rsidRPr="00655F66">
        <w:t xml:space="preserve"> to </w:t>
      </w:r>
      <w:r w:rsidR="00F035BB" w:rsidRPr="00655F66">
        <w:t>two</w:t>
      </w:r>
      <w:r w:rsidRPr="00655F66">
        <w:t xml:space="preserve"> animals per group dosed with dostarlimab. PD</w:t>
      </w:r>
      <w:r w:rsidR="00F035BB" w:rsidRPr="00655F66">
        <w:noBreakHyphen/>
      </w:r>
      <w:r w:rsidRPr="00655F66">
        <w:t xml:space="preserve">L1 blockade has also been shown to supress immunity of mice against intracellular bacterial infection by </w:t>
      </w:r>
      <w:r w:rsidRPr="2EFD2039">
        <w:rPr>
          <w:i/>
          <w:iCs/>
        </w:rPr>
        <w:t>Listeria monocytogenes</w:t>
      </w:r>
      <w:r w:rsidRPr="00655F66">
        <w:t xml:space="preserve"> suggesting increased severity of some infections, and PD-1 deficient mice with tuberculosis infection have been shown to have reduced survival compared with wildtype mice associated with heightened inflammatory responses. Therefore, treatment with dostarlimab has the potential for enhanced immune response to infection or impaired antimicrobial immune responses.</w:t>
      </w:r>
    </w:p>
    <w:p w14:paraId="3D4A7EA7" w14:textId="38858A2C" w:rsidR="006365F2" w:rsidRPr="00655F66" w:rsidRDefault="006365F2" w:rsidP="003C1AE3">
      <w:r w:rsidRPr="00655F66">
        <w:t>No genotoxicity studies were conducted. Given the protein nature of the drug, this is considered acceptable. No carcinogenicity studies were conducted. No proliferative lesions were seen in the repeat</w:t>
      </w:r>
      <w:r w:rsidR="00975A3C" w:rsidRPr="00655F66">
        <w:t xml:space="preserve"> </w:t>
      </w:r>
      <w:r w:rsidRPr="00655F66">
        <w:t>dose toxicity study.</w:t>
      </w:r>
    </w:p>
    <w:p w14:paraId="6DE98FBA" w14:textId="63FD4329" w:rsidR="006365F2" w:rsidRPr="00655F66" w:rsidRDefault="006365F2" w:rsidP="003C1AE3">
      <w:r>
        <w:t>Reproductive and development studies were not performed owing to the potential adverse effects of the blockade of PD-1/PD-L1 (PD-1 ligand) pathway on the immune tolerance at the maternal-fetal interface; this is reasonable.</w:t>
      </w:r>
    </w:p>
    <w:p w14:paraId="73968454" w14:textId="17F4D4C2" w:rsidR="006365F2" w:rsidRPr="00655F66" w:rsidRDefault="006365F2" w:rsidP="003C1AE3">
      <w:r w:rsidRPr="00655F66">
        <w:lastRenderedPageBreak/>
        <w:t xml:space="preserve">The </w:t>
      </w:r>
      <w:r w:rsidR="00B81AC6" w:rsidRPr="00655F66">
        <w:t>sponsor</w:t>
      </w:r>
      <w:r w:rsidRPr="00655F66">
        <w:t xml:space="preserve"> has proposed Pregnancy Category D.</w:t>
      </w:r>
      <w:r w:rsidR="00454A7A" w:rsidRPr="00655F66">
        <w:rPr>
          <w:rStyle w:val="FootnoteReference"/>
        </w:rPr>
        <w:footnoteReference w:id="10"/>
      </w:r>
      <w:r w:rsidRPr="00655F66">
        <w:t xml:space="preserve"> While no dedicated reproductive development studies were conducted, given the importance of checkpoint inhibitors at the maternal</w:t>
      </w:r>
      <w:r w:rsidR="00975A3C" w:rsidRPr="00655F66">
        <w:t xml:space="preserve"> </w:t>
      </w:r>
      <w:r w:rsidRPr="00655F66">
        <w:t xml:space="preserve">fetal interface, the proposed pregnancy classification is acceptable. This category is also consistent with other products in this drug class, such as </w:t>
      </w:r>
      <w:r w:rsidR="00BB7AED">
        <w:t xml:space="preserve">the PD-(L)1 inhibitors </w:t>
      </w:r>
      <w:r w:rsidRPr="00655F66">
        <w:t xml:space="preserve">pembrolizumab, </w:t>
      </w:r>
      <w:proofErr w:type="spellStart"/>
      <w:r w:rsidRPr="00655F66">
        <w:t>cemiplimab</w:t>
      </w:r>
      <w:proofErr w:type="spellEnd"/>
      <w:r w:rsidRPr="00655F66">
        <w:t xml:space="preserve"> and nivolumab.</w:t>
      </w:r>
    </w:p>
    <w:p w14:paraId="1CE0A097" w14:textId="11491BBC" w:rsidR="006365F2" w:rsidRPr="00655F66" w:rsidRDefault="006365F2" w:rsidP="003C1AE3">
      <w:r>
        <w:t>Dostarlimab is not proposed for paediatric use and no specific studies in juvenile animals were submitted.</w:t>
      </w:r>
    </w:p>
    <w:p w14:paraId="1D84649B" w14:textId="3F4B79CF" w:rsidR="008E7846" w:rsidRPr="00655F66" w:rsidRDefault="008E7846" w:rsidP="008E7846">
      <w:pPr>
        <w:pStyle w:val="Heading3"/>
      </w:pPr>
      <w:bookmarkStart w:id="34" w:name="_Toc247691530"/>
      <w:bookmarkStart w:id="35" w:name="_Toc314842513"/>
      <w:bookmarkStart w:id="36" w:name="_Toc126579875"/>
      <w:r w:rsidRPr="00655F66">
        <w:t>Clinical</w:t>
      </w:r>
      <w:bookmarkEnd w:id="34"/>
      <w:bookmarkEnd w:id="35"/>
      <w:bookmarkEnd w:id="36"/>
    </w:p>
    <w:p w14:paraId="5465DF98" w14:textId="4D8CD071" w:rsidR="0074163C" w:rsidRPr="00655F66" w:rsidRDefault="0074163C" w:rsidP="0074163C">
      <w:pPr>
        <w:pStyle w:val="Heading4"/>
      </w:pPr>
      <w:bookmarkStart w:id="37" w:name="_Toc98931928"/>
      <w:r w:rsidRPr="00655F66">
        <w:t>Summary of clinical studies</w:t>
      </w:r>
      <w:bookmarkEnd w:id="37"/>
    </w:p>
    <w:p w14:paraId="1D239280" w14:textId="5FF138E6" w:rsidR="0074163C" w:rsidRPr="00655F66" w:rsidRDefault="00975A3C" w:rsidP="00975A3C">
      <w:r w:rsidRPr="00655F66">
        <w:t>The following Phase I clinical study is relevant to this submission: Study</w:t>
      </w:r>
      <w:r w:rsidR="00BD5F0E" w:rsidRPr="00655F66">
        <w:t> </w:t>
      </w:r>
      <w:r w:rsidRPr="00655F66">
        <w:t>4010-01-001 (also known as the GARNET trial)</w:t>
      </w:r>
    </w:p>
    <w:p w14:paraId="50F6A305" w14:textId="69DEDE82" w:rsidR="006365F2" w:rsidRPr="00655F66" w:rsidRDefault="00BB7AED" w:rsidP="006365F2">
      <w:pPr>
        <w:pStyle w:val="Heading5"/>
      </w:pPr>
      <w:r>
        <w:t>Study 4010-01-001</w:t>
      </w:r>
      <w:r w:rsidR="009205A1">
        <w:t xml:space="preserve"> (GARNET trial)</w:t>
      </w:r>
    </w:p>
    <w:p w14:paraId="20D8CBCA" w14:textId="59ED87E0" w:rsidR="006365F2" w:rsidRPr="00655F66" w:rsidRDefault="006365F2" w:rsidP="006365F2">
      <w:r w:rsidRPr="00655F66">
        <w:t xml:space="preserve">The GARNET </w:t>
      </w:r>
      <w:r w:rsidR="00975A3C" w:rsidRPr="00655F66">
        <w:t>trial</w:t>
      </w:r>
      <w:r w:rsidRPr="00655F66">
        <w:t xml:space="preserve"> provides the pharmacology and clinical data that support the requested indication. This is an ongoing, multicentre, multinational, open</w:t>
      </w:r>
      <w:r w:rsidR="00975A3C" w:rsidRPr="00655F66">
        <w:t xml:space="preserve"> </w:t>
      </w:r>
      <w:r w:rsidRPr="00655F66">
        <w:t>label, first</w:t>
      </w:r>
      <w:r w:rsidR="00975A3C" w:rsidRPr="00655F66">
        <w:t xml:space="preserve"> </w:t>
      </w:r>
      <w:r w:rsidRPr="00655F66">
        <w:t>in</w:t>
      </w:r>
      <w:r w:rsidR="00975A3C" w:rsidRPr="00655F66">
        <w:t xml:space="preserve"> </w:t>
      </w:r>
      <w:r w:rsidRPr="00655F66">
        <w:t>human study with dose escalation and expansion cohorts in patients with recurrent or advanced solid tumours, conducted in two main parts.</w:t>
      </w:r>
    </w:p>
    <w:p w14:paraId="08826FD9" w14:textId="6C411742" w:rsidR="00BD5F0E" w:rsidRPr="00655F66" w:rsidRDefault="00BD5F0E" w:rsidP="006365F2">
      <w:r w:rsidRPr="00655F66">
        <w:t xml:space="preserve">Part 1 of the study (ascending dose study) provides safety, and </w:t>
      </w:r>
      <w:r w:rsidR="009205A1">
        <w:t>pharmacokinetic (PK) and pharmacodynamics (PD)</w:t>
      </w:r>
      <w:r w:rsidRPr="00655F66">
        <w:t xml:space="preserve"> </w:t>
      </w:r>
      <w:r w:rsidR="009205A1">
        <w:t>data</w:t>
      </w:r>
      <w:r w:rsidRPr="00655F66">
        <w:t xml:space="preserve"> about dostarlimab. Part 2 of the study is divided into two parts, Part 2A and Part 2B. Part 2A investigated the safety, tolerability and added further PK data for two flat dosing cohorts. Part 2B investigated the clinical activity by solid tumour type in the recommended therapeutic dosing of 500 mg every 3 weeks for 4 cycles followed by 1</w:t>
      </w:r>
      <w:r w:rsidR="00151835" w:rsidRPr="00655F66">
        <w:t>,</w:t>
      </w:r>
      <w:r w:rsidRPr="00655F66">
        <w:t>000 mg every 6 weeks for all subsequent cycles, for up to 2 years in the study, but longer if the treating physician and the sponsor agree that the subject continues to benefit.</w:t>
      </w:r>
    </w:p>
    <w:p w14:paraId="380EB71C" w14:textId="3B8FD4DD" w:rsidR="006365F2" w:rsidRPr="00117AEB" w:rsidRDefault="006365F2" w:rsidP="00117AEB">
      <w:pPr>
        <w:pStyle w:val="FigureTitle"/>
      </w:pPr>
      <w:bookmarkStart w:id="38" w:name="_Ref84757459"/>
      <w:r w:rsidRPr="00117AEB">
        <w:lastRenderedPageBreak/>
        <w:t xml:space="preserve">Figure </w:t>
      </w:r>
      <w:r>
        <w:fldChar w:fldCharType="begin"/>
      </w:r>
      <w:r>
        <w:instrText>SEQ Figure \* ARABIC</w:instrText>
      </w:r>
      <w:r>
        <w:fldChar w:fldCharType="separate"/>
      </w:r>
      <w:r w:rsidR="000A7290">
        <w:rPr>
          <w:noProof/>
        </w:rPr>
        <w:t>1</w:t>
      </w:r>
      <w:r>
        <w:fldChar w:fldCharType="end"/>
      </w:r>
      <w:bookmarkEnd w:id="38"/>
      <w:r w:rsidR="00975A3C" w:rsidRPr="00117AEB">
        <w:t>:</w:t>
      </w:r>
      <w:r w:rsidRPr="00117AEB">
        <w:t xml:space="preserve"> </w:t>
      </w:r>
      <w:r w:rsidR="009205A1">
        <w:t>Study 4010-01-001 (</w:t>
      </w:r>
      <w:r w:rsidR="00BD5F0E" w:rsidRPr="00117AEB">
        <w:t>GARNET trial</w:t>
      </w:r>
      <w:r w:rsidR="009205A1">
        <w:t>)</w:t>
      </w:r>
      <w:r w:rsidR="00BD5F0E" w:rsidRPr="00117AEB">
        <w:t xml:space="preserve"> </w:t>
      </w:r>
      <w:r w:rsidR="00975A3C" w:rsidRPr="00117AEB">
        <w:t xml:space="preserve">Study </w:t>
      </w:r>
      <w:r w:rsidR="00BD5F0E" w:rsidRPr="00117AEB">
        <w:t>s</w:t>
      </w:r>
      <w:r w:rsidRPr="00117AEB">
        <w:t>chema</w:t>
      </w:r>
    </w:p>
    <w:p w14:paraId="279385E4" w14:textId="77777777" w:rsidR="006365F2" w:rsidRPr="00655F66" w:rsidRDefault="006365F2" w:rsidP="00117AEB">
      <w:r w:rsidRPr="00655F66">
        <w:rPr>
          <w:noProof/>
          <w:lang w:val="en-GB" w:eastAsia="en-GB"/>
        </w:rPr>
        <w:drawing>
          <wp:inline distT="0" distB="0" distL="0" distR="0" wp14:anchorId="1CF10579" wp14:editId="6ECDF846">
            <wp:extent cx="5300804" cy="3102022"/>
            <wp:effectExtent l="0" t="0" r="0" b="3175"/>
            <wp:docPr id="1" name="Picture 1" descr="Figure 1: Study 4010-01-001 (GARNET trial) Study schema&#10;&#10;The GARNET trial is an ongoing, multicenter, open label, first in human, Phase I, dose escalation study conducted in 2 parts. The study contains expansion cohorts designed to assess the safety, pharmacokinetic, pharmacodynamic, and clinical activity of the anti-programmed cell death receptor 1 antibody, dostarlimab, in participants with recurrent or advanced solid tumours.&#10;&#10;In Part 1 (dose escalation) of the study, 3 ascending weight based dose levels of dostarlimab, 1, 3, and 10 mg/kg, were evaluated using a modified 3 plus 3 design. Participants received dostarlimab via intravenous infusion in 28 day cycles every 2 weeks for up to 2 years. If dose limiting toxicities were observed in &lt; 33% of evaluable participants in any dose level, up to 6 additional participants were allowed to enrol per dose level to better characterise the pharmacokinetic / pharmacodynamic profile of dostarlimab.&#10;&#10;Part 2 of the study was conducted in 2 subparts: Part 2A (fixed dose safety evaluation cohorts) and Part 2B (expansion cohorts). In Part 2A, the safety and tolerability of dostarlimab at fixed doses of 500 mg administered every 3 weeks and 1000 mg administered every 6 weeks up to 2 years were evaluated. Participants in Part 2A who received at least 4 cycles of dostarlimab using the every 3 weeks dosing regimen were allowed to switch to the every 6 weeks dosing regimen.&#10;Part 2B of the study explored the initial signs of efficacy in expansion cohorts using this recommended therapeutic dose. In Part 2B, participants were enrolled into one of the following expansion cohorts:&#10;&#10;Cohort A1 included participants with mismatch repair deficient / microsatellite instability high endometrial cancer who progressed on or after platinum doublet therapy. Participants had received no more than 2 lines of anticancer therapy for recurrent or advanced (≥ Stage IIIB) disease.&#10;&#10;Cohort A2 included participants with mismatch repair proficient / microsatellite stable endometrial cancer who progressed on or after platinum doublet therapy. Participants had received no more than 2 lines of anticancer therapy for recurrent or advanced (≥ Stage IIIB) disease.&#10;&#10;Cohort E included participants with non-small cell lung cancer who progressed after at least one prior platinum-based systemic chemotherapy regimen for recurrent or advanced disease.&#10;&#10;Cohort F included participants with recurrent or advanced, non-endometrial mismatch repair deficient / microsatellite instability high or polymerase ε mutated solid tumours who had pharmacodynamics following up to 2 prior lines of systemic therapy for recurrent or advanced (≥ Stage IIIB) disease and who had no alternative treatment options. Prior treatment with hormone therapies alone given for recurrent or advanced disease is acceptable and does not count toward the number of anticancer therapies.&#10;&#10;Cohort G included participants with recurrent high-grade serous, endometrioid, or clear cell ovarian, fallopian tube, or primary peritoneal cancer without a known breast cancer gene mutation that is resistant to the last administered platinum therapy (disease progression &lt; 6 months from last administered dose), who had completed at least one but no more than 3 prior lines of therapy for advanced or metastatic ovarian cancer and have been treated with a platinum-based regimen, taxane agents, and bevacizu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Study 4010-01-001 (GARNET trial) Study schema&#10;&#10;The GARNET trial is an ongoing, multicenter, open label, first in human, Phase I, dose escalation study conducted in 2 parts. The study contains expansion cohorts designed to assess the safety, pharmacokinetic, pharmacodynamic, and clinical activity of the anti-programmed cell death receptor 1 antibody, dostarlimab, in participants with recurrent or advanced solid tumours.&#10;&#10;In Part 1 (dose escalation) of the study, 3 ascending weight based dose levels of dostarlimab, 1, 3, and 10 mg/kg, were evaluated using a modified 3 plus 3 design. Participants received dostarlimab via intravenous infusion in 28 day cycles every 2 weeks for up to 2 years. If dose limiting toxicities were observed in &lt; 33% of evaluable participants in any dose level, up to 6 additional participants were allowed to enrol per dose level to better characterise the pharmacokinetic / pharmacodynamic profile of dostarlimab.&#10;&#10;Part 2 of the study was conducted in 2 subparts: Part 2A (fixed dose safety evaluation cohorts) and Part 2B (expansion cohorts). In Part 2A, the safety and tolerability of dostarlimab at fixed doses of 500 mg administered every 3 weeks and 1000 mg administered every 6 weeks up to 2 years were evaluated. Participants in Part 2A who received at least 4 cycles of dostarlimab using the every 3 weeks dosing regimen were allowed to switch to the every 6 weeks dosing regimen.&#10;Part 2B of the study explored the initial signs of efficacy in expansion cohorts using this recommended therapeutic dose. In Part 2B, participants were enrolled into one of the following expansion cohorts:&#10;&#10;Cohort A1 included participants with mismatch repair deficient / microsatellite instability high endometrial cancer who progressed on or after platinum doublet therapy. Participants had received no more than 2 lines of anticancer therapy for recurrent or advanced (≥ Stage IIIB) disease.&#10;&#10;Cohort A2 included participants with mismatch repair proficient / microsatellite stable endometrial cancer who progressed on or after platinum doublet therapy. Participants had received no more than 2 lines of anticancer therapy for recurrent or advanced (≥ Stage IIIB) disease.&#10;&#10;Cohort E included participants with non-small cell lung cancer who progressed after at least one prior platinum-based systemic chemotherapy regimen for recurrent or advanced disease.&#10;&#10;Cohort F included participants with recurrent or advanced, non-endometrial mismatch repair deficient / microsatellite instability high or polymerase ε mutated solid tumours who had pharmacodynamics following up to 2 prior lines of systemic therapy for recurrent or advanced (≥ Stage IIIB) disease and who had no alternative treatment options. Prior treatment with hormone therapies alone given for recurrent or advanced disease is acceptable and does not count toward the number of anticancer therapies.&#10;&#10;Cohort G included participants with recurrent high-grade serous, endometrioid, or clear cell ovarian, fallopian tube, or primary peritoneal cancer without a known breast cancer gene mutation that is resistant to the last administered platinum therapy (disease progression &lt; 6 months from last administered dose), who had completed at least one but no more than 3 prior lines of therapy for advanced or metastatic ovarian cancer and have been treated with a platinum-based regimen, taxane agents, and bevacizumab."/>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19851" cy="3113168"/>
                    </a:xfrm>
                    <a:prstGeom prst="rect">
                      <a:avLst/>
                    </a:prstGeom>
                    <a:noFill/>
                    <a:ln>
                      <a:noFill/>
                    </a:ln>
                  </pic:spPr>
                </pic:pic>
              </a:graphicData>
            </a:graphic>
          </wp:inline>
        </w:drawing>
      </w:r>
    </w:p>
    <w:p w14:paraId="618431B3" w14:textId="60B2A904" w:rsidR="006365F2" w:rsidRPr="00117AEB" w:rsidRDefault="006365F2" w:rsidP="00117AEB">
      <w:pPr>
        <w:pStyle w:val="FigureDescription"/>
      </w:pPr>
      <w:r w:rsidRPr="00117AEB">
        <w:t>Abbreviations: DL</w:t>
      </w:r>
      <w:r w:rsidR="00117AEB">
        <w:t xml:space="preserve"> </w:t>
      </w:r>
      <w:r w:rsidRPr="00117AEB">
        <w:t>=</w:t>
      </w:r>
      <w:r w:rsidR="00117AEB">
        <w:t xml:space="preserve"> </w:t>
      </w:r>
      <w:r w:rsidRPr="00117AEB">
        <w:t>dose level; DLT</w:t>
      </w:r>
      <w:r w:rsidR="00117AEB">
        <w:t xml:space="preserve"> </w:t>
      </w:r>
      <w:r w:rsidRPr="00117AEB">
        <w:t>=</w:t>
      </w:r>
      <w:r w:rsidR="00117AEB">
        <w:t xml:space="preserve"> </w:t>
      </w:r>
      <w:r w:rsidRPr="00117AEB">
        <w:t xml:space="preserve">dose-limiting toxicity; </w:t>
      </w:r>
      <w:proofErr w:type="spellStart"/>
      <w:r w:rsidRPr="00117AEB">
        <w:t>dMMR</w:t>
      </w:r>
      <w:proofErr w:type="spellEnd"/>
      <w:r w:rsidR="00117AEB">
        <w:t xml:space="preserve"> </w:t>
      </w:r>
      <w:r w:rsidRPr="00117AEB">
        <w:t xml:space="preserve">= </w:t>
      </w:r>
      <w:r w:rsidR="000E0713">
        <w:t xml:space="preserve">DNA </w:t>
      </w:r>
      <w:r w:rsidRPr="00117AEB">
        <w:t>mismatch repair</w:t>
      </w:r>
      <w:r w:rsidR="00655F66" w:rsidRPr="00117AEB">
        <w:t xml:space="preserve"> </w:t>
      </w:r>
      <w:r w:rsidRPr="00117AEB">
        <w:t>deficient; MSI</w:t>
      </w:r>
      <w:r w:rsidR="009205A1">
        <w:noBreakHyphen/>
      </w:r>
      <w:r w:rsidRPr="00117AEB">
        <w:t>H</w:t>
      </w:r>
      <w:r w:rsidR="009205A1">
        <w:t> </w:t>
      </w:r>
      <w:r w:rsidRPr="00117AEB">
        <w:t>=</w:t>
      </w:r>
      <w:r w:rsidR="009205A1">
        <w:t> </w:t>
      </w:r>
      <w:r w:rsidRPr="00117AEB">
        <w:t xml:space="preserve">microsatellite instability-high; </w:t>
      </w:r>
      <w:proofErr w:type="spellStart"/>
      <w:r w:rsidRPr="00117AEB">
        <w:t>MMRp</w:t>
      </w:r>
      <w:proofErr w:type="spellEnd"/>
      <w:r w:rsidR="00117AEB">
        <w:t xml:space="preserve"> </w:t>
      </w:r>
      <w:r w:rsidRPr="00117AEB">
        <w:t>=</w:t>
      </w:r>
      <w:r w:rsidR="00117AEB">
        <w:t xml:space="preserve"> </w:t>
      </w:r>
      <w:r w:rsidRPr="00117AEB">
        <w:t>mismatch repair proficient; MSS</w:t>
      </w:r>
      <w:r w:rsidR="00117AEB">
        <w:t xml:space="preserve"> </w:t>
      </w:r>
      <w:r w:rsidRPr="00117AEB">
        <w:t>=</w:t>
      </w:r>
      <w:r w:rsidR="00117AEB">
        <w:t xml:space="preserve"> </w:t>
      </w:r>
      <w:r w:rsidRPr="00117AEB">
        <w:t>microsatellite stable; NSCLC</w:t>
      </w:r>
      <w:r w:rsidR="00117AEB">
        <w:t xml:space="preserve"> </w:t>
      </w:r>
      <w:r w:rsidRPr="00117AEB">
        <w:t>=</w:t>
      </w:r>
      <w:r w:rsidR="00117AEB">
        <w:t xml:space="preserve"> </w:t>
      </w:r>
      <w:r w:rsidRPr="00117AEB">
        <w:t>non-small cell</w:t>
      </w:r>
      <w:r w:rsidR="00117AEB">
        <w:t xml:space="preserve"> </w:t>
      </w:r>
      <w:r w:rsidRPr="00117AEB">
        <w:t>lung cancer; N</w:t>
      </w:r>
      <w:r w:rsidR="00117AEB">
        <w:t xml:space="preserve"> </w:t>
      </w:r>
      <w:r w:rsidRPr="00117AEB">
        <w:t>=</w:t>
      </w:r>
      <w:r w:rsidR="00117AEB">
        <w:t xml:space="preserve"> </w:t>
      </w:r>
      <w:r w:rsidRPr="00117AEB">
        <w:t xml:space="preserve">number (of patients); </w:t>
      </w:r>
      <w:proofErr w:type="spellStart"/>
      <w:r w:rsidRPr="00117AEB">
        <w:t>PDy</w:t>
      </w:r>
      <w:proofErr w:type="spellEnd"/>
      <w:r w:rsidR="00117AEB">
        <w:t xml:space="preserve"> </w:t>
      </w:r>
      <w:r w:rsidRPr="00117AEB">
        <w:t>=</w:t>
      </w:r>
      <w:r w:rsidR="00117AEB">
        <w:t xml:space="preserve"> </w:t>
      </w:r>
      <w:r w:rsidRPr="00117AEB">
        <w:t>pharmacodynamic; PK</w:t>
      </w:r>
      <w:r w:rsidR="009205A1">
        <w:t> </w:t>
      </w:r>
      <w:r w:rsidRPr="00117AEB">
        <w:t>=</w:t>
      </w:r>
      <w:r w:rsidR="009205A1">
        <w:t> </w:t>
      </w:r>
      <w:r w:rsidRPr="00117AEB">
        <w:t>pharmacokinetic; POLE-mut</w:t>
      </w:r>
      <w:r w:rsidR="00117AEB">
        <w:t xml:space="preserve"> </w:t>
      </w:r>
      <w:r w:rsidRPr="00117AEB">
        <w:t>=</w:t>
      </w:r>
      <w:r w:rsidR="00117AEB">
        <w:t xml:space="preserve"> </w:t>
      </w:r>
      <w:r w:rsidRPr="00117AEB">
        <w:t xml:space="preserve">polymerase </w:t>
      </w:r>
      <w:r w:rsidR="009205A1">
        <w:t>epsilon</w:t>
      </w:r>
      <w:r w:rsidRPr="00117AEB">
        <w:t xml:space="preserve"> mutat</w:t>
      </w:r>
      <w:r w:rsidR="009205A1">
        <w:t>ion</w:t>
      </w:r>
      <w:r w:rsidRPr="00117AEB">
        <w:t>; Q3W</w:t>
      </w:r>
      <w:r w:rsidR="00117AEB">
        <w:t xml:space="preserve"> </w:t>
      </w:r>
      <w:r w:rsidRPr="00117AEB">
        <w:t>=</w:t>
      </w:r>
      <w:r w:rsidR="00117AEB">
        <w:t xml:space="preserve"> </w:t>
      </w:r>
      <w:r w:rsidRPr="00117AEB">
        <w:t>every 3 weeks; Q6W</w:t>
      </w:r>
      <w:r w:rsidR="009205A1">
        <w:t> </w:t>
      </w:r>
      <w:r w:rsidRPr="00117AEB">
        <w:t>=</w:t>
      </w:r>
      <w:r w:rsidR="009205A1">
        <w:t> </w:t>
      </w:r>
      <w:r w:rsidRPr="00117AEB">
        <w:t>every</w:t>
      </w:r>
      <w:r w:rsidR="009205A1">
        <w:t> </w:t>
      </w:r>
      <w:r w:rsidRPr="00117AEB">
        <w:t>6</w:t>
      </w:r>
      <w:r w:rsidR="009205A1">
        <w:t> </w:t>
      </w:r>
      <w:r w:rsidRPr="00117AEB">
        <w:t>weeks;</w:t>
      </w:r>
      <w:r w:rsidR="009205A1">
        <w:t xml:space="preserve"> </w:t>
      </w:r>
      <w:r w:rsidRPr="00117AEB">
        <w:t>RP2D</w:t>
      </w:r>
      <w:r w:rsidR="00117AEB">
        <w:t xml:space="preserve"> </w:t>
      </w:r>
      <w:r w:rsidRPr="00117AEB">
        <w:t>=</w:t>
      </w:r>
      <w:r w:rsidR="00117AEB">
        <w:t xml:space="preserve"> </w:t>
      </w:r>
      <w:r w:rsidRPr="00117AEB">
        <w:t xml:space="preserve">recommended Phase </w:t>
      </w:r>
      <w:r w:rsidR="00117AEB">
        <w:t>II</w:t>
      </w:r>
      <w:r w:rsidRPr="00117AEB">
        <w:t xml:space="preserve"> dose, also known as recommended therapeutic dose:</w:t>
      </w:r>
      <w:r w:rsidR="00117AEB">
        <w:t xml:space="preserve"> </w:t>
      </w:r>
      <w:r w:rsidRPr="00117AEB">
        <w:t>500</w:t>
      </w:r>
      <w:r w:rsidR="00117AEB">
        <w:t> </w:t>
      </w:r>
      <w:r w:rsidRPr="00117AEB">
        <w:t>mg Q3W for 4 cycles followed by 1,000</w:t>
      </w:r>
      <w:r w:rsidR="00117AEB">
        <w:t> </w:t>
      </w:r>
      <w:r w:rsidRPr="00117AEB">
        <w:t>mg Q6W thereafter.</w:t>
      </w:r>
    </w:p>
    <w:p w14:paraId="1789839F" w14:textId="2E255B84" w:rsidR="006365F2" w:rsidRPr="00655F66" w:rsidRDefault="006365F2" w:rsidP="006365F2">
      <w:pPr>
        <w:pStyle w:val="Heading4"/>
      </w:pPr>
      <w:r w:rsidRPr="00655F66">
        <w:t>Pharmacology</w:t>
      </w:r>
    </w:p>
    <w:p w14:paraId="118B1E9E" w14:textId="7BCE28FF" w:rsidR="006365F2" w:rsidRPr="00655F66" w:rsidRDefault="006365F2" w:rsidP="006365F2">
      <w:r w:rsidRPr="00655F66">
        <w:t>Dostarlimab is a humanised monoclonal antibody of the IgG4 isotype. Dostarlimab binds with high affinity and specificity to PD-1, a cell surface receptor expressed on activated T</w:t>
      </w:r>
      <w:r w:rsidR="00BD5F0E" w:rsidRPr="00655F66">
        <w:noBreakHyphen/>
      </w:r>
      <w:r w:rsidRPr="00655F66">
        <w:t>cells.</w:t>
      </w:r>
    </w:p>
    <w:p w14:paraId="1A2CBE12" w14:textId="021F73FA" w:rsidR="009205A1" w:rsidRDefault="006365F2" w:rsidP="006365F2">
      <w:r w:rsidRPr="00655F66">
        <w:t>The</w:t>
      </w:r>
      <w:r w:rsidR="009205A1">
        <w:t xml:space="preserve"> pharmacokinetics</w:t>
      </w:r>
      <w:r w:rsidRPr="00655F66">
        <w:t xml:space="preserve"> were described from the GARNET </w:t>
      </w:r>
      <w:r w:rsidR="00BD5F0E" w:rsidRPr="00655F66">
        <w:t>trial</w:t>
      </w:r>
      <w:r w:rsidRPr="00655F66">
        <w:t xml:space="preserve"> observations. In Part 1, 6</w:t>
      </w:r>
      <w:r w:rsidR="00BD5F0E" w:rsidRPr="00655F66">
        <w:t> </w:t>
      </w:r>
      <w:r w:rsidRPr="00655F66">
        <w:t xml:space="preserve">patients were dosed at 1 mg/kg (3 </w:t>
      </w:r>
      <w:r w:rsidR="009205A1">
        <w:t xml:space="preserve">patients were </w:t>
      </w:r>
      <w:r w:rsidR="00454A7A" w:rsidRPr="00655F66">
        <w:t xml:space="preserve">dose-limiting toxicity </w:t>
      </w:r>
      <w:r w:rsidRPr="00655F66">
        <w:t>evaluable, 3</w:t>
      </w:r>
      <w:r w:rsidR="009205A1">
        <w:t xml:space="preserve"> were </w:t>
      </w:r>
      <w:r w:rsidRPr="00655F66">
        <w:t>PK/</w:t>
      </w:r>
      <w:r w:rsidR="009205A1">
        <w:t>PD evaluable</w:t>
      </w:r>
      <w:r w:rsidRPr="00655F66">
        <w:t xml:space="preserve">), 3 patients </w:t>
      </w:r>
      <w:r w:rsidR="009205A1">
        <w:t>were dosed at</w:t>
      </w:r>
      <w:r w:rsidRPr="00655F66">
        <w:t xml:space="preserve"> 3 mg/kg</w:t>
      </w:r>
      <w:r w:rsidR="009205A1">
        <w:t xml:space="preserve"> bodyweight</w:t>
      </w:r>
      <w:r w:rsidRPr="00655F66">
        <w:t xml:space="preserve">, and 12 patients </w:t>
      </w:r>
      <w:r w:rsidR="009205A1">
        <w:t xml:space="preserve">were dosed </w:t>
      </w:r>
      <w:r w:rsidRPr="00655F66">
        <w:t>at 10</w:t>
      </w:r>
      <w:r w:rsidR="009205A1">
        <w:t> </w:t>
      </w:r>
      <w:r w:rsidRPr="00655F66">
        <w:t xml:space="preserve">mg/kg (6 </w:t>
      </w:r>
      <w:r w:rsidR="009205A1" w:rsidRPr="00655F66">
        <w:t xml:space="preserve">dose-limiting toxicity </w:t>
      </w:r>
      <w:r w:rsidRPr="00655F66">
        <w:t>evaluable, 6 PK/PD</w:t>
      </w:r>
      <w:r w:rsidR="009205A1">
        <w:t xml:space="preserve"> evaluable</w:t>
      </w:r>
      <w:r w:rsidRPr="00655F66">
        <w:t>).</w:t>
      </w:r>
    </w:p>
    <w:p w14:paraId="39456539" w14:textId="0BB0EB01" w:rsidR="006365F2" w:rsidRPr="00655F66" w:rsidRDefault="006365F2" w:rsidP="006365F2">
      <w:r w:rsidRPr="00655F66">
        <w:t>In Part 2A, 6 patients received 500</w:t>
      </w:r>
      <w:r w:rsidR="00BD5F0E" w:rsidRPr="00655F66">
        <w:t> </w:t>
      </w:r>
      <w:r w:rsidRPr="00655F66">
        <w:t xml:space="preserve">mg </w:t>
      </w:r>
      <w:r w:rsidR="00BD5F0E" w:rsidRPr="00655F66">
        <w:t>every 3 weeks</w:t>
      </w:r>
      <w:r w:rsidRPr="00655F66">
        <w:t xml:space="preserve"> and 7 patients received 1</w:t>
      </w:r>
      <w:r w:rsidR="00151835" w:rsidRPr="00655F66">
        <w:t>,</w:t>
      </w:r>
      <w:r w:rsidRPr="00655F66">
        <w:t xml:space="preserve">000 mg </w:t>
      </w:r>
      <w:r w:rsidR="00BD5F0E" w:rsidRPr="00655F66">
        <w:t>every 6 weeks</w:t>
      </w:r>
      <w:r w:rsidRPr="00655F66">
        <w:t xml:space="preserve">. The </w:t>
      </w:r>
      <w:r w:rsidR="00756C1B" w:rsidRPr="00655F66">
        <w:t>PK</w:t>
      </w:r>
      <w:r w:rsidRPr="00655F66">
        <w:t xml:space="preserve"> was further characterised using </w:t>
      </w:r>
      <w:r w:rsidR="00DE4619" w:rsidRPr="00655F66">
        <w:t>population pharmacokinetic (</w:t>
      </w:r>
      <w:r w:rsidR="00756C1B" w:rsidRPr="00655F66">
        <w:t>P</w:t>
      </w:r>
      <w:r w:rsidRPr="00655F66">
        <w:t>op</w:t>
      </w:r>
      <w:r w:rsidR="00756C1B" w:rsidRPr="00655F66">
        <w:t>PK</w:t>
      </w:r>
      <w:r w:rsidR="00DE4619" w:rsidRPr="00655F66">
        <w:t>)</w:t>
      </w:r>
      <w:r w:rsidRPr="00655F66">
        <w:t xml:space="preserve"> modelling. The </w:t>
      </w:r>
      <w:r w:rsidR="00756C1B" w:rsidRPr="00655F66">
        <w:t>PD</w:t>
      </w:r>
      <w:r w:rsidRPr="00655F66">
        <w:t xml:space="preserve"> were described from the GARNET </w:t>
      </w:r>
      <w:r w:rsidR="00BD5F0E" w:rsidRPr="00655F66">
        <w:t xml:space="preserve">trial </w:t>
      </w:r>
      <w:r w:rsidRPr="00655F66">
        <w:t>and exposure</w:t>
      </w:r>
      <w:r w:rsidR="00BD5F0E" w:rsidRPr="00655F66">
        <w:t xml:space="preserve"> </w:t>
      </w:r>
      <w:r w:rsidRPr="00655F66">
        <w:t>response analyses.</w:t>
      </w:r>
    </w:p>
    <w:p w14:paraId="36490BCE" w14:textId="77777777" w:rsidR="006365F2" w:rsidRPr="00655F66" w:rsidRDefault="006365F2" w:rsidP="006365F2">
      <w:r w:rsidRPr="00655F66">
        <w:t>Features of the pharmacology described in the submission include:</w:t>
      </w:r>
    </w:p>
    <w:p w14:paraId="2B56BE58" w14:textId="280B2DD0" w:rsidR="006365F2" w:rsidRPr="00655F66" w:rsidRDefault="0023522E" w:rsidP="006365F2">
      <w:pPr>
        <w:pStyle w:val="ListBullet"/>
      </w:pPr>
      <w:r w:rsidRPr="00655F66">
        <w:t>Maximum observed plasma concentration (</w:t>
      </w:r>
      <w:r w:rsidR="006365F2" w:rsidRPr="00655F66">
        <w:t>C</w:t>
      </w:r>
      <w:r w:rsidR="006365F2" w:rsidRPr="00655F66">
        <w:rPr>
          <w:vertAlign w:val="subscript"/>
        </w:rPr>
        <w:t>max</w:t>
      </w:r>
      <w:r w:rsidRPr="00655F66">
        <w:t>)</w:t>
      </w:r>
      <w:r w:rsidR="006365F2" w:rsidRPr="00655F66">
        <w:t xml:space="preserve"> occurs at the end of the 30-minute infusion, with a bi-exponential decline in concentration.</w:t>
      </w:r>
    </w:p>
    <w:p w14:paraId="39D10E03" w14:textId="5040C1F8" w:rsidR="006365F2" w:rsidRPr="00655F66" w:rsidRDefault="009205A1" w:rsidP="006365F2">
      <w:pPr>
        <w:pStyle w:val="ListBullet"/>
      </w:pPr>
      <w:r>
        <w:t>Maximum concentration,</w:t>
      </w:r>
      <w:r w:rsidR="006365F2" w:rsidRPr="00655F66">
        <w:t xml:space="preserve"> </w:t>
      </w:r>
      <w:r w:rsidR="009469A9" w:rsidRPr="00655F66">
        <w:t>area under the concentration time curve from time zero to infinity (</w:t>
      </w:r>
      <w:r w:rsidR="006365F2" w:rsidRPr="00655F66">
        <w:t>AUC</w:t>
      </w:r>
      <w:r w:rsidR="006365F2" w:rsidRPr="00655F66">
        <w:rPr>
          <w:vertAlign w:val="subscript"/>
        </w:rPr>
        <w:t>0-inf</w:t>
      </w:r>
      <w:r w:rsidR="009469A9" w:rsidRPr="00655F66">
        <w:t>)</w:t>
      </w:r>
      <w:r w:rsidR="006365F2" w:rsidRPr="00655F66">
        <w:t xml:space="preserve">, and </w:t>
      </w:r>
      <w:r w:rsidR="009469A9" w:rsidRPr="00655F66">
        <w:t>area under the concentration time curve from time zero to the end of the dosing period (</w:t>
      </w:r>
      <w:r w:rsidR="006365F2" w:rsidRPr="00655F66">
        <w:t>AUC</w:t>
      </w:r>
      <w:r w:rsidR="006365F2" w:rsidRPr="00655F66">
        <w:rPr>
          <w:vertAlign w:val="subscript"/>
        </w:rPr>
        <w:t>0-tau</w:t>
      </w:r>
      <w:r w:rsidR="009469A9" w:rsidRPr="00655F66">
        <w:t xml:space="preserve">) </w:t>
      </w:r>
      <w:r w:rsidR="006365F2" w:rsidRPr="00655F66">
        <w:t>were dose proportional over the 1 mg/kg to 10</w:t>
      </w:r>
      <w:r>
        <w:t> </w:t>
      </w:r>
      <w:r w:rsidR="006365F2" w:rsidRPr="00655F66">
        <w:t>mg/kg dose range</w:t>
      </w:r>
      <w:r>
        <w:t>.</w:t>
      </w:r>
    </w:p>
    <w:p w14:paraId="24134CFA" w14:textId="3FD20553" w:rsidR="006365F2" w:rsidRPr="00655F66" w:rsidRDefault="006365F2" w:rsidP="006365F2">
      <w:pPr>
        <w:pStyle w:val="ListBullet"/>
      </w:pPr>
      <w:r w:rsidRPr="00655F66">
        <w:t xml:space="preserve">The Cycle 1 geometric mean </w:t>
      </w:r>
      <w:r w:rsidR="00151835" w:rsidRPr="00655F66">
        <w:t>half-life</w:t>
      </w:r>
      <w:r w:rsidRPr="00655F66">
        <w:t xml:space="preserve"> ranged between 244.4 to 491.0 hours (10.2 to 20.5 days) for Part 1 and Part 2A.</w:t>
      </w:r>
    </w:p>
    <w:p w14:paraId="137CDC07" w14:textId="7B4EE4B7" w:rsidR="006365F2" w:rsidRPr="00655F66" w:rsidRDefault="006365F2" w:rsidP="006365F2">
      <w:pPr>
        <w:pStyle w:val="ListBullet"/>
      </w:pPr>
      <w:r w:rsidRPr="00655F66">
        <w:lastRenderedPageBreak/>
        <w:t xml:space="preserve">Following multiple dose administration in Part 1 and 2A, based on limited available data, accumulation ranged between 180% to 374% for </w:t>
      </w:r>
      <w:r w:rsidR="00BD5F0E" w:rsidRPr="00655F66">
        <w:t>AUC</w:t>
      </w:r>
      <w:r w:rsidR="00BD5F0E" w:rsidRPr="00655F66">
        <w:rPr>
          <w:vertAlign w:val="subscript"/>
        </w:rPr>
        <w:t>0-tau</w:t>
      </w:r>
      <w:r w:rsidRPr="00655F66">
        <w:t xml:space="preserve"> and 126% to 259% for C</w:t>
      </w:r>
      <w:r w:rsidRPr="00655F66">
        <w:rPr>
          <w:vertAlign w:val="subscript"/>
        </w:rPr>
        <w:t>max</w:t>
      </w:r>
      <w:r w:rsidRPr="00655F66">
        <w:t>.</w:t>
      </w:r>
    </w:p>
    <w:p w14:paraId="3811BDC7" w14:textId="776697F6" w:rsidR="006365F2" w:rsidRPr="00655F66" w:rsidRDefault="006365F2" w:rsidP="006365F2">
      <w:pPr>
        <w:pStyle w:val="ListBullet"/>
      </w:pPr>
      <w:r>
        <w:t xml:space="preserve">The dostarlimab PK profile was described in a two-compartment </w:t>
      </w:r>
      <w:r w:rsidR="009205A1">
        <w:t>population pharmacokinetics (</w:t>
      </w:r>
      <w:r w:rsidR="00756C1B">
        <w:t>P</w:t>
      </w:r>
      <w:r>
        <w:t>opPK model</w:t>
      </w:r>
      <w:r w:rsidR="009205A1">
        <w:t>)</w:t>
      </w:r>
      <w:r>
        <w:t>, with time-dependent linear elimination. Time</w:t>
      </w:r>
      <w:r w:rsidR="00151835">
        <w:t xml:space="preserve"> </w:t>
      </w:r>
      <w:r>
        <w:t xml:space="preserve">dependency in clearance was described by a sigmoid </w:t>
      </w:r>
      <w:r w:rsidR="00655F66">
        <w:t>E</w:t>
      </w:r>
      <w:r w:rsidRPr="00A75EC4">
        <w:rPr>
          <w:vertAlign w:val="subscript"/>
        </w:rPr>
        <w:t>max</w:t>
      </w:r>
      <w:r>
        <w:t xml:space="preserve"> model.</w:t>
      </w:r>
    </w:p>
    <w:p w14:paraId="1BAA4ED7" w14:textId="370F988C" w:rsidR="006365F2" w:rsidRPr="00655F66" w:rsidRDefault="006365F2" w:rsidP="006365F2">
      <w:pPr>
        <w:pStyle w:val="ListBullet"/>
      </w:pPr>
      <w:r>
        <w:t xml:space="preserve">Dostarlimab </w:t>
      </w:r>
      <w:r w:rsidR="00151835">
        <w:t>clearance</w:t>
      </w:r>
      <w:r>
        <w:t xml:space="preserve"> at steady</w:t>
      </w:r>
      <w:r w:rsidR="00151835">
        <w:t xml:space="preserve"> </w:t>
      </w:r>
      <w:r>
        <w:t>state (full effect of time</w:t>
      </w:r>
      <w:r w:rsidR="00151835">
        <w:t xml:space="preserve"> </w:t>
      </w:r>
      <w:r>
        <w:t xml:space="preserve">dependent </w:t>
      </w:r>
      <w:r w:rsidR="00151835">
        <w:t>clearance</w:t>
      </w:r>
      <w:r>
        <w:t>) and volume of distribution at steady state were estimated to be 0.00682 L/h and 5.26 L, respectively, with a</w:t>
      </w:r>
      <w:r w:rsidR="00151835">
        <w:t xml:space="preserve"> half-life</w:t>
      </w:r>
      <w:r>
        <w:t xml:space="preserve"> of 23.5 days.</w:t>
      </w:r>
    </w:p>
    <w:p w14:paraId="6F9F55E2" w14:textId="5F5E159E" w:rsidR="006365F2" w:rsidRPr="00655F66" w:rsidRDefault="006365F2" w:rsidP="006365F2">
      <w:pPr>
        <w:pStyle w:val="ListBullet"/>
      </w:pPr>
      <w:r w:rsidRPr="00655F66">
        <w:t xml:space="preserve">Linear regression of natural log transformed </w:t>
      </w:r>
      <w:r w:rsidR="00151835" w:rsidRPr="00655F66">
        <w:t>clearance</w:t>
      </w:r>
      <w:r w:rsidRPr="00655F66">
        <w:t xml:space="preserve"> versus natural log transformed body weight indicated a trend of increasing </w:t>
      </w:r>
      <w:r w:rsidR="00151835" w:rsidRPr="00655F66">
        <w:t>clearance</w:t>
      </w:r>
      <w:r w:rsidRPr="00655F66">
        <w:t xml:space="preserve"> with increasing baseline body weight. However, this relationship was not statistically significant at the </w:t>
      </w:r>
      <w:r w:rsidR="004D0366">
        <w:t xml:space="preserve">p = </w:t>
      </w:r>
      <w:r w:rsidRPr="00655F66">
        <w:t>0</w:t>
      </w:r>
      <w:r w:rsidR="004D0366">
        <w:t>.</w:t>
      </w:r>
      <w:r w:rsidRPr="00655F66">
        <w:t>05 level. This is the basis of progressing flat dosing.</w:t>
      </w:r>
    </w:p>
    <w:p w14:paraId="4EAEBFC1" w14:textId="77777777" w:rsidR="006365F2" w:rsidRPr="00655F66" w:rsidRDefault="006365F2" w:rsidP="006365F2">
      <w:pPr>
        <w:pStyle w:val="ListBullet"/>
      </w:pPr>
      <w:r w:rsidRPr="00655F66">
        <w:t>No adjustment in dose or dosing regimen is deemed warranted based on other covariates, including age, race, gender, or ethnicity.</w:t>
      </w:r>
    </w:p>
    <w:p w14:paraId="20FF244F" w14:textId="37703606" w:rsidR="006365F2" w:rsidRPr="00655F66" w:rsidRDefault="006365F2" w:rsidP="006365F2">
      <w:pPr>
        <w:pStyle w:val="ListBullet"/>
      </w:pPr>
      <w:r w:rsidRPr="00655F66">
        <w:t xml:space="preserve">Time varying albumin demonstrated the largest impact on exposure with 25.9% lower and 15.5% higher </w:t>
      </w:r>
      <w:r w:rsidR="00DE4619" w:rsidRPr="00655F66">
        <w:t>area under the concentration time curve (</w:t>
      </w:r>
      <w:r w:rsidRPr="00655F66">
        <w:t>AUC</w:t>
      </w:r>
      <w:r w:rsidR="00DE4619" w:rsidRPr="00655F66">
        <w:t>)</w:t>
      </w:r>
      <w:r w:rsidRPr="00655F66">
        <w:t xml:space="preserve"> in a typical patient with the </w:t>
      </w:r>
      <w:r w:rsidR="00151835" w:rsidRPr="00655F66">
        <w:t>fifth</w:t>
      </w:r>
      <w:r w:rsidRPr="00655F66">
        <w:t xml:space="preserve"> and </w:t>
      </w:r>
      <w:r w:rsidR="00151835" w:rsidRPr="00655F66">
        <w:t>ninety</w:t>
      </w:r>
      <w:r w:rsidR="004D0366">
        <w:t>-</w:t>
      </w:r>
      <w:r w:rsidR="00151835" w:rsidRPr="00655F66">
        <w:t>fifth</w:t>
      </w:r>
      <w:r w:rsidRPr="00655F66">
        <w:t xml:space="preserve"> percentiles of the covariate value, respectively.</w:t>
      </w:r>
    </w:p>
    <w:p w14:paraId="7720B254" w14:textId="689A2F9D" w:rsidR="006365F2" w:rsidRPr="00655F66" w:rsidRDefault="006365F2" w:rsidP="006365F2">
      <w:pPr>
        <w:pStyle w:val="ListBullet"/>
      </w:pPr>
      <w:r>
        <w:t>No statistically significant effects of mild to moderate renal impairment and mild hepatic impairment were found on dostarlimab PK. Therefore, no dose adjustment is needed for patients with mild or moderate renal impairment or for patients with mild hepatic impairment. There are limited data in patients with severe renal impairment, end stage renal disease undergoing dialysis and moderate hepatic impairment and no data in patients with severe hepatic impairment.</w:t>
      </w:r>
    </w:p>
    <w:p w14:paraId="3C66333B" w14:textId="31337CB8" w:rsidR="006365F2" w:rsidRPr="00655F66" w:rsidRDefault="006365F2" w:rsidP="006365F2">
      <w:pPr>
        <w:pStyle w:val="ListBullet"/>
      </w:pPr>
      <w:r>
        <w:t xml:space="preserve">Dostarlimab produces a sustained, consistent engagement of the receptor and functional effects at all dose levels studied. The regimen of 500 mg </w:t>
      </w:r>
      <w:r w:rsidR="00BD5F0E">
        <w:t>every 3 weeks</w:t>
      </w:r>
      <w:r>
        <w:t xml:space="preserve"> followed by 1,000 mg </w:t>
      </w:r>
      <w:r w:rsidR="00BD5F0E">
        <w:t>every 6 weeks</w:t>
      </w:r>
      <w:r>
        <w:t xml:space="preserve"> results in full target engagement for the duration of treatment.</w:t>
      </w:r>
    </w:p>
    <w:p w14:paraId="37C83BDF" w14:textId="69ADFCE1" w:rsidR="006365F2" w:rsidRPr="00655F66" w:rsidRDefault="006365F2" w:rsidP="006365F2">
      <w:pPr>
        <w:pStyle w:val="ListBullet"/>
      </w:pPr>
      <w:r w:rsidRPr="00655F66">
        <w:t>The assessment of the exposure</w:t>
      </w:r>
      <w:r w:rsidR="00151835" w:rsidRPr="00655F66">
        <w:t xml:space="preserve"> </w:t>
      </w:r>
      <w:r w:rsidRPr="00655F66">
        <w:t xml:space="preserve">response relationships is limited because much of the observational data are derived using the single dosing regimen in the main part of the study. Nevertheless, univariate logistic regression of </w:t>
      </w:r>
      <w:r w:rsidR="004D0366">
        <w:t>objective response rate</w:t>
      </w:r>
      <w:r w:rsidR="004D0366" w:rsidRPr="00655F66">
        <w:t xml:space="preserve"> </w:t>
      </w:r>
      <w:r w:rsidRPr="00655F66">
        <w:t xml:space="preserve">in patients from Part 2B of </w:t>
      </w:r>
      <w:r w:rsidR="00BD5F0E" w:rsidRPr="00655F66">
        <w:t xml:space="preserve">the </w:t>
      </w:r>
      <w:r w:rsidRPr="00655F66">
        <w:t xml:space="preserve">GARNET </w:t>
      </w:r>
      <w:r w:rsidR="00BD5F0E" w:rsidRPr="00655F66">
        <w:t xml:space="preserve">trial </w:t>
      </w:r>
      <w:r w:rsidRPr="00655F66">
        <w:t xml:space="preserve">showed no exposure response relationship for the full dataset nor for the subgroup analysis with only </w:t>
      </w:r>
      <w:r w:rsidR="00151835" w:rsidRPr="00655F66">
        <w:t>endometrial cancer</w:t>
      </w:r>
      <w:r w:rsidRPr="00655F66">
        <w:t xml:space="preserve"> patients. Assessment of </w:t>
      </w:r>
      <w:r w:rsidR="00304CE0" w:rsidRPr="00655F66">
        <w:t xml:space="preserve">duration of response </w:t>
      </w:r>
      <w:r w:rsidRPr="00655F66">
        <w:t xml:space="preserve">exposure is limited by the smaller number of patients with </w:t>
      </w:r>
      <w:r w:rsidR="004D0366">
        <w:t>d</w:t>
      </w:r>
      <w:r w:rsidR="004D0366" w:rsidRPr="00655F66">
        <w:t xml:space="preserve">uration of response </w:t>
      </w:r>
      <w:r w:rsidRPr="00655F66">
        <w:t xml:space="preserve">reported (compared with </w:t>
      </w:r>
      <w:r w:rsidR="004D0366">
        <w:t>overall response rate</w:t>
      </w:r>
      <w:r w:rsidRPr="00655F66">
        <w:t xml:space="preserve">) and the truncation of </w:t>
      </w:r>
      <w:r w:rsidR="004D0366">
        <w:t>duration of response</w:t>
      </w:r>
      <w:r w:rsidR="004D0366" w:rsidRPr="00655F66">
        <w:t xml:space="preserve"> </w:t>
      </w:r>
      <w:r w:rsidRPr="00655F66">
        <w:t>at the time of the data cut</w:t>
      </w:r>
      <w:r w:rsidR="00304CE0" w:rsidRPr="00655F66">
        <w:t>-off</w:t>
      </w:r>
      <w:r w:rsidRPr="00655F66">
        <w:t>. None of the tested exposure metrics had a statistically significant relationship with any of the five most common drug</w:t>
      </w:r>
      <w:r w:rsidR="00975A3C" w:rsidRPr="00655F66">
        <w:t xml:space="preserve"> </w:t>
      </w:r>
      <w:r w:rsidRPr="00655F66">
        <w:t>related adverse events.</w:t>
      </w:r>
    </w:p>
    <w:p w14:paraId="17ADA0E6" w14:textId="378BBC1E" w:rsidR="006365F2" w:rsidRPr="00655F66" w:rsidRDefault="006365F2" w:rsidP="006365F2">
      <w:pPr>
        <w:pStyle w:val="ListBullet"/>
      </w:pPr>
      <w:r w:rsidRPr="00655F66">
        <w:t xml:space="preserve">There were no </w:t>
      </w:r>
      <w:r w:rsidR="00F035BB" w:rsidRPr="00655F66">
        <w:t>electrocardiogram</w:t>
      </w:r>
      <w:r w:rsidRPr="00655F66">
        <w:t xml:space="preserve"> changes that suggested a clinically signification prolongation of </w:t>
      </w:r>
      <w:r w:rsidR="00655F66">
        <w:t>QT interval corrected for heart rate using Fridericia’s formula (</w:t>
      </w:r>
      <w:proofErr w:type="spellStart"/>
      <w:r w:rsidRPr="00655F66">
        <w:t>QTcF</w:t>
      </w:r>
      <w:proofErr w:type="spellEnd"/>
      <w:r w:rsidR="00655F66">
        <w:t>)</w:t>
      </w:r>
      <w:r w:rsidR="00DE4619" w:rsidRPr="00655F66">
        <w:t>;</w:t>
      </w:r>
      <w:r w:rsidR="00DE4619" w:rsidRPr="00655F66">
        <w:rPr>
          <w:rStyle w:val="FootnoteReference"/>
        </w:rPr>
        <w:footnoteReference w:id="11"/>
      </w:r>
      <w:r w:rsidRPr="00655F66">
        <w:t xml:space="preserve"> or pro-arrhythmic effect of dostarlimab at the concentrations achieved with the currently proposed dosing regimen.</w:t>
      </w:r>
    </w:p>
    <w:p w14:paraId="7B024495" w14:textId="6A348FF9" w:rsidR="006365F2" w:rsidRPr="00655F66" w:rsidRDefault="006365F2" w:rsidP="006365F2">
      <w:pPr>
        <w:pStyle w:val="Heading5"/>
      </w:pPr>
      <w:r w:rsidRPr="00655F66">
        <w:lastRenderedPageBreak/>
        <w:t>Immunogenicity</w:t>
      </w:r>
    </w:p>
    <w:p w14:paraId="210E0EB4" w14:textId="261E9FE7" w:rsidR="006365F2" w:rsidRPr="00655F66" w:rsidRDefault="006365F2" w:rsidP="006365F2">
      <w:r w:rsidRPr="00655F66">
        <w:t xml:space="preserve">The </w:t>
      </w:r>
      <w:r w:rsidR="00151835" w:rsidRPr="00655F66">
        <w:t xml:space="preserve">clinical </w:t>
      </w:r>
      <w:r w:rsidR="004D0366">
        <w:t>evaluation</w:t>
      </w:r>
      <w:r w:rsidR="004D0366" w:rsidRPr="00655F66">
        <w:t xml:space="preserve"> </w:t>
      </w:r>
      <w:r w:rsidRPr="00655F66">
        <w:t xml:space="preserve">found limitations in the immunogenicity findings in the submission and based on the current characterisation was unable to draw any conclusions regarding the impact on safety and efficacy. In Part 2B of the study incidence of treatment-emergent positive </w:t>
      </w:r>
      <w:r w:rsidR="004D0366">
        <w:t>antidrug antibody (</w:t>
      </w:r>
      <w:r w:rsidRPr="00655F66">
        <w:t>ADA</w:t>
      </w:r>
      <w:r w:rsidR="004D0366">
        <w:t>)</w:t>
      </w:r>
      <w:r w:rsidRPr="00655F66">
        <w:t xml:space="preserve"> samples was low (8 patients, 2.1%), however 26% of patients had no post</w:t>
      </w:r>
      <w:r w:rsidR="00CE17D5" w:rsidRPr="00655F66">
        <w:noBreakHyphen/>
      </w:r>
      <w:r w:rsidRPr="00655F66">
        <w:t>baseline measurement addition uncertainty to this finding. In Part B, 4 of the 8</w:t>
      </w:r>
      <w:r w:rsidR="00CE17D5" w:rsidRPr="00655F66">
        <w:t> </w:t>
      </w:r>
      <w:r w:rsidRPr="00655F66">
        <w:t>patients with ADA had neutralising antibodies but most of these patients had pre</w:t>
      </w:r>
      <w:r w:rsidR="00CE17D5" w:rsidRPr="00655F66">
        <w:noBreakHyphen/>
      </w:r>
      <w:r w:rsidRPr="00655F66">
        <w:t>existing ADA with no post-baseline change in titre. Due to a limited number of ADA</w:t>
      </w:r>
      <w:r w:rsidR="00756C1B" w:rsidRPr="00655F66">
        <w:t xml:space="preserve"> positive</w:t>
      </w:r>
      <w:r w:rsidRPr="00655F66">
        <w:t xml:space="preserve"> (</w:t>
      </w:r>
      <w:r w:rsidR="00DE4619" w:rsidRPr="00655F66">
        <w:t>neutralising antibody</w:t>
      </w:r>
      <w:r w:rsidR="00756C1B" w:rsidRPr="00655F66">
        <w:t xml:space="preserve"> negative</w:t>
      </w:r>
      <w:r w:rsidRPr="00655F66">
        <w:t xml:space="preserve"> or </w:t>
      </w:r>
      <w:r w:rsidR="00756C1B" w:rsidRPr="00655F66">
        <w:t>positive</w:t>
      </w:r>
      <w:r w:rsidRPr="00655F66">
        <w:t xml:space="preserve">) pre-dose data, the </w:t>
      </w:r>
      <w:r w:rsidR="00151835" w:rsidRPr="00655F66">
        <w:t xml:space="preserve">clinical </w:t>
      </w:r>
      <w:r w:rsidRPr="00655F66">
        <w:t>evaluator was unable to determine the impact of immunogenicity on PK.</w:t>
      </w:r>
    </w:p>
    <w:p w14:paraId="3356CB8F" w14:textId="3FAD683E" w:rsidR="006365F2" w:rsidRDefault="006365F2" w:rsidP="006365F2">
      <w:pPr>
        <w:pStyle w:val="Heading5"/>
      </w:pPr>
      <w:r w:rsidRPr="00655F66">
        <w:t xml:space="preserve">Dose for the main </w:t>
      </w:r>
      <w:r w:rsidR="00913EAF" w:rsidRPr="00655F66">
        <w:t>study</w:t>
      </w:r>
    </w:p>
    <w:p w14:paraId="5C0D8A68" w14:textId="24BDD8C6" w:rsidR="00913EAF" w:rsidRDefault="00913EAF" w:rsidP="00913EAF">
      <w:r>
        <w:t>The objectives of the GARNET trial</w:t>
      </w:r>
      <w:r w:rsidR="004D0366">
        <w:t xml:space="preserve"> (Study 4010-01-001)</w:t>
      </w:r>
      <w:r>
        <w:t xml:space="preserve"> included determining a safe and efficacious dose of dostarlimab in participants with recurrent or advanced solid tumours. PK and PD data from the initial Part 1 of the study informed the doses selected for assessment in Part 2A, which were then used to refine the dose schedule applied </w:t>
      </w:r>
      <w:r w:rsidR="00790827">
        <w:t>in the expansion cohort in Part </w:t>
      </w:r>
      <w:r>
        <w:t>2B.</w:t>
      </w:r>
    </w:p>
    <w:p w14:paraId="30933C7B" w14:textId="0B8DFCB8" w:rsidR="00913EAF" w:rsidRPr="00913EAF" w:rsidRDefault="00913EAF" w:rsidP="00860E0D">
      <w:r>
        <w:t>Part 2B of the study explores initial signs of efficacy in prespecified tumour types usin</w:t>
      </w:r>
      <w:r w:rsidR="00790827">
        <w:t>g the recommended Phase 2 dose</w:t>
      </w:r>
      <w:r>
        <w:t xml:space="preserve"> determined from Part 1 and Part 2A. In Part 2B of the study, patients received 500 mg every 3 weeks for 4 cycles followed by 1,000 mg every six weeks thereafter, which was the recommended therapeutic dose determined from Part 1 and Part 2A data.</w:t>
      </w:r>
    </w:p>
    <w:p w14:paraId="23CC0152" w14:textId="6B199DA1" w:rsidR="006365F2" w:rsidRDefault="006365F2" w:rsidP="006365F2">
      <w:r w:rsidRPr="00655F66">
        <w:t>Dose selection was</w:t>
      </w:r>
      <w:r w:rsidR="00C95028">
        <w:t xml:space="preserve"> </w:t>
      </w:r>
      <w:r w:rsidRPr="00655F66">
        <w:t>guided by receptor occupancy analyses in peripheral blood cells that suggested full receptor occupancy occurred at dostarlimab concentrations of 2.435</w:t>
      </w:r>
      <w:r w:rsidR="00CE17D5" w:rsidRPr="00655F66">
        <w:t> </w:t>
      </w:r>
      <w:r w:rsidRPr="00655F66">
        <w:t>µg/</w:t>
      </w:r>
      <w:proofErr w:type="spellStart"/>
      <w:r w:rsidRPr="00655F66">
        <w:t>mL.</w:t>
      </w:r>
      <w:proofErr w:type="spellEnd"/>
      <w:r w:rsidRPr="00655F66">
        <w:t xml:space="preserve"> The population PK model predicted steady state trough concentrations of 51.1 and 29.2</w:t>
      </w:r>
      <w:r w:rsidR="00CE17D5" w:rsidRPr="00655F66">
        <w:t> </w:t>
      </w:r>
      <w:r w:rsidRPr="00655F66">
        <w:t>µg/mL for the 500</w:t>
      </w:r>
      <w:r w:rsidR="00CE17D5" w:rsidRPr="00655F66">
        <w:t xml:space="preserve"> </w:t>
      </w:r>
      <w:r w:rsidRPr="00655F66">
        <w:t xml:space="preserve">mg </w:t>
      </w:r>
      <w:r w:rsidR="00BD5F0E" w:rsidRPr="00655F66">
        <w:t>every 3 weeks</w:t>
      </w:r>
      <w:r w:rsidRPr="00655F66">
        <w:t xml:space="preserve"> and 1</w:t>
      </w:r>
      <w:r w:rsidR="00151835" w:rsidRPr="00655F66">
        <w:t>,</w:t>
      </w:r>
      <w:r w:rsidRPr="00655F66">
        <w:t xml:space="preserve">000 mg </w:t>
      </w:r>
      <w:r w:rsidR="00BD5F0E" w:rsidRPr="00655F66">
        <w:t>every 6 weeks</w:t>
      </w:r>
      <w:r w:rsidRPr="00655F66">
        <w:t xml:space="preserve"> dosing respectively.</w:t>
      </w:r>
      <w:r w:rsidR="00BD5F60">
        <w:rPr>
          <w:rStyle w:val="FootnoteReference"/>
        </w:rPr>
        <w:footnoteReference w:id="12"/>
      </w:r>
    </w:p>
    <w:p w14:paraId="645B6E7E" w14:textId="7D84260F" w:rsidR="006365F2" w:rsidRPr="00655F66" w:rsidRDefault="006365F2" w:rsidP="006365F2">
      <w:pPr>
        <w:pStyle w:val="Heading4"/>
      </w:pPr>
      <w:r w:rsidRPr="00655F66">
        <w:t>Efficacy</w:t>
      </w:r>
    </w:p>
    <w:p w14:paraId="0E324EBF" w14:textId="77B43FCC" w:rsidR="006365F2" w:rsidRPr="00655F66" w:rsidRDefault="006365F2" w:rsidP="006365F2">
      <w:r w:rsidRPr="00655F66">
        <w:t xml:space="preserve">Following the </w:t>
      </w:r>
      <w:r w:rsidR="00CE17D5" w:rsidRPr="00655F66">
        <w:t>second round of evaluation</w:t>
      </w:r>
      <w:r w:rsidRPr="00655F66">
        <w:t xml:space="preserve">, the </w:t>
      </w:r>
      <w:r w:rsidR="00B81AC6" w:rsidRPr="00655F66">
        <w:t>sponsor</w:t>
      </w:r>
      <w:r w:rsidRPr="00655F66">
        <w:t xml:space="preserve"> has narrowed the requested scope of the indication to include only patients whose tumours are mismatch repair deficient. Limited results from the </w:t>
      </w:r>
      <w:r w:rsidR="00176E30">
        <w:t xml:space="preserve">unknown </w:t>
      </w:r>
      <w:r w:rsidR="004D0366">
        <w:t>DNA mismatch repair</w:t>
      </w:r>
      <w:r w:rsidRPr="00655F66">
        <w:t>/</w:t>
      </w:r>
      <w:r w:rsidR="004D0366">
        <w:t>microsatellite instability</w:t>
      </w:r>
      <w:r w:rsidR="00F2715F">
        <w:t xml:space="preserve"> (MSI)</w:t>
      </w:r>
      <w:r w:rsidR="009530C3">
        <w:noBreakHyphen/>
      </w:r>
      <w:r w:rsidR="004D0366">
        <w:t>high status</w:t>
      </w:r>
      <w:r w:rsidRPr="00655F66">
        <w:t xml:space="preserve"> patients </w:t>
      </w:r>
      <w:r w:rsidR="004D0366">
        <w:t xml:space="preserve">(2 patients) </w:t>
      </w:r>
      <w:r w:rsidRPr="00655F66">
        <w:t xml:space="preserve">are presented for completeness in </w:t>
      </w:r>
      <w:r w:rsidR="00CE17D5" w:rsidRPr="00655F66">
        <w:t>the</w:t>
      </w:r>
      <w:r w:rsidRPr="00655F66">
        <w:t xml:space="preserve"> Delegate’s </w:t>
      </w:r>
      <w:r w:rsidR="00CE17D5" w:rsidRPr="00655F66">
        <w:t>o</w:t>
      </w:r>
      <w:r w:rsidRPr="00655F66">
        <w:t xml:space="preserve">verview, but the results focus on the requested </w:t>
      </w:r>
      <w:r w:rsidR="004D0366">
        <w:t xml:space="preserve">DNA mismatch repair deficient </w:t>
      </w:r>
      <w:r w:rsidRPr="00655F66">
        <w:t>population.</w:t>
      </w:r>
    </w:p>
    <w:p w14:paraId="3B03B5AD" w14:textId="6FF2BA66" w:rsidR="006365F2" w:rsidRPr="00655F66" w:rsidRDefault="006365F2" w:rsidP="006365F2">
      <w:r w:rsidRPr="00655F66">
        <w:t>Part 2B of the study, the most relevant for the efficacy assessment supporting the requested indication, was initiated at 123 sites in 9 countries. The first patient enrolled on</w:t>
      </w:r>
      <w:r w:rsidR="00CE17D5" w:rsidRPr="00655F66">
        <w:t xml:space="preserve"> </w:t>
      </w:r>
      <w:r w:rsidRPr="00655F66">
        <w:t>10</w:t>
      </w:r>
      <w:r w:rsidR="00CE17D5" w:rsidRPr="00655F66">
        <w:t> </w:t>
      </w:r>
      <w:r w:rsidRPr="00655F66">
        <w:t>April 2017. The data</w:t>
      </w:r>
      <w:r w:rsidR="00CE17D5" w:rsidRPr="00655F66">
        <w:t xml:space="preserve"> </w:t>
      </w:r>
      <w:r w:rsidRPr="00655F66">
        <w:t>cut</w:t>
      </w:r>
      <w:r w:rsidR="00CE17D5" w:rsidRPr="00655F66">
        <w:t>-off</w:t>
      </w:r>
      <w:r w:rsidRPr="00655F66">
        <w:t xml:space="preserve"> date for the </w:t>
      </w:r>
      <w:r w:rsidR="00CE17D5" w:rsidRPr="00655F66">
        <w:t>clinical study report</w:t>
      </w:r>
      <w:r w:rsidRPr="00655F66">
        <w:t xml:space="preserve"> dated 16 November 2020 is 1</w:t>
      </w:r>
      <w:r w:rsidR="00CE17D5" w:rsidRPr="00655F66">
        <w:t> </w:t>
      </w:r>
      <w:r w:rsidRPr="00655F66">
        <w:t>March 2020. The submission includes an analysis of all of Cohort A but only Cohort</w:t>
      </w:r>
      <w:r w:rsidR="00CE17D5" w:rsidRPr="00655F66">
        <w:t> </w:t>
      </w:r>
      <w:r w:rsidRPr="00655F66">
        <w:t xml:space="preserve">A1 relates to the requested indication, so is the </w:t>
      </w:r>
      <w:proofErr w:type="gramStart"/>
      <w:r w:rsidRPr="00655F66">
        <w:t>main focus</w:t>
      </w:r>
      <w:proofErr w:type="gramEnd"/>
      <w:r w:rsidRPr="00655F66">
        <w:t xml:space="preserve"> of the efficacy and safety summaries in this document is Cohort A1.</w:t>
      </w:r>
    </w:p>
    <w:p w14:paraId="185D81D8" w14:textId="51B50F26" w:rsidR="006365F2" w:rsidRPr="00655F66" w:rsidRDefault="006365F2" w:rsidP="006365F2">
      <w:pPr>
        <w:pStyle w:val="Heading5"/>
        <w:rPr>
          <w:lang w:eastAsia="ja-JP"/>
        </w:rPr>
      </w:pPr>
      <w:r w:rsidRPr="00655F66">
        <w:rPr>
          <w:lang w:eastAsia="ja-JP"/>
        </w:rPr>
        <w:t>Study treatment</w:t>
      </w:r>
    </w:p>
    <w:p w14:paraId="564B06B2" w14:textId="4DE5C7B3" w:rsidR="006365F2" w:rsidRPr="00655F66" w:rsidRDefault="006365F2" w:rsidP="006365F2">
      <w:r w:rsidRPr="00655F66">
        <w:t xml:space="preserve">Dostarlimab 500 mg </w:t>
      </w:r>
      <w:r w:rsidR="00BD5F0E" w:rsidRPr="00655F66">
        <w:t>every 3 weeks</w:t>
      </w:r>
      <w:r w:rsidRPr="00655F66">
        <w:t xml:space="preserve"> (Day 1 of each 21-day cycle) for the first 4 cycles then 1</w:t>
      </w:r>
      <w:r w:rsidR="00151835" w:rsidRPr="00655F66">
        <w:t>,</w:t>
      </w:r>
      <w:r w:rsidRPr="00655F66">
        <w:t>000</w:t>
      </w:r>
      <w:r w:rsidR="00CE17D5" w:rsidRPr="00655F66">
        <w:t> </w:t>
      </w:r>
      <w:r w:rsidRPr="00655F66">
        <w:t xml:space="preserve">mg </w:t>
      </w:r>
      <w:r w:rsidR="00BD5F0E" w:rsidRPr="00655F66">
        <w:t>every 6 weeks</w:t>
      </w:r>
      <w:r w:rsidRPr="00655F66">
        <w:t xml:space="preserve"> thereafter.</w:t>
      </w:r>
    </w:p>
    <w:p w14:paraId="174CC298" w14:textId="2A130ED4" w:rsidR="006365F2" w:rsidRPr="00655F66" w:rsidRDefault="006365F2" w:rsidP="006365F2">
      <w:pPr>
        <w:pStyle w:val="Heading5"/>
      </w:pPr>
      <w:r w:rsidRPr="00655F66">
        <w:lastRenderedPageBreak/>
        <w:t>Protocol amendments</w:t>
      </w:r>
    </w:p>
    <w:p w14:paraId="76D1F238" w14:textId="700B3B79" w:rsidR="006365F2" w:rsidRPr="00655F66" w:rsidRDefault="006365F2" w:rsidP="006365F2">
      <w:r w:rsidRPr="00655F66">
        <w:t>Part</w:t>
      </w:r>
      <w:r w:rsidR="00CE17D5" w:rsidRPr="00655F66">
        <w:t> </w:t>
      </w:r>
      <w:r w:rsidRPr="00655F66">
        <w:t>2B participants were enrolled from Global Amendment 2 (Version 3.0, October 2016).</w:t>
      </w:r>
      <w:r w:rsidR="004D0366">
        <w:t xml:space="preserve"> Key protocol amendments are shown in the following table.</w:t>
      </w:r>
    </w:p>
    <w:p w14:paraId="6F46469A" w14:textId="6C0B2ACA" w:rsidR="006365F2" w:rsidRPr="00117AEB" w:rsidRDefault="006365F2" w:rsidP="00117AEB">
      <w:pPr>
        <w:pStyle w:val="TableTitle"/>
      </w:pPr>
      <w:bookmarkStart w:id="39" w:name="_Ref84773326"/>
      <w:r w:rsidRPr="00117AEB">
        <w:t xml:space="preserve">Table </w:t>
      </w:r>
      <w:r>
        <w:fldChar w:fldCharType="begin"/>
      </w:r>
      <w:r>
        <w:instrText>SEQ Table \* ARABIC</w:instrText>
      </w:r>
      <w:r>
        <w:fldChar w:fldCharType="separate"/>
      </w:r>
      <w:r w:rsidR="000A7290">
        <w:rPr>
          <w:noProof/>
        </w:rPr>
        <w:t>2</w:t>
      </w:r>
      <w:r>
        <w:fldChar w:fldCharType="end"/>
      </w:r>
      <w:bookmarkEnd w:id="39"/>
      <w:r w:rsidR="00CE17D5" w:rsidRPr="00117AEB">
        <w:t>:</w:t>
      </w:r>
      <w:r w:rsidRPr="00117AEB">
        <w:t xml:space="preserve"> </w:t>
      </w:r>
      <w:r w:rsidR="004D0366">
        <w:t>Study 4010-01-001 (</w:t>
      </w:r>
      <w:r w:rsidR="00CE17D5" w:rsidRPr="00117AEB">
        <w:t>GARNET trial</w:t>
      </w:r>
      <w:r w:rsidR="004D0366">
        <w:t>)</w:t>
      </w:r>
      <w:r w:rsidR="00CE17D5" w:rsidRPr="00117AEB">
        <w:t xml:space="preserve"> </w:t>
      </w:r>
      <w:r w:rsidRPr="00117AEB">
        <w:t>Key protocol amendments</w:t>
      </w:r>
    </w:p>
    <w:tbl>
      <w:tblPr>
        <w:tblStyle w:val="TableTGAblue"/>
        <w:tblW w:w="0" w:type="auto"/>
        <w:tblLook w:val="04A0" w:firstRow="1" w:lastRow="0" w:firstColumn="1" w:lastColumn="0" w:noHBand="0" w:noVBand="1"/>
      </w:tblPr>
      <w:tblGrid>
        <w:gridCol w:w="2297"/>
        <w:gridCol w:w="6187"/>
      </w:tblGrid>
      <w:tr w:rsidR="006365F2" w:rsidRPr="00655F66" w14:paraId="4DFE38AD" w14:textId="77777777" w:rsidTr="00D04EFE">
        <w:trPr>
          <w:cnfStyle w:val="100000000000" w:firstRow="1" w:lastRow="0" w:firstColumn="0" w:lastColumn="0" w:oddVBand="0" w:evenVBand="0" w:oddHBand="0" w:evenHBand="0" w:firstRowFirstColumn="0" w:firstRowLastColumn="0" w:lastRowFirstColumn="0" w:lastRowLastColumn="0"/>
        </w:trPr>
        <w:tc>
          <w:tcPr>
            <w:tcW w:w="2297" w:type="dxa"/>
          </w:tcPr>
          <w:p w14:paraId="760F7050" w14:textId="77777777" w:rsidR="006365F2" w:rsidRPr="00655F66" w:rsidRDefault="006365F2" w:rsidP="00CE17D5">
            <w:pPr>
              <w:pStyle w:val="Tabletext"/>
              <w:ind w:left="0" w:right="0"/>
            </w:pPr>
            <w:r w:rsidRPr="00655F66">
              <w:t>Amendment</w:t>
            </w:r>
          </w:p>
        </w:tc>
        <w:tc>
          <w:tcPr>
            <w:tcW w:w="6187" w:type="dxa"/>
          </w:tcPr>
          <w:p w14:paraId="49549C55" w14:textId="77777777" w:rsidR="006365F2" w:rsidRPr="00655F66" w:rsidRDefault="006365F2" w:rsidP="00CE17D5">
            <w:pPr>
              <w:pStyle w:val="Tabletext"/>
              <w:ind w:left="0" w:right="0"/>
            </w:pPr>
            <w:r w:rsidRPr="00655F66">
              <w:t>Change relevant to this submission</w:t>
            </w:r>
          </w:p>
        </w:tc>
      </w:tr>
      <w:tr w:rsidR="006365F2" w:rsidRPr="00655F66" w14:paraId="19254B4D" w14:textId="77777777" w:rsidTr="00D04EFE">
        <w:tc>
          <w:tcPr>
            <w:tcW w:w="2297" w:type="dxa"/>
          </w:tcPr>
          <w:p w14:paraId="50C9F46E" w14:textId="77777777" w:rsidR="00F36A11" w:rsidRPr="00D37E4C" w:rsidRDefault="006365F2" w:rsidP="00CE17D5">
            <w:pPr>
              <w:pStyle w:val="Tabletext"/>
              <w:ind w:left="0" w:right="0"/>
              <w:rPr>
                <w:b/>
              </w:rPr>
            </w:pPr>
            <w:r w:rsidRPr="00D37E4C">
              <w:rPr>
                <w:b/>
              </w:rPr>
              <w:t>Global Amendment 2</w:t>
            </w:r>
          </w:p>
          <w:p w14:paraId="2CD12FD9" w14:textId="2FBF165F" w:rsidR="006365F2" w:rsidRPr="00655F66" w:rsidRDefault="006365F2" w:rsidP="00CE17D5">
            <w:pPr>
              <w:pStyle w:val="Tabletext"/>
              <w:ind w:left="0" w:right="0"/>
            </w:pPr>
            <w:r w:rsidRPr="00655F66">
              <w:t>(V</w:t>
            </w:r>
            <w:r w:rsidR="00F36A11">
              <w:t>ersion </w:t>
            </w:r>
            <w:r w:rsidRPr="00655F66">
              <w:t>3.0, October 2016)</w:t>
            </w:r>
          </w:p>
        </w:tc>
        <w:tc>
          <w:tcPr>
            <w:tcW w:w="6187" w:type="dxa"/>
          </w:tcPr>
          <w:p w14:paraId="702559FE" w14:textId="0F376E21" w:rsidR="006365F2" w:rsidRPr="00655F66" w:rsidRDefault="006365F2" w:rsidP="00CE17D5">
            <w:pPr>
              <w:pStyle w:val="Tabletext"/>
              <w:ind w:left="0" w:right="0"/>
            </w:pPr>
            <w:r w:rsidRPr="00655F66">
              <w:t xml:space="preserve">To split the </w:t>
            </w:r>
            <w:r w:rsidR="00151835" w:rsidRPr="00655F66">
              <w:t>endometrial cancer</w:t>
            </w:r>
            <w:r w:rsidRPr="00655F66">
              <w:t xml:space="preserve"> Cohorts into A1 and A2 based on MSI status (MSI-H patients were placed in Cohort A1)</w:t>
            </w:r>
          </w:p>
          <w:p w14:paraId="63FA4E05" w14:textId="497B1CB6" w:rsidR="006365F2" w:rsidRPr="00655F66" w:rsidRDefault="006365F2" w:rsidP="00CE17D5">
            <w:pPr>
              <w:pStyle w:val="Tabletext"/>
              <w:ind w:left="0" w:right="0"/>
            </w:pPr>
            <w:r w:rsidRPr="00655F66">
              <w:t>To clarify allowed prior treatments,</w:t>
            </w:r>
          </w:p>
          <w:p w14:paraId="149013A0" w14:textId="13093C60" w:rsidR="006365F2" w:rsidRPr="00655F66" w:rsidRDefault="006365F2" w:rsidP="00CE17D5">
            <w:pPr>
              <w:pStyle w:val="Tabletext"/>
              <w:ind w:left="0" w:right="0"/>
            </w:pPr>
            <w:r w:rsidRPr="00655F66">
              <w:t>To exclude endometrial sarcoma,</w:t>
            </w:r>
          </w:p>
          <w:p w14:paraId="764D93A0" w14:textId="77777777" w:rsidR="006365F2" w:rsidRPr="00655F66" w:rsidRDefault="006365F2" w:rsidP="00CE17D5">
            <w:pPr>
              <w:pStyle w:val="Tabletext"/>
              <w:ind w:left="0" w:right="0"/>
            </w:pPr>
            <w:r w:rsidRPr="00655F66">
              <w:t>To require known tumour MSI status prior to the first dose of study treatment.</w:t>
            </w:r>
          </w:p>
        </w:tc>
      </w:tr>
      <w:tr w:rsidR="006365F2" w:rsidRPr="00655F66" w14:paraId="54D01084" w14:textId="77777777" w:rsidTr="00D04EFE">
        <w:tc>
          <w:tcPr>
            <w:tcW w:w="2297" w:type="dxa"/>
          </w:tcPr>
          <w:p w14:paraId="4B367B0E" w14:textId="77777777" w:rsidR="00F36A11" w:rsidRPr="00D37E4C" w:rsidRDefault="006365F2" w:rsidP="00CE17D5">
            <w:pPr>
              <w:pStyle w:val="Tabletext"/>
              <w:ind w:left="0" w:right="0"/>
              <w:rPr>
                <w:b/>
              </w:rPr>
            </w:pPr>
            <w:r w:rsidRPr="00D37E4C">
              <w:rPr>
                <w:b/>
              </w:rPr>
              <w:t>Protocol Version 4.0</w:t>
            </w:r>
          </w:p>
          <w:p w14:paraId="46C68B49" w14:textId="657EC41D" w:rsidR="006365F2" w:rsidRPr="00655F66" w:rsidRDefault="006365F2" w:rsidP="00CE17D5">
            <w:pPr>
              <w:pStyle w:val="Tabletext"/>
              <w:ind w:left="0" w:right="0"/>
            </w:pPr>
            <w:r w:rsidRPr="00655F66">
              <w:t>(September 2017)</w:t>
            </w:r>
          </w:p>
        </w:tc>
        <w:tc>
          <w:tcPr>
            <w:tcW w:w="6187" w:type="dxa"/>
          </w:tcPr>
          <w:p w14:paraId="49DA3FD8" w14:textId="77777777" w:rsidR="006365F2" w:rsidRPr="00655F66" w:rsidRDefault="006365F2" w:rsidP="00CE17D5">
            <w:pPr>
              <w:pStyle w:val="Tabletext"/>
              <w:ind w:left="0" w:right="0"/>
            </w:pPr>
            <w:r w:rsidRPr="00655F66">
              <w:t>Allow interim analysis of patients with MSI-H from Cohort A1 and F, combined for administrative purposes.</w:t>
            </w:r>
          </w:p>
        </w:tc>
      </w:tr>
      <w:tr w:rsidR="006365F2" w:rsidRPr="00655F66" w14:paraId="581E3E0F" w14:textId="77777777" w:rsidTr="00D04EFE">
        <w:tc>
          <w:tcPr>
            <w:tcW w:w="2297" w:type="dxa"/>
          </w:tcPr>
          <w:p w14:paraId="3D9EB370" w14:textId="77777777" w:rsidR="00F36A11" w:rsidRPr="00D37E4C" w:rsidRDefault="006365F2" w:rsidP="00CE17D5">
            <w:pPr>
              <w:pStyle w:val="Tabletext"/>
              <w:ind w:left="0" w:right="0"/>
              <w:rPr>
                <w:b/>
              </w:rPr>
            </w:pPr>
            <w:r w:rsidRPr="00D37E4C">
              <w:rPr>
                <w:b/>
              </w:rPr>
              <w:t>Global Amendment 4</w:t>
            </w:r>
          </w:p>
          <w:p w14:paraId="4D1689FE" w14:textId="32A9F813" w:rsidR="006365F2" w:rsidRPr="00655F66" w:rsidRDefault="006365F2" w:rsidP="00CE17D5">
            <w:pPr>
              <w:pStyle w:val="Tabletext"/>
              <w:ind w:left="0" w:right="0"/>
            </w:pPr>
            <w:r w:rsidRPr="00655F66">
              <w:t>(V</w:t>
            </w:r>
            <w:r w:rsidR="00F36A11">
              <w:t>ersion </w:t>
            </w:r>
            <w:r w:rsidRPr="00655F66">
              <w:t>5.1, July 2018)</w:t>
            </w:r>
          </w:p>
        </w:tc>
        <w:tc>
          <w:tcPr>
            <w:tcW w:w="6187" w:type="dxa"/>
          </w:tcPr>
          <w:p w14:paraId="74B8C0A5" w14:textId="77777777" w:rsidR="006365F2" w:rsidRPr="00655F66" w:rsidRDefault="006365F2" w:rsidP="00CE17D5">
            <w:pPr>
              <w:pStyle w:val="Tabletext"/>
              <w:ind w:left="0" w:right="0"/>
            </w:pPr>
            <w:r w:rsidRPr="00655F66">
              <w:t>Increased the enrolment of Cohort A1 based on an interim analysis</w:t>
            </w:r>
          </w:p>
          <w:p w14:paraId="6EC35EF1" w14:textId="7D5E60EC" w:rsidR="006365F2" w:rsidRPr="00655F66" w:rsidRDefault="006365F2" w:rsidP="00CE17D5">
            <w:pPr>
              <w:pStyle w:val="Tabletext"/>
              <w:ind w:left="0" w:right="0"/>
            </w:pPr>
            <w:r w:rsidRPr="00655F66">
              <w:t xml:space="preserve">Increased Cohort A2 to allow a more precise estimate of </w:t>
            </w:r>
            <w:r w:rsidR="002C07CE" w:rsidRPr="002C07CE">
              <w:t>objective response rate</w:t>
            </w:r>
            <w:r w:rsidRPr="00655F66">
              <w:t>, without changing the overall sample size of the study.</w:t>
            </w:r>
          </w:p>
        </w:tc>
      </w:tr>
      <w:tr w:rsidR="006365F2" w:rsidRPr="00655F66" w14:paraId="099D1728" w14:textId="77777777" w:rsidTr="00D04EFE">
        <w:tc>
          <w:tcPr>
            <w:tcW w:w="2297" w:type="dxa"/>
          </w:tcPr>
          <w:p w14:paraId="19903241" w14:textId="77777777" w:rsidR="00F36A11" w:rsidRPr="00D37E4C" w:rsidRDefault="006365F2" w:rsidP="00CE17D5">
            <w:pPr>
              <w:pStyle w:val="Tabletext"/>
              <w:ind w:left="0" w:right="0"/>
              <w:rPr>
                <w:b/>
              </w:rPr>
            </w:pPr>
            <w:r w:rsidRPr="00D37E4C">
              <w:rPr>
                <w:b/>
              </w:rPr>
              <w:t>Global Amendment 5</w:t>
            </w:r>
          </w:p>
          <w:p w14:paraId="1B3F9EB1" w14:textId="5812FE80" w:rsidR="006365F2" w:rsidRPr="00655F66" w:rsidRDefault="006365F2" w:rsidP="00CE17D5">
            <w:pPr>
              <w:pStyle w:val="Tabletext"/>
              <w:ind w:left="0" w:right="0"/>
            </w:pPr>
            <w:r w:rsidRPr="00655F66">
              <w:t>(V</w:t>
            </w:r>
            <w:r w:rsidR="00F36A11">
              <w:t>ersion</w:t>
            </w:r>
            <w:r w:rsidRPr="00655F66">
              <w:t xml:space="preserve"> 6.0, May 2019)</w:t>
            </w:r>
          </w:p>
        </w:tc>
        <w:tc>
          <w:tcPr>
            <w:tcW w:w="6187" w:type="dxa"/>
          </w:tcPr>
          <w:p w14:paraId="72B7AC96" w14:textId="174756A6" w:rsidR="006365F2" w:rsidRPr="00655F66" w:rsidRDefault="006365F2" w:rsidP="00CE17D5">
            <w:pPr>
              <w:pStyle w:val="Tabletext"/>
              <w:ind w:left="0" w:right="0"/>
            </w:pPr>
            <w:r w:rsidRPr="00655F66">
              <w:t xml:space="preserve">Required tumour status to be determined by MMR status based on the results from </w:t>
            </w:r>
            <w:r w:rsidR="002C07CE" w:rsidRPr="002C07CE">
              <w:t>immunohistochemistry</w:t>
            </w:r>
            <w:r w:rsidRPr="00655F66">
              <w:t xml:space="preserve"> testing.</w:t>
            </w:r>
          </w:p>
          <w:p w14:paraId="0B64F0DB" w14:textId="5EAC348A" w:rsidR="006365F2" w:rsidRPr="00655F66" w:rsidRDefault="006365F2" w:rsidP="00CE17D5">
            <w:pPr>
              <w:pStyle w:val="Tabletext"/>
              <w:ind w:left="0" w:right="0"/>
            </w:pPr>
            <w:r w:rsidRPr="00655F66">
              <w:t xml:space="preserve">Cohort A1 included patients with </w:t>
            </w:r>
            <w:proofErr w:type="spellStart"/>
            <w:r w:rsidRPr="00655F66">
              <w:t>dMMR</w:t>
            </w:r>
            <w:proofErr w:type="spellEnd"/>
            <w:r w:rsidRPr="00655F66">
              <w:t xml:space="preserve"> </w:t>
            </w:r>
            <w:r w:rsidR="00151835" w:rsidRPr="00655F66">
              <w:t>endometrial cancer</w:t>
            </w:r>
            <w:r w:rsidRPr="00655F66">
              <w:t xml:space="preserve"> or in the absence of known MMR status, MSI-H </w:t>
            </w:r>
            <w:r w:rsidR="00151835" w:rsidRPr="00655F66">
              <w:t>endometrial cancer</w:t>
            </w:r>
            <w:r w:rsidRPr="00655F66">
              <w:t>.</w:t>
            </w:r>
          </w:p>
          <w:p w14:paraId="3A78A680" w14:textId="1D34CC02" w:rsidR="006365F2" w:rsidRPr="00655F66" w:rsidRDefault="006365F2" w:rsidP="00CE17D5">
            <w:pPr>
              <w:pStyle w:val="Tabletext"/>
              <w:ind w:left="0" w:right="0"/>
            </w:pPr>
            <w:r w:rsidRPr="00655F66">
              <w:t xml:space="preserve">Cohort A2 included patients s with MMR-proficient </w:t>
            </w:r>
            <w:r w:rsidR="00151835" w:rsidRPr="00655F66">
              <w:t>endometrial cancer</w:t>
            </w:r>
            <w:r w:rsidRPr="00655F66">
              <w:t xml:space="preserve"> or, in the absence of known MMR status, Microsatellite Stable </w:t>
            </w:r>
            <w:r w:rsidR="00151835" w:rsidRPr="00655F66">
              <w:t>endometrial cancer</w:t>
            </w:r>
            <w:r w:rsidRPr="00655F66">
              <w:t>.</w:t>
            </w:r>
          </w:p>
          <w:p w14:paraId="41984508" w14:textId="0EFA6887" w:rsidR="006365F2" w:rsidRPr="00655F66" w:rsidRDefault="006365F2" w:rsidP="00CE17D5">
            <w:pPr>
              <w:pStyle w:val="Tabletext"/>
              <w:ind w:left="0" w:right="0"/>
            </w:pPr>
            <w:r w:rsidRPr="00655F66">
              <w:t xml:space="preserve">Sample size of Cohort A1 also increased with the potential for up to 165 patients. </w:t>
            </w:r>
            <w:r w:rsidR="002C07CE">
              <w:t>P</w:t>
            </w:r>
            <w:r w:rsidR="002C07CE" w:rsidRPr="002C07CE">
              <w:t>atient</w:t>
            </w:r>
            <w:r w:rsidR="002C07CE">
              <w:t xml:space="preserve"> </w:t>
            </w:r>
            <w:r w:rsidR="002C07CE" w:rsidRPr="002C07CE">
              <w:t>reported outcome</w:t>
            </w:r>
            <w:r w:rsidRPr="00655F66">
              <w:t xml:space="preserve"> became an exploratory endpoint.</w:t>
            </w:r>
          </w:p>
        </w:tc>
      </w:tr>
      <w:tr w:rsidR="006365F2" w:rsidRPr="00655F66" w14:paraId="7953C30F" w14:textId="77777777" w:rsidTr="00D04EFE">
        <w:tc>
          <w:tcPr>
            <w:tcW w:w="2297" w:type="dxa"/>
          </w:tcPr>
          <w:p w14:paraId="31C71709" w14:textId="77777777" w:rsidR="00F36A11" w:rsidRPr="00D37E4C" w:rsidRDefault="006365F2" w:rsidP="00CE17D5">
            <w:pPr>
              <w:pStyle w:val="Tabletext"/>
              <w:ind w:left="0" w:right="0"/>
              <w:rPr>
                <w:b/>
              </w:rPr>
            </w:pPr>
            <w:r w:rsidRPr="00D37E4C">
              <w:rPr>
                <w:b/>
              </w:rPr>
              <w:t>Global Amendment 6</w:t>
            </w:r>
          </w:p>
          <w:p w14:paraId="6A8E0570" w14:textId="4B6B6963" w:rsidR="006365F2" w:rsidRPr="00655F66" w:rsidRDefault="006365F2" w:rsidP="00CE17D5">
            <w:pPr>
              <w:pStyle w:val="Tabletext"/>
              <w:ind w:left="0" w:right="0"/>
            </w:pPr>
            <w:r w:rsidRPr="00655F66">
              <w:t>(V</w:t>
            </w:r>
            <w:r w:rsidR="00F36A11">
              <w:t>ersion</w:t>
            </w:r>
            <w:r w:rsidRPr="00655F66">
              <w:t xml:space="preserve"> 7.0, January 2020)</w:t>
            </w:r>
          </w:p>
        </w:tc>
        <w:tc>
          <w:tcPr>
            <w:tcW w:w="6187" w:type="dxa"/>
          </w:tcPr>
          <w:p w14:paraId="65738475" w14:textId="77777777" w:rsidR="006365F2" w:rsidRPr="00655F66" w:rsidRDefault="006365F2" w:rsidP="00CE17D5">
            <w:pPr>
              <w:pStyle w:val="Tabletext"/>
              <w:ind w:left="0" w:right="0"/>
            </w:pPr>
            <w:r w:rsidRPr="00655F66">
              <w:t>Added Cohort G</w:t>
            </w:r>
          </w:p>
          <w:p w14:paraId="1BAD767D" w14:textId="77777777" w:rsidR="006365F2" w:rsidRPr="00655F66" w:rsidRDefault="006365F2" w:rsidP="00CE17D5">
            <w:pPr>
              <w:pStyle w:val="Tabletext"/>
              <w:ind w:left="0" w:right="0"/>
            </w:pPr>
            <w:r w:rsidRPr="00655F66">
              <w:t>Added safety and tolerability as primary objectives of Part 2B</w:t>
            </w:r>
          </w:p>
          <w:p w14:paraId="68A76828" w14:textId="77777777" w:rsidR="006365F2" w:rsidRPr="00655F66" w:rsidRDefault="006365F2" w:rsidP="00CE17D5">
            <w:pPr>
              <w:pStyle w:val="Tabletext"/>
              <w:ind w:left="0" w:right="0"/>
            </w:pPr>
            <w:r w:rsidRPr="00655F66">
              <w:t>Added two further interim analyses of Cohorts A1 and F after 200 and 300 participants with measurable disease at Baseline and had at least 24 weeks of follow-up.</w:t>
            </w:r>
          </w:p>
        </w:tc>
      </w:tr>
    </w:tbl>
    <w:p w14:paraId="5F3D5BC4" w14:textId="5A007074" w:rsidR="00D04EFE" w:rsidRPr="00D04EFE" w:rsidRDefault="008C6055" w:rsidP="00D04EFE">
      <w:pPr>
        <w:pStyle w:val="TableDescription"/>
      </w:pPr>
      <w:r w:rsidRPr="008C6055">
        <w:t>Abbreviations:</w:t>
      </w:r>
      <w:r>
        <w:t xml:space="preserve"> </w:t>
      </w:r>
      <w:proofErr w:type="spellStart"/>
      <w:r w:rsidR="00D04EFE" w:rsidRPr="00D04EFE">
        <w:t>dMMR</w:t>
      </w:r>
      <w:proofErr w:type="spellEnd"/>
      <w:r w:rsidR="00D04EFE" w:rsidRPr="00D04EFE">
        <w:t xml:space="preserve"> = </w:t>
      </w:r>
      <w:r w:rsidR="000E0713">
        <w:t xml:space="preserve">DNA </w:t>
      </w:r>
      <w:r w:rsidR="00D04EFE" w:rsidRPr="00D04EFE">
        <w:t xml:space="preserve">mismatch repair deficient; MMR = </w:t>
      </w:r>
      <w:r w:rsidR="00EF79D8">
        <w:t xml:space="preserve">DNA </w:t>
      </w:r>
      <w:r w:rsidR="00D04EFE">
        <w:t>m</w:t>
      </w:r>
      <w:r w:rsidR="00D04EFE" w:rsidRPr="00D04EFE">
        <w:t>ismatch repair; MSI = microsatellite instability; MSI-H = microsatellite instability-high</w:t>
      </w:r>
      <w:r w:rsidR="00D04EFE">
        <w:t>.</w:t>
      </w:r>
    </w:p>
    <w:p w14:paraId="1D6F124F" w14:textId="382CB5AE" w:rsidR="006365F2" w:rsidRPr="00655F66" w:rsidRDefault="006365F2" w:rsidP="006365F2">
      <w:pPr>
        <w:pStyle w:val="Heading5"/>
      </w:pPr>
      <w:r w:rsidRPr="00655F66">
        <w:t>Sample size</w:t>
      </w:r>
    </w:p>
    <w:p w14:paraId="491E1DEA" w14:textId="7F5A99FA" w:rsidR="006365F2" w:rsidRPr="00655F66" w:rsidRDefault="00357C39" w:rsidP="006365F2">
      <w:r>
        <w:t xml:space="preserve">The </w:t>
      </w:r>
      <w:r w:rsidR="009F0C17">
        <w:t>maximum enrolment for Part 2B is up to 716 patients.</w:t>
      </w:r>
      <w:r w:rsidR="006365F2" w:rsidRPr="00655F66">
        <w:t xml:space="preserve"> A cohort A1 sample size of </w:t>
      </w:r>
      <w:r w:rsidR="009354CD" w:rsidRPr="009354CD">
        <w:t>approximately</w:t>
      </w:r>
      <w:r w:rsidR="009354CD">
        <w:t xml:space="preserve"> </w:t>
      </w:r>
      <w:r w:rsidR="006365F2" w:rsidRPr="00655F66">
        <w:t>100</w:t>
      </w:r>
      <w:r w:rsidR="00CE17D5" w:rsidRPr="00655F66">
        <w:t> </w:t>
      </w:r>
      <w:r w:rsidR="006365F2" w:rsidRPr="00655F66">
        <w:t xml:space="preserve">participants and </w:t>
      </w:r>
      <w:r w:rsidR="00F465F2">
        <w:t>with a potential</w:t>
      </w:r>
      <w:r w:rsidR="00937935">
        <w:t xml:space="preserve"> for</w:t>
      </w:r>
      <w:r w:rsidR="00F465F2">
        <w:t xml:space="preserve"> </w:t>
      </w:r>
      <w:r w:rsidR="006365F2" w:rsidRPr="00655F66">
        <w:t>up to 165 participants.</w:t>
      </w:r>
      <w:r w:rsidR="00860E0D">
        <w:t xml:space="preserve"> </w:t>
      </w:r>
      <w:r w:rsidR="006365F2" w:rsidRPr="00655F66">
        <w:t xml:space="preserve">With 65 participants Cohort A1 had 92% power to rule out a ≤ 20% </w:t>
      </w:r>
      <w:r w:rsidR="00574EA5">
        <w:t>objective response rate</w:t>
      </w:r>
      <w:r w:rsidR="00574EA5" w:rsidRPr="00655F66">
        <w:t xml:space="preserve"> </w:t>
      </w:r>
      <w:r w:rsidR="006365F2" w:rsidRPr="00655F66">
        <w:t xml:space="preserve">(null hypothesis; expected for conventional therapy) when the true </w:t>
      </w:r>
      <w:r w:rsidR="00574EA5">
        <w:t>objective response rate</w:t>
      </w:r>
      <w:r w:rsidR="00574EA5" w:rsidRPr="00655F66">
        <w:t xml:space="preserve"> </w:t>
      </w:r>
      <w:r w:rsidR="006365F2" w:rsidRPr="00655F66">
        <w:t xml:space="preserve">is 40% at </w:t>
      </w:r>
      <w:proofErr w:type="gramStart"/>
      <w:r w:rsidR="006365F2" w:rsidRPr="00655F66">
        <w:t xml:space="preserve">the 2.5% </w:t>
      </w:r>
      <w:r w:rsidR="00CE17D5" w:rsidRPr="00655F66">
        <w:t>T</w:t>
      </w:r>
      <w:r w:rsidR="006365F2" w:rsidRPr="00655F66">
        <w:t>ype</w:t>
      </w:r>
      <w:proofErr w:type="gramEnd"/>
      <w:r w:rsidR="006365F2" w:rsidRPr="00655F66">
        <w:t xml:space="preserve"> I error rate (</w:t>
      </w:r>
      <w:r w:rsidR="00CE17D5" w:rsidRPr="00655F66">
        <w:t>one-</w:t>
      </w:r>
      <w:r w:rsidR="006365F2" w:rsidRPr="00655F66">
        <w:t>sided).</w:t>
      </w:r>
    </w:p>
    <w:p w14:paraId="236E8336" w14:textId="2642A5CF" w:rsidR="006365F2" w:rsidRPr="00655F66" w:rsidRDefault="006365F2" w:rsidP="006365F2">
      <w:pPr>
        <w:pStyle w:val="Heading5"/>
      </w:pPr>
      <w:r w:rsidRPr="00655F66">
        <w:t xml:space="preserve">Inclusion and </w:t>
      </w:r>
      <w:r w:rsidR="00CE17D5" w:rsidRPr="00655F66">
        <w:t>exclusion criteria</w:t>
      </w:r>
    </w:p>
    <w:p w14:paraId="61AC62FE" w14:textId="2C3BBB76" w:rsidR="006365F2" w:rsidRPr="00655F66" w:rsidRDefault="006365F2" w:rsidP="006365F2">
      <w:r w:rsidRPr="00655F66">
        <w:t xml:space="preserve">The inclusion and exclusion criteria are included in </w:t>
      </w:r>
      <w:r w:rsidRPr="00655F66">
        <w:fldChar w:fldCharType="begin"/>
      </w:r>
      <w:r w:rsidRPr="00655F66">
        <w:instrText xml:space="preserve"> REF _Ref84773337 \h  \* MERGEFORMAT </w:instrText>
      </w:r>
      <w:r w:rsidRPr="00655F66">
        <w:fldChar w:fldCharType="separate"/>
      </w:r>
      <w:r w:rsidR="000A7290" w:rsidRPr="00117AEB">
        <w:t xml:space="preserve">Table </w:t>
      </w:r>
      <w:r w:rsidR="000A7290">
        <w:t>3</w:t>
      </w:r>
      <w:r w:rsidRPr="00655F66">
        <w:fldChar w:fldCharType="end"/>
      </w:r>
      <w:r w:rsidRPr="00655F66">
        <w:t>. This table includes the changes made at Global Amendment 6</w:t>
      </w:r>
      <w:r w:rsidR="00574EA5">
        <w:t xml:space="preserve"> (discussed in </w:t>
      </w:r>
      <w:r w:rsidR="00574EA5">
        <w:fldChar w:fldCharType="begin"/>
      </w:r>
      <w:r w:rsidR="00574EA5">
        <w:instrText xml:space="preserve"> REF _Ref84773326 \h </w:instrText>
      </w:r>
      <w:r w:rsidR="00574EA5">
        <w:fldChar w:fldCharType="separate"/>
      </w:r>
      <w:r w:rsidR="000A7290" w:rsidRPr="00117AEB">
        <w:t xml:space="preserve">Table </w:t>
      </w:r>
      <w:r w:rsidR="000A7290">
        <w:rPr>
          <w:noProof/>
        </w:rPr>
        <w:t>2</w:t>
      </w:r>
      <w:r w:rsidR="00574EA5">
        <w:fldChar w:fldCharType="end"/>
      </w:r>
      <w:r w:rsidR="00574EA5">
        <w:t>, above)</w:t>
      </w:r>
      <w:r w:rsidRPr="00655F66">
        <w:t>.</w:t>
      </w:r>
    </w:p>
    <w:p w14:paraId="2D5E82D7" w14:textId="3D4FFCB4" w:rsidR="006365F2" w:rsidRPr="00117AEB" w:rsidRDefault="006365F2" w:rsidP="00117AEB">
      <w:pPr>
        <w:pStyle w:val="TableTitle"/>
      </w:pPr>
      <w:bookmarkStart w:id="40" w:name="_Ref84773337"/>
      <w:r w:rsidRPr="00117AEB">
        <w:lastRenderedPageBreak/>
        <w:t xml:space="preserve">Table </w:t>
      </w:r>
      <w:r>
        <w:fldChar w:fldCharType="begin"/>
      </w:r>
      <w:r>
        <w:instrText>SEQ Table \* ARABIC</w:instrText>
      </w:r>
      <w:r>
        <w:fldChar w:fldCharType="separate"/>
      </w:r>
      <w:r w:rsidR="000A7290">
        <w:rPr>
          <w:noProof/>
        </w:rPr>
        <w:t>3</w:t>
      </w:r>
      <w:r>
        <w:fldChar w:fldCharType="end"/>
      </w:r>
      <w:bookmarkEnd w:id="40"/>
      <w:r w:rsidR="00CE17D5" w:rsidRPr="00117AEB">
        <w:t xml:space="preserve">: </w:t>
      </w:r>
      <w:r w:rsidR="00574EA5">
        <w:t>Study 4010-01-001 (</w:t>
      </w:r>
      <w:r w:rsidR="00CE17D5" w:rsidRPr="00117AEB">
        <w:t>GARNET trial</w:t>
      </w:r>
      <w:r w:rsidR="00574EA5">
        <w:t>)</w:t>
      </w:r>
      <w:r w:rsidRPr="00117AEB">
        <w:t xml:space="preserve"> Key </w:t>
      </w:r>
      <w:r w:rsidR="00CE17D5" w:rsidRPr="00117AEB">
        <w:t xml:space="preserve">inclusion and exclusion criteria for </w:t>
      </w:r>
      <w:r w:rsidRPr="00117AEB">
        <w:t>Cohort A1</w:t>
      </w:r>
    </w:p>
    <w:tbl>
      <w:tblPr>
        <w:tblStyle w:val="TableTGAblue"/>
        <w:tblW w:w="0" w:type="auto"/>
        <w:tblLook w:val="04A0" w:firstRow="1" w:lastRow="0" w:firstColumn="1" w:lastColumn="0" w:noHBand="0" w:noVBand="1"/>
      </w:tblPr>
      <w:tblGrid>
        <w:gridCol w:w="4257"/>
        <w:gridCol w:w="4227"/>
      </w:tblGrid>
      <w:tr w:rsidR="006365F2" w:rsidRPr="00655F66" w14:paraId="181224B9" w14:textId="77777777" w:rsidTr="00D04EFE">
        <w:trPr>
          <w:cnfStyle w:val="100000000000" w:firstRow="1" w:lastRow="0" w:firstColumn="0" w:lastColumn="0" w:oddVBand="0" w:evenVBand="0" w:oddHBand="0" w:evenHBand="0" w:firstRowFirstColumn="0" w:firstRowLastColumn="0" w:lastRowFirstColumn="0" w:lastRowLastColumn="0"/>
        </w:trPr>
        <w:tc>
          <w:tcPr>
            <w:tcW w:w="4257" w:type="dxa"/>
          </w:tcPr>
          <w:p w14:paraId="1DCE4068" w14:textId="77777777" w:rsidR="006365F2" w:rsidRPr="00655F66" w:rsidRDefault="006365F2" w:rsidP="00CE17D5">
            <w:pPr>
              <w:pStyle w:val="Tabletext"/>
              <w:ind w:left="0" w:right="0"/>
              <w:rPr>
                <w:lang w:eastAsia="ja-JP"/>
              </w:rPr>
            </w:pPr>
            <w:r w:rsidRPr="00655F66">
              <w:rPr>
                <w:lang w:eastAsia="ja-JP"/>
              </w:rPr>
              <w:t>Inclusion criteria</w:t>
            </w:r>
          </w:p>
        </w:tc>
        <w:tc>
          <w:tcPr>
            <w:tcW w:w="4227" w:type="dxa"/>
          </w:tcPr>
          <w:p w14:paraId="0C89A881" w14:textId="77777777" w:rsidR="006365F2" w:rsidRPr="00655F66" w:rsidRDefault="006365F2" w:rsidP="00CE17D5">
            <w:pPr>
              <w:pStyle w:val="Tabletext"/>
              <w:ind w:left="0" w:right="0"/>
              <w:rPr>
                <w:lang w:eastAsia="ja-JP"/>
              </w:rPr>
            </w:pPr>
            <w:r w:rsidRPr="00655F66">
              <w:rPr>
                <w:lang w:eastAsia="ja-JP"/>
              </w:rPr>
              <w:t>Exclusion criteria</w:t>
            </w:r>
          </w:p>
        </w:tc>
      </w:tr>
      <w:tr w:rsidR="006365F2" w:rsidRPr="00655F66" w14:paraId="759EA520" w14:textId="77777777" w:rsidTr="00D04EFE">
        <w:tc>
          <w:tcPr>
            <w:tcW w:w="4257" w:type="dxa"/>
          </w:tcPr>
          <w:p w14:paraId="0B17881B" w14:textId="77777777" w:rsidR="006365F2" w:rsidRPr="00655F66" w:rsidRDefault="006365F2" w:rsidP="00CE17D5">
            <w:pPr>
              <w:pStyle w:val="Tabletext"/>
              <w:ind w:left="0" w:right="0"/>
              <w:rPr>
                <w:lang w:eastAsia="ja-JP"/>
              </w:rPr>
            </w:pPr>
            <w:r w:rsidRPr="00655F66">
              <w:rPr>
                <w:lang w:eastAsia="ja-JP"/>
              </w:rPr>
              <w:t>Age ≥ 18 years</w:t>
            </w:r>
          </w:p>
          <w:p w14:paraId="20CD1E72" w14:textId="460CAD80" w:rsidR="006365F2" w:rsidRPr="00655F66" w:rsidRDefault="006365F2" w:rsidP="00CE17D5">
            <w:pPr>
              <w:pStyle w:val="Tabletext"/>
              <w:ind w:left="0" w:right="0"/>
              <w:rPr>
                <w:lang w:eastAsia="ja-JP"/>
              </w:rPr>
            </w:pPr>
            <w:r w:rsidRPr="00655F66">
              <w:rPr>
                <w:lang w:eastAsia="ja-JP"/>
              </w:rPr>
              <w:t xml:space="preserve">Advanced/metastatic </w:t>
            </w:r>
            <w:proofErr w:type="spellStart"/>
            <w:r w:rsidRPr="00655F66">
              <w:rPr>
                <w:lang w:eastAsia="ja-JP"/>
              </w:rPr>
              <w:t>dMMR</w:t>
            </w:r>
            <w:proofErr w:type="spellEnd"/>
            <w:r w:rsidRPr="00655F66">
              <w:rPr>
                <w:lang w:eastAsia="ja-JP"/>
              </w:rPr>
              <w:t xml:space="preserve">/MSI-H </w:t>
            </w:r>
            <w:r w:rsidR="00151835" w:rsidRPr="00655F66">
              <w:rPr>
                <w:lang w:eastAsia="ja-JP"/>
              </w:rPr>
              <w:t>endometrial cancer</w:t>
            </w:r>
            <w:r w:rsidRPr="00655F66">
              <w:rPr>
                <w:lang w:eastAsia="ja-JP"/>
              </w:rPr>
              <w:t xml:space="preserve"> with measurable disease per </w:t>
            </w:r>
            <w:r w:rsidR="00774DA8">
              <w:rPr>
                <w:lang w:eastAsia="ja-JP"/>
              </w:rPr>
              <w:t>R</w:t>
            </w:r>
            <w:r w:rsidRPr="00655F66">
              <w:rPr>
                <w:lang w:eastAsia="ja-JP"/>
              </w:rPr>
              <w:t xml:space="preserve">ECIST 1.1 and disease progression on or after platinum-based chemotherapy, but not more than 2 lines of anticancer therapy for recurrent/advanced disease (prior hormone therapies acceptable). All </w:t>
            </w:r>
            <w:r w:rsidR="00151835" w:rsidRPr="00655F66">
              <w:rPr>
                <w:lang w:eastAsia="ja-JP"/>
              </w:rPr>
              <w:t>endometrial cancer</w:t>
            </w:r>
            <w:r w:rsidRPr="00655F66">
              <w:rPr>
                <w:lang w:eastAsia="ja-JP"/>
              </w:rPr>
              <w:t xml:space="preserve">s except endometrial sarcoma (including carcinosarcoma), two scans showing increase in tumour measurement and at least one lesion confirmed by central review. </w:t>
            </w:r>
            <w:proofErr w:type="spellStart"/>
            <w:r w:rsidRPr="00655F66">
              <w:rPr>
                <w:lang w:eastAsia="ja-JP"/>
              </w:rPr>
              <w:t>dMMR</w:t>
            </w:r>
            <w:proofErr w:type="spellEnd"/>
            <w:r w:rsidRPr="00655F66">
              <w:rPr>
                <w:lang w:eastAsia="ja-JP"/>
              </w:rPr>
              <w:t xml:space="preserve">/MSI-H screen locally using </w:t>
            </w:r>
            <w:r w:rsidR="00774DA8" w:rsidRPr="00774DA8">
              <w:rPr>
                <w:lang w:eastAsia="ja-JP"/>
              </w:rPr>
              <w:t>immunohistochemistry</w:t>
            </w:r>
            <w:r w:rsidRPr="00655F66">
              <w:rPr>
                <w:lang w:eastAsia="ja-JP"/>
              </w:rPr>
              <w:t xml:space="preserve">, </w:t>
            </w:r>
            <w:r w:rsidR="00774DA8">
              <w:rPr>
                <w:lang w:eastAsia="ja-JP"/>
              </w:rPr>
              <w:t>p</w:t>
            </w:r>
            <w:r w:rsidR="00774DA8" w:rsidRPr="00774DA8">
              <w:rPr>
                <w:lang w:eastAsia="ja-JP"/>
              </w:rPr>
              <w:t>olymerase chain reaction</w:t>
            </w:r>
            <w:r w:rsidRPr="00655F66">
              <w:rPr>
                <w:lang w:eastAsia="ja-JP"/>
              </w:rPr>
              <w:t xml:space="preserve"> or </w:t>
            </w:r>
            <w:r w:rsidR="00774DA8" w:rsidRPr="00774DA8">
              <w:rPr>
                <w:lang w:eastAsia="ja-JP"/>
              </w:rPr>
              <w:t>next</w:t>
            </w:r>
            <w:r w:rsidR="00774DA8">
              <w:rPr>
                <w:lang w:eastAsia="ja-JP"/>
              </w:rPr>
              <w:t xml:space="preserve"> </w:t>
            </w:r>
            <w:r w:rsidR="00774DA8" w:rsidRPr="00774DA8">
              <w:rPr>
                <w:lang w:eastAsia="ja-JP"/>
              </w:rPr>
              <w:t xml:space="preserve">generation sequencing </w:t>
            </w:r>
            <w:r w:rsidRPr="00655F66">
              <w:rPr>
                <w:lang w:eastAsia="ja-JP"/>
              </w:rPr>
              <w:t xml:space="preserve">but eligibility determine by MMR </w:t>
            </w:r>
            <w:r w:rsidR="002C07CE" w:rsidRPr="002C07CE">
              <w:rPr>
                <w:lang w:eastAsia="ja-JP"/>
              </w:rPr>
              <w:t>immunohistochemistry</w:t>
            </w:r>
            <w:r w:rsidRPr="00655F66">
              <w:rPr>
                <w:lang w:eastAsia="ja-JP"/>
              </w:rPr>
              <w:t xml:space="preserve"> results.</w:t>
            </w:r>
          </w:p>
          <w:p w14:paraId="7815BC73" w14:textId="77777777" w:rsidR="006365F2" w:rsidRPr="00655F66" w:rsidRDefault="006365F2" w:rsidP="00CE17D5">
            <w:pPr>
              <w:pStyle w:val="Tabletext"/>
              <w:ind w:left="0" w:right="0"/>
              <w:rPr>
                <w:lang w:eastAsia="ja-JP"/>
              </w:rPr>
            </w:pPr>
            <w:r w:rsidRPr="00655F66">
              <w:rPr>
                <w:lang w:eastAsia="ja-JP"/>
              </w:rPr>
              <w:t>Archival tissue (formalin fixed, paraffin embedded) or new biopsy prior to study treatment</w:t>
            </w:r>
          </w:p>
          <w:p w14:paraId="74EB7B17" w14:textId="77777777" w:rsidR="006365F2" w:rsidRPr="00655F66" w:rsidRDefault="006365F2" w:rsidP="00CE17D5">
            <w:pPr>
              <w:pStyle w:val="Tabletext"/>
              <w:ind w:left="0" w:right="0"/>
              <w:rPr>
                <w:lang w:eastAsia="ja-JP"/>
              </w:rPr>
            </w:pPr>
            <w:r w:rsidRPr="00655F66">
              <w:rPr>
                <w:lang w:eastAsia="ja-JP"/>
              </w:rPr>
              <w:t>No pregnant or of nonchildbearing potential</w:t>
            </w:r>
          </w:p>
          <w:p w14:paraId="08DE102E" w14:textId="32DA5E74" w:rsidR="006365F2" w:rsidRPr="00655F66" w:rsidRDefault="006365F2" w:rsidP="00CE17D5">
            <w:pPr>
              <w:pStyle w:val="Tabletext"/>
              <w:ind w:left="0" w:right="0"/>
              <w:rPr>
                <w:lang w:eastAsia="ja-JP"/>
              </w:rPr>
            </w:pPr>
            <w:r w:rsidRPr="00655F66">
              <w:rPr>
                <w:lang w:eastAsia="ja-JP"/>
              </w:rPr>
              <w:t>ECOG</w:t>
            </w:r>
            <w:r w:rsidR="00D04EFE">
              <w:rPr>
                <w:lang w:eastAsia="ja-JP"/>
              </w:rPr>
              <w:t>;</w:t>
            </w:r>
            <w:bookmarkStart w:id="41" w:name="_Ref110430421"/>
            <w:r w:rsidR="00D04EFE">
              <w:rPr>
                <w:rStyle w:val="FootnoteReference"/>
                <w:lang w:eastAsia="ja-JP"/>
              </w:rPr>
              <w:footnoteReference w:id="13"/>
            </w:r>
            <w:bookmarkEnd w:id="41"/>
            <w:r w:rsidRPr="00655F66">
              <w:rPr>
                <w:lang w:eastAsia="ja-JP"/>
              </w:rPr>
              <w:t xml:space="preserve"> 0 or 1</w:t>
            </w:r>
          </w:p>
          <w:p w14:paraId="4A1F5AB3" w14:textId="77777777" w:rsidR="006365F2" w:rsidRPr="00655F66" w:rsidRDefault="006365F2" w:rsidP="00CE17D5">
            <w:pPr>
              <w:pStyle w:val="Tabletext"/>
              <w:ind w:left="0" w:right="0"/>
              <w:rPr>
                <w:lang w:eastAsia="ja-JP"/>
              </w:rPr>
            </w:pPr>
            <w:r w:rsidRPr="00655F66">
              <w:rPr>
                <w:lang w:eastAsia="ja-JP"/>
              </w:rPr>
              <w:t>Adequate organ function</w:t>
            </w:r>
          </w:p>
        </w:tc>
        <w:tc>
          <w:tcPr>
            <w:tcW w:w="4227" w:type="dxa"/>
          </w:tcPr>
          <w:p w14:paraId="2FE76264" w14:textId="77777777" w:rsidR="006365F2" w:rsidRPr="00655F66" w:rsidRDefault="006365F2" w:rsidP="00CE17D5">
            <w:pPr>
              <w:pStyle w:val="Tabletext"/>
              <w:ind w:left="0" w:right="0"/>
              <w:rPr>
                <w:lang w:eastAsia="ja-JP"/>
              </w:rPr>
            </w:pPr>
            <w:r w:rsidRPr="00655F66">
              <w:rPr>
                <w:lang w:eastAsia="ja-JP"/>
              </w:rPr>
              <w:t>Prior anti-PD-1, anti-PD-L1, or anti-PD-L2</w:t>
            </w:r>
          </w:p>
          <w:p w14:paraId="5AB6563E" w14:textId="54EB333A" w:rsidR="006365F2" w:rsidRPr="00655F66" w:rsidRDefault="006365F2" w:rsidP="00CE17D5">
            <w:pPr>
              <w:pStyle w:val="Tabletext"/>
              <w:ind w:left="0" w:right="0"/>
              <w:rPr>
                <w:lang w:eastAsia="ja-JP"/>
              </w:rPr>
            </w:pPr>
            <w:r w:rsidRPr="00655F66">
              <w:rPr>
                <w:lang w:eastAsia="ja-JP"/>
              </w:rPr>
              <w:t xml:space="preserve">Uncontrolled </w:t>
            </w:r>
            <w:r w:rsidR="00774DA8" w:rsidRPr="00774DA8">
              <w:rPr>
                <w:lang w:eastAsia="ja-JP"/>
              </w:rPr>
              <w:t xml:space="preserve">central nervous system </w:t>
            </w:r>
            <w:r w:rsidRPr="00655F66">
              <w:rPr>
                <w:lang w:eastAsia="ja-JP"/>
              </w:rPr>
              <w:t>metastases</w:t>
            </w:r>
          </w:p>
          <w:p w14:paraId="2017600B" w14:textId="10814B34" w:rsidR="006365F2" w:rsidRPr="00655F66" w:rsidRDefault="006365F2" w:rsidP="00CE17D5">
            <w:pPr>
              <w:pStyle w:val="Tabletext"/>
              <w:ind w:left="0" w:right="0"/>
              <w:rPr>
                <w:lang w:eastAsia="ja-JP"/>
              </w:rPr>
            </w:pPr>
            <w:r w:rsidRPr="00655F66">
              <w:rPr>
                <w:lang w:eastAsia="ja-JP"/>
              </w:rPr>
              <w:t xml:space="preserve">Known additional malignancy (except </w:t>
            </w:r>
            <w:r w:rsidR="00774DA8">
              <w:rPr>
                <w:lang w:eastAsia="ja-JP"/>
              </w:rPr>
              <w:t>b</w:t>
            </w:r>
            <w:r w:rsidR="00774DA8" w:rsidRPr="00774DA8">
              <w:rPr>
                <w:lang w:eastAsia="ja-JP"/>
              </w:rPr>
              <w:t xml:space="preserve">asal cell carcinoma </w:t>
            </w:r>
            <w:r w:rsidRPr="00655F66">
              <w:rPr>
                <w:lang w:eastAsia="ja-JP"/>
              </w:rPr>
              <w:t xml:space="preserve">skin or </w:t>
            </w:r>
            <w:r w:rsidR="00774DA8" w:rsidRPr="00774DA8">
              <w:rPr>
                <w:lang w:eastAsia="ja-JP"/>
              </w:rPr>
              <w:t xml:space="preserve">squamous cell carcinoma </w:t>
            </w:r>
            <w:r w:rsidRPr="00655F66">
              <w:rPr>
                <w:lang w:eastAsia="ja-JP"/>
              </w:rPr>
              <w:t xml:space="preserve">of skin with curative therapy or </w:t>
            </w:r>
            <w:r w:rsidR="00774DA8">
              <w:rPr>
                <w:lang w:eastAsia="ja-JP"/>
              </w:rPr>
              <w:t>c</w:t>
            </w:r>
            <w:r w:rsidR="00774DA8" w:rsidRPr="00774DA8">
              <w:rPr>
                <w:lang w:eastAsia="ja-JP"/>
              </w:rPr>
              <w:t xml:space="preserve">arcinoma in situ </w:t>
            </w:r>
            <w:r w:rsidRPr="00655F66">
              <w:rPr>
                <w:lang w:eastAsia="ja-JP"/>
              </w:rPr>
              <w:t>of cervix)</w:t>
            </w:r>
          </w:p>
          <w:p w14:paraId="3BCC3F77" w14:textId="77777777" w:rsidR="006365F2" w:rsidRPr="00655F66" w:rsidRDefault="006365F2" w:rsidP="00CE17D5">
            <w:pPr>
              <w:pStyle w:val="Tabletext"/>
              <w:ind w:left="0" w:right="0"/>
              <w:rPr>
                <w:lang w:eastAsia="ja-JP"/>
              </w:rPr>
            </w:pPr>
            <w:r w:rsidRPr="00655F66">
              <w:rPr>
                <w:lang w:eastAsia="ja-JP"/>
              </w:rPr>
              <w:t>Poor risk due to underlying medical risk (examples given)</w:t>
            </w:r>
          </w:p>
          <w:p w14:paraId="25AB9E49" w14:textId="77777777" w:rsidR="006365F2" w:rsidRPr="00655F66" w:rsidRDefault="006365F2" w:rsidP="00CE17D5">
            <w:pPr>
              <w:pStyle w:val="Tabletext"/>
              <w:ind w:left="0" w:right="0"/>
              <w:rPr>
                <w:lang w:eastAsia="ja-JP"/>
              </w:rPr>
            </w:pPr>
            <w:r w:rsidRPr="00655F66">
              <w:rPr>
                <w:lang w:eastAsia="ja-JP"/>
              </w:rPr>
              <w:t>Pregnant or breastfeeding</w:t>
            </w:r>
          </w:p>
          <w:p w14:paraId="43E41922" w14:textId="77777777" w:rsidR="006365F2" w:rsidRPr="00655F66" w:rsidRDefault="006365F2" w:rsidP="00CE17D5">
            <w:pPr>
              <w:pStyle w:val="Tabletext"/>
              <w:ind w:left="0" w:right="0"/>
              <w:rPr>
                <w:lang w:eastAsia="ja-JP"/>
              </w:rPr>
            </w:pPr>
            <w:r w:rsidRPr="00655F66">
              <w:rPr>
                <w:lang w:eastAsia="ja-JP"/>
              </w:rPr>
              <w:t>Diagnosed immunodeficiency or receiving immunosuppressive therapy within 7 days of first study treatment</w:t>
            </w:r>
          </w:p>
          <w:p w14:paraId="20A4F330" w14:textId="71CAAA34" w:rsidR="006365F2" w:rsidRPr="00655F66" w:rsidRDefault="006365F2" w:rsidP="00CE17D5">
            <w:pPr>
              <w:pStyle w:val="Tabletext"/>
              <w:ind w:left="0" w:right="0"/>
              <w:rPr>
                <w:lang w:eastAsia="ja-JP"/>
              </w:rPr>
            </w:pPr>
            <w:r w:rsidRPr="00655F66">
              <w:rPr>
                <w:lang w:eastAsia="ja-JP"/>
              </w:rPr>
              <w:t xml:space="preserve">Known </w:t>
            </w:r>
            <w:r w:rsidR="00774DA8" w:rsidRPr="00774DA8">
              <w:rPr>
                <w:lang w:eastAsia="ja-JP"/>
              </w:rPr>
              <w:t>human immunodeficiency virus</w:t>
            </w:r>
            <w:r w:rsidRPr="00655F66">
              <w:rPr>
                <w:lang w:eastAsia="ja-JP"/>
              </w:rPr>
              <w:t xml:space="preserve">, </w:t>
            </w:r>
            <w:r w:rsidR="00774DA8" w:rsidRPr="00774DA8">
              <w:rPr>
                <w:lang w:eastAsia="ja-JP"/>
              </w:rPr>
              <w:t>hepatitis</w:t>
            </w:r>
            <w:r w:rsidR="00574EA5">
              <w:rPr>
                <w:lang w:eastAsia="ja-JP"/>
              </w:rPr>
              <w:t> </w:t>
            </w:r>
            <w:r w:rsidRPr="00655F66">
              <w:rPr>
                <w:lang w:eastAsia="ja-JP"/>
              </w:rPr>
              <w:t xml:space="preserve">B, or </w:t>
            </w:r>
            <w:r w:rsidR="00774DA8" w:rsidRPr="00774DA8">
              <w:rPr>
                <w:lang w:eastAsia="ja-JP"/>
              </w:rPr>
              <w:t>hepatitis</w:t>
            </w:r>
            <w:r w:rsidR="00774DA8">
              <w:rPr>
                <w:lang w:eastAsia="ja-JP"/>
              </w:rPr>
              <w:t xml:space="preserve"> </w:t>
            </w:r>
            <w:r w:rsidRPr="00655F66">
              <w:rPr>
                <w:lang w:eastAsia="ja-JP"/>
              </w:rPr>
              <w:t>C</w:t>
            </w:r>
          </w:p>
          <w:p w14:paraId="73123700" w14:textId="77777777" w:rsidR="006365F2" w:rsidRPr="00655F66" w:rsidRDefault="006365F2" w:rsidP="00CE17D5">
            <w:pPr>
              <w:pStyle w:val="Tabletext"/>
              <w:ind w:left="0" w:right="0"/>
              <w:rPr>
                <w:lang w:eastAsia="ja-JP"/>
              </w:rPr>
            </w:pPr>
            <w:r w:rsidRPr="00655F66">
              <w:rPr>
                <w:lang w:eastAsia="ja-JP"/>
              </w:rPr>
              <w:t xml:space="preserve">Active autoimmune disease requiring systemic treatment. Replacement therapy (thyroid replacement, </w:t>
            </w:r>
            <w:proofErr w:type="gramStart"/>
            <w:r w:rsidRPr="00655F66">
              <w:rPr>
                <w:lang w:eastAsia="ja-JP"/>
              </w:rPr>
              <w:t>insulin</w:t>
            </w:r>
            <w:proofErr w:type="gramEnd"/>
            <w:r w:rsidRPr="00655F66">
              <w:rPr>
                <w:lang w:eastAsia="ja-JP"/>
              </w:rPr>
              <w:t xml:space="preserve"> or physiological doses of corticosteroids acceptable).</w:t>
            </w:r>
          </w:p>
          <w:p w14:paraId="1CD4EE8B" w14:textId="060F494D" w:rsidR="006365F2" w:rsidRPr="00655F66" w:rsidRDefault="006365F2" w:rsidP="00CE17D5">
            <w:pPr>
              <w:pStyle w:val="Tabletext"/>
              <w:ind w:left="0" w:right="0"/>
              <w:rPr>
                <w:lang w:eastAsia="ja-JP"/>
              </w:rPr>
            </w:pPr>
            <w:r w:rsidRPr="00655F66">
              <w:rPr>
                <w:lang w:eastAsia="ja-JP"/>
              </w:rPr>
              <w:t xml:space="preserve">Interstitial </w:t>
            </w:r>
            <w:r w:rsidR="00774DA8" w:rsidRPr="00655F66">
              <w:rPr>
                <w:lang w:eastAsia="ja-JP"/>
              </w:rPr>
              <w:t>lung disease</w:t>
            </w:r>
          </w:p>
          <w:p w14:paraId="2FD00192" w14:textId="60505317" w:rsidR="006365F2" w:rsidRPr="00655F66" w:rsidRDefault="006365F2" w:rsidP="00CE17D5">
            <w:pPr>
              <w:pStyle w:val="Tabletext"/>
              <w:ind w:left="0" w:right="0"/>
              <w:rPr>
                <w:lang w:eastAsia="ja-JP"/>
              </w:rPr>
            </w:pPr>
            <w:r w:rsidRPr="00655F66">
              <w:rPr>
                <w:lang w:eastAsia="ja-JP"/>
              </w:rPr>
              <w:t xml:space="preserve">Not recovered to </w:t>
            </w:r>
            <w:r w:rsidR="00774DA8">
              <w:rPr>
                <w:lang w:eastAsia="ja-JP"/>
              </w:rPr>
              <w:t>≤</w:t>
            </w:r>
            <w:r w:rsidRPr="00655F66">
              <w:rPr>
                <w:lang w:eastAsia="ja-JP"/>
              </w:rPr>
              <w:t xml:space="preserve"> </w:t>
            </w:r>
            <w:r w:rsidR="00151835" w:rsidRPr="00655F66">
              <w:rPr>
                <w:lang w:eastAsia="ja-JP"/>
              </w:rPr>
              <w:t>Baseline</w:t>
            </w:r>
            <w:r w:rsidRPr="00655F66">
              <w:rPr>
                <w:lang w:eastAsia="ja-JP"/>
              </w:rPr>
              <w:t xml:space="preserve"> or Grade 1 event from radiation or systemic anticancer therapy, or surgery</w:t>
            </w:r>
          </w:p>
          <w:p w14:paraId="59D904EC" w14:textId="77777777" w:rsidR="006365F2" w:rsidRPr="00655F66" w:rsidRDefault="006365F2" w:rsidP="00CE17D5">
            <w:pPr>
              <w:pStyle w:val="Tabletext"/>
              <w:ind w:left="0" w:right="0"/>
              <w:rPr>
                <w:lang w:eastAsia="ja-JP"/>
              </w:rPr>
            </w:pPr>
            <w:r w:rsidRPr="00655F66">
              <w:rPr>
                <w:lang w:eastAsia="ja-JP"/>
              </w:rPr>
              <w:t>Other anticancer therapy within 21 days or 5 half-lives of the therapy</w:t>
            </w:r>
          </w:p>
        </w:tc>
      </w:tr>
    </w:tbl>
    <w:p w14:paraId="363D840E" w14:textId="374CB77F" w:rsidR="00574EA5" w:rsidRPr="00574EA5" w:rsidRDefault="008C6055" w:rsidP="00D37E4C">
      <w:pPr>
        <w:pStyle w:val="TableDescription"/>
      </w:pPr>
      <w:r w:rsidRPr="008C6055">
        <w:t>Abbreviations:</w:t>
      </w:r>
      <w:r>
        <w:t xml:space="preserve"> </w:t>
      </w:r>
      <w:proofErr w:type="spellStart"/>
      <w:r w:rsidR="00D04EFE" w:rsidRPr="00D04EFE">
        <w:t>dMMR</w:t>
      </w:r>
      <w:proofErr w:type="spellEnd"/>
      <w:r w:rsidR="00D04EFE" w:rsidRPr="00D04EFE">
        <w:t xml:space="preserve"> = </w:t>
      </w:r>
      <w:r w:rsidR="00574EA5">
        <w:t xml:space="preserve">DNA </w:t>
      </w:r>
      <w:r w:rsidR="00D04EFE" w:rsidRPr="00D04EFE">
        <w:t>mismatch repair deficient; ECOG = Eastern Cooperative Oncology Group; MMR</w:t>
      </w:r>
      <w:r w:rsidR="00574EA5">
        <w:t> </w:t>
      </w:r>
      <w:r w:rsidR="00D04EFE" w:rsidRPr="00D04EFE">
        <w:t>=</w:t>
      </w:r>
      <w:r w:rsidR="00574EA5">
        <w:t xml:space="preserve"> DNA </w:t>
      </w:r>
      <w:r w:rsidR="00D04EFE" w:rsidRPr="00D04EFE">
        <w:t>mismatch repair; MSI-H = microsatellite instability-high; PD-1 = programmed cell death receptor-1; PD-L1 = programmed cell death ligand-1; PD-L2 = programmed cell death ligand-2; RECIS</w:t>
      </w:r>
      <w:r w:rsidR="00574EA5">
        <w:t>T </w:t>
      </w:r>
      <w:r w:rsidR="00D04EFE" w:rsidRPr="00D04EFE">
        <w:t>=</w:t>
      </w:r>
      <w:r w:rsidR="00574EA5">
        <w:t> </w:t>
      </w:r>
      <w:r w:rsidR="00D04EFE" w:rsidRPr="00D04EFE">
        <w:t xml:space="preserve">Response Evaluation Criteria </w:t>
      </w:r>
      <w:proofErr w:type="gramStart"/>
      <w:r w:rsidR="00D04EFE" w:rsidRPr="00D04EFE">
        <w:t>In</w:t>
      </w:r>
      <w:proofErr w:type="gramEnd"/>
      <w:r w:rsidR="00D04EFE" w:rsidRPr="00D04EFE">
        <w:t xml:space="preserve"> Solid Tumours</w:t>
      </w:r>
      <w:r w:rsidR="00574EA5">
        <w:t xml:space="preserve"> criteria</w:t>
      </w:r>
      <w:r w:rsidR="00D04EFE" w:rsidRPr="00D04EFE">
        <w:t>.</w:t>
      </w:r>
    </w:p>
    <w:p w14:paraId="2A1A37B2" w14:textId="65DFC89E" w:rsidR="006365F2" w:rsidRPr="00655F66" w:rsidRDefault="006365F2" w:rsidP="006365F2">
      <w:pPr>
        <w:pStyle w:val="Heading5"/>
      </w:pPr>
      <w:r w:rsidRPr="00655F66">
        <w:t xml:space="preserve">Patient </w:t>
      </w:r>
      <w:r w:rsidR="00CE17D5" w:rsidRPr="00655F66">
        <w:t>flow</w:t>
      </w:r>
    </w:p>
    <w:p w14:paraId="4AD77C08" w14:textId="5D94A0E5" w:rsidR="006365F2" w:rsidRDefault="00B168BE" w:rsidP="006365F2">
      <w:r>
        <w:fldChar w:fldCharType="begin"/>
      </w:r>
      <w:r>
        <w:instrText xml:space="preserve"> REF _Ref126568562 \h </w:instrText>
      </w:r>
      <w:r>
        <w:fldChar w:fldCharType="separate"/>
      </w:r>
      <w:r w:rsidR="000A7290" w:rsidRPr="00117AEB">
        <w:t xml:space="preserve">Figure </w:t>
      </w:r>
      <w:r w:rsidR="000A7290">
        <w:rPr>
          <w:noProof/>
        </w:rPr>
        <w:t>2</w:t>
      </w:r>
      <w:r>
        <w:fldChar w:fldCharType="end"/>
      </w:r>
      <w:r w:rsidR="00CE17D5" w:rsidRPr="00655F66">
        <w:t xml:space="preserve"> below</w:t>
      </w:r>
      <w:r w:rsidR="006365F2" w:rsidRPr="00655F66">
        <w:t xml:space="preserve"> summarises the participant flow through the study.</w:t>
      </w:r>
    </w:p>
    <w:p w14:paraId="66A73A85" w14:textId="35757FC2" w:rsidR="00574EA5" w:rsidRPr="00655F66" w:rsidRDefault="00574EA5" w:rsidP="00D37E4C">
      <w:pPr>
        <w:pStyle w:val="FigureTitle"/>
      </w:pPr>
      <w:bookmarkStart w:id="42" w:name="_Ref126568562"/>
      <w:r w:rsidRPr="00117AEB">
        <w:lastRenderedPageBreak/>
        <w:t xml:space="preserve">Figure </w:t>
      </w:r>
      <w:r>
        <w:fldChar w:fldCharType="begin"/>
      </w:r>
      <w:r>
        <w:instrText>SEQ Figure \* ARABIC</w:instrText>
      </w:r>
      <w:r>
        <w:fldChar w:fldCharType="separate"/>
      </w:r>
      <w:r w:rsidR="000A7290">
        <w:rPr>
          <w:noProof/>
        </w:rPr>
        <w:t>2</w:t>
      </w:r>
      <w:r>
        <w:fldChar w:fldCharType="end"/>
      </w:r>
      <w:bookmarkEnd w:id="42"/>
      <w:r w:rsidRPr="00117AEB">
        <w:t xml:space="preserve">: </w:t>
      </w:r>
      <w:r>
        <w:t>Study 4010-01-001</w:t>
      </w:r>
      <w:r w:rsidRPr="00117AEB">
        <w:t xml:space="preserve"> </w:t>
      </w:r>
      <w:r>
        <w:t>(</w:t>
      </w:r>
      <w:r w:rsidRPr="00117AEB">
        <w:t>GARNET trial</w:t>
      </w:r>
      <w:r>
        <w:t>)</w:t>
      </w:r>
      <w:r w:rsidRPr="00117AEB">
        <w:t xml:space="preserve"> Participant flow</w:t>
      </w:r>
    </w:p>
    <w:p w14:paraId="7EDDCC6E" w14:textId="2E84F7C4" w:rsidR="00703930" w:rsidRDefault="00703930" w:rsidP="00703930">
      <w:pPr>
        <w:jc w:val="center"/>
      </w:pPr>
      <w:r>
        <w:rPr>
          <w:noProof/>
          <w:lang w:val="en-GB" w:eastAsia="en-GB"/>
        </w:rPr>
        <w:drawing>
          <wp:inline distT="0" distB="0" distL="0" distR="0" wp14:anchorId="46376A19" wp14:editId="4AC89113">
            <wp:extent cx="3627120" cy="4993005"/>
            <wp:effectExtent l="0" t="0" r="0" b="0"/>
            <wp:docPr id="24" name="Picture 24" descr="Figure 2: Study 4010-01-001 (GARNET trial) Participant flow&#10;&#10;129 participants were enrolled in the study, and they have all been allocated to intervention and received allocated intervention.&#10;&#10;At follow up period, 71 participants discontinued the intervention. Of these, 14 were discontinued due to adverse events, 49 were due to confirmed disease progression, one was due to patients request, 6 were due to clinical criteria by investigator and one was due to other reason.&#10;&#10;Data from 129 participants were analysed for safety. 105 participants were analysed for efficacy. 24 participants were excluded from the efficacy analysis, which 9 participants were excluded due to no measurable disease at Baseline and 15 participants did not have sufficient follow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2: Study 4010-01-001 (GARNET trial) Participant flow&#10;&#10;129 participants were enrolled in the study, and they have all been allocated to intervention and received allocated intervention.&#10;&#10;At follow up period, 71 participants discontinued the intervention. Of these, 14 were discontinued due to adverse events, 49 were due to confirmed disease progression, one was due to patients request, 6 were due to clinical criteria by investigator and one was due to other reason.&#10;&#10;Data from 129 participants were analysed for safety. 105 participants were analysed for efficacy. 24 participants were excluded from the efficacy analysis, which 9 participants were excluded due to no measurable disease at Baseline and 15 participants did not have sufficient follow u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27120" cy="4993005"/>
                    </a:xfrm>
                    <a:prstGeom prst="rect">
                      <a:avLst/>
                    </a:prstGeom>
                    <a:noFill/>
                  </pic:spPr>
                </pic:pic>
              </a:graphicData>
            </a:graphic>
          </wp:inline>
        </w:drawing>
      </w:r>
    </w:p>
    <w:p w14:paraId="3D3B0A42" w14:textId="4DED8AE3" w:rsidR="00574EA5" w:rsidRPr="00574EA5" w:rsidRDefault="008C6055" w:rsidP="005F568F">
      <w:pPr>
        <w:pStyle w:val="FigureDescription"/>
      </w:pPr>
      <w:r w:rsidRPr="008C6055">
        <w:t>Abbreviations:</w:t>
      </w:r>
      <w:r>
        <w:t xml:space="preserve"> </w:t>
      </w:r>
      <w:r w:rsidR="002C07CE" w:rsidRPr="002C07CE">
        <w:t>AE = adverse event; n = number of subjects in group.</w:t>
      </w:r>
    </w:p>
    <w:p w14:paraId="0B7E8144" w14:textId="55204E1B" w:rsidR="006365F2" w:rsidRPr="00655F66" w:rsidRDefault="006365F2" w:rsidP="006365F2">
      <w:pPr>
        <w:pStyle w:val="Heading5"/>
      </w:pPr>
      <w:r w:rsidRPr="00655F66">
        <w:t xml:space="preserve">Baseline </w:t>
      </w:r>
      <w:r w:rsidR="00CE17D5" w:rsidRPr="00655F66">
        <w:t>c</w:t>
      </w:r>
      <w:r w:rsidRPr="00655F66">
        <w:t>haracteristics</w:t>
      </w:r>
    </w:p>
    <w:p w14:paraId="0F31C993" w14:textId="53000143" w:rsidR="006365F2" w:rsidRPr="00655F66" w:rsidRDefault="006365F2" w:rsidP="006365F2">
      <w:r w:rsidRPr="00655F66">
        <w:t xml:space="preserve">The baseline characteristics of patients in Cohort A1 are summarised in </w:t>
      </w:r>
      <w:r w:rsidRPr="00655F66">
        <w:fldChar w:fldCharType="begin"/>
      </w:r>
      <w:r w:rsidRPr="00655F66">
        <w:instrText xml:space="preserve"> REF _Ref84857586 \h  \* MERGEFORMAT </w:instrText>
      </w:r>
      <w:r w:rsidRPr="00655F66">
        <w:fldChar w:fldCharType="separate"/>
      </w:r>
      <w:r w:rsidR="000A7290" w:rsidRPr="00117AEB">
        <w:t xml:space="preserve">Table </w:t>
      </w:r>
      <w:r w:rsidR="000A7290">
        <w:t>4</w:t>
      </w:r>
      <w:r w:rsidRPr="00655F66">
        <w:fldChar w:fldCharType="end"/>
      </w:r>
      <w:r w:rsidRPr="00655F66">
        <w:t>, below.</w:t>
      </w:r>
    </w:p>
    <w:p w14:paraId="040EC4E7" w14:textId="64164BEF" w:rsidR="006365F2" w:rsidRPr="00117AEB" w:rsidRDefault="006365F2" w:rsidP="00117AEB">
      <w:pPr>
        <w:pStyle w:val="TableTitle"/>
      </w:pPr>
      <w:bookmarkStart w:id="43" w:name="_Ref84857586"/>
      <w:r w:rsidRPr="00117AEB">
        <w:t xml:space="preserve">Table </w:t>
      </w:r>
      <w:r>
        <w:fldChar w:fldCharType="begin"/>
      </w:r>
      <w:r>
        <w:instrText>SEQ Table \* ARABIC</w:instrText>
      </w:r>
      <w:r>
        <w:fldChar w:fldCharType="separate"/>
      </w:r>
      <w:r w:rsidR="000A7290">
        <w:rPr>
          <w:noProof/>
        </w:rPr>
        <w:t>4</w:t>
      </w:r>
      <w:r>
        <w:fldChar w:fldCharType="end"/>
      </w:r>
      <w:bookmarkEnd w:id="43"/>
      <w:r w:rsidR="00CE17D5" w:rsidRPr="00117AEB">
        <w:t xml:space="preserve">: </w:t>
      </w:r>
      <w:r w:rsidR="00574EA5">
        <w:t>Study 4010-01-001</w:t>
      </w:r>
      <w:r w:rsidR="00574EA5" w:rsidRPr="00117AEB">
        <w:t xml:space="preserve"> </w:t>
      </w:r>
      <w:r w:rsidR="00574EA5">
        <w:t>(</w:t>
      </w:r>
      <w:r w:rsidRPr="00117AEB">
        <w:t xml:space="preserve">Garnet </w:t>
      </w:r>
      <w:r w:rsidR="00CE17D5" w:rsidRPr="00117AEB">
        <w:t>trial</w:t>
      </w:r>
      <w:r w:rsidR="00574EA5">
        <w:t>)</w:t>
      </w:r>
      <w:r w:rsidR="00CE17D5" w:rsidRPr="00117AEB">
        <w:t xml:space="preserve"> </w:t>
      </w:r>
      <w:r w:rsidRPr="00117AEB">
        <w:t xml:space="preserve">Baseline </w:t>
      </w:r>
      <w:r w:rsidR="00CE17D5" w:rsidRPr="00117AEB">
        <w:t>characteristics for Cohort A1</w:t>
      </w:r>
    </w:p>
    <w:tbl>
      <w:tblPr>
        <w:tblStyle w:val="TableTGAblue2"/>
        <w:tblW w:w="8354" w:type="dxa"/>
        <w:tblLook w:val="0420" w:firstRow="1" w:lastRow="0" w:firstColumn="0" w:lastColumn="0" w:noHBand="0" w:noVBand="1"/>
      </w:tblPr>
      <w:tblGrid>
        <w:gridCol w:w="983"/>
        <w:gridCol w:w="3118"/>
        <w:gridCol w:w="1276"/>
        <w:gridCol w:w="1559"/>
        <w:gridCol w:w="1418"/>
      </w:tblGrid>
      <w:tr w:rsidR="00317925" w:rsidRPr="008402A5" w14:paraId="77FFA3E8" w14:textId="77777777" w:rsidTr="005F568F">
        <w:trPr>
          <w:cnfStyle w:val="100000000000" w:firstRow="1" w:lastRow="0" w:firstColumn="0" w:lastColumn="0" w:oddVBand="0" w:evenVBand="0" w:oddHBand="0" w:evenHBand="0" w:firstRowFirstColumn="0" w:firstRowLastColumn="0" w:lastRowFirstColumn="0" w:lastRowLastColumn="0"/>
          <w:trHeight w:val="20"/>
        </w:trPr>
        <w:tc>
          <w:tcPr>
            <w:tcW w:w="983" w:type="dxa"/>
            <w:hideMark/>
          </w:tcPr>
          <w:p w14:paraId="45A483BF" w14:textId="77777777" w:rsidR="006365F2" w:rsidRPr="008402A5" w:rsidRDefault="006365F2" w:rsidP="00317925">
            <w:pPr>
              <w:pStyle w:val="Tabletext"/>
              <w:ind w:left="0" w:right="0"/>
            </w:pPr>
          </w:p>
        </w:tc>
        <w:tc>
          <w:tcPr>
            <w:tcW w:w="3118" w:type="dxa"/>
          </w:tcPr>
          <w:p w14:paraId="535F0835" w14:textId="77777777" w:rsidR="006365F2" w:rsidRPr="008402A5" w:rsidRDefault="006365F2" w:rsidP="00317925">
            <w:pPr>
              <w:pStyle w:val="Tabletext"/>
              <w:ind w:left="0" w:right="0"/>
              <w:rPr>
                <w:color w:val="93C571"/>
              </w:rPr>
            </w:pPr>
          </w:p>
        </w:tc>
        <w:tc>
          <w:tcPr>
            <w:tcW w:w="1276" w:type="dxa"/>
            <w:hideMark/>
          </w:tcPr>
          <w:p w14:paraId="350D78ED" w14:textId="77777777" w:rsidR="00304CE0" w:rsidRPr="00D37E4C" w:rsidRDefault="006365F2" w:rsidP="00317925">
            <w:pPr>
              <w:pStyle w:val="Tabletext"/>
              <w:ind w:left="0" w:right="0"/>
              <w:rPr>
                <w:rFonts w:cs="Calibri"/>
                <w:b w:val="0"/>
                <w:bCs/>
                <w:sz w:val="20"/>
                <w:szCs w:val="20"/>
                <w:lang w:val="en-US"/>
              </w:rPr>
            </w:pPr>
            <w:proofErr w:type="spellStart"/>
            <w:r w:rsidRPr="00D37E4C">
              <w:rPr>
                <w:rFonts w:cs="Calibri"/>
                <w:bCs/>
                <w:sz w:val="20"/>
                <w:szCs w:val="20"/>
                <w:lang w:val="en-US"/>
              </w:rPr>
              <w:t>dMMR</w:t>
            </w:r>
            <w:proofErr w:type="spellEnd"/>
          </w:p>
          <w:p w14:paraId="204ADA1D" w14:textId="2EC9EC44" w:rsidR="006365F2" w:rsidRPr="00D37E4C" w:rsidRDefault="006365F2" w:rsidP="00317925">
            <w:pPr>
              <w:pStyle w:val="Tabletext"/>
              <w:ind w:left="0" w:right="0"/>
              <w:rPr>
                <w:rFonts w:cs="Calibri"/>
                <w:bCs/>
                <w:sz w:val="20"/>
                <w:szCs w:val="20"/>
                <w:lang w:val="en-US"/>
              </w:rPr>
            </w:pPr>
            <w:r w:rsidRPr="00D37E4C">
              <w:rPr>
                <w:rFonts w:cs="Calibri"/>
                <w:bCs/>
                <w:sz w:val="20"/>
                <w:szCs w:val="20"/>
                <w:lang w:val="en-US"/>
              </w:rPr>
              <w:t>(n=10</w:t>
            </w:r>
            <w:r w:rsidR="00831932" w:rsidRPr="00D37E4C">
              <w:rPr>
                <w:rFonts w:cs="Calibri"/>
                <w:bCs/>
                <w:sz w:val="20"/>
                <w:szCs w:val="20"/>
                <w:lang w:val="en-US"/>
              </w:rPr>
              <w:t>3</w:t>
            </w:r>
            <w:r w:rsidRPr="00D37E4C">
              <w:rPr>
                <w:rFonts w:cs="Calibri"/>
                <w:bCs/>
                <w:sz w:val="20"/>
                <w:szCs w:val="20"/>
                <w:lang w:val="en-US"/>
              </w:rPr>
              <w:t>)</w:t>
            </w:r>
          </w:p>
        </w:tc>
        <w:tc>
          <w:tcPr>
            <w:tcW w:w="1559" w:type="dxa"/>
            <w:hideMark/>
          </w:tcPr>
          <w:p w14:paraId="6EEF5481" w14:textId="1379A74D" w:rsidR="00304CE0" w:rsidRPr="00D37E4C" w:rsidRDefault="006365F2" w:rsidP="00317925">
            <w:pPr>
              <w:pStyle w:val="Tabletext"/>
              <w:ind w:left="0" w:right="0"/>
              <w:rPr>
                <w:rFonts w:cs="Calibri"/>
                <w:b w:val="0"/>
                <w:bCs/>
                <w:sz w:val="20"/>
                <w:szCs w:val="20"/>
                <w:lang w:val="en-US"/>
              </w:rPr>
            </w:pPr>
            <w:r w:rsidRPr="00D37E4C">
              <w:rPr>
                <w:rFonts w:cs="Calibri"/>
                <w:bCs/>
                <w:sz w:val="20"/>
                <w:szCs w:val="20"/>
                <w:lang w:val="en-US"/>
              </w:rPr>
              <w:t>MMR-unk</w:t>
            </w:r>
            <w:r w:rsidR="00574EA5" w:rsidRPr="00D37E4C">
              <w:rPr>
                <w:rFonts w:cs="Calibri"/>
                <w:bCs/>
                <w:sz w:val="20"/>
                <w:szCs w:val="20"/>
                <w:lang w:val="en-US"/>
              </w:rPr>
              <w:t xml:space="preserve">nown / </w:t>
            </w:r>
            <w:r w:rsidRPr="00D37E4C">
              <w:rPr>
                <w:rFonts w:cs="Calibri"/>
                <w:bCs/>
                <w:sz w:val="20"/>
                <w:szCs w:val="20"/>
                <w:lang w:val="en-US"/>
              </w:rPr>
              <w:t>MSI-H</w:t>
            </w:r>
          </w:p>
          <w:p w14:paraId="3F839F4F" w14:textId="6F496D34" w:rsidR="006365F2" w:rsidRPr="00D37E4C" w:rsidRDefault="006365F2" w:rsidP="00317925">
            <w:pPr>
              <w:pStyle w:val="Tabletext"/>
              <w:ind w:left="0" w:right="0"/>
              <w:rPr>
                <w:rFonts w:cs="Calibri"/>
                <w:bCs/>
                <w:sz w:val="20"/>
                <w:szCs w:val="20"/>
                <w:lang w:val="en-US"/>
              </w:rPr>
            </w:pPr>
            <w:r w:rsidRPr="00D37E4C">
              <w:rPr>
                <w:rFonts w:cs="Calibri"/>
                <w:bCs/>
                <w:sz w:val="20"/>
                <w:szCs w:val="20"/>
                <w:lang w:val="en-US"/>
              </w:rPr>
              <w:t>(n=2)</w:t>
            </w:r>
          </w:p>
        </w:tc>
        <w:tc>
          <w:tcPr>
            <w:tcW w:w="1418" w:type="dxa"/>
          </w:tcPr>
          <w:p w14:paraId="37836FA5" w14:textId="77777777" w:rsidR="006365F2" w:rsidRPr="00D37E4C" w:rsidRDefault="006365F2" w:rsidP="00317925">
            <w:pPr>
              <w:pStyle w:val="Tabletext"/>
              <w:ind w:left="0" w:right="0"/>
              <w:rPr>
                <w:rFonts w:cs="Calibri"/>
                <w:b w:val="0"/>
                <w:bCs/>
                <w:sz w:val="20"/>
                <w:szCs w:val="20"/>
                <w:lang w:val="en-US"/>
              </w:rPr>
            </w:pPr>
            <w:r w:rsidRPr="00D37E4C">
              <w:rPr>
                <w:rFonts w:cs="Calibri"/>
                <w:bCs/>
                <w:sz w:val="20"/>
                <w:szCs w:val="20"/>
                <w:lang w:val="en-US"/>
              </w:rPr>
              <w:t>Total</w:t>
            </w:r>
          </w:p>
          <w:p w14:paraId="485ECD88" w14:textId="3D13EA19" w:rsidR="006365F2" w:rsidRPr="00D37E4C" w:rsidRDefault="006365F2" w:rsidP="00317925">
            <w:pPr>
              <w:pStyle w:val="Tabletext"/>
              <w:ind w:left="0" w:right="0"/>
              <w:rPr>
                <w:rFonts w:cs="Calibri"/>
                <w:bCs/>
                <w:sz w:val="20"/>
                <w:szCs w:val="20"/>
                <w:lang w:val="en-US"/>
              </w:rPr>
            </w:pPr>
            <w:r w:rsidRPr="00D37E4C">
              <w:rPr>
                <w:rFonts w:cs="Calibri"/>
                <w:bCs/>
                <w:sz w:val="20"/>
                <w:szCs w:val="20"/>
                <w:lang w:val="en-US"/>
              </w:rPr>
              <w:t>(n=10</w:t>
            </w:r>
            <w:r w:rsidR="00831932" w:rsidRPr="00D37E4C">
              <w:rPr>
                <w:rFonts w:cs="Calibri"/>
                <w:bCs/>
                <w:sz w:val="20"/>
                <w:szCs w:val="20"/>
                <w:lang w:val="en-US"/>
              </w:rPr>
              <w:t>5</w:t>
            </w:r>
            <w:r w:rsidRPr="00D37E4C">
              <w:rPr>
                <w:rFonts w:cs="Calibri"/>
                <w:bCs/>
                <w:sz w:val="20"/>
                <w:szCs w:val="20"/>
                <w:lang w:val="en-US"/>
              </w:rPr>
              <w:t>)</w:t>
            </w:r>
          </w:p>
        </w:tc>
      </w:tr>
      <w:tr w:rsidR="006365F2" w:rsidRPr="008402A5" w14:paraId="65B02656" w14:textId="77777777" w:rsidTr="005F568F">
        <w:trPr>
          <w:trHeight w:val="20"/>
        </w:trPr>
        <w:tc>
          <w:tcPr>
            <w:tcW w:w="983" w:type="dxa"/>
            <w:hideMark/>
          </w:tcPr>
          <w:p w14:paraId="254002C1" w14:textId="77777777" w:rsidR="006365F2" w:rsidRPr="00D37E4C" w:rsidRDefault="006365F2" w:rsidP="00317925">
            <w:pPr>
              <w:pStyle w:val="Tabletext"/>
              <w:ind w:left="0" w:right="0"/>
              <w:rPr>
                <w:rFonts w:cs="Calibri"/>
                <w:bCs/>
                <w:color w:val="385623"/>
                <w:sz w:val="20"/>
                <w:szCs w:val="20"/>
                <w:lang w:val="en-US"/>
              </w:rPr>
            </w:pPr>
            <w:r w:rsidRPr="00D37E4C">
              <w:rPr>
                <w:rFonts w:cs="Calibri"/>
                <w:bCs/>
                <w:sz w:val="20"/>
                <w:szCs w:val="20"/>
                <w:lang w:val="en-US"/>
              </w:rPr>
              <w:t>Age</w:t>
            </w:r>
          </w:p>
        </w:tc>
        <w:tc>
          <w:tcPr>
            <w:tcW w:w="3118" w:type="dxa"/>
          </w:tcPr>
          <w:p w14:paraId="23B6692D" w14:textId="77777777" w:rsidR="006365F2" w:rsidRPr="00D37E4C" w:rsidRDefault="006365F2" w:rsidP="00317925">
            <w:pPr>
              <w:pStyle w:val="Tabletext"/>
              <w:ind w:left="0" w:right="0"/>
              <w:rPr>
                <w:rFonts w:cs="Calibri"/>
                <w:color w:val="auto"/>
                <w:sz w:val="20"/>
                <w:szCs w:val="20"/>
                <w:lang w:val="en-US"/>
              </w:rPr>
            </w:pPr>
            <w:r w:rsidRPr="00D37E4C">
              <w:rPr>
                <w:rFonts w:cs="Calibri"/>
                <w:sz w:val="20"/>
                <w:szCs w:val="20"/>
                <w:lang w:val="en-US"/>
              </w:rPr>
              <w:t>Median, years (range)</w:t>
            </w:r>
          </w:p>
        </w:tc>
        <w:tc>
          <w:tcPr>
            <w:tcW w:w="1276" w:type="dxa"/>
            <w:hideMark/>
          </w:tcPr>
          <w:p w14:paraId="27EDACA1" w14:textId="4436192E" w:rsidR="006365F2" w:rsidRPr="00D37E4C" w:rsidRDefault="006365F2" w:rsidP="00317925">
            <w:pPr>
              <w:pStyle w:val="Tabletext"/>
              <w:ind w:left="0" w:right="0"/>
              <w:rPr>
                <w:rFonts w:cs="Calibri"/>
                <w:color w:val="auto"/>
                <w:sz w:val="20"/>
                <w:szCs w:val="20"/>
              </w:rPr>
            </w:pPr>
            <w:r w:rsidRPr="00D37E4C">
              <w:rPr>
                <w:rFonts w:cs="Calibri"/>
                <w:sz w:val="20"/>
                <w:szCs w:val="20"/>
              </w:rPr>
              <w:t>65 (</w:t>
            </w:r>
            <w:r w:rsidR="00831932" w:rsidRPr="00D37E4C">
              <w:rPr>
                <w:rFonts w:cs="Calibri"/>
                <w:sz w:val="20"/>
                <w:szCs w:val="20"/>
              </w:rPr>
              <w:t>39</w:t>
            </w:r>
            <w:r w:rsidR="00D37E4C">
              <w:rPr>
                <w:rFonts w:cs="Calibri"/>
                <w:sz w:val="20"/>
                <w:szCs w:val="20"/>
              </w:rPr>
              <w:t xml:space="preserve">, </w:t>
            </w:r>
            <w:r w:rsidR="00831932" w:rsidRPr="00D37E4C">
              <w:rPr>
                <w:rFonts w:cs="Calibri"/>
                <w:sz w:val="20"/>
                <w:szCs w:val="20"/>
              </w:rPr>
              <w:t>8</w:t>
            </w:r>
            <w:r w:rsidRPr="00D37E4C">
              <w:rPr>
                <w:rFonts w:cs="Calibri"/>
                <w:sz w:val="20"/>
                <w:szCs w:val="20"/>
              </w:rPr>
              <w:t>0)</w:t>
            </w:r>
          </w:p>
        </w:tc>
        <w:tc>
          <w:tcPr>
            <w:tcW w:w="1559" w:type="dxa"/>
            <w:hideMark/>
          </w:tcPr>
          <w:p w14:paraId="18311DBA" w14:textId="5882824E" w:rsidR="006365F2" w:rsidRPr="00D37E4C" w:rsidRDefault="006365F2" w:rsidP="00317925">
            <w:pPr>
              <w:pStyle w:val="Tabletext"/>
              <w:ind w:left="0" w:right="0"/>
              <w:rPr>
                <w:rFonts w:cs="Calibri"/>
                <w:color w:val="auto"/>
                <w:sz w:val="20"/>
                <w:szCs w:val="20"/>
              </w:rPr>
            </w:pPr>
            <w:r w:rsidRPr="00D37E4C">
              <w:rPr>
                <w:rFonts w:cs="Calibri"/>
                <w:sz w:val="20"/>
                <w:szCs w:val="20"/>
              </w:rPr>
              <w:t>54</w:t>
            </w:r>
            <w:r w:rsidR="00831932" w:rsidRPr="00D37E4C">
              <w:rPr>
                <w:rFonts w:cs="Calibri"/>
                <w:sz w:val="20"/>
                <w:szCs w:val="20"/>
              </w:rPr>
              <w:t xml:space="preserve"> </w:t>
            </w:r>
            <w:r w:rsidRPr="00D37E4C">
              <w:rPr>
                <w:rFonts w:cs="Calibri"/>
                <w:sz w:val="20"/>
                <w:szCs w:val="20"/>
              </w:rPr>
              <w:t>(54, 54)</w:t>
            </w:r>
          </w:p>
        </w:tc>
        <w:tc>
          <w:tcPr>
            <w:tcW w:w="1418" w:type="dxa"/>
          </w:tcPr>
          <w:p w14:paraId="2F4E30BA" w14:textId="4B29AEE0" w:rsidR="006365F2" w:rsidRPr="00D37E4C" w:rsidRDefault="006365F2" w:rsidP="00317925">
            <w:pPr>
              <w:pStyle w:val="Tabletext"/>
              <w:ind w:left="0" w:right="0"/>
              <w:rPr>
                <w:rFonts w:cs="Calibri"/>
                <w:color w:val="auto"/>
                <w:sz w:val="20"/>
                <w:szCs w:val="20"/>
              </w:rPr>
            </w:pPr>
            <w:r w:rsidRPr="00D37E4C">
              <w:rPr>
                <w:rFonts w:cs="Calibri"/>
                <w:sz w:val="20"/>
                <w:szCs w:val="20"/>
              </w:rPr>
              <w:t>64 (</w:t>
            </w:r>
            <w:r w:rsidR="00831932" w:rsidRPr="00D37E4C">
              <w:rPr>
                <w:rFonts w:cs="Calibri"/>
                <w:sz w:val="20"/>
                <w:szCs w:val="20"/>
              </w:rPr>
              <w:t>39</w:t>
            </w:r>
            <w:r w:rsidRPr="00D37E4C">
              <w:rPr>
                <w:rFonts w:cs="Calibri"/>
                <w:sz w:val="20"/>
                <w:szCs w:val="20"/>
              </w:rPr>
              <w:t xml:space="preserve">, </w:t>
            </w:r>
            <w:r w:rsidR="00831932" w:rsidRPr="00D37E4C">
              <w:rPr>
                <w:rFonts w:cs="Calibri"/>
                <w:sz w:val="20"/>
                <w:szCs w:val="20"/>
              </w:rPr>
              <w:t>80</w:t>
            </w:r>
            <w:r w:rsidRPr="00D37E4C">
              <w:rPr>
                <w:rFonts w:cs="Calibri"/>
                <w:sz w:val="20"/>
                <w:szCs w:val="20"/>
              </w:rPr>
              <w:t>)</w:t>
            </w:r>
          </w:p>
        </w:tc>
      </w:tr>
      <w:tr w:rsidR="006365F2" w:rsidRPr="008402A5" w14:paraId="2063707A" w14:textId="77777777" w:rsidTr="005F568F">
        <w:trPr>
          <w:trHeight w:val="20"/>
        </w:trPr>
        <w:tc>
          <w:tcPr>
            <w:tcW w:w="983" w:type="dxa"/>
            <w:hideMark/>
          </w:tcPr>
          <w:p w14:paraId="04C79FCD" w14:textId="1D7E750D" w:rsidR="006365F2" w:rsidRPr="00D37E4C" w:rsidRDefault="006365F2" w:rsidP="00317925">
            <w:pPr>
              <w:pStyle w:val="Tabletext"/>
              <w:ind w:left="0" w:right="0"/>
              <w:rPr>
                <w:rFonts w:cs="Calibri"/>
                <w:bCs/>
                <w:color w:val="auto"/>
                <w:sz w:val="20"/>
                <w:szCs w:val="20"/>
                <w:lang w:val="en-US"/>
              </w:rPr>
            </w:pPr>
            <w:r w:rsidRPr="00D37E4C">
              <w:rPr>
                <w:rFonts w:cs="Calibri"/>
                <w:bCs/>
                <w:sz w:val="20"/>
                <w:szCs w:val="20"/>
                <w:lang w:val="en-US"/>
              </w:rPr>
              <w:t>Age group</w:t>
            </w:r>
          </w:p>
        </w:tc>
        <w:tc>
          <w:tcPr>
            <w:tcW w:w="3118" w:type="dxa"/>
          </w:tcPr>
          <w:p w14:paraId="794A3A56" w14:textId="77777777" w:rsidR="006365F2" w:rsidRPr="00D37E4C" w:rsidRDefault="006365F2" w:rsidP="00317925">
            <w:pPr>
              <w:pStyle w:val="Tabletext"/>
              <w:ind w:left="0" w:right="0"/>
              <w:rPr>
                <w:rFonts w:cs="Calibri"/>
                <w:color w:val="auto"/>
                <w:sz w:val="20"/>
                <w:szCs w:val="20"/>
                <w:lang w:val="en-US"/>
              </w:rPr>
            </w:pPr>
            <w:r w:rsidRPr="00D37E4C">
              <w:rPr>
                <w:rFonts w:cs="Calibri"/>
                <w:sz w:val="20"/>
                <w:szCs w:val="20"/>
                <w:lang w:val="en-US"/>
              </w:rPr>
              <w:t>&lt;65 years</w:t>
            </w:r>
          </w:p>
          <w:p w14:paraId="2FACDE4B" w14:textId="6A70C16A" w:rsidR="006365F2" w:rsidRPr="00D37E4C" w:rsidRDefault="006365F2" w:rsidP="00317925">
            <w:pPr>
              <w:pStyle w:val="Tabletext"/>
              <w:ind w:left="0" w:right="0"/>
              <w:rPr>
                <w:rFonts w:cs="Calibri"/>
                <w:color w:val="auto"/>
                <w:sz w:val="20"/>
                <w:szCs w:val="20"/>
                <w:lang w:val="en-US"/>
              </w:rPr>
            </w:pPr>
            <w:r w:rsidRPr="00D37E4C">
              <w:rPr>
                <w:rFonts w:cs="Calibri"/>
                <w:sz w:val="20"/>
                <w:szCs w:val="20"/>
                <w:lang w:val="en-US"/>
              </w:rPr>
              <w:t>≥65</w:t>
            </w:r>
            <w:r w:rsidR="00831932" w:rsidRPr="00D37E4C">
              <w:rPr>
                <w:rFonts w:cs="Calibri"/>
                <w:sz w:val="20"/>
                <w:szCs w:val="20"/>
                <w:lang w:val="en-US"/>
              </w:rPr>
              <w:t xml:space="preserve"> to</w:t>
            </w:r>
            <w:r w:rsidRPr="00D37E4C">
              <w:rPr>
                <w:rFonts w:cs="Calibri"/>
                <w:sz w:val="20"/>
                <w:szCs w:val="20"/>
                <w:lang w:val="en-US"/>
              </w:rPr>
              <w:t xml:space="preserve"> &lt; 75 years</w:t>
            </w:r>
          </w:p>
          <w:p w14:paraId="15D8B033" w14:textId="02B8F932" w:rsidR="006365F2" w:rsidRPr="00D37E4C" w:rsidRDefault="006365F2" w:rsidP="00317925">
            <w:pPr>
              <w:pStyle w:val="Tabletext"/>
              <w:ind w:left="0" w:right="0"/>
              <w:rPr>
                <w:rFonts w:cs="Calibri"/>
                <w:color w:val="auto"/>
                <w:sz w:val="20"/>
                <w:szCs w:val="20"/>
                <w:lang w:val="en-US"/>
              </w:rPr>
            </w:pPr>
            <w:r w:rsidRPr="00D37E4C">
              <w:rPr>
                <w:rFonts w:cs="Calibri"/>
                <w:sz w:val="20"/>
                <w:szCs w:val="20"/>
                <w:lang w:val="en-US"/>
              </w:rPr>
              <w:t>≥ 75 years</w:t>
            </w:r>
          </w:p>
        </w:tc>
        <w:tc>
          <w:tcPr>
            <w:tcW w:w="1276" w:type="dxa"/>
            <w:hideMark/>
          </w:tcPr>
          <w:p w14:paraId="34EC5CE9" w14:textId="6ABAB449" w:rsidR="006365F2" w:rsidRPr="00D37E4C" w:rsidRDefault="006365F2" w:rsidP="00317925">
            <w:pPr>
              <w:pStyle w:val="Tabletext"/>
              <w:ind w:left="0" w:right="0"/>
              <w:rPr>
                <w:rFonts w:cs="Calibri"/>
                <w:color w:val="auto"/>
                <w:sz w:val="20"/>
                <w:szCs w:val="20"/>
              </w:rPr>
            </w:pPr>
            <w:r w:rsidRPr="00D37E4C">
              <w:rPr>
                <w:rFonts w:cs="Calibri"/>
                <w:sz w:val="20"/>
                <w:szCs w:val="20"/>
              </w:rPr>
              <w:t>5</w:t>
            </w:r>
            <w:r w:rsidR="00831932" w:rsidRPr="00D37E4C">
              <w:rPr>
                <w:rFonts w:cs="Calibri"/>
                <w:sz w:val="20"/>
                <w:szCs w:val="20"/>
              </w:rPr>
              <w:t>1</w:t>
            </w:r>
            <w:r w:rsidRPr="00D37E4C">
              <w:rPr>
                <w:rFonts w:cs="Calibri"/>
                <w:sz w:val="20"/>
                <w:szCs w:val="20"/>
              </w:rPr>
              <w:t xml:space="preserve"> (49.</w:t>
            </w:r>
            <w:r w:rsidR="00831932" w:rsidRPr="00D37E4C">
              <w:rPr>
                <w:rFonts w:cs="Calibri"/>
                <w:sz w:val="20"/>
                <w:szCs w:val="20"/>
              </w:rPr>
              <w:t>5</w:t>
            </w:r>
            <w:r w:rsidRPr="00D37E4C">
              <w:rPr>
                <w:rFonts w:cs="Calibri"/>
                <w:sz w:val="20"/>
                <w:szCs w:val="20"/>
              </w:rPr>
              <w:t>%)</w:t>
            </w:r>
          </w:p>
          <w:p w14:paraId="6AB51BF3" w14:textId="6CC83777" w:rsidR="006365F2" w:rsidRPr="00D37E4C" w:rsidRDefault="006365F2" w:rsidP="00317925">
            <w:pPr>
              <w:pStyle w:val="Tabletext"/>
              <w:ind w:left="0" w:right="0"/>
              <w:rPr>
                <w:rFonts w:cs="Calibri"/>
                <w:color w:val="auto"/>
                <w:sz w:val="20"/>
                <w:szCs w:val="20"/>
              </w:rPr>
            </w:pPr>
            <w:r w:rsidRPr="00D37E4C">
              <w:rPr>
                <w:rFonts w:cs="Calibri"/>
                <w:sz w:val="20"/>
                <w:szCs w:val="20"/>
              </w:rPr>
              <w:t>4</w:t>
            </w:r>
            <w:r w:rsidR="00831932" w:rsidRPr="00D37E4C">
              <w:rPr>
                <w:rFonts w:cs="Calibri"/>
                <w:sz w:val="20"/>
                <w:szCs w:val="20"/>
              </w:rPr>
              <w:t>1</w:t>
            </w:r>
            <w:r w:rsidRPr="00D37E4C">
              <w:rPr>
                <w:rFonts w:cs="Calibri"/>
                <w:sz w:val="20"/>
                <w:szCs w:val="20"/>
              </w:rPr>
              <w:t xml:space="preserve"> (</w:t>
            </w:r>
            <w:r w:rsidR="00831932" w:rsidRPr="00D37E4C">
              <w:rPr>
                <w:rFonts w:cs="Calibri"/>
                <w:sz w:val="20"/>
                <w:szCs w:val="20"/>
              </w:rPr>
              <w:t>39.8</w:t>
            </w:r>
            <w:r w:rsidRPr="00D37E4C">
              <w:rPr>
                <w:rFonts w:cs="Calibri"/>
                <w:sz w:val="20"/>
                <w:szCs w:val="20"/>
              </w:rPr>
              <w:t>%)</w:t>
            </w:r>
          </w:p>
          <w:p w14:paraId="40FE3A27" w14:textId="5804B6E2" w:rsidR="006365F2" w:rsidRPr="00D37E4C" w:rsidRDefault="006365F2" w:rsidP="00317925">
            <w:pPr>
              <w:pStyle w:val="Tabletext"/>
              <w:ind w:left="0" w:right="0"/>
              <w:rPr>
                <w:rFonts w:cs="Calibri"/>
                <w:color w:val="auto"/>
                <w:sz w:val="20"/>
                <w:szCs w:val="20"/>
              </w:rPr>
            </w:pPr>
            <w:r w:rsidRPr="00D37E4C">
              <w:rPr>
                <w:rFonts w:cs="Calibri"/>
                <w:sz w:val="20"/>
                <w:szCs w:val="20"/>
              </w:rPr>
              <w:t>11 (10.</w:t>
            </w:r>
            <w:r w:rsidR="00831932" w:rsidRPr="00D37E4C">
              <w:rPr>
                <w:rFonts w:cs="Calibri"/>
                <w:sz w:val="20"/>
                <w:szCs w:val="20"/>
              </w:rPr>
              <w:t>7</w:t>
            </w:r>
            <w:r w:rsidRPr="00D37E4C">
              <w:rPr>
                <w:rFonts w:cs="Calibri"/>
                <w:sz w:val="20"/>
                <w:szCs w:val="20"/>
              </w:rPr>
              <w:t>%)</w:t>
            </w:r>
          </w:p>
        </w:tc>
        <w:tc>
          <w:tcPr>
            <w:tcW w:w="1559" w:type="dxa"/>
            <w:hideMark/>
          </w:tcPr>
          <w:p w14:paraId="7409D430" w14:textId="77777777" w:rsidR="006365F2" w:rsidRPr="00D37E4C" w:rsidRDefault="006365F2" w:rsidP="00317925">
            <w:pPr>
              <w:pStyle w:val="Tabletext"/>
              <w:ind w:left="0" w:right="0"/>
              <w:rPr>
                <w:rFonts w:cs="Calibri"/>
                <w:color w:val="auto"/>
                <w:sz w:val="20"/>
                <w:szCs w:val="20"/>
              </w:rPr>
            </w:pPr>
            <w:r w:rsidRPr="00D37E4C">
              <w:rPr>
                <w:rFonts w:cs="Calibri"/>
                <w:sz w:val="20"/>
                <w:szCs w:val="20"/>
              </w:rPr>
              <w:t>2 (100%)</w:t>
            </w:r>
          </w:p>
          <w:p w14:paraId="381E3677" w14:textId="47E8D03F" w:rsidR="006365F2" w:rsidRPr="00D37E4C" w:rsidRDefault="00831932" w:rsidP="00317925">
            <w:pPr>
              <w:pStyle w:val="Tabletext"/>
              <w:ind w:left="0" w:right="0"/>
              <w:rPr>
                <w:rFonts w:cs="Calibri"/>
                <w:color w:val="auto"/>
                <w:sz w:val="20"/>
                <w:szCs w:val="20"/>
              </w:rPr>
            </w:pPr>
            <w:r w:rsidRPr="00D37E4C">
              <w:rPr>
                <w:rFonts w:cs="Calibri"/>
                <w:sz w:val="20"/>
                <w:szCs w:val="20"/>
              </w:rPr>
              <w:t>0</w:t>
            </w:r>
          </w:p>
          <w:p w14:paraId="7A1C44F9" w14:textId="4989DA0D" w:rsidR="006365F2" w:rsidRPr="00D37E4C" w:rsidRDefault="00831932" w:rsidP="00317925">
            <w:pPr>
              <w:pStyle w:val="Tabletext"/>
              <w:ind w:left="0" w:right="0"/>
              <w:rPr>
                <w:rFonts w:cs="Calibri"/>
                <w:color w:val="auto"/>
                <w:sz w:val="20"/>
                <w:szCs w:val="20"/>
              </w:rPr>
            </w:pPr>
            <w:r w:rsidRPr="00D37E4C">
              <w:rPr>
                <w:rFonts w:cs="Calibri"/>
                <w:sz w:val="20"/>
                <w:szCs w:val="20"/>
              </w:rPr>
              <w:t>0</w:t>
            </w:r>
          </w:p>
        </w:tc>
        <w:tc>
          <w:tcPr>
            <w:tcW w:w="1418" w:type="dxa"/>
          </w:tcPr>
          <w:p w14:paraId="298F0B2E" w14:textId="487F0468" w:rsidR="006365F2" w:rsidRPr="00D37E4C" w:rsidRDefault="006365F2" w:rsidP="00317925">
            <w:pPr>
              <w:pStyle w:val="Tabletext"/>
              <w:ind w:left="0" w:right="0"/>
              <w:rPr>
                <w:rFonts w:cs="Calibri"/>
                <w:color w:val="auto"/>
                <w:sz w:val="20"/>
                <w:szCs w:val="20"/>
              </w:rPr>
            </w:pPr>
            <w:r w:rsidRPr="00D37E4C">
              <w:rPr>
                <w:rFonts w:cs="Calibri"/>
                <w:sz w:val="20"/>
                <w:szCs w:val="20"/>
              </w:rPr>
              <w:t>5</w:t>
            </w:r>
            <w:r w:rsidR="00831932" w:rsidRPr="00D37E4C">
              <w:rPr>
                <w:rFonts w:cs="Calibri"/>
                <w:sz w:val="20"/>
                <w:szCs w:val="20"/>
              </w:rPr>
              <w:t>3</w:t>
            </w:r>
            <w:r w:rsidRPr="00D37E4C">
              <w:rPr>
                <w:rFonts w:cs="Calibri"/>
                <w:sz w:val="20"/>
                <w:szCs w:val="20"/>
              </w:rPr>
              <w:t xml:space="preserve"> (50</w:t>
            </w:r>
            <w:r w:rsidR="00831932" w:rsidRPr="00D37E4C">
              <w:rPr>
                <w:rFonts w:cs="Calibri"/>
                <w:sz w:val="20"/>
                <w:szCs w:val="20"/>
              </w:rPr>
              <w:t>.5</w:t>
            </w:r>
            <w:r w:rsidRPr="00D37E4C">
              <w:rPr>
                <w:rFonts w:cs="Calibri"/>
                <w:sz w:val="20"/>
                <w:szCs w:val="20"/>
              </w:rPr>
              <w:t>%)</w:t>
            </w:r>
          </w:p>
          <w:p w14:paraId="6FACADF6" w14:textId="5A5EFF68" w:rsidR="006365F2" w:rsidRPr="00D37E4C" w:rsidRDefault="006365F2" w:rsidP="00317925">
            <w:pPr>
              <w:pStyle w:val="Tabletext"/>
              <w:ind w:left="0" w:right="0"/>
              <w:rPr>
                <w:rFonts w:cs="Calibri"/>
                <w:color w:val="auto"/>
                <w:sz w:val="20"/>
                <w:szCs w:val="20"/>
              </w:rPr>
            </w:pPr>
            <w:r w:rsidRPr="00D37E4C">
              <w:rPr>
                <w:rFonts w:cs="Calibri"/>
                <w:sz w:val="20"/>
                <w:szCs w:val="20"/>
              </w:rPr>
              <w:t>4</w:t>
            </w:r>
            <w:r w:rsidR="00831932" w:rsidRPr="00D37E4C">
              <w:rPr>
                <w:rFonts w:cs="Calibri"/>
                <w:sz w:val="20"/>
                <w:szCs w:val="20"/>
              </w:rPr>
              <w:t>1</w:t>
            </w:r>
            <w:r w:rsidRPr="00D37E4C">
              <w:rPr>
                <w:rFonts w:cs="Calibri"/>
                <w:sz w:val="20"/>
                <w:szCs w:val="20"/>
              </w:rPr>
              <w:t xml:space="preserve"> (39.</w:t>
            </w:r>
            <w:r w:rsidR="00831932" w:rsidRPr="00D37E4C">
              <w:rPr>
                <w:rFonts w:cs="Calibri"/>
                <w:sz w:val="20"/>
                <w:szCs w:val="20"/>
              </w:rPr>
              <w:t>0</w:t>
            </w:r>
            <w:r w:rsidRPr="00D37E4C">
              <w:rPr>
                <w:rFonts w:cs="Calibri"/>
                <w:sz w:val="20"/>
                <w:szCs w:val="20"/>
              </w:rPr>
              <w:t>%)</w:t>
            </w:r>
          </w:p>
          <w:p w14:paraId="4E9AB6CB" w14:textId="0979243B" w:rsidR="006365F2" w:rsidRPr="00D37E4C" w:rsidRDefault="006365F2" w:rsidP="00317925">
            <w:pPr>
              <w:pStyle w:val="Tabletext"/>
              <w:ind w:left="0" w:right="0"/>
              <w:rPr>
                <w:rFonts w:cs="Calibri"/>
                <w:color w:val="auto"/>
                <w:sz w:val="20"/>
                <w:szCs w:val="20"/>
              </w:rPr>
            </w:pPr>
            <w:r w:rsidRPr="00D37E4C">
              <w:rPr>
                <w:rFonts w:cs="Calibri"/>
                <w:sz w:val="20"/>
                <w:szCs w:val="20"/>
              </w:rPr>
              <w:t>11 (10.</w:t>
            </w:r>
            <w:r w:rsidR="00831932" w:rsidRPr="00D37E4C">
              <w:rPr>
                <w:rFonts w:cs="Calibri"/>
                <w:sz w:val="20"/>
                <w:szCs w:val="20"/>
              </w:rPr>
              <w:t>5</w:t>
            </w:r>
            <w:r w:rsidRPr="00D37E4C">
              <w:rPr>
                <w:rFonts w:cs="Calibri"/>
                <w:sz w:val="20"/>
                <w:szCs w:val="20"/>
              </w:rPr>
              <w:t>%)</w:t>
            </w:r>
          </w:p>
        </w:tc>
      </w:tr>
      <w:tr w:rsidR="006365F2" w:rsidRPr="008402A5" w14:paraId="3A415CE8" w14:textId="77777777" w:rsidTr="005F568F">
        <w:trPr>
          <w:trHeight w:val="20"/>
        </w:trPr>
        <w:tc>
          <w:tcPr>
            <w:tcW w:w="983" w:type="dxa"/>
            <w:hideMark/>
          </w:tcPr>
          <w:p w14:paraId="769CA0D7" w14:textId="6E7F1CBD" w:rsidR="006365F2" w:rsidRPr="00D37E4C" w:rsidRDefault="006365F2" w:rsidP="00317925">
            <w:pPr>
              <w:pStyle w:val="Tabletext"/>
              <w:ind w:left="0" w:right="0"/>
              <w:rPr>
                <w:rFonts w:cs="Calibri"/>
                <w:bCs/>
                <w:color w:val="auto"/>
                <w:sz w:val="20"/>
                <w:szCs w:val="20"/>
                <w:lang w:val="en-US"/>
              </w:rPr>
            </w:pPr>
            <w:r w:rsidRPr="00D37E4C">
              <w:rPr>
                <w:rFonts w:cs="Calibri"/>
                <w:bCs/>
                <w:sz w:val="20"/>
                <w:szCs w:val="20"/>
                <w:lang w:val="en-US"/>
              </w:rPr>
              <w:t>Race</w:t>
            </w:r>
          </w:p>
        </w:tc>
        <w:tc>
          <w:tcPr>
            <w:tcW w:w="3118" w:type="dxa"/>
          </w:tcPr>
          <w:p w14:paraId="71D34067" w14:textId="56EAAEDA" w:rsidR="006365F2" w:rsidRPr="00D37E4C" w:rsidRDefault="006365F2" w:rsidP="00317925">
            <w:pPr>
              <w:pStyle w:val="Tabletext"/>
              <w:ind w:left="0" w:right="0"/>
              <w:rPr>
                <w:rFonts w:cs="Calibri"/>
                <w:color w:val="auto"/>
                <w:sz w:val="20"/>
                <w:szCs w:val="20"/>
                <w:lang w:val="en-US"/>
              </w:rPr>
            </w:pPr>
            <w:r w:rsidRPr="00D37E4C">
              <w:rPr>
                <w:rFonts w:cs="Calibri"/>
                <w:sz w:val="20"/>
                <w:szCs w:val="20"/>
                <w:lang w:val="en-US"/>
              </w:rPr>
              <w:t>White</w:t>
            </w:r>
          </w:p>
          <w:p w14:paraId="0442CAEC" w14:textId="33E14A3A" w:rsidR="00831932" w:rsidRPr="00D37E4C" w:rsidRDefault="00831932" w:rsidP="00317925">
            <w:pPr>
              <w:pStyle w:val="Tabletext"/>
              <w:ind w:left="0" w:right="0"/>
              <w:rPr>
                <w:rFonts w:cs="Calibri"/>
                <w:color w:val="auto"/>
                <w:sz w:val="20"/>
                <w:szCs w:val="20"/>
                <w:lang w:val="en-US"/>
              </w:rPr>
            </w:pPr>
            <w:r w:rsidRPr="00D37E4C">
              <w:rPr>
                <w:rFonts w:cs="Calibri"/>
                <w:sz w:val="20"/>
                <w:szCs w:val="20"/>
                <w:lang w:val="en-US"/>
              </w:rPr>
              <w:t>Black</w:t>
            </w:r>
          </w:p>
          <w:p w14:paraId="666941D4" w14:textId="77777777" w:rsidR="006365F2" w:rsidRPr="00D37E4C" w:rsidRDefault="006365F2" w:rsidP="00317925">
            <w:pPr>
              <w:pStyle w:val="Tabletext"/>
              <w:ind w:left="0" w:right="0"/>
              <w:rPr>
                <w:rFonts w:cs="Calibri"/>
                <w:color w:val="auto"/>
                <w:sz w:val="20"/>
                <w:szCs w:val="20"/>
                <w:lang w:val="en-US"/>
              </w:rPr>
            </w:pPr>
            <w:r w:rsidRPr="00D37E4C">
              <w:rPr>
                <w:rFonts w:cs="Calibri"/>
                <w:sz w:val="20"/>
                <w:szCs w:val="20"/>
                <w:lang w:val="en-US"/>
              </w:rPr>
              <w:lastRenderedPageBreak/>
              <w:t>Asian</w:t>
            </w:r>
          </w:p>
          <w:p w14:paraId="3ABCC21B" w14:textId="77777777" w:rsidR="00831932" w:rsidRPr="00D37E4C" w:rsidRDefault="00831932" w:rsidP="00317925">
            <w:pPr>
              <w:pStyle w:val="Tabletext"/>
              <w:ind w:left="0" w:right="0"/>
              <w:rPr>
                <w:rFonts w:cs="Calibri"/>
                <w:color w:val="auto"/>
                <w:sz w:val="20"/>
                <w:szCs w:val="20"/>
                <w:lang w:val="en-US"/>
              </w:rPr>
            </w:pPr>
            <w:r w:rsidRPr="00D37E4C">
              <w:rPr>
                <w:rFonts w:cs="Calibri"/>
                <w:sz w:val="20"/>
                <w:szCs w:val="20"/>
                <w:lang w:val="en-US"/>
              </w:rPr>
              <w:t>American Indian or Alaska Native</w:t>
            </w:r>
          </w:p>
          <w:p w14:paraId="505AA9A0" w14:textId="44FB884D" w:rsidR="00831932" w:rsidRPr="00D37E4C" w:rsidRDefault="00831932" w:rsidP="00317925">
            <w:pPr>
              <w:pStyle w:val="Tabletext"/>
              <w:ind w:left="0" w:right="0"/>
              <w:rPr>
                <w:rFonts w:cs="Calibri"/>
                <w:color w:val="auto"/>
                <w:sz w:val="20"/>
                <w:szCs w:val="20"/>
                <w:lang w:val="en-US"/>
              </w:rPr>
            </w:pPr>
            <w:r w:rsidRPr="00D37E4C">
              <w:rPr>
                <w:rFonts w:cs="Calibri"/>
                <w:sz w:val="20"/>
                <w:szCs w:val="20"/>
                <w:lang w:val="en-US"/>
              </w:rPr>
              <w:t>Not reported</w:t>
            </w:r>
          </w:p>
        </w:tc>
        <w:tc>
          <w:tcPr>
            <w:tcW w:w="1276" w:type="dxa"/>
            <w:hideMark/>
          </w:tcPr>
          <w:p w14:paraId="412A42DB" w14:textId="62E7C305" w:rsidR="006365F2" w:rsidRPr="00D37E4C" w:rsidRDefault="006365F2" w:rsidP="00317925">
            <w:pPr>
              <w:pStyle w:val="Tabletext"/>
              <w:ind w:left="0" w:right="0"/>
              <w:rPr>
                <w:rFonts w:cs="Calibri"/>
                <w:color w:val="auto"/>
                <w:sz w:val="20"/>
                <w:szCs w:val="20"/>
              </w:rPr>
            </w:pPr>
            <w:r w:rsidRPr="00D37E4C">
              <w:rPr>
                <w:rFonts w:cs="Calibri"/>
                <w:sz w:val="20"/>
                <w:szCs w:val="20"/>
              </w:rPr>
              <w:lastRenderedPageBreak/>
              <w:t>8</w:t>
            </w:r>
            <w:r w:rsidR="00831932" w:rsidRPr="00D37E4C">
              <w:rPr>
                <w:rFonts w:cs="Calibri"/>
                <w:sz w:val="20"/>
                <w:szCs w:val="20"/>
              </w:rPr>
              <w:t>0</w:t>
            </w:r>
            <w:r w:rsidRPr="00D37E4C">
              <w:rPr>
                <w:rFonts w:cs="Calibri"/>
                <w:sz w:val="20"/>
                <w:szCs w:val="20"/>
              </w:rPr>
              <w:t xml:space="preserve"> (77.</w:t>
            </w:r>
            <w:r w:rsidR="00831932" w:rsidRPr="00D37E4C">
              <w:rPr>
                <w:rFonts w:cs="Calibri"/>
                <w:sz w:val="20"/>
                <w:szCs w:val="20"/>
              </w:rPr>
              <w:t>7</w:t>
            </w:r>
            <w:r w:rsidRPr="00D37E4C">
              <w:rPr>
                <w:rFonts w:cs="Calibri"/>
                <w:sz w:val="20"/>
                <w:szCs w:val="20"/>
              </w:rPr>
              <w:t>%)</w:t>
            </w:r>
          </w:p>
          <w:p w14:paraId="504E341E" w14:textId="187E53FC" w:rsidR="00831932" w:rsidRPr="00D37E4C" w:rsidRDefault="00831932" w:rsidP="00317925">
            <w:pPr>
              <w:pStyle w:val="Tabletext"/>
              <w:ind w:left="0" w:right="0"/>
              <w:rPr>
                <w:rFonts w:cs="Calibri"/>
                <w:color w:val="auto"/>
                <w:sz w:val="20"/>
                <w:szCs w:val="20"/>
              </w:rPr>
            </w:pPr>
            <w:r w:rsidRPr="00D37E4C">
              <w:rPr>
                <w:rFonts w:cs="Calibri"/>
                <w:sz w:val="20"/>
                <w:szCs w:val="20"/>
              </w:rPr>
              <w:t>2 (1.9%)</w:t>
            </w:r>
          </w:p>
          <w:p w14:paraId="64CE05FF" w14:textId="33B02F39" w:rsidR="006365F2" w:rsidRPr="00D37E4C" w:rsidRDefault="00831932" w:rsidP="00317925">
            <w:pPr>
              <w:pStyle w:val="Tabletext"/>
              <w:ind w:left="0" w:right="0"/>
              <w:rPr>
                <w:rFonts w:cs="Calibri"/>
                <w:color w:val="auto"/>
                <w:sz w:val="20"/>
                <w:szCs w:val="20"/>
              </w:rPr>
            </w:pPr>
            <w:r w:rsidRPr="00D37E4C">
              <w:rPr>
                <w:rFonts w:cs="Calibri"/>
                <w:sz w:val="20"/>
                <w:szCs w:val="20"/>
              </w:rPr>
              <w:lastRenderedPageBreak/>
              <w:t>4</w:t>
            </w:r>
            <w:r w:rsidR="006365F2" w:rsidRPr="00D37E4C">
              <w:rPr>
                <w:rFonts w:cs="Calibri"/>
                <w:sz w:val="20"/>
                <w:szCs w:val="20"/>
              </w:rPr>
              <w:t xml:space="preserve"> (</w:t>
            </w:r>
            <w:r w:rsidRPr="00D37E4C">
              <w:rPr>
                <w:rFonts w:cs="Calibri"/>
                <w:sz w:val="20"/>
                <w:szCs w:val="20"/>
              </w:rPr>
              <w:t>3.9</w:t>
            </w:r>
            <w:r w:rsidR="006365F2" w:rsidRPr="00D37E4C">
              <w:rPr>
                <w:rFonts w:cs="Calibri"/>
                <w:sz w:val="20"/>
                <w:szCs w:val="20"/>
              </w:rPr>
              <w:t>%)</w:t>
            </w:r>
          </w:p>
          <w:p w14:paraId="18D21E61" w14:textId="77777777" w:rsidR="00831932" w:rsidRPr="00D37E4C" w:rsidRDefault="00831932" w:rsidP="00317925">
            <w:pPr>
              <w:pStyle w:val="Tabletext"/>
              <w:ind w:left="0" w:right="0"/>
              <w:rPr>
                <w:rFonts w:cs="Calibri"/>
                <w:color w:val="auto"/>
                <w:sz w:val="20"/>
                <w:szCs w:val="20"/>
              </w:rPr>
            </w:pPr>
            <w:r w:rsidRPr="00D37E4C">
              <w:rPr>
                <w:rFonts w:cs="Calibri"/>
                <w:sz w:val="20"/>
                <w:szCs w:val="20"/>
              </w:rPr>
              <w:t>3 (2.9%)</w:t>
            </w:r>
          </w:p>
          <w:p w14:paraId="0D539C56" w14:textId="7116FCB4" w:rsidR="00831932" w:rsidRPr="00D37E4C" w:rsidRDefault="00831932" w:rsidP="00317925">
            <w:pPr>
              <w:pStyle w:val="Tabletext"/>
              <w:ind w:left="0" w:right="0"/>
              <w:rPr>
                <w:rFonts w:cs="Calibri"/>
                <w:color w:val="auto"/>
                <w:sz w:val="20"/>
                <w:szCs w:val="20"/>
              </w:rPr>
            </w:pPr>
            <w:r w:rsidRPr="00D37E4C">
              <w:rPr>
                <w:rFonts w:cs="Calibri"/>
                <w:sz w:val="20"/>
                <w:szCs w:val="20"/>
              </w:rPr>
              <w:t>14 (13.6%)</w:t>
            </w:r>
          </w:p>
        </w:tc>
        <w:tc>
          <w:tcPr>
            <w:tcW w:w="1559" w:type="dxa"/>
            <w:hideMark/>
          </w:tcPr>
          <w:p w14:paraId="5BA13B60" w14:textId="77777777" w:rsidR="006365F2" w:rsidRPr="00D37E4C" w:rsidRDefault="006365F2" w:rsidP="00317925">
            <w:pPr>
              <w:pStyle w:val="Tabletext"/>
              <w:ind w:left="0" w:right="0"/>
              <w:rPr>
                <w:rFonts w:cs="Calibri"/>
                <w:color w:val="auto"/>
                <w:sz w:val="20"/>
                <w:szCs w:val="20"/>
              </w:rPr>
            </w:pPr>
            <w:r w:rsidRPr="00D37E4C">
              <w:rPr>
                <w:rFonts w:cs="Calibri"/>
                <w:sz w:val="20"/>
                <w:szCs w:val="20"/>
              </w:rPr>
              <w:lastRenderedPageBreak/>
              <w:t>2 (100%)</w:t>
            </w:r>
          </w:p>
          <w:p w14:paraId="2127BBDB" w14:textId="0910615F" w:rsidR="006365F2" w:rsidRPr="00D37E4C" w:rsidRDefault="006A04D7" w:rsidP="00317925">
            <w:pPr>
              <w:pStyle w:val="Tabletext"/>
              <w:ind w:left="0" w:right="0"/>
              <w:rPr>
                <w:rFonts w:cs="Calibri"/>
                <w:color w:val="auto"/>
                <w:sz w:val="20"/>
                <w:szCs w:val="20"/>
              </w:rPr>
            </w:pPr>
            <w:r w:rsidRPr="00D37E4C">
              <w:rPr>
                <w:rFonts w:cs="Calibri"/>
                <w:sz w:val="20"/>
                <w:szCs w:val="20"/>
              </w:rPr>
              <w:t>0</w:t>
            </w:r>
          </w:p>
          <w:p w14:paraId="7B798020" w14:textId="77777777" w:rsidR="006A04D7" w:rsidRPr="00D37E4C" w:rsidRDefault="006A04D7" w:rsidP="00317925">
            <w:pPr>
              <w:pStyle w:val="Tabletext"/>
              <w:ind w:left="0" w:right="0"/>
              <w:rPr>
                <w:rFonts w:cs="Calibri"/>
                <w:color w:val="auto"/>
                <w:sz w:val="20"/>
                <w:szCs w:val="20"/>
              </w:rPr>
            </w:pPr>
            <w:r w:rsidRPr="00D37E4C">
              <w:rPr>
                <w:rFonts w:cs="Calibri"/>
                <w:sz w:val="20"/>
                <w:szCs w:val="20"/>
              </w:rPr>
              <w:lastRenderedPageBreak/>
              <w:t>0</w:t>
            </w:r>
          </w:p>
          <w:p w14:paraId="46B57D4B" w14:textId="77777777" w:rsidR="006A04D7" w:rsidRPr="00D37E4C" w:rsidRDefault="006A04D7" w:rsidP="00317925">
            <w:pPr>
              <w:pStyle w:val="Tabletext"/>
              <w:ind w:left="0" w:right="0"/>
              <w:rPr>
                <w:rFonts w:cs="Calibri"/>
                <w:color w:val="auto"/>
                <w:sz w:val="20"/>
                <w:szCs w:val="20"/>
              </w:rPr>
            </w:pPr>
            <w:r w:rsidRPr="00D37E4C">
              <w:rPr>
                <w:rFonts w:cs="Calibri"/>
                <w:sz w:val="20"/>
                <w:szCs w:val="20"/>
              </w:rPr>
              <w:t>0</w:t>
            </w:r>
          </w:p>
          <w:p w14:paraId="536FAB30" w14:textId="2B24EA05" w:rsidR="006A04D7" w:rsidRPr="00D37E4C" w:rsidRDefault="006A04D7" w:rsidP="00317925">
            <w:pPr>
              <w:pStyle w:val="Tabletext"/>
              <w:ind w:left="0" w:right="0"/>
              <w:rPr>
                <w:rFonts w:cs="Calibri"/>
                <w:color w:val="auto"/>
                <w:sz w:val="20"/>
                <w:szCs w:val="20"/>
              </w:rPr>
            </w:pPr>
            <w:r w:rsidRPr="00D37E4C">
              <w:rPr>
                <w:rFonts w:cs="Calibri"/>
                <w:sz w:val="20"/>
                <w:szCs w:val="20"/>
              </w:rPr>
              <w:t>0</w:t>
            </w:r>
          </w:p>
        </w:tc>
        <w:tc>
          <w:tcPr>
            <w:tcW w:w="1418" w:type="dxa"/>
          </w:tcPr>
          <w:p w14:paraId="7E073E0E" w14:textId="080E562A" w:rsidR="006365F2" w:rsidRPr="00D37E4C" w:rsidRDefault="006365F2" w:rsidP="00317925">
            <w:pPr>
              <w:pStyle w:val="Tabletext"/>
              <w:ind w:left="0" w:right="0"/>
              <w:rPr>
                <w:rFonts w:cs="Calibri"/>
                <w:color w:val="auto"/>
                <w:sz w:val="20"/>
                <w:szCs w:val="20"/>
              </w:rPr>
            </w:pPr>
            <w:r w:rsidRPr="00D37E4C">
              <w:rPr>
                <w:rFonts w:cs="Calibri"/>
                <w:sz w:val="20"/>
                <w:szCs w:val="20"/>
              </w:rPr>
              <w:lastRenderedPageBreak/>
              <w:t>8</w:t>
            </w:r>
            <w:r w:rsidR="006A04D7" w:rsidRPr="00D37E4C">
              <w:rPr>
                <w:rFonts w:cs="Calibri"/>
                <w:sz w:val="20"/>
                <w:szCs w:val="20"/>
              </w:rPr>
              <w:t>2</w:t>
            </w:r>
            <w:r w:rsidRPr="00D37E4C">
              <w:rPr>
                <w:rFonts w:cs="Calibri"/>
                <w:sz w:val="20"/>
                <w:szCs w:val="20"/>
              </w:rPr>
              <w:t xml:space="preserve"> (7</w:t>
            </w:r>
            <w:r w:rsidR="006A04D7" w:rsidRPr="00D37E4C">
              <w:rPr>
                <w:rFonts w:cs="Calibri"/>
                <w:sz w:val="20"/>
                <w:szCs w:val="20"/>
              </w:rPr>
              <w:t>8.1</w:t>
            </w:r>
            <w:r w:rsidRPr="00D37E4C">
              <w:rPr>
                <w:rFonts w:cs="Calibri"/>
                <w:sz w:val="20"/>
                <w:szCs w:val="20"/>
              </w:rPr>
              <w:t>%)</w:t>
            </w:r>
          </w:p>
          <w:p w14:paraId="2AFD77F2" w14:textId="290C3551" w:rsidR="006365F2" w:rsidRPr="00D37E4C" w:rsidRDefault="006A04D7" w:rsidP="00317925">
            <w:pPr>
              <w:pStyle w:val="Tabletext"/>
              <w:ind w:left="0" w:right="0"/>
              <w:rPr>
                <w:rFonts w:cs="Calibri"/>
                <w:color w:val="auto"/>
                <w:sz w:val="20"/>
                <w:szCs w:val="20"/>
              </w:rPr>
            </w:pPr>
            <w:r w:rsidRPr="00D37E4C">
              <w:rPr>
                <w:rFonts w:cs="Calibri"/>
                <w:sz w:val="20"/>
                <w:szCs w:val="20"/>
              </w:rPr>
              <w:t>2 (1.9%)</w:t>
            </w:r>
          </w:p>
          <w:p w14:paraId="18947F8C" w14:textId="5AECA143" w:rsidR="006A04D7" w:rsidRPr="00D37E4C" w:rsidRDefault="006A04D7" w:rsidP="00317925">
            <w:pPr>
              <w:pStyle w:val="Tabletext"/>
              <w:ind w:left="0" w:right="0"/>
              <w:rPr>
                <w:rFonts w:cs="Calibri"/>
                <w:color w:val="auto"/>
                <w:sz w:val="20"/>
                <w:szCs w:val="20"/>
              </w:rPr>
            </w:pPr>
            <w:r w:rsidRPr="00D37E4C">
              <w:rPr>
                <w:rFonts w:cs="Calibri"/>
                <w:sz w:val="20"/>
                <w:szCs w:val="20"/>
              </w:rPr>
              <w:lastRenderedPageBreak/>
              <w:t>4 (3.8%)</w:t>
            </w:r>
          </w:p>
          <w:p w14:paraId="38695A32" w14:textId="0FE95C1B" w:rsidR="006A04D7" w:rsidRPr="00D37E4C" w:rsidRDefault="006A04D7" w:rsidP="00317925">
            <w:pPr>
              <w:pStyle w:val="Tabletext"/>
              <w:ind w:left="0" w:right="0"/>
              <w:rPr>
                <w:rFonts w:cs="Calibri"/>
                <w:color w:val="auto"/>
                <w:sz w:val="20"/>
                <w:szCs w:val="20"/>
              </w:rPr>
            </w:pPr>
            <w:r w:rsidRPr="00D37E4C">
              <w:rPr>
                <w:rFonts w:cs="Calibri"/>
                <w:sz w:val="20"/>
                <w:szCs w:val="20"/>
              </w:rPr>
              <w:t>3 (2.9%)</w:t>
            </w:r>
          </w:p>
          <w:p w14:paraId="76E49552" w14:textId="5B6C75FF" w:rsidR="006A04D7" w:rsidRPr="00D37E4C" w:rsidRDefault="006A04D7" w:rsidP="00317925">
            <w:pPr>
              <w:pStyle w:val="Tabletext"/>
              <w:ind w:left="0" w:right="0"/>
              <w:rPr>
                <w:rFonts w:cs="Calibri"/>
                <w:color w:val="auto"/>
                <w:sz w:val="20"/>
                <w:szCs w:val="20"/>
              </w:rPr>
            </w:pPr>
            <w:r w:rsidRPr="00D37E4C">
              <w:rPr>
                <w:rFonts w:cs="Calibri"/>
                <w:sz w:val="20"/>
                <w:szCs w:val="20"/>
              </w:rPr>
              <w:t>14 (13.3%)</w:t>
            </w:r>
          </w:p>
        </w:tc>
      </w:tr>
      <w:tr w:rsidR="006365F2" w:rsidRPr="008402A5" w14:paraId="7906E9A6" w14:textId="77777777" w:rsidTr="005F568F">
        <w:trPr>
          <w:trHeight w:val="20"/>
        </w:trPr>
        <w:tc>
          <w:tcPr>
            <w:tcW w:w="983" w:type="dxa"/>
            <w:hideMark/>
          </w:tcPr>
          <w:p w14:paraId="2CFE30BB" w14:textId="42EBF408" w:rsidR="006365F2" w:rsidRPr="00D37E4C" w:rsidRDefault="006365F2" w:rsidP="00317925">
            <w:pPr>
              <w:pStyle w:val="Tabletext"/>
              <w:ind w:left="0" w:right="0"/>
              <w:rPr>
                <w:rFonts w:cs="Calibri"/>
                <w:bCs/>
                <w:color w:val="auto"/>
                <w:sz w:val="20"/>
                <w:szCs w:val="20"/>
                <w:lang w:val="en-US"/>
              </w:rPr>
            </w:pPr>
            <w:r w:rsidRPr="00D37E4C">
              <w:rPr>
                <w:rFonts w:cs="Calibri"/>
                <w:bCs/>
                <w:sz w:val="20"/>
                <w:szCs w:val="20"/>
                <w:lang w:val="en-US"/>
              </w:rPr>
              <w:lastRenderedPageBreak/>
              <w:t>ECOG status</w:t>
            </w:r>
            <w:r w:rsidR="00D04EFE" w:rsidRPr="00D37E4C">
              <w:rPr>
                <w:rFonts w:cs="Calibri"/>
                <w:bCs/>
                <w:sz w:val="20"/>
                <w:szCs w:val="20"/>
                <w:lang w:val="en-US"/>
              </w:rPr>
              <w:t>;</w:t>
            </w:r>
            <w:r w:rsidR="00D04EFE" w:rsidRPr="00D37E4C">
              <w:rPr>
                <w:rFonts w:cs="Calibri"/>
                <w:bCs/>
                <w:sz w:val="20"/>
                <w:szCs w:val="20"/>
                <w:vertAlign w:val="superscript"/>
                <w:lang w:val="en-US"/>
              </w:rPr>
              <w:fldChar w:fldCharType="begin"/>
            </w:r>
            <w:r w:rsidR="00D04EFE" w:rsidRPr="00D37E4C">
              <w:rPr>
                <w:rFonts w:cs="Calibri"/>
                <w:bCs/>
                <w:sz w:val="20"/>
                <w:szCs w:val="20"/>
                <w:vertAlign w:val="superscript"/>
                <w:lang w:val="en-US"/>
              </w:rPr>
              <w:instrText xml:space="preserve"> NOTEREF _Ref110430421 \h  \* MERGEFORMAT </w:instrText>
            </w:r>
            <w:r w:rsidR="00D04EFE" w:rsidRPr="00D37E4C">
              <w:rPr>
                <w:rFonts w:cs="Calibri"/>
                <w:bCs/>
                <w:sz w:val="20"/>
                <w:szCs w:val="20"/>
                <w:vertAlign w:val="superscript"/>
                <w:lang w:val="en-US"/>
              </w:rPr>
            </w:r>
            <w:r w:rsidR="00D04EFE" w:rsidRPr="00D37E4C">
              <w:rPr>
                <w:rFonts w:cs="Calibri"/>
                <w:bCs/>
                <w:sz w:val="20"/>
                <w:szCs w:val="20"/>
                <w:vertAlign w:val="superscript"/>
                <w:lang w:val="en-US"/>
              </w:rPr>
              <w:fldChar w:fldCharType="separate"/>
            </w:r>
            <w:r w:rsidR="000A7290">
              <w:rPr>
                <w:rFonts w:cs="Calibri"/>
                <w:bCs/>
                <w:sz w:val="20"/>
                <w:szCs w:val="20"/>
                <w:vertAlign w:val="superscript"/>
                <w:lang w:val="en-US"/>
              </w:rPr>
              <w:t>12</w:t>
            </w:r>
            <w:r w:rsidR="00D04EFE" w:rsidRPr="00D37E4C">
              <w:rPr>
                <w:rFonts w:cs="Calibri"/>
                <w:bCs/>
                <w:sz w:val="20"/>
                <w:szCs w:val="20"/>
                <w:vertAlign w:val="superscript"/>
                <w:lang w:val="en-US"/>
              </w:rPr>
              <w:fldChar w:fldCharType="end"/>
            </w:r>
          </w:p>
        </w:tc>
        <w:tc>
          <w:tcPr>
            <w:tcW w:w="3118" w:type="dxa"/>
          </w:tcPr>
          <w:p w14:paraId="2EA0467C" w14:textId="77777777" w:rsidR="006365F2" w:rsidRPr="00D37E4C" w:rsidRDefault="006365F2" w:rsidP="00317925">
            <w:pPr>
              <w:pStyle w:val="Tabletext"/>
              <w:ind w:left="0" w:right="0"/>
              <w:rPr>
                <w:rFonts w:cs="Calibri"/>
                <w:color w:val="auto"/>
                <w:sz w:val="20"/>
                <w:szCs w:val="20"/>
                <w:lang w:val="en-US"/>
              </w:rPr>
            </w:pPr>
            <w:r w:rsidRPr="00D37E4C">
              <w:rPr>
                <w:rFonts w:cs="Calibri"/>
                <w:sz w:val="20"/>
                <w:szCs w:val="20"/>
                <w:lang w:val="en-US"/>
              </w:rPr>
              <w:t>0</w:t>
            </w:r>
          </w:p>
          <w:p w14:paraId="453712E4" w14:textId="40989B68" w:rsidR="006365F2" w:rsidRPr="00D37E4C" w:rsidRDefault="006365F2" w:rsidP="00317925">
            <w:pPr>
              <w:pStyle w:val="Tabletext"/>
              <w:ind w:left="0" w:right="0"/>
              <w:rPr>
                <w:rFonts w:cs="Calibri"/>
                <w:color w:val="auto"/>
                <w:sz w:val="20"/>
                <w:szCs w:val="20"/>
                <w:lang w:val="en-US"/>
              </w:rPr>
            </w:pPr>
            <w:r w:rsidRPr="00D37E4C">
              <w:rPr>
                <w:rFonts w:cs="Calibri"/>
                <w:sz w:val="20"/>
                <w:szCs w:val="20"/>
                <w:lang w:val="en-US"/>
              </w:rPr>
              <w:t>1</w:t>
            </w:r>
          </w:p>
        </w:tc>
        <w:tc>
          <w:tcPr>
            <w:tcW w:w="1276" w:type="dxa"/>
            <w:hideMark/>
          </w:tcPr>
          <w:p w14:paraId="6CDCA152" w14:textId="546636C5" w:rsidR="006365F2" w:rsidRPr="00D37E4C" w:rsidRDefault="006365F2" w:rsidP="00317925">
            <w:pPr>
              <w:pStyle w:val="Tabletext"/>
              <w:ind w:left="0" w:right="0"/>
              <w:rPr>
                <w:rFonts w:cs="Calibri"/>
                <w:color w:val="auto"/>
                <w:sz w:val="20"/>
                <w:szCs w:val="20"/>
              </w:rPr>
            </w:pPr>
            <w:r w:rsidRPr="00D37E4C">
              <w:rPr>
                <w:rFonts w:cs="Calibri"/>
                <w:sz w:val="20"/>
                <w:szCs w:val="20"/>
              </w:rPr>
              <w:t>40 (3</w:t>
            </w:r>
            <w:r w:rsidR="006A04D7" w:rsidRPr="00D37E4C">
              <w:rPr>
                <w:rFonts w:cs="Calibri"/>
                <w:sz w:val="20"/>
                <w:szCs w:val="20"/>
              </w:rPr>
              <w:t>8.8</w:t>
            </w:r>
            <w:r w:rsidRPr="00D37E4C">
              <w:rPr>
                <w:rFonts w:cs="Calibri"/>
                <w:sz w:val="20"/>
                <w:szCs w:val="20"/>
              </w:rPr>
              <w:t>%)</w:t>
            </w:r>
          </w:p>
          <w:p w14:paraId="2F66CEFD" w14:textId="150E3EBB" w:rsidR="006365F2" w:rsidRPr="00D37E4C" w:rsidRDefault="006365F2" w:rsidP="00317925">
            <w:pPr>
              <w:pStyle w:val="Tabletext"/>
              <w:ind w:left="0" w:right="0"/>
              <w:rPr>
                <w:rFonts w:cs="Calibri"/>
                <w:color w:val="auto"/>
                <w:sz w:val="20"/>
                <w:szCs w:val="20"/>
              </w:rPr>
            </w:pPr>
            <w:r w:rsidRPr="00D37E4C">
              <w:rPr>
                <w:rFonts w:cs="Calibri"/>
                <w:sz w:val="20"/>
                <w:szCs w:val="20"/>
              </w:rPr>
              <w:t>6</w:t>
            </w:r>
            <w:r w:rsidR="006A04D7" w:rsidRPr="00D37E4C">
              <w:rPr>
                <w:rFonts w:cs="Calibri"/>
                <w:sz w:val="20"/>
                <w:szCs w:val="20"/>
              </w:rPr>
              <w:t>3</w:t>
            </w:r>
            <w:r w:rsidRPr="00D37E4C">
              <w:rPr>
                <w:rFonts w:cs="Calibri"/>
                <w:sz w:val="20"/>
                <w:szCs w:val="20"/>
              </w:rPr>
              <w:t xml:space="preserve"> (6</w:t>
            </w:r>
            <w:r w:rsidR="006A04D7" w:rsidRPr="00D37E4C">
              <w:rPr>
                <w:rFonts w:cs="Calibri"/>
                <w:sz w:val="20"/>
                <w:szCs w:val="20"/>
              </w:rPr>
              <w:t>1</w:t>
            </w:r>
            <w:r w:rsidRPr="00D37E4C">
              <w:rPr>
                <w:rFonts w:cs="Calibri"/>
                <w:sz w:val="20"/>
                <w:szCs w:val="20"/>
              </w:rPr>
              <w:t>.</w:t>
            </w:r>
            <w:r w:rsidR="006A04D7" w:rsidRPr="00D37E4C">
              <w:rPr>
                <w:rFonts w:cs="Calibri"/>
                <w:sz w:val="20"/>
                <w:szCs w:val="20"/>
              </w:rPr>
              <w:t>2</w:t>
            </w:r>
            <w:r w:rsidRPr="00D37E4C">
              <w:rPr>
                <w:rFonts w:cs="Calibri"/>
                <w:sz w:val="20"/>
                <w:szCs w:val="20"/>
              </w:rPr>
              <w:t>%)</w:t>
            </w:r>
          </w:p>
        </w:tc>
        <w:tc>
          <w:tcPr>
            <w:tcW w:w="1559" w:type="dxa"/>
            <w:hideMark/>
          </w:tcPr>
          <w:p w14:paraId="161F7F4D" w14:textId="77777777" w:rsidR="006365F2" w:rsidRPr="00D37E4C" w:rsidRDefault="006365F2" w:rsidP="00317925">
            <w:pPr>
              <w:pStyle w:val="Tabletext"/>
              <w:ind w:left="0" w:right="0"/>
              <w:rPr>
                <w:rFonts w:cs="Calibri"/>
                <w:color w:val="auto"/>
                <w:sz w:val="20"/>
                <w:szCs w:val="20"/>
              </w:rPr>
            </w:pPr>
            <w:r w:rsidRPr="00D37E4C">
              <w:rPr>
                <w:rFonts w:cs="Calibri"/>
                <w:sz w:val="20"/>
                <w:szCs w:val="20"/>
              </w:rPr>
              <w:t>2 (100%)</w:t>
            </w:r>
          </w:p>
          <w:p w14:paraId="704F0138" w14:textId="5E893F2F" w:rsidR="006365F2" w:rsidRPr="00D37E4C" w:rsidRDefault="006A04D7" w:rsidP="00317925">
            <w:pPr>
              <w:pStyle w:val="Tabletext"/>
              <w:ind w:left="0" w:right="0"/>
              <w:rPr>
                <w:rFonts w:cs="Calibri"/>
                <w:color w:val="auto"/>
                <w:sz w:val="20"/>
                <w:szCs w:val="20"/>
              </w:rPr>
            </w:pPr>
            <w:r w:rsidRPr="00D37E4C">
              <w:rPr>
                <w:rFonts w:cs="Calibri"/>
                <w:sz w:val="20"/>
                <w:szCs w:val="20"/>
              </w:rPr>
              <w:t>0</w:t>
            </w:r>
          </w:p>
        </w:tc>
        <w:tc>
          <w:tcPr>
            <w:tcW w:w="1418" w:type="dxa"/>
          </w:tcPr>
          <w:p w14:paraId="21EEA4C7" w14:textId="74EB9DA4" w:rsidR="006365F2" w:rsidRPr="00D37E4C" w:rsidRDefault="006365F2" w:rsidP="00317925">
            <w:pPr>
              <w:pStyle w:val="Tabletext"/>
              <w:ind w:left="0" w:right="0"/>
              <w:rPr>
                <w:rFonts w:cs="Calibri"/>
                <w:color w:val="auto"/>
                <w:sz w:val="20"/>
                <w:szCs w:val="20"/>
              </w:rPr>
            </w:pPr>
            <w:r w:rsidRPr="00D37E4C">
              <w:rPr>
                <w:rFonts w:cs="Calibri"/>
                <w:sz w:val="20"/>
                <w:szCs w:val="20"/>
              </w:rPr>
              <w:t>42 (</w:t>
            </w:r>
            <w:r w:rsidR="006A04D7" w:rsidRPr="00D37E4C">
              <w:rPr>
                <w:rFonts w:cs="Calibri"/>
                <w:sz w:val="20"/>
                <w:szCs w:val="20"/>
              </w:rPr>
              <w:t>40.0</w:t>
            </w:r>
            <w:r w:rsidRPr="00D37E4C">
              <w:rPr>
                <w:rFonts w:cs="Calibri"/>
                <w:sz w:val="20"/>
                <w:szCs w:val="20"/>
              </w:rPr>
              <w:t>%)</w:t>
            </w:r>
          </w:p>
          <w:p w14:paraId="5B341B44" w14:textId="6CA1CC63" w:rsidR="006365F2" w:rsidRPr="00D37E4C" w:rsidRDefault="006365F2" w:rsidP="00317925">
            <w:pPr>
              <w:pStyle w:val="Tabletext"/>
              <w:ind w:left="0" w:right="0"/>
              <w:rPr>
                <w:rFonts w:cs="Calibri"/>
                <w:color w:val="auto"/>
                <w:sz w:val="20"/>
                <w:szCs w:val="20"/>
              </w:rPr>
            </w:pPr>
            <w:r w:rsidRPr="00D37E4C">
              <w:rPr>
                <w:rFonts w:cs="Calibri"/>
                <w:sz w:val="20"/>
                <w:szCs w:val="20"/>
              </w:rPr>
              <w:t>6</w:t>
            </w:r>
            <w:r w:rsidR="006A04D7" w:rsidRPr="00D37E4C">
              <w:rPr>
                <w:rFonts w:cs="Calibri"/>
                <w:sz w:val="20"/>
                <w:szCs w:val="20"/>
              </w:rPr>
              <w:t>3</w:t>
            </w:r>
            <w:r w:rsidRPr="00D37E4C">
              <w:rPr>
                <w:rFonts w:cs="Calibri"/>
                <w:sz w:val="20"/>
                <w:szCs w:val="20"/>
              </w:rPr>
              <w:t xml:space="preserve"> (6</w:t>
            </w:r>
            <w:r w:rsidR="006A04D7" w:rsidRPr="00D37E4C">
              <w:rPr>
                <w:rFonts w:cs="Calibri"/>
                <w:sz w:val="20"/>
                <w:szCs w:val="20"/>
              </w:rPr>
              <w:t>0.0</w:t>
            </w:r>
            <w:r w:rsidRPr="00D37E4C">
              <w:rPr>
                <w:rFonts w:cs="Calibri"/>
                <w:sz w:val="20"/>
                <w:szCs w:val="20"/>
              </w:rPr>
              <w:t>%)</w:t>
            </w:r>
          </w:p>
        </w:tc>
      </w:tr>
      <w:tr w:rsidR="006365F2" w:rsidRPr="008402A5" w14:paraId="6AB672D1" w14:textId="77777777" w:rsidTr="005F568F">
        <w:trPr>
          <w:trHeight w:val="20"/>
        </w:trPr>
        <w:tc>
          <w:tcPr>
            <w:tcW w:w="983" w:type="dxa"/>
            <w:hideMark/>
          </w:tcPr>
          <w:p w14:paraId="0DA8E895" w14:textId="175D26E7" w:rsidR="006365F2" w:rsidRPr="00D37E4C" w:rsidRDefault="006365F2" w:rsidP="00317925">
            <w:pPr>
              <w:pStyle w:val="Tabletext"/>
              <w:ind w:left="0" w:right="0"/>
              <w:rPr>
                <w:rFonts w:cs="Calibri"/>
                <w:bCs/>
                <w:color w:val="auto"/>
                <w:sz w:val="20"/>
                <w:szCs w:val="20"/>
                <w:lang w:val="en-US"/>
              </w:rPr>
            </w:pPr>
            <w:r w:rsidRPr="00D37E4C">
              <w:rPr>
                <w:rFonts w:cs="Calibri"/>
                <w:bCs/>
                <w:sz w:val="20"/>
                <w:szCs w:val="20"/>
                <w:lang w:val="en-US"/>
              </w:rPr>
              <w:t>Disease subtype</w:t>
            </w:r>
          </w:p>
        </w:tc>
        <w:tc>
          <w:tcPr>
            <w:tcW w:w="3118" w:type="dxa"/>
          </w:tcPr>
          <w:p w14:paraId="23EF4EC8" w14:textId="532EE1BF" w:rsidR="006365F2" w:rsidRPr="00D37E4C" w:rsidRDefault="006365F2" w:rsidP="00317925">
            <w:pPr>
              <w:pStyle w:val="Tabletext"/>
              <w:ind w:left="0" w:right="0"/>
              <w:rPr>
                <w:rFonts w:cs="Calibri"/>
                <w:color w:val="auto"/>
                <w:sz w:val="20"/>
                <w:szCs w:val="20"/>
                <w:lang w:val="it-CH"/>
              </w:rPr>
            </w:pPr>
            <w:r w:rsidRPr="00D37E4C">
              <w:rPr>
                <w:rFonts w:cs="Calibri"/>
                <w:sz w:val="20"/>
                <w:szCs w:val="20"/>
                <w:lang w:val="it-CH"/>
              </w:rPr>
              <w:t>Endometrial carcinoma type I</w:t>
            </w:r>
          </w:p>
          <w:p w14:paraId="2EAE2068" w14:textId="77777777" w:rsidR="006365F2" w:rsidRPr="00D37E4C" w:rsidRDefault="006365F2" w:rsidP="00317925">
            <w:pPr>
              <w:pStyle w:val="Tabletext"/>
              <w:ind w:left="0" w:right="0"/>
              <w:rPr>
                <w:rFonts w:cs="Calibri"/>
                <w:color w:val="auto"/>
                <w:sz w:val="20"/>
                <w:szCs w:val="20"/>
                <w:lang w:val="it-CH"/>
              </w:rPr>
            </w:pPr>
            <w:r w:rsidRPr="00D37E4C">
              <w:rPr>
                <w:rFonts w:cs="Calibri"/>
                <w:sz w:val="20"/>
                <w:szCs w:val="20"/>
                <w:lang w:val="it-CH"/>
              </w:rPr>
              <w:t>Endometrial carcinoma type II</w:t>
            </w:r>
          </w:p>
          <w:p w14:paraId="691DEFC6" w14:textId="77777777" w:rsidR="006365F2" w:rsidRPr="00D37E4C" w:rsidRDefault="006365F2" w:rsidP="00D37E4C">
            <w:pPr>
              <w:pStyle w:val="Tabletext"/>
              <w:ind w:left="720" w:right="0"/>
              <w:rPr>
                <w:rFonts w:cs="Calibri"/>
                <w:color w:val="auto"/>
                <w:sz w:val="20"/>
                <w:szCs w:val="20"/>
                <w:lang w:val="en-US"/>
              </w:rPr>
            </w:pPr>
            <w:r w:rsidRPr="00D37E4C">
              <w:rPr>
                <w:rFonts w:cs="Calibri"/>
                <w:sz w:val="20"/>
                <w:szCs w:val="20"/>
                <w:lang w:val="en-US"/>
              </w:rPr>
              <w:t>Serous carcinoma</w:t>
            </w:r>
          </w:p>
          <w:p w14:paraId="3C846F66" w14:textId="77777777" w:rsidR="006365F2" w:rsidRPr="00D37E4C" w:rsidRDefault="006365F2" w:rsidP="00D37E4C">
            <w:pPr>
              <w:pStyle w:val="Tabletext"/>
              <w:ind w:left="720" w:right="0"/>
              <w:rPr>
                <w:rFonts w:cs="Calibri"/>
                <w:color w:val="auto"/>
                <w:sz w:val="20"/>
                <w:szCs w:val="20"/>
                <w:lang w:val="en-US"/>
              </w:rPr>
            </w:pPr>
            <w:r w:rsidRPr="00D37E4C">
              <w:rPr>
                <w:rFonts w:cs="Calibri"/>
                <w:sz w:val="20"/>
                <w:szCs w:val="20"/>
                <w:lang w:val="en-US"/>
              </w:rPr>
              <w:t>Clear cell carcinoma</w:t>
            </w:r>
          </w:p>
          <w:p w14:paraId="3FB2682F" w14:textId="77777777" w:rsidR="006365F2" w:rsidRPr="00D37E4C" w:rsidRDefault="006365F2" w:rsidP="00D37E4C">
            <w:pPr>
              <w:pStyle w:val="Tabletext"/>
              <w:ind w:left="720" w:right="0"/>
              <w:rPr>
                <w:rFonts w:cs="Calibri"/>
                <w:color w:val="auto"/>
                <w:sz w:val="20"/>
                <w:szCs w:val="20"/>
                <w:lang w:val="en-US"/>
              </w:rPr>
            </w:pPr>
            <w:r w:rsidRPr="00D37E4C">
              <w:rPr>
                <w:rFonts w:cs="Calibri"/>
                <w:sz w:val="20"/>
                <w:szCs w:val="20"/>
                <w:lang w:val="en-US"/>
              </w:rPr>
              <w:t>Squamous carcinoma</w:t>
            </w:r>
          </w:p>
          <w:p w14:paraId="3A539B88" w14:textId="77777777" w:rsidR="006365F2" w:rsidRPr="00D37E4C" w:rsidRDefault="006365F2" w:rsidP="00D37E4C">
            <w:pPr>
              <w:pStyle w:val="Tabletext"/>
              <w:ind w:left="720" w:right="0"/>
              <w:rPr>
                <w:rFonts w:cs="Calibri"/>
                <w:color w:val="auto"/>
                <w:sz w:val="20"/>
                <w:szCs w:val="20"/>
                <w:lang w:val="en-US"/>
              </w:rPr>
            </w:pPr>
            <w:r w:rsidRPr="00D37E4C">
              <w:rPr>
                <w:rFonts w:cs="Calibri"/>
                <w:sz w:val="20"/>
                <w:szCs w:val="20"/>
                <w:lang w:val="en-US"/>
              </w:rPr>
              <w:t>Undifferentiated</w:t>
            </w:r>
          </w:p>
          <w:p w14:paraId="34827CAF" w14:textId="77777777" w:rsidR="006365F2" w:rsidRPr="00D37E4C" w:rsidRDefault="006365F2" w:rsidP="00D37E4C">
            <w:pPr>
              <w:pStyle w:val="Tabletext"/>
              <w:ind w:left="720" w:right="0"/>
              <w:rPr>
                <w:rFonts w:cs="Calibri"/>
                <w:color w:val="auto"/>
                <w:sz w:val="20"/>
                <w:szCs w:val="20"/>
                <w:lang w:val="en-US"/>
              </w:rPr>
            </w:pPr>
            <w:r w:rsidRPr="00D37E4C">
              <w:rPr>
                <w:rFonts w:cs="Calibri"/>
                <w:sz w:val="20"/>
                <w:szCs w:val="20"/>
                <w:lang w:val="en-US"/>
              </w:rPr>
              <w:t>Mixed</w:t>
            </w:r>
          </w:p>
          <w:p w14:paraId="0CF61BF8" w14:textId="77777777" w:rsidR="006365F2" w:rsidRPr="00D37E4C" w:rsidRDefault="006365F2" w:rsidP="00D37E4C">
            <w:pPr>
              <w:pStyle w:val="Tabletext"/>
              <w:ind w:left="720" w:right="0"/>
              <w:rPr>
                <w:rFonts w:cs="Calibri"/>
                <w:color w:val="auto"/>
                <w:sz w:val="20"/>
                <w:szCs w:val="20"/>
                <w:lang w:val="en-US"/>
              </w:rPr>
            </w:pPr>
            <w:r w:rsidRPr="00D37E4C">
              <w:rPr>
                <w:rFonts w:cs="Calibri"/>
                <w:sz w:val="20"/>
                <w:szCs w:val="20"/>
                <w:lang w:val="en-US"/>
              </w:rPr>
              <w:t>Unspecified</w:t>
            </w:r>
          </w:p>
          <w:p w14:paraId="589BBD21" w14:textId="5CBA8B76" w:rsidR="006365F2" w:rsidRPr="00D37E4C" w:rsidRDefault="006365F2" w:rsidP="00D37E4C">
            <w:pPr>
              <w:pStyle w:val="Tabletext"/>
              <w:ind w:left="720" w:right="0"/>
              <w:rPr>
                <w:rFonts w:cs="Calibri"/>
                <w:color w:val="auto"/>
                <w:sz w:val="20"/>
                <w:szCs w:val="20"/>
                <w:lang w:val="en-US"/>
              </w:rPr>
            </w:pPr>
            <w:proofErr w:type="spellStart"/>
            <w:proofErr w:type="gramStart"/>
            <w:r w:rsidRPr="00D37E4C">
              <w:rPr>
                <w:rFonts w:cs="Calibri"/>
                <w:sz w:val="20"/>
                <w:szCs w:val="20"/>
                <w:lang w:val="en-US"/>
              </w:rPr>
              <w:t>Other</w:t>
            </w:r>
            <w:r w:rsidR="00D74D86" w:rsidRPr="00D37E4C">
              <w:rPr>
                <w:rFonts w:cs="Calibri"/>
                <w:sz w:val="20"/>
                <w:szCs w:val="20"/>
                <w:lang w:val="en-US"/>
              </w:rPr>
              <w:t>;</w:t>
            </w:r>
            <w:r w:rsidR="00D74D86" w:rsidRPr="00D37E4C">
              <w:rPr>
                <w:rFonts w:cs="Calibri"/>
                <w:sz w:val="20"/>
                <w:szCs w:val="20"/>
                <w:vertAlign w:val="superscript"/>
                <w:lang w:val="en-US"/>
              </w:rPr>
              <w:t>a</w:t>
            </w:r>
            <w:proofErr w:type="spellEnd"/>
            <w:proofErr w:type="gramEnd"/>
          </w:p>
          <w:p w14:paraId="69B37221" w14:textId="77777777" w:rsidR="006365F2" w:rsidRPr="00D37E4C" w:rsidRDefault="006365F2" w:rsidP="00317925">
            <w:pPr>
              <w:pStyle w:val="Tabletext"/>
              <w:ind w:left="0" w:right="0"/>
              <w:rPr>
                <w:rFonts w:cs="Calibri"/>
                <w:color w:val="auto"/>
                <w:sz w:val="20"/>
                <w:szCs w:val="20"/>
                <w:lang w:val="en-US"/>
              </w:rPr>
            </w:pPr>
            <w:r w:rsidRPr="00D37E4C">
              <w:rPr>
                <w:rFonts w:cs="Calibri"/>
                <w:sz w:val="20"/>
                <w:szCs w:val="20"/>
                <w:lang w:val="en-US"/>
              </w:rPr>
              <w:t>Unknown</w:t>
            </w:r>
          </w:p>
        </w:tc>
        <w:tc>
          <w:tcPr>
            <w:tcW w:w="1276" w:type="dxa"/>
            <w:hideMark/>
          </w:tcPr>
          <w:p w14:paraId="242E3F58" w14:textId="162ADC5E" w:rsidR="006365F2" w:rsidRPr="00D37E4C" w:rsidRDefault="006365F2" w:rsidP="00317925">
            <w:pPr>
              <w:pStyle w:val="Tabletext"/>
              <w:ind w:left="0" w:right="0"/>
              <w:rPr>
                <w:rFonts w:cs="Calibri"/>
                <w:color w:val="auto"/>
                <w:sz w:val="20"/>
                <w:szCs w:val="20"/>
              </w:rPr>
            </w:pPr>
            <w:r w:rsidRPr="00D37E4C">
              <w:rPr>
                <w:rFonts w:cs="Calibri"/>
                <w:sz w:val="20"/>
                <w:szCs w:val="20"/>
              </w:rPr>
              <w:t>70 (6</w:t>
            </w:r>
            <w:r w:rsidR="006A04D7" w:rsidRPr="00D37E4C">
              <w:rPr>
                <w:rFonts w:cs="Calibri"/>
                <w:sz w:val="20"/>
                <w:szCs w:val="20"/>
              </w:rPr>
              <w:t>8.0</w:t>
            </w:r>
            <w:r w:rsidRPr="00D37E4C">
              <w:rPr>
                <w:rFonts w:cs="Calibri"/>
                <w:sz w:val="20"/>
                <w:szCs w:val="20"/>
              </w:rPr>
              <w:t>%)</w:t>
            </w:r>
          </w:p>
          <w:p w14:paraId="1D40E744" w14:textId="1D611174" w:rsidR="006365F2" w:rsidRPr="00D37E4C" w:rsidRDefault="006365F2" w:rsidP="00317925">
            <w:pPr>
              <w:pStyle w:val="Tabletext"/>
              <w:ind w:left="0" w:right="0"/>
              <w:rPr>
                <w:rFonts w:cs="Calibri"/>
                <w:color w:val="auto"/>
                <w:sz w:val="20"/>
                <w:szCs w:val="20"/>
              </w:rPr>
            </w:pPr>
            <w:r w:rsidRPr="00D37E4C">
              <w:rPr>
                <w:rFonts w:cs="Calibri"/>
                <w:sz w:val="20"/>
                <w:szCs w:val="20"/>
              </w:rPr>
              <w:t>3</w:t>
            </w:r>
            <w:r w:rsidR="006A04D7" w:rsidRPr="00D37E4C">
              <w:rPr>
                <w:rFonts w:cs="Calibri"/>
                <w:sz w:val="20"/>
                <w:szCs w:val="20"/>
              </w:rPr>
              <w:t>2</w:t>
            </w:r>
            <w:r w:rsidRPr="00D37E4C">
              <w:rPr>
                <w:rFonts w:cs="Calibri"/>
                <w:sz w:val="20"/>
                <w:szCs w:val="20"/>
              </w:rPr>
              <w:t xml:space="preserve"> (3</w:t>
            </w:r>
            <w:r w:rsidR="006A04D7" w:rsidRPr="00D37E4C">
              <w:rPr>
                <w:rFonts w:cs="Calibri"/>
                <w:sz w:val="20"/>
                <w:szCs w:val="20"/>
              </w:rPr>
              <w:t>1.1</w:t>
            </w:r>
            <w:r w:rsidRPr="00D37E4C">
              <w:rPr>
                <w:rFonts w:cs="Calibri"/>
                <w:sz w:val="20"/>
                <w:szCs w:val="20"/>
              </w:rPr>
              <w:t>%)</w:t>
            </w:r>
          </w:p>
          <w:p w14:paraId="5DF4DC71" w14:textId="5ADE806D" w:rsidR="006365F2" w:rsidRPr="00D37E4C" w:rsidRDefault="00317925" w:rsidP="00317925">
            <w:pPr>
              <w:pStyle w:val="Tabletext"/>
              <w:ind w:left="0" w:right="0"/>
              <w:rPr>
                <w:rFonts w:cs="Calibri"/>
                <w:color w:val="auto"/>
                <w:sz w:val="20"/>
                <w:szCs w:val="20"/>
              </w:rPr>
            </w:pPr>
            <w:r w:rsidRPr="00D37E4C">
              <w:rPr>
                <w:rFonts w:cs="Calibri"/>
                <w:sz w:val="20"/>
                <w:szCs w:val="20"/>
              </w:rPr>
              <w:t>4</w:t>
            </w:r>
            <w:r w:rsidR="006365F2" w:rsidRPr="00D37E4C">
              <w:rPr>
                <w:rFonts w:cs="Calibri"/>
                <w:sz w:val="20"/>
                <w:szCs w:val="20"/>
              </w:rPr>
              <w:t xml:space="preserve"> (</w:t>
            </w:r>
            <w:r w:rsidRPr="00D37E4C">
              <w:rPr>
                <w:rFonts w:cs="Calibri"/>
                <w:sz w:val="20"/>
                <w:szCs w:val="20"/>
              </w:rPr>
              <w:t>3.9</w:t>
            </w:r>
            <w:r w:rsidR="006365F2" w:rsidRPr="00D37E4C">
              <w:rPr>
                <w:rFonts w:cs="Calibri"/>
                <w:sz w:val="20"/>
                <w:szCs w:val="20"/>
              </w:rPr>
              <w:t>%)</w:t>
            </w:r>
          </w:p>
          <w:p w14:paraId="15B9B27F" w14:textId="24F1AD0A" w:rsidR="006365F2" w:rsidRPr="00D37E4C" w:rsidRDefault="006365F2" w:rsidP="00317925">
            <w:pPr>
              <w:pStyle w:val="Tabletext"/>
              <w:ind w:left="0" w:right="0"/>
              <w:rPr>
                <w:rFonts w:cs="Calibri"/>
                <w:color w:val="auto"/>
                <w:sz w:val="20"/>
                <w:szCs w:val="20"/>
              </w:rPr>
            </w:pPr>
            <w:r w:rsidRPr="00D37E4C">
              <w:rPr>
                <w:rFonts w:cs="Calibri"/>
                <w:sz w:val="20"/>
                <w:szCs w:val="20"/>
              </w:rPr>
              <w:t>1 (</w:t>
            </w:r>
            <w:r w:rsidR="00317925" w:rsidRPr="00D37E4C">
              <w:rPr>
                <w:rFonts w:cs="Calibri"/>
                <w:sz w:val="20"/>
                <w:szCs w:val="20"/>
              </w:rPr>
              <w:t>1.0</w:t>
            </w:r>
            <w:r w:rsidRPr="00D37E4C">
              <w:rPr>
                <w:rFonts w:cs="Calibri"/>
                <w:sz w:val="20"/>
                <w:szCs w:val="20"/>
              </w:rPr>
              <w:t>%)</w:t>
            </w:r>
          </w:p>
          <w:p w14:paraId="100164A4" w14:textId="6688317F" w:rsidR="006365F2" w:rsidRPr="00D37E4C" w:rsidRDefault="006365F2" w:rsidP="00317925">
            <w:pPr>
              <w:pStyle w:val="Tabletext"/>
              <w:ind w:left="0" w:right="0"/>
              <w:rPr>
                <w:rFonts w:cs="Calibri"/>
                <w:color w:val="auto"/>
                <w:sz w:val="20"/>
                <w:szCs w:val="20"/>
              </w:rPr>
            </w:pPr>
            <w:r w:rsidRPr="00D37E4C">
              <w:rPr>
                <w:rFonts w:cs="Calibri"/>
                <w:sz w:val="20"/>
                <w:szCs w:val="20"/>
              </w:rPr>
              <w:t>1 (</w:t>
            </w:r>
            <w:r w:rsidR="00317925" w:rsidRPr="00D37E4C">
              <w:rPr>
                <w:rFonts w:cs="Calibri"/>
                <w:sz w:val="20"/>
                <w:szCs w:val="20"/>
              </w:rPr>
              <w:t>1.0</w:t>
            </w:r>
            <w:r w:rsidRPr="00D37E4C">
              <w:rPr>
                <w:rFonts w:cs="Calibri"/>
                <w:sz w:val="20"/>
                <w:szCs w:val="20"/>
              </w:rPr>
              <w:t>%)</w:t>
            </w:r>
          </w:p>
          <w:p w14:paraId="207EAB64" w14:textId="11DFBF50" w:rsidR="006365F2" w:rsidRPr="00D37E4C" w:rsidRDefault="006365F2" w:rsidP="00317925">
            <w:pPr>
              <w:pStyle w:val="Tabletext"/>
              <w:ind w:left="0" w:right="0"/>
              <w:rPr>
                <w:rFonts w:cs="Calibri"/>
                <w:color w:val="auto"/>
                <w:sz w:val="20"/>
                <w:szCs w:val="20"/>
              </w:rPr>
            </w:pPr>
            <w:r w:rsidRPr="00D37E4C">
              <w:rPr>
                <w:rFonts w:cs="Calibri"/>
                <w:sz w:val="20"/>
                <w:szCs w:val="20"/>
              </w:rPr>
              <w:t>4 (3.</w:t>
            </w:r>
            <w:r w:rsidR="00317925" w:rsidRPr="00D37E4C">
              <w:rPr>
                <w:rFonts w:cs="Calibri"/>
                <w:sz w:val="20"/>
                <w:szCs w:val="20"/>
              </w:rPr>
              <w:t>9</w:t>
            </w:r>
            <w:r w:rsidRPr="00D37E4C">
              <w:rPr>
                <w:rFonts w:cs="Calibri"/>
                <w:sz w:val="20"/>
                <w:szCs w:val="20"/>
              </w:rPr>
              <w:t>%)</w:t>
            </w:r>
          </w:p>
          <w:p w14:paraId="3681DD91" w14:textId="591FAD54" w:rsidR="006365F2" w:rsidRPr="00D37E4C" w:rsidRDefault="00317925" w:rsidP="00317925">
            <w:pPr>
              <w:pStyle w:val="Tabletext"/>
              <w:ind w:left="0" w:right="0"/>
              <w:rPr>
                <w:rFonts w:cs="Calibri"/>
                <w:color w:val="auto"/>
                <w:sz w:val="20"/>
                <w:szCs w:val="20"/>
              </w:rPr>
            </w:pPr>
            <w:r w:rsidRPr="00D37E4C">
              <w:rPr>
                <w:rFonts w:cs="Calibri"/>
                <w:sz w:val="20"/>
                <w:szCs w:val="20"/>
              </w:rPr>
              <w:t>4</w:t>
            </w:r>
            <w:r w:rsidR="006365F2" w:rsidRPr="00D37E4C">
              <w:rPr>
                <w:rFonts w:cs="Calibri"/>
                <w:sz w:val="20"/>
                <w:szCs w:val="20"/>
              </w:rPr>
              <w:t xml:space="preserve"> (</w:t>
            </w:r>
            <w:r w:rsidRPr="00D37E4C">
              <w:rPr>
                <w:rFonts w:cs="Calibri"/>
                <w:sz w:val="20"/>
                <w:szCs w:val="20"/>
              </w:rPr>
              <w:t>3.9</w:t>
            </w:r>
            <w:r w:rsidR="006365F2" w:rsidRPr="00D37E4C">
              <w:rPr>
                <w:rFonts w:cs="Calibri"/>
                <w:sz w:val="20"/>
                <w:szCs w:val="20"/>
              </w:rPr>
              <w:t>%)</w:t>
            </w:r>
          </w:p>
          <w:p w14:paraId="2F1DCD08" w14:textId="2F4942B0" w:rsidR="006365F2" w:rsidRPr="00D37E4C" w:rsidRDefault="006365F2" w:rsidP="00317925">
            <w:pPr>
              <w:pStyle w:val="Tabletext"/>
              <w:ind w:left="0" w:right="0"/>
              <w:rPr>
                <w:rFonts w:cs="Calibri"/>
                <w:color w:val="auto"/>
                <w:sz w:val="20"/>
                <w:szCs w:val="20"/>
              </w:rPr>
            </w:pPr>
            <w:r w:rsidRPr="00D37E4C">
              <w:rPr>
                <w:rFonts w:cs="Calibri"/>
                <w:sz w:val="20"/>
                <w:szCs w:val="20"/>
              </w:rPr>
              <w:t>14 (13.</w:t>
            </w:r>
            <w:r w:rsidR="00317925" w:rsidRPr="00D37E4C">
              <w:rPr>
                <w:rFonts w:cs="Calibri"/>
                <w:sz w:val="20"/>
                <w:szCs w:val="20"/>
              </w:rPr>
              <w:t>6</w:t>
            </w:r>
            <w:r w:rsidRPr="00D37E4C">
              <w:rPr>
                <w:rFonts w:cs="Calibri"/>
                <w:sz w:val="20"/>
                <w:szCs w:val="20"/>
              </w:rPr>
              <w:t>%)</w:t>
            </w:r>
          </w:p>
          <w:p w14:paraId="254F7F14" w14:textId="2890253E" w:rsidR="006365F2" w:rsidRPr="00D37E4C" w:rsidRDefault="006365F2" w:rsidP="00317925">
            <w:pPr>
              <w:pStyle w:val="Tabletext"/>
              <w:ind w:left="0" w:right="0"/>
              <w:rPr>
                <w:rFonts w:cs="Calibri"/>
                <w:color w:val="auto"/>
                <w:sz w:val="20"/>
                <w:szCs w:val="20"/>
              </w:rPr>
            </w:pPr>
            <w:r w:rsidRPr="00D37E4C">
              <w:rPr>
                <w:rFonts w:cs="Calibri"/>
                <w:sz w:val="20"/>
                <w:szCs w:val="20"/>
              </w:rPr>
              <w:t>4 (3.</w:t>
            </w:r>
            <w:r w:rsidR="00317925" w:rsidRPr="00D37E4C">
              <w:rPr>
                <w:rFonts w:cs="Calibri"/>
                <w:sz w:val="20"/>
                <w:szCs w:val="20"/>
              </w:rPr>
              <w:t>9</w:t>
            </w:r>
            <w:r w:rsidRPr="00D37E4C">
              <w:rPr>
                <w:rFonts w:cs="Calibri"/>
                <w:sz w:val="20"/>
                <w:szCs w:val="20"/>
              </w:rPr>
              <w:t>%)</w:t>
            </w:r>
          </w:p>
          <w:p w14:paraId="75CAED91" w14:textId="3CF1840E" w:rsidR="006365F2" w:rsidRPr="00D37E4C" w:rsidRDefault="006365F2" w:rsidP="00317925">
            <w:pPr>
              <w:pStyle w:val="Tabletext"/>
              <w:ind w:left="0" w:right="0"/>
              <w:rPr>
                <w:rFonts w:cs="Calibri"/>
                <w:color w:val="385623"/>
                <w:sz w:val="20"/>
                <w:szCs w:val="20"/>
              </w:rPr>
            </w:pPr>
            <w:r w:rsidRPr="00D37E4C">
              <w:rPr>
                <w:rFonts w:cs="Calibri"/>
                <w:sz w:val="20"/>
                <w:szCs w:val="20"/>
              </w:rPr>
              <w:t>1 (</w:t>
            </w:r>
            <w:r w:rsidR="00317925" w:rsidRPr="00D37E4C">
              <w:rPr>
                <w:rFonts w:cs="Calibri"/>
                <w:sz w:val="20"/>
                <w:szCs w:val="20"/>
              </w:rPr>
              <w:t>1.0</w:t>
            </w:r>
            <w:r w:rsidRPr="00D37E4C">
              <w:rPr>
                <w:rFonts w:cs="Calibri"/>
                <w:sz w:val="20"/>
                <w:szCs w:val="20"/>
              </w:rPr>
              <w:t>%)</w:t>
            </w:r>
          </w:p>
        </w:tc>
        <w:tc>
          <w:tcPr>
            <w:tcW w:w="1559" w:type="dxa"/>
            <w:hideMark/>
          </w:tcPr>
          <w:p w14:paraId="0508C293" w14:textId="77777777" w:rsidR="006365F2" w:rsidRPr="00D37E4C" w:rsidRDefault="006365F2" w:rsidP="00317925">
            <w:pPr>
              <w:pStyle w:val="Tabletext"/>
              <w:ind w:left="0" w:right="0"/>
              <w:rPr>
                <w:rFonts w:cs="Calibri"/>
                <w:color w:val="auto"/>
                <w:sz w:val="20"/>
                <w:szCs w:val="20"/>
              </w:rPr>
            </w:pPr>
            <w:r w:rsidRPr="00D37E4C">
              <w:rPr>
                <w:rFonts w:cs="Calibri"/>
                <w:sz w:val="20"/>
                <w:szCs w:val="20"/>
              </w:rPr>
              <w:t>1 (50%)</w:t>
            </w:r>
          </w:p>
          <w:p w14:paraId="3C1D2E49" w14:textId="77777777" w:rsidR="006365F2" w:rsidRPr="00D37E4C" w:rsidRDefault="006365F2" w:rsidP="00317925">
            <w:pPr>
              <w:pStyle w:val="Tabletext"/>
              <w:ind w:left="0" w:right="0"/>
              <w:rPr>
                <w:rFonts w:cs="Calibri"/>
                <w:color w:val="auto"/>
                <w:sz w:val="20"/>
                <w:szCs w:val="20"/>
              </w:rPr>
            </w:pPr>
            <w:r w:rsidRPr="00D37E4C">
              <w:rPr>
                <w:rFonts w:cs="Calibri"/>
                <w:sz w:val="20"/>
                <w:szCs w:val="20"/>
              </w:rPr>
              <w:t>1 (50%)</w:t>
            </w:r>
          </w:p>
          <w:p w14:paraId="468578CA" w14:textId="1863E056" w:rsidR="006365F2" w:rsidRPr="00D37E4C" w:rsidRDefault="00317925" w:rsidP="00317925">
            <w:pPr>
              <w:pStyle w:val="Tabletext"/>
              <w:ind w:left="0" w:right="0"/>
              <w:rPr>
                <w:rFonts w:cs="Calibri"/>
                <w:color w:val="auto"/>
                <w:sz w:val="20"/>
                <w:szCs w:val="20"/>
              </w:rPr>
            </w:pPr>
            <w:r w:rsidRPr="00D37E4C">
              <w:rPr>
                <w:rFonts w:cs="Calibri"/>
                <w:sz w:val="20"/>
                <w:szCs w:val="20"/>
              </w:rPr>
              <w:t>0</w:t>
            </w:r>
          </w:p>
          <w:p w14:paraId="0977C829" w14:textId="4AA1EF26" w:rsidR="006365F2" w:rsidRPr="00D37E4C" w:rsidRDefault="00317925" w:rsidP="00317925">
            <w:pPr>
              <w:pStyle w:val="Tabletext"/>
              <w:ind w:left="0" w:right="0"/>
              <w:rPr>
                <w:rFonts w:cs="Calibri"/>
                <w:color w:val="auto"/>
                <w:sz w:val="20"/>
                <w:szCs w:val="20"/>
              </w:rPr>
            </w:pPr>
            <w:r w:rsidRPr="00D37E4C">
              <w:rPr>
                <w:rFonts w:cs="Calibri"/>
                <w:sz w:val="20"/>
                <w:szCs w:val="20"/>
              </w:rPr>
              <w:t>0</w:t>
            </w:r>
          </w:p>
          <w:p w14:paraId="53467A26" w14:textId="41606F94" w:rsidR="006365F2" w:rsidRPr="00D37E4C" w:rsidRDefault="00317925" w:rsidP="00317925">
            <w:pPr>
              <w:pStyle w:val="Tabletext"/>
              <w:ind w:left="0" w:right="0"/>
              <w:rPr>
                <w:rFonts w:cs="Calibri"/>
                <w:color w:val="auto"/>
                <w:sz w:val="20"/>
                <w:szCs w:val="20"/>
              </w:rPr>
            </w:pPr>
            <w:r w:rsidRPr="00D37E4C">
              <w:rPr>
                <w:rFonts w:cs="Calibri"/>
                <w:sz w:val="20"/>
                <w:szCs w:val="20"/>
              </w:rPr>
              <w:t>0</w:t>
            </w:r>
          </w:p>
          <w:p w14:paraId="51C8F8EB" w14:textId="2BA55463" w:rsidR="006365F2" w:rsidRPr="00D37E4C" w:rsidRDefault="00317925" w:rsidP="00317925">
            <w:pPr>
              <w:pStyle w:val="Tabletext"/>
              <w:ind w:left="0" w:right="0"/>
              <w:rPr>
                <w:rFonts w:cs="Calibri"/>
                <w:color w:val="auto"/>
                <w:sz w:val="20"/>
                <w:szCs w:val="20"/>
              </w:rPr>
            </w:pPr>
            <w:r w:rsidRPr="00D37E4C">
              <w:rPr>
                <w:rFonts w:cs="Calibri"/>
                <w:sz w:val="20"/>
                <w:szCs w:val="20"/>
              </w:rPr>
              <w:t>0</w:t>
            </w:r>
          </w:p>
          <w:p w14:paraId="2602258A" w14:textId="00A328B8" w:rsidR="006365F2" w:rsidRPr="00D37E4C" w:rsidRDefault="00317925" w:rsidP="00317925">
            <w:pPr>
              <w:pStyle w:val="Tabletext"/>
              <w:ind w:left="0" w:right="0"/>
              <w:rPr>
                <w:rFonts w:cs="Calibri"/>
                <w:color w:val="auto"/>
                <w:sz w:val="20"/>
                <w:szCs w:val="20"/>
              </w:rPr>
            </w:pPr>
            <w:r w:rsidRPr="00D37E4C">
              <w:rPr>
                <w:rFonts w:cs="Calibri"/>
                <w:sz w:val="20"/>
                <w:szCs w:val="20"/>
              </w:rPr>
              <w:t>0</w:t>
            </w:r>
          </w:p>
          <w:p w14:paraId="3B66F4A0" w14:textId="0E5DCAA7" w:rsidR="006365F2" w:rsidRPr="00D37E4C" w:rsidRDefault="00317925" w:rsidP="00317925">
            <w:pPr>
              <w:pStyle w:val="Tabletext"/>
              <w:ind w:left="0" w:right="0"/>
              <w:rPr>
                <w:rFonts w:cs="Calibri"/>
                <w:color w:val="auto"/>
                <w:sz w:val="20"/>
                <w:szCs w:val="20"/>
              </w:rPr>
            </w:pPr>
            <w:r w:rsidRPr="00D37E4C">
              <w:rPr>
                <w:rFonts w:cs="Calibri"/>
                <w:sz w:val="20"/>
                <w:szCs w:val="20"/>
              </w:rPr>
              <w:t>0</w:t>
            </w:r>
          </w:p>
          <w:p w14:paraId="77C381A0" w14:textId="343A42E2" w:rsidR="006365F2" w:rsidRPr="00D37E4C" w:rsidRDefault="006365F2" w:rsidP="00317925">
            <w:pPr>
              <w:pStyle w:val="Tabletext"/>
              <w:ind w:left="0" w:right="0"/>
              <w:rPr>
                <w:rFonts w:cs="Calibri"/>
                <w:color w:val="auto"/>
                <w:sz w:val="20"/>
                <w:szCs w:val="20"/>
              </w:rPr>
            </w:pPr>
            <w:r w:rsidRPr="00D37E4C">
              <w:rPr>
                <w:rFonts w:cs="Calibri"/>
                <w:sz w:val="20"/>
                <w:szCs w:val="20"/>
              </w:rPr>
              <w:t>1 (50</w:t>
            </w:r>
            <w:r w:rsidR="00317925" w:rsidRPr="00D37E4C">
              <w:rPr>
                <w:rFonts w:cs="Calibri"/>
                <w:sz w:val="20"/>
                <w:szCs w:val="20"/>
              </w:rPr>
              <w:t>.0</w:t>
            </w:r>
            <w:r w:rsidRPr="00D37E4C">
              <w:rPr>
                <w:rFonts w:cs="Calibri"/>
                <w:sz w:val="20"/>
                <w:szCs w:val="20"/>
              </w:rPr>
              <w:t>%)</w:t>
            </w:r>
          </w:p>
          <w:p w14:paraId="2250DFB9" w14:textId="3F3417CD" w:rsidR="006365F2" w:rsidRPr="00D37E4C" w:rsidRDefault="00317925" w:rsidP="00317925">
            <w:pPr>
              <w:pStyle w:val="Tabletext"/>
              <w:ind w:left="0" w:right="0"/>
              <w:rPr>
                <w:rFonts w:cs="Calibri"/>
                <w:color w:val="385623"/>
                <w:sz w:val="20"/>
                <w:szCs w:val="20"/>
              </w:rPr>
            </w:pPr>
            <w:r w:rsidRPr="00D37E4C">
              <w:rPr>
                <w:rFonts w:cs="Calibri"/>
                <w:sz w:val="20"/>
                <w:szCs w:val="20"/>
              </w:rPr>
              <w:t>0</w:t>
            </w:r>
          </w:p>
        </w:tc>
        <w:tc>
          <w:tcPr>
            <w:tcW w:w="1418" w:type="dxa"/>
          </w:tcPr>
          <w:p w14:paraId="13A374C8" w14:textId="4C81DC1D" w:rsidR="006365F2" w:rsidRPr="00D37E4C" w:rsidRDefault="006365F2" w:rsidP="00317925">
            <w:pPr>
              <w:pStyle w:val="Tabletext"/>
              <w:ind w:left="0" w:right="0"/>
              <w:rPr>
                <w:rFonts w:cs="Calibri"/>
                <w:color w:val="auto"/>
                <w:sz w:val="20"/>
                <w:szCs w:val="20"/>
              </w:rPr>
            </w:pPr>
            <w:r w:rsidRPr="00D37E4C">
              <w:rPr>
                <w:rFonts w:cs="Calibri"/>
                <w:sz w:val="20"/>
                <w:szCs w:val="20"/>
              </w:rPr>
              <w:t>71 (6</w:t>
            </w:r>
            <w:r w:rsidR="006A04D7" w:rsidRPr="00D37E4C">
              <w:rPr>
                <w:rFonts w:cs="Calibri"/>
                <w:sz w:val="20"/>
                <w:szCs w:val="20"/>
              </w:rPr>
              <w:t>7.6</w:t>
            </w:r>
            <w:r w:rsidRPr="00D37E4C">
              <w:rPr>
                <w:rFonts w:cs="Calibri"/>
                <w:sz w:val="20"/>
                <w:szCs w:val="20"/>
              </w:rPr>
              <w:t>%)</w:t>
            </w:r>
          </w:p>
          <w:p w14:paraId="00C3D575" w14:textId="169A92D9" w:rsidR="006365F2" w:rsidRPr="00D37E4C" w:rsidRDefault="006365F2" w:rsidP="00317925">
            <w:pPr>
              <w:pStyle w:val="Tabletext"/>
              <w:ind w:left="0" w:right="0"/>
              <w:rPr>
                <w:rFonts w:cs="Calibri"/>
                <w:color w:val="auto"/>
                <w:sz w:val="20"/>
                <w:szCs w:val="20"/>
              </w:rPr>
            </w:pPr>
            <w:r w:rsidRPr="00D37E4C">
              <w:rPr>
                <w:rFonts w:cs="Calibri"/>
                <w:sz w:val="20"/>
                <w:szCs w:val="20"/>
              </w:rPr>
              <w:t>3</w:t>
            </w:r>
            <w:r w:rsidR="00317925" w:rsidRPr="00D37E4C">
              <w:rPr>
                <w:rFonts w:cs="Calibri"/>
                <w:sz w:val="20"/>
                <w:szCs w:val="20"/>
              </w:rPr>
              <w:t>3</w:t>
            </w:r>
            <w:r w:rsidRPr="00D37E4C">
              <w:rPr>
                <w:rFonts w:cs="Calibri"/>
                <w:sz w:val="20"/>
                <w:szCs w:val="20"/>
              </w:rPr>
              <w:t xml:space="preserve"> (3</w:t>
            </w:r>
            <w:r w:rsidR="00317925" w:rsidRPr="00D37E4C">
              <w:rPr>
                <w:rFonts w:cs="Calibri"/>
                <w:sz w:val="20"/>
                <w:szCs w:val="20"/>
              </w:rPr>
              <w:t>1.4</w:t>
            </w:r>
            <w:r w:rsidRPr="00D37E4C">
              <w:rPr>
                <w:rFonts w:cs="Calibri"/>
                <w:sz w:val="20"/>
                <w:szCs w:val="20"/>
              </w:rPr>
              <w:t>%)</w:t>
            </w:r>
          </w:p>
          <w:p w14:paraId="73E090D7" w14:textId="7C0B01B9" w:rsidR="006365F2" w:rsidRPr="00D37E4C" w:rsidRDefault="00317925" w:rsidP="00317925">
            <w:pPr>
              <w:pStyle w:val="Tabletext"/>
              <w:ind w:left="0" w:right="0"/>
              <w:rPr>
                <w:rFonts w:cs="Calibri"/>
                <w:color w:val="auto"/>
                <w:sz w:val="20"/>
                <w:szCs w:val="20"/>
              </w:rPr>
            </w:pPr>
            <w:r w:rsidRPr="00D37E4C">
              <w:rPr>
                <w:rFonts w:cs="Calibri"/>
                <w:sz w:val="20"/>
                <w:szCs w:val="20"/>
              </w:rPr>
              <w:t>4</w:t>
            </w:r>
            <w:r w:rsidR="006365F2" w:rsidRPr="00D37E4C">
              <w:rPr>
                <w:rFonts w:cs="Calibri"/>
                <w:sz w:val="20"/>
                <w:szCs w:val="20"/>
              </w:rPr>
              <w:t xml:space="preserve"> (</w:t>
            </w:r>
            <w:r w:rsidRPr="00D37E4C">
              <w:rPr>
                <w:rFonts w:cs="Calibri"/>
                <w:sz w:val="20"/>
                <w:szCs w:val="20"/>
              </w:rPr>
              <w:t>3.8</w:t>
            </w:r>
            <w:r w:rsidR="006365F2" w:rsidRPr="00D37E4C">
              <w:rPr>
                <w:rFonts w:cs="Calibri"/>
                <w:sz w:val="20"/>
                <w:szCs w:val="20"/>
              </w:rPr>
              <w:t>%)</w:t>
            </w:r>
          </w:p>
          <w:p w14:paraId="09216FD0" w14:textId="4D4E015B" w:rsidR="006365F2" w:rsidRPr="00D37E4C" w:rsidRDefault="006365F2" w:rsidP="00317925">
            <w:pPr>
              <w:pStyle w:val="Tabletext"/>
              <w:ind w:left="0" w:right="0"/>
              <w:rPr>
                <w:rFonts w:cs="Calibri"/>
                <w:color w:val="auto"/>
                <w:sz w:val="20"/>
                <w:szCs w:val="20"/>
              </w:rPr>
            </w:pPr>
            <w:r w:rsidRPr="00D37E4C">
              <w:rPr>
                <w:rFonts w:cs="Calibri"/>
                <w:sz w:val="20"/>
                <w:szCs w:val="20"/>
              </w:rPr>
              <w:t>1 (</w:t>
            </w:r>
            <w:r w:rsidR="00317925" w:rsidRPr="00D37E4C">
              <w:rPr>
                <w:rFonts w:cs="Calibri"/>
                <w:sz w:val="20"/>
                <w:szCs w:val="20"/>
              </w:rPr>
              <w:t>1.0</w:t>
            </w:r>
            <w:r w:rsidRPr="00D37E4C">
              <w:rPr>
                <w:rFonts w:cs="Calibri"/>
                <w:sz w:val="20"/>
                <w:szCs w:val="20"/>
              </w:rPr>
              <w:t>%)</w:t>
            </w:r>
          </w:p>
          <w:p w14:paraId="62CB2633" w14:textId="4496D04F" w:rsidR="006365F2" w:rsidRPr="00D37E4C" w:rsidRDefault="006365F2" w:rsidP="00317925">
            <w:pPr>
              <w:pStyle w:val="Tabletext"/>
              <w:ind w:left="0" w:right="0"/>
              <w:rPr>
                <w:rFonts w:cs="Calibri"/>
                <w:color w:val="auto"/>
                <w:sz w:val="20"/>
                <w:szCs w:val="20"/>
              </w:rPr>
            </w:pPr>
            <w:r w:rsidRPr="00D37E4C">
              <w:rPr>
                <w:rFonts w:cs="Calibri"/>
                <w:sz w:val="20"/>
                <w:szCs w:val="20"/>
              </w:rPr>
              <w:t>1 (</w:t>
            </w:r>
            <w:r w:rsidR="00317925" w:rsidRPr="00D37E4C">
              <w:rPr>
                <w:rFonts w:cs="Calibri"/>
                <w:sz w:val="20"/>
                <w:szCs w:val="20"/>
              </w:rPr>
              <w:t>1.0</w:t>
            </w:r>
            <w:r w:rsidRPr="00D37E4C">
              <w:rPr>
                <w:rFonts w:cs="Calibri"/>
                <w:sz w:val="20"/>
                <w:szCs w:val="20"/>
              </w:rPr>
              <w:t>%)</w:t>
            </w:r>
          </w:p>
          <w:p w14:paraId="26854FBD" w14:textId="68C22EC7" w:rsidR="006365F2" w:rsidRPr="00D37E4C" w:rsidRDefault="006365F2" w:rsidP="00317925">
            <w:pPr>
              <w:pStyle w:val="Tabletext"/>
              <w:ind w:left="0" w:right="0"/>
              <w:rPr>
                <w:rFonts w:cs="Calibri"/>
                <w:color w:val="auto"/>
                <w:sz w:val="20"/>
                <w:szCs w:val="20"/>
              </w:rPr>
            </w:pPr>
            <w:r w:rsidRPr="00D37E4C">
              <w:rPr>
                <w:rFonts w:cs="Calibri"/>
                <w:sz w:val="20"/>
                <w:szCs w:val="20"/>
              </w:rPr>
              <w:t>4 (3.</w:t>
            </w:r>
            <w:r w:rsidR="00317925" w:rsidRPr="00D37E4C">
              <w:rPr>
                <w:rFonts w:cs="Calibri"/>
                <w:sz w:val="20"/>
                <w:szCs w:val="20"/>
              </w:rPr>
              <w:t>8</w:t>
            </w:r>
            <w:r w:rsidRPr="00D37E4C">
              <w:rPr>
                <w:rFonts w:cs="Calibri"/>
                <w:sz w:val="20"/>
                <w:szCs w:val="20"/>
              </w:rPr>
              <w:t>%)</w:t>
            </w:r>
          </w:p>
          <w:p w14:paraId="6350DE00" w14:textId="41C51323" w:rsidR="006365F2" w:rsidRPr="00D37E4C" w:rsidRDefault="00317925" w:rsidP="00317925">
            <w:pPr>
              <w:pStyle w:val="Tabletext"/>
              <w:ind w:left="0" w:right="0"/>
              <w:rPr>
                <w:rFonts w:cs="Calibri"/>
                <w:color w:val="auto"/>
                <w:sz w:val="20"/>
                <w:szCs w:val="20"/>
              </w:rPr>
            </w:pPr>
            <w:r w:rsidRPr="00D37E4C">
              <w:rPr>
                <w:rFonts w:cs="Calibri"/>
                <w:sz w:val="20"/>
                <w:szCs w:val="20"/>
              </w:rPr>
              <w:t>4</w:t>
            </w:r>
            <w:r w:rsidR="006365F2" w:rsidRPr="00D37E4C">
              <w:rPr>
                <w:rFonts w:cs="Calibri"/>
                <w:sz w:val="20"/>
                <w:szCs w:val="20"/>
              </w:rPr>
              <w:t xml:space="preserve"> (</w:t>
            </w:r>
            <w:r w:rsidRPr="00D37E4C">
              <w:rPr>
                <w:rFonts w:cs="Calibri"/>
                <w:sz w:val="20"/>
                <w:szCs w:val="20"/>
              </w:rPr>
              <w:t>3.8</w:t>
            </w:r>
            <w:r w:rsidR="006365F2" w:rsidRPr="00D37E4C">
              <w:rPr>
                <w:rFonts w:cs="Calibri"/>
                <w:sz w:val="20"/>
                <w:szCs w:val="20"/>
              </w:rPr>
              <w:t>%)</w:t>
            </w:r>
          </w:p>
          <w:p w14:paraId="306185C2" w14:textId="43921547" w:rsidR="006365F2" w:rsidRPr="00D37E4C" w:rsidRDefault="006365F2" w:rsidP="00317925">
            <w:pPr>
              <w:pStyle w:val="Tabletext"/>
              <w:ind w:left="0" w:right="0"/>
              <w:rPr>
                <w:rFonts w:cs="Calibri"/>
                <w:color w:val="auto"/>
                <w:sz w:val="20"/>
                <w:szCs w:val="20"/>
              </w:rPr>
            </w:pPr>
            <w:r w:rsidRPr="00D37E4C">
              <w:rPr>
                <w:rFonts w:cs="Calibri"/>
                <w:sz w:val="20"/>
                <w:szCs w:val="20"/>
              </w:rPr>
              <w:t>14 (13</w:t>
            </w:r>
            <w:r w:rsidR="00317925" w:rsidRPr="00D37E4C">
              <w:rPr>
                <w:rFonts w:cs="Calibri"/>
                <w:sz w:val="20"/>
                <w:szCs w:val="20"/>
              </w:rPr>
              <w:t>.3</w:t>
            </w:r>
            <w:r w:rsidRPr="00D37E4C">
              <w:rPr>
                <w:rFonts w:cs="Calibri"/>
                <w:sz w:val="20"/>
                <w:szCs w:val="20"/>
              </w:rPr>
              <w:t>%)</w:t>
            </w:r>
          </w:p>
          <w:p w14:paraId="28554290" w14:textId="407C0E3D" w:rsidR="006365F2" w:rsidRPr="00D37E4C" w:rsidRDefault="006365F2" w:rsidP="00317925">
            <w:pPr>
              <w:pStyle w:val="Tabletext"/>
              <w:ind w:left="0" w:right="0"/>
              <w:rPr>
                <w:rFonts w:cs="Calibri"/>
                <w:color w:val="auto"/>
                <w:sz w:val="20"/>
                <w:szCs w:val="20"/>
              </w:rPr>
            </w:pPr>
            <w:r w:rsidRPr="00D37E4C">
              <w:rPr>
                <w:rFonts w:cs="Calibri"/>
                <w:sz w:val="20"/>
                <w:szCs w:val="20"/>
              </w:rPr>
              <w:t>5 (4.</w:t>
            </w:r>
            <w:r w:rsidR="00317925" w:rsidRPr="00D37E4C">
              <w:rPr>
                <w:rFonts w:cs="Calibri"/>
                <w:sz w:val="20"/>
                <w:szCs w:val="20"/>
              </w:rPr>
              <w:t>8</w:t>
            </w:r>
            <w:r w:rsidRPr="00D37E4C">
              <w:rPr>
                <w:rFonts w:cs="Calibri"/>
                <w:sz w:val="20"/>
                <w:szCs w:val="20"/>
              </w:rPr>
              <w:t>%)</w:t>
            </w:r>
          </w:p>
          <w:p w14:paraId="69E7550B" w14:textId="723B22E8" w:rsidR="006365F2" w:rsidRPr="00D37E4C" w:rsidRDefault="006365F2" w:rsidP="00317925">
            <w:pPr>
              <w:pStyle w:val="Tabletext"/>
              <w:ind w:left="0" w:right="0"/>
              <w:rPr>
                <w:rFonts w:cs="Calibri"/>
                <w:color w:val="385623"/>
                <w:sz w:val="20"/>
                <w:szCs w:val="20"/>
              </w:rPr>
            </w:pPr>
            <w:r w:rsidRPr="00D37E4C">
              <w:rPr>
                <w:rFonts w:cs="Calibri"/>
                <w:sz w:val="20"/>
                <w:szCs w:val="20"/>
              </w:rPr>
              <w:t>1 (</w:t>
            </w:r>
            <w:r w:rsidR="00317925" w:rsidRPr="00D37E4C">
              <w:rPr>
                <w:rFonts w:cs="Calibri"/>
                <w:sz w:val="20"/>
                <w:szCs w:val="20"/>
              </w:rPr>
              <w:t>1.0</w:t>
            </w:r>
            <w:r w:rsidRPr="00D37E4C">
              <w:rPr>
                <w:rFonts w:cs="Calibri"/>
                <w:sz w:val="20"/>
                <w:szCs w:val="20"/>
              </w:rPr>
              <w:t>%)</w:t>
            </w:r>
          </w:p>
        </w:tc>
      </w:tr>
      <w:tr w:rsidR="006365F2" w:rsidRPr="008402A5" w14:paraId="4B4E1618" w14:textId="77777777" w:rsidTr="005F568F">
        <w:trPr>
          <w:trHeight w:val="20"/>
        </w:trPr>
        <w:tc>
          <w:tcPr>
            <w:tcW w:w="983" w:type="dxa"/>
          </w:tcPr>
          <w:p w14:paraId="745FA45F" w14:textId="61B71BEF" w:rsidR="006365F2" w:rsidRPr="00D37E4C" w:rsidRDefault="006365F2" w:rsidP="00317925">
            <w:pPr>
              <w:pStyle w:val="Tabletext"/>
              <w:ind w:left="0" w:right="0"/>
              <w:rPr>
                <w:rFonts w:cs="Calibri"/>
                <w:bCs/>
                <w:color w:val="385623"/>
                <w:sz w:val="20"/>
                <w:szCs w:val="20"/>
                <w:lang w:val="en-US"/>
              </w:rPr>
            </w:pPr>
            <w:r w:rsidRPr="00D37E4C">
              <w:rPr>
                <w:rFonts w:cs="Calibri"/>
                <w:bCs/>
                <w:sz w:val="20"/>
                <w:szCs w:val="20"/>
                <w:lang w:val="en-US"/>
              </w:rPr>
              <w:t>Most recent FIGO stage</w:t>
            </w:r>
          </w:p>
        </w:tc>
        <w:tc>
          <w:tcPr>
            <w:tcW w:w="3118" w:type="dxa"/>
          </w:tcPr>
          <w:p w14:paraId="1431D8A9" w14:textId="77777777" w:rsidR="006365F2" w:rsidRPr="00D37E4C" w:rsidRDefault="006365F2" w:rsidP="00317925">
            <w:pPr>
              <w:pStyle w:val="Tabletext"/>
              <w:ind w:left="0" w:right="0"/>
              <w:rPr>
                <w:rFonts w:cs="Calibri"/>
                <w:color w:val="auto"/>
                <w:sz w:val="20"/>
                <w:szCs w:val="20"/>
                <w:lang w:val="en-US"/>
              </w:rPr>
            </w:pPr>
            <w:r w:rsidRPr="00D37E4C">
              <w:rPr>
                <w:rFonts w:cs="Calibri"/>
                <w:sz w:val="20"/>
                <w:szCs w:val="20"/>
                <w:lang w:val="en-US"/>
              </w:rPr>
              <w:t>Stage I</w:t>
            </w:r>
          </w:p>
          <w:p w14:paraId="57518085" w14:textId="77777777" w:rsidR="006365F2" w:rsidRPr="00D37E4C" w:rsidRDefault="006365F2" w:rsidP="00317925">
            <w:pPr>
              <w:pStyle w:val="Tabletext"/>
              <w:ind w:left="0" w:right="0"/>
              <w:rPr>
                <w:rFonts w:cs="Calibri"/>
                <w:color w:val="auto"/>
                <w:sz w:val="20"/>
                <w:szCs w:val="20"/>
                <w:lang w:val="en-US"/>
              </w:rPr>
            </w:pPr>
            <w:r w:rsidRPr="00D37E4C">
              <w:rPr>
                <w:rFonts w:cs="Calibri"/>
                <w:sz w:val="20"/>
                <w:szCs w:val="20"/>
                <w:lang w:val="en-US"/>
              </w:rPr>
              <w:t>Stage II</w:t>
            </w:r>
          </w:p>
          <w:p w14:paraId="6CBC3FD6" w14:textId="77777777" w:rsidR="006365F2" w:rsidRPr="00D37E4C" w:rsidRDefault="006365F2" w:rsidP="00317925">
            <w:pPr>
              <w:pStyle w:val="Tabletext"/>
              <w:ind w:left="0" w:right="0"/>
              <w:rPr>
                <w:rFonts w:cs="Calibri"/>
                <w:color w:val="auto"/>
                <w:sz w:val="20"/>
                <w:szCs w:val="20"/>
                <w:lang w:val="en-US"/>
              </w:rPr>
            </w:pPr>
            <w:r w:rsidRPr="00D37E4C">
              <w:rPr>
                <w:rFonts w:cs="Calibri"/>
                <w:sz w:val="20"/>
                <w:szCs w:val="20"/>
                <w:lang w:val="en-US"/>
              </w:rPr>
              <w:t>Stage III</w:t>
            </w:r>
          </w:p>
          <w:p w14:paraId="5E146525" w14:textId="77777777" w:rsidR="006365F2" w:rsidRPr="00D37E4C" w:rsidRDefault="006365F2" w:rsidP="00317925">
            <w:pPr>
              <w:pStyle w:val="Tabletext"/>
              <w:ind w:left="0" w:right="0"/>
              <w:rPr>
                <w:rFonts w:cs="Calibri"/>
                <w:color w:val="auto"/>
                <w:sz w:val="20"/>
                <w:szCs w:val="20"/>
                <w:lang w:val="en-US"/>
              </w:rPr>
            </w:pPr>
            <w:r w:rsidRPr="00D37E4C">
              <w:rPr>
                <w:rFonts w:cs="Calibri"/>
                <w:sz w:val="20"/>
                <w:szCs w:val="20"/>
                <w:lang w:val="en-US"/>
              </w:rPr>
              <w:t>Stage IV</w:t>
            </w:r>
          </w:p>
          <w:p w14:paraId="0CE9E690" w14:textId="0F5C796B" w:rsidR="00317925" w:rsidRPr="00D37E4C" w:rsidRDefault="00317925" w:rsidP="00317925">
            <w:pPr>
              <w:pStyle w:val="Tabletext"/>
              <w:ind w:left="0" w:right="0"/>
              <w:rPr>
                <w:rFonts w:cs="Calibri"/>
                <w:color w:val="auto"/>
                <w:sz w:val="20"/>
                <w:szCs w:val="20"/>
                <w:lang w:val="en-US"/>
              </w:rPr>
            </w:pPr>
            <w:r w:rsidRPr="00D37E4C">
              <w:rPr>
                <w:rFonts w:cs="Calibri"/>
                <w:sz w:val="20"/>
                <w:szCs w:val="20"/>
                <w:lang w:val="en-US"/>
              </w:rPr>
              <w:t>Unknown</w:t>
            </w:r>
          </w:p>
        </w:tc>
        <w:tc>
          <w:tcPr>
            <w:tcW w:w="1276" w:type="dxa"/>
          </w:tcPr>
          <w:p w14:paraId="043ED27F" w14:textId="48B79131" w:rsidR="006365F2" w:rsidRPr="00D37E4C" w:rsidRDefault="006365F2" w:rsidP="00317925">
            <w:pPr>
              <w:pStyle w:val="Tabletext"/>
              <w:ind w:left="0" w:right="0"/>
              <w:rPr>
                <w:rFonts w:cs="Calibri"/>
                <w:color w:val="auto"/>
                <w:sz w:val="20"/>
                <w:szCs w:val="20"/>
              </w:rPr>
            </w:pPr>
            <w:r w:rsidRPr="00D37E4C">
              <w:rPr>
                <w:rFonts w:cs="Calibri"/>
                <w:sz w:val="20"/>
                <w:szCs w:val="20"/>
                <w:lang w:val="en-US"/>
              </w:rPr>
              <w:t>12 (11.</w:t>
            </w:r>
            <w:r w:rsidR="00317925" w:rsidRPr="00D37E4C">
              <w:rPr>
                <w:rFonts w:cs="Calibri"/>
                <w:sz w:val="20"/>
                <w:szCs w:val="20"/>
                <w:lang w:val="en-US"/>
              </w:rPr>
              <w:t>7</w:t>
            </w:r>
            <w:r w:rsidRPr="00D37E4C">
              <w:rPr>
                <w:rFonts w:cs="Calibri"/>
                <w:sz w:val="20"/>
                <w:szCs w:val="20"/>
                <w:lang w:val="en-US"/>
              </w:rPr>
              <w:t>%)</w:t>
            </w:r>
          </w:p>
          <w:p w14:paraId="791DFDBE" w14:textId="4549D7D2" w:rsidR="006365F2" w:rsidRPr="00D37E4C" w:rsidRDefault="006365F2" w:rsidP="00317925">
            <w:pPr>
              <w:pStyle w:val="Tabletext"/>
              <w:ind w:left="0" w:right="0"/>
              <w:rPr>
                <w:rFonts w:cs="Calibri"/>
                <w:color w:val="auto"/>
                <w:sz w:val="20"/>
                <w:szCs w:val="20"/>
                <w:lang w:val="en-US"/>
              </w:rPr>
            </w:pPr>
            <w:r w:rsidRPr="00D37E4C">
              <w:rPr>
                <w:rFonts w:cs="Calibri"/>
                <w:sz w:val="20"/>
                <w:szCs w:val="20"/>
                <w:lang w:val="en-US"/>
              </w:rPr>
              <w:t>3 (2.</w:t>
            </w:r>
            <w:r w:rsidR="00317925" w:rsidRPr="00D37E4C">
              <w:rPr>
                <w:rFonts w:cs="Calibri"/>
                <w:sz w:val="20"/>
                <w:szCs w:val="20"/>
                <w:lang w:val="en-US"/>
              </w:rPr>
              <w:t>9</w:t>
            </w:r>
            <w:r w:rsidRPr="00D37E4C">
              <w:rPr>
                <w:rFonts w:cs="Calibri"/>
                <w:sz w:val="20"/>
                <w:szCs w:val="20"/>
                <w:lang w:val="en-US"/>
              </w:rPr>
              <w:t>%)</w:t>
            </w:r>
          </w:p>
          <w:p w14:paraId="0E9C574A" w14:textId="6387CB96" w:rsidR="006365F2" w:rsidRPr="00D37E4C" w:rsidRDefault="006365F2" w:rsidP="00317925">
            <w:pPr>
              <w:pStyle w:val="Tabletext"/>
              <w:ind w:left="0" w:right="0"/>
              <w:rPr>
                <w:rFonts w:cs="Calibri"/>
                <w:color w:val="auto"/>
                <w:sz w:val="20"/>
                <w:szCs w:val="20"/>
                <w:lang w:val="en-US"/>
              </w:rPr>
            </w:pPr>
            <w:r w:rsidRPr="00D37E4C">
              <w:rPr>
                <w:rFonts w:cs="Calibri"/>
                <w:sz w:val="20"/>
                <w:szCs w:val="20"/>
                <w:lang w:val="en-US"/>
              </w:rPr>
              <w:t>1</w:t>
            </w:r>
            <w:r w:rsidR="00317925" w:rsidRPr="00D37E4C">
              <w:rPr>
                <w:rFonts w:cs="Calibri"/>
                <w:sz w:val="20"/>
                <w:szCs w:val="20"/>
                <w:lang w:val="en-US"/>
              </w:rPr>
              <w:t>6</w:t>
            </w:r>
            <w:r w:rsidRPr="00D37E4C">
              <w:rPr>
                <w:rFonts w:cs="Calibri"/>
                <w:sz w:val="20"/>
                <w:szCs w:val="20"/>
                <w:lang w:val="en-US"/>
              </w:rPr>
              <w:t xml:space="preserve"> (1</w:t>
            </w:r>
            <w:r w:rsidR="00317925" w:rsidRPr="00D37E4C">
              <w:rPr>
                <w:rFonts w:cs="Calibri"/>
                <w:sz w:val="20"/>
                <w:szCs w:val="20"/>
                <w:lang w:val="en-US"/>
              </w:rPr>
              <w:t>5.5</w:t>
            </w:r>
            <w:r w:rsidRPr="00D37E4C">
              <w:rPr>
                <w:rFonts w:cs="Calibri"/>
                <w:sz w:val="20"/>
                <w:szCs w:val="20"/>
                <w:lang w:val="en-US"/>
              </w:rPr>
              <w:t>%)</w:t>
            </w:r>
          </w:p>
          <w:p w14:paraId="4D96110F" w14:textId="6B9A3259" w:rsidR="006365F2" w:rsidRPr="00D37E4C" w:rsidRDefault="006365F2" w:rsidP="00317925">
            <w:pPr>
              <w:pStyle w:val="Tabletext"/>
              <w:ind w:left="0" w:right="0"/>
              <w:rPr>
                <w:rFonts w:cs="Calibri"/>
                <w:color w:val="auto"/>
                <w:sz w:val="20"/>
                <w:szCs w:val="20"/>
                <w:lang w:val="en-US"/>
              </w:rPr>
            </w:pPr>
            <w:r w:rsidRPr="00D37E4C">
              <w:rPr>
                <w:rFonts w:cs="Calibri"/>
                <w:sz w:val="20"/>
                <w:szCs w:val="20"/>
                <w:lang w:val="en-US"/>
              </w:rPr>
              <w:t>70 (6</w:t>
            </w:r>
            <w:r w:rsidR="00317925" w:rsidRPr="00D37E4C">
              <w:rPr>
                <w:rFonts w:cs="Calibri"/>
                <w:sz w:val="20"/>
                <w:szCs w:val="20"/>
                <w:lang w:val="en-US"/>
              </w:rPr>
              <w:t>8.0</w:t>
            </w:r>
            <w:r w:rsidRPr="00D37E4C">
              <w:rPr>
                <w:rFonts w:cs="Calibri"/>
                <w:sz w:val="20"/>
                <w:szCs w:val="20"/>
                <w:lang w:val="en-US"/>
              </w:rPr>
              <w:t>%)</w:t>
            </w:r>
          </w:p>
          <w:p w14:paraId="1ECD6FB3" w14:textId="36FCFD40" w:rsidR="00317925" w:rsidRPr="00D37E4C" w:rsidRDefault="00317925" w:rsidP="00317925">
            <w:pPr>
              <w:pStyle w:val="Tabletext"/>
              <w:ind w:left="0" w:right="0"/>
              <w:rPr>
                <w:rFonts w:cs="Calibri"/>
                <w:color w:val="auto"/>
                <w:sz w:val="20"/>
                <w:szCs w:val="20"/>
              </w:rPr>
            </w:pPr>
            <w:r w:rsidRPr="00D37E4C">
              <w:rPr>
                <w:rFonts w:cs="Calibri"/>
                <w:sz w:val="20"/>
                <w:szCs w:val="20"/>
              </w:rPr>
              <w:t>2 (1.9%)</w:t>
            </w:r>
          </w:p>
        </w:tc>
        <w:tc>
          <w:tcPr>
            <w:tcW w:w="1559" w:type="dxa"/>
          </w:tcPr>
          <w:p w14:paraId="4A42FA3F" w14:textId="158A8003" w:rsidR="006365F2" w:rsidRPr="00D37E4C" w:rsidRDefault="00317925" w:rsidP="00317925">
            <w:pPr>
              <w:pStyle w:val="Tabletext"/>
              <w:ind w:left="0" w:right="0"/>
              <w:rPr>
                <w:rFonts w:cs="Calibri"/>
                <w:color w:val="auto"/>
                <w:sz w:val="20"/>
                <w:szCs w:val="20"/>
              </w:rPr>
            </w:pPr>
            <w:r w:rsidRPr="00D37E4C">
              <w:rPr>
                <w:rFonts w:cs="Calibri"/>
                <w:sz w:val="20"/>
                <w:szCs w:val="20"/>
              </w:rPr>
              <w:t>0</w:t>
            </w:r>
          </w:p>
          <w:p w14:paraId="06872306" w14:textId="70D5C050" w:rsidR="006365F2" w:rsidRPr="00D37E4C" w:rsidRDefault="006365F2" w:rsidP="00317925">
            <w:pPr>
              <w:pStyle w:val="Tabletext"/>
              <w:ind w:left="0" w:right="0"/>
              <w:rPr>
                <w:rFonts w:cs="Calibri"/>
                <w:color w:val="auto"/>
                <w:sz w:val="20"/>
                <w:szCs w:val="20"/>
                <w:lang w:val="en-US"/>
              </w:rPr>
            </w:pPr>
            <w:r w:rsidRPr="00D37E4C">
              <w:rPr>
                <w:rFonts w:cs="Calibri"/>
                <w:sz w:val="20"/>
                <w:szCs w:val="20"/>
                <w:lang w:val="en-US"/>
              </w:rPr>
              <w:t>1 (50</w:t>
            </w:r>
            <w:r w:rsidR="00317925" w:rsidRPr="00D37E4C">
              <w:rPr>
                <w:rFonts w:cs="Calibri"/>
                <w:sz w:val="20"/>
                <w:szCs w:val="20"/>
                <w:lang w:val="en-US"/>
              </w:rPr>
              <w:t>.0</w:t>
            </w:r>
            <w:r w:rsidRPr="00D37E4C">
              <w:rPr>
                <w:rFonts w:cs="Calibri"/>
                <w:sz w:val="20"/>
                <w:szCs w:val="20"/>
                <w:lang w:val="en-US"/>
              </w:rPr>
              <w:t>%)</w:t>
            </w:r>
          </w:p>
          <w:p w14:paraId="09575262" w14:textId="7D5DBA58" w:rsidR="006365F2" w:rsidRPr="00D37E4C" w:rsidRDefault="00317925" w:rsidP="00317925">
            <w:pPr>
              <w:pStyle w:val="Tabletext"/>
              <w:ind w:left="0" w:right="0"/>
              <w:rPr>
                <w:rFonts w:cs="Calibri"/>
                <w:color w:val="auto"/>
                <w:sz w:val="20"/>
                <w:szCs w:val="20"/>
                <w:lang w:val="en-US"/>
              </w:rPr>
            </w:pPr>
            <w:r w:rsidRPr="00D37E4C">
              <w:rPr>
                <w:rFonts w:cs="Calibri"/>
                <w:sz w:val="20"/>
                <w:szCs w:val="20"/>
                <w:lang w:val="en-US"/>
              </w:rPr>
              <w:t>0</w:t>
            </w:r>
          </w:p>
          <w:p w14:paraId="693416EF" w14:textId="77777777" w:rsidR="006365F2" w:rsidRPr="00D37E4C" w:rsidRDefault="006365F2" w:rsidP="00317925">
            <w:pPr>
              <w:pStyle w:val="Tabletext"/>
              <w:ind w:left="0" w:right="0"/>
              <w:rPr>
                <w:rFonts w:cs="Calibri"/>
                <w:color w:val="auto"/>
                <w:sz w:val="20"/>
                <w:szCs w:val="20"/>
                <w:lang w:val="en-US"/>
              </w:rPr>
            </w:pPr>
            <w:r w:rsidRPr="00D37E4C">
              <w:rPr>
                <w:rFonts w:cs="Calibri"/>
                <w:sz w:val="20"/>
                <w:szCs w:val="20"/>
                <w:lang w:val="en-US"/>
              </w:rPr>
              <w:t>1 (50</w:t>
            </w:r>
            <w:r w:rsidR="00317925" w:rsidRPr="00D37E4C">
              <w:rPr>
                <w:rFonts w:cs="Calibri"/>
                <w:sz w:val="20"/>
                <w:szCs w:val="20"/>
                <w:lang w:val="en-US"/>
              </w:rPr>
              <w:t>.0</w:t>
            </w:r>
            <w:r w:rsidRPr="00D37E4C">
              <w:rPr>
                <w:rFonts w:cs="Calibri"/>
                <w:sz w:val="20"/>
                <w:szCs w:val="20"/>
                <w:lang w:val="en-US"/>
              </w:rPr>
              <w:t>%)</w:t>
            </w:r>
          </w:p>
          <w:p w14:paraId="76002BBA" w14:textId="2FD0954A" w:rsidR="00317925" w:rsidRPr="00D37E4C" w:rsidRDefault="00317925" w:rsidP="00317925">
            <w:pPr>
              <w:pStyle w:val="Tabletext"/>
              <w:ind w:left="0" w:right="0"/>
              <w:rPr>
                <w:rFonts w:cs="Calibri"/>
                <w:color w:val="auto"/>
                <w:sz w:val="20"/>
                <w:szCs w:val="20"/>
              </w:rPr>
            </w:pPr>
            <w:r w:rsidRPr="00D37E4C">
              <w:rPr>
                <w:rFonts w:cs="Calibri"/>
                <w:sz w:val="20"/>
                <w:szCs w:val="20"/>
              </w:rPr>
              <w:t>0</w:t>
            </w:r>
          </w:p>
        </w:tc>
        <w:tc>
          <w:tcPr>
            <w:tcW w:w="1418" w:type="dxa"/>
          </w:tcPr>
          <w:p w14:paraId="7F9A6C43" w14:textId="0FC2B835" w:rsidR="006365F2" w:rsidRPr="00D37E4C" w:rsidRDefault="006365F2" w:rsidP="00317925">
            <w:pPr>
              <w:pStyle w:val="Tabletext"/>
              <w:ind w:left="0" w:right="0"/>
              <w:rPr>
                <w:rFonts w:cs="Calibri"/>
                <w:color w:val="auto"/>
                <w:sz w:val="20"/>
                <w:szCs w:val="20"/>
              </w:rPr>
            </w:pPr>
            <w:r w:rsidRPr="00D37E4C">
              <w:rPr>
                <w:rFonts w:cs="Calibri"/>
                <w:sz w:val="20"/>
                <w:szCs w:val="20"/>
              </w:rPr>
              <w:t>12 (11.</w:t>
            </w:r>
            <w:r w:rsidR="00317925" w:rsidRPr="00D37E4C">
              <w:rPr>
                <w:rFonts w:cs="Calibri"/>
                <w:sz w:val="20"/>
                <w:szCs w:val="20"/>
              </w:rPr>
              <w:t>4</w:t>
            </w:r>
            <w:r w:rsidRPr="00D37E4C">
              <w:rPr>
                <w:rFonts w:cs="Calibri"/>
                <w:sz w:val="20"/>
                <w:szCs w:val="20"/>
              </w:rPr>
              <w:t>%)</w:t>
            </w:r>
          </w:p>
          <w:p w14:paraId="6238438B" w14:textId="3C219502" w:rsidR="006365F2" w:rsidRPr="00D37E4C" w:rsidRDefault="006365F2" w:rsidP="00317925">
            <w:pPr>
              <w:pStyle w:val="Tabletext"/>
              <w:ind w:left="0" w:right="0"/>
              <w:rPr>
                <w:rFonts w:cs="Calibri"/>
                <w:color w:val="auto"/>
                <w:sz w:val="20"/>
                <w:szCs w:val="20"/>
              </w:rPr>
            </w:pPr>
            <w:r w:rsidRPr="00D37E4C">
              <w:rPr>
                <w:rFonts w:cs="Calibri"/>
                <w:sz w:val="20"/>
                <w:szCs w:val="20"/>
              </w:rPr>
              <w:t>4 (3.</w:t>
            </w:r>
            <w:r w:rsidR="00317925" w:rsidRPr="00D37E4C">
              <w:rPr>
                <w:rFonts w:cs="Calibri"/>
                <w:sz w:val="20"/>
                <w:szCs w:val="20"/>
              </w:rPr>
              <w:t>8</w:t>
            </w:r>
            <w:r w:rsidRPr="00D37E4C">
              <w:rPr>
                <w:rFonts w:cs="Calibri"/>
                <w:sz w:val="20"/>
                <w:szCs w:val="20"/>
              </w:rPr>
              <w:t>%)</w:t>
            </w:r>
          </w:p>
          <w:p w14:paraId="2384196B" w14:textId="0CD88F47" w:rsidR="006365F2" w:rsidRPr="00D37E4C" w:rsidRDefault="006365F2" w:rsidP="00317925">
            <w:pPr>
              <w:pStyle w:val="Tabletext"/>
              <w:ind w:left="0" w:right="0"/>
              <w:rPr>
                <w:rFonts w:cs="Calibri"/>
                <w:color w:val="auto"/>
                <w:sz w:val="20"/>
                <w:szCs w:val="20"/>
              </w:rPr>
            </w:pPr>
            <w:r w:rsidRPr="00D37E4C">
              <w:rPr>
                <w:rFonts w:cs="Calibri"/>
                <w:sz w:val="20"/>
                <w:szCs w:val="20"/>
              </w:rPr>
              <w:t>1</w:t>
            </w:r>
            <w:r w:rsidR="00317925" w:rsidRPr="00D37E4C">
              <w:rPr>
                <w:rFonts w:cs="Calibri"/>
                <w:sz w:val="20"/>
                <w:szCs w:val="20"/>
              </w:rPr>
              <w:t>6</w:t>
            </w:r>
            <w:r w:rsidRPr="00D37E4C">
              <w:rPr>
                <w:rFonts w:cs="Calibri"/>
                <w:sz w:val="20"/>
                <w:szCs w:val="20"/>
              </w:rPr>
              <w:t xml:space="preserve"> (1</w:t>
            </w:r>
            <w:r w:rsidR="00317925" w:rsidRPr="00D37E4C">
              <w:rPr>
                <w:rFonts w:cs="Calibri"/>
                <w:sz w:val="20"/>
                <w:szCs w:val="20"/>
              </w:rPr>
              <w:t>5.2</w:t>
            </w:r>
            <w:r w:rsidRPr="00D37E4C">
              <w:rPr>
                <w:rFonts w:cs="Calibri"/>
                <w:sz w:val="20"/>
                <w:szCs w:val="20"/>
              </w:rPr>
              <w:t>%)</w:t>
            </w:r>
          </w:p>
          <w:p w14:paraId="2D4BE2D2" w14:textId="6AFD4505" w:rsidR="006365F2" w:rsidRPr="00D37E4C" w:rsidRDefault="006365F2" w:rsidP="00317925">
            <w:pPr>
              <w:pStyle w:val="Tabletext"/>
              <w:ind w:left="0" w:right="0"/>
              <w:rPr>
                <w:rFonts w:cs="Calibri"/>
                <w:color w:val="auto"/>
                <w:sz w:val="20"/>
                <w:szCs w:val="20"/>
              </w:rPr>
            </w:pPr>
            <w:r w:rsidRPr="00D37E4C">
              <w:rPr>
                <w:rFonts w:cs="Calibri"/>
                <w:sz w:val="20"/>
                <w:szCs w:val="20"/>
              </w:rPr>
              <w:t>71 (6</w:t>
            </w:r>
            <w:r w:rsidR="00317925" w:rsidRPr="00D37E4C">
              <w:rPr>
                <w:rFonts w:cs="Calibri"/>
                <w:sz w:val="20"/>
                <w:szCs w:val="20"/>
              </w:rPr>
              <w:t>7.6</w:t>
            </w:r>
            <w:r w:rsidRPr="00D37E4C">
              <w:rPr>
                <w:rFonts w:cs="Calibri"/>
                <w:sz w:val="20"/>
                <w:szCs w:val="20"/>
              </w:rPr>
              <w:t>%)</w:t>
            </w:r>
          </w:p>
          <w:p w14:paraId="1DCFE342" w14:textId="2F04BE76" w:rsidR="00317925" w:rsidRPr="00D37E4C" w:rsidRDefault="00317925" w:rsidP="00317925">
            <w:pPr>
              <w:pStyle w:val="Tabletext"/>
              <w:ind w:left="0" w:right="0"/>
              <w:rPr>
                <w:rFonts w:cs="Calibri"/>
                <w:color w:val="auto"/>
                <w:sz w:val="20"/>
                <w:szCs w:val="20"/>
              </w:rPr>
            </w:pPr>
            <w:r w:rsidRPr="00D37E4C">
              <w:rPr>
                <w:rFonts w:cs="Calibri"/>
                <w:sz w:val="20"/>
                <w:szCs w:val="20"/>
              </w:rPr>
              <w:t>2 (1.9%)</w:t>
            </w:r>
          </w:p>
        </w:tc>
      </w:tr>
      <w:tr w:rsidR="006365F2" w:rsidRPr="008402A5" w14:paraId="046FBC64" w14:textId="77777777" w:rsidTr="005F568F">
        <w:trPr>
          <w:trHeight w:val="20"/>
        </w:trPr>
        <w:tc>
          <w:tcPr>
            <w:tcW w:w="983" w:type="dxa"/>
          </w:tcPr>
          <w:p w14:paraId="0DB27CA0" w14:textId="77777777" w:rsidR="006365F2" w:rsidRPr="00D37E4C" w:rsidRDefault="006365F2" w:rsidP="00317925">
            <w:pPr>
              <w:pStyle w:val="Tabletext"/>
              <w:ind w:left="0" w:right="0"/>
              <w:rPr>
                <w:rFonts w:cs="Calibri"/>
                <w:bCs/>
                <w:color w:val="385623"/>
                <w:sz w:val="20"/>
                <w:szCs w:val="20"/>
                <w:lang w:val="en-US"/>
              </w:rPr>
            </w:pPr>
            <w:r w:rsidRPr="00D37E4C">
              <w:rPr>
                <w:rFonts w:cs="Calibri"/>
                <w:bCs/>
                <w:sz w:val="20"/>
                <w:szCs w:val="20"/>
                <w:lang w:val="en-US"/>
              </w:rPr>
              <w:t>Grade of Disease</w:t>
            </w:r>
          </w:p>
        </w:tc>
        <w:tc>
          <w:tcPr>
            <w:tcW w:w="3118" w:type="dxa"/>
          </w:tcPr>
          <w:p w14:paraId="1363BACD" w14:textId="77777777" w:rsidR="006365F2" w:rsidRPr="00D37E4C" w:rsidRDefault="006365F2" w:rsidP="00317925">
            <w:pPr>
              <w:pStyle w:val="Tabletext"/>
              <w:ind w:left="0" w:right="0"/>
              <w:rPr>
                <w:rFonts w:cs="Calibri"/>
                <w:color w:val="auto"/>
                <w:sz w:val="20"/>
                <w:szCs w:val="20"/>
                <w:lang w:val="en-US"/>
              </w:rPr>
            </w:pPr>
            <w:r w:rsidRPr="00D37E4C">
              <w:rPr>
                <w:rFonts w:cs="Calibri"/>
                <w:sz w:val="20"/>
                <w:szCs w:val="20"/>
                <w:lang w:val="en-US"/>
              </w:rPr>
              <w:t>Grade 1</w:t>
            </w:r>
          </w:p>
          <w:p w14:paraId="7402188C" w14:textId="77777777" w:rsidR="006365F2" w:rsidRPr="00D37E4C" w:rsidRDefault="006365F2" w:rsidP="00317925">
            <w:pPr>
              <w:pStyle w:val="Tabletext"/>
              <w:ind w:left="0" w:right="0"/>
              <w:rPr>
                <w:rFonts w:cs="Calibri"/>
                <w:color w:val="auto"/>
                <w:sz w:val="20"/>
                <w:szCs w:val="20"/>
                <w:lang w:val="en-US"/>
              </w:rPr>
            </w:pPr>
            <w:r w:rsidRPr="00D37E4C">
              <w:rPr>
                <w:rFonts w:cs="Calibri"/>
                <w:sz w:val="20"/>
                <w:szCs w:val="20"/>
                <w:lang w:val="en-US"/>
              </w:rPr>
              <w:t>Grade 2</w:t>
            </w:r>
          </w:p>
          <w:p w14:paraId="0F74970B" w14:textId="77777777" w:rsidR="006365F2" w:rsidRPr="00D37E4C" w:rsidRDefault="006365F2" w:rsidP="00317925">
            <w:pPr>
              <w:pStyle w:val="Tabletext"/>
              <w:ind w:left="0" w:right="0"/>
              <w:rPr>
                <w:rFonts w:cs="Calibri"/>
                <w:color w:val="auto"/>
                <w:sz w:val="20"/>
                <w:szCs w:val="20"/>
                <w:lang w:val="en-US"/>
              </w:rPr>
            </w:pPr>
            <w:r w:rsidRPr="00D37E4C">
              <w:rPr>
                <w:rFonts w:cs="Calibri"/>
                <w:sz w:val="20"/>
                <w:szCs w:val="20"/>
                <w:lang w:val="en-US"/>
              </w:rPr>
              <w:t>Grade 3</w:t>
            </w:r>
          </w:p>
          <w:p w14:paraId="06D32EEE" w14:textId="77777777" w:rsidR="006365F2" w:rsidRPr="00D37E4C" w:rsidRDefault="006365F2" w:rsidP="00317925">
            <w:pPr>
              <w:pStyle w:val="Tabletext"/>
              <w:ind w:left="0" w:right="0"/>
              <w:rPr>
                <w:rFonts w:cs="Calibri"/>
                <w:color w:val="auto"/>
                <w:sz w:val="20"/>
                <w:szCs w:val="20"/>
                <w:lang w:val="en-US"/>
              </w:rPr>
            </w:pPr>
            <w:r w:rsidRPr="00D37E4C">
              <w:rPr>
                <w:rFonts w:cs="Calibri"/>
                <w:sz w:val="20"/>
                <w:szCs w:val="20"/>
                <w:lang w:val="en-US"/>
              </w:rPr>
              <w:t>Not assessable</w:t>
            </w:r>
          </w:p>
        </w:tc>
        <w:tc>
          <w:tcPr>
            <w:tcW w:w="1276" w:type="dxa"/>
          </w:tcPr>
          <w:p w14:paraId="6EBC2132" w14:textId="114DD3CB" w:rsidR="006365F2" w:rsidRPr="00D37E4C" w:rsidRDefault="006365F2" w:rsidP="00317925">
            <w:pPr>
              <w:pStyle w:val="Tabletext"/>
              <w:ind w:left="0" w:right="0"/>
              <w:rPr>
                <w:rFonts w:cs="Calibri"/>
                <w:color w:val="auto"/>
                <w:sz w:val="20"/>
                <w:szCs w:val="20"/>
              </w:rPr>
            </w:pPr>
            <w:r w:rsidRPr="00D37E4C">
              <w:rPr>
                <w:rFonts w:cs="Calibri"/>
                <w:sz w:val="20"/>
                <w:szCs w:val="20"/>
                <w:lang w:val="en-US"/>
              </w:rPr>
              <w:t>31 (</w:t>
            </w:r>
            <w:r w:rsidR="00317925" w:rsidRPr="00D37E4C">
              <w:rPr>
                <w:rFonts w:cs="Calibri"/>
                <w:sz w:val="20"/>
                <w:szCs w:val="20"/>
                <w:lang w:val="en-US"/>
              </w:rPr>
              <w:t>30.1</w:t>
            </w:r>
            <w:r w:rsidRPr="00D37E4C">
              <w:rPr>
                <w:rFonts w:cs="Calibri"/>
                <w:sz w:val="20"/>
                <w:szCs w:val="20"/>
                <w:lang w:val="en-US"/>
              </w:rPr>
              <w:t>%)</w:t>
            </w:r>
          </w:p>
          <w:p w14:paraId="425278F8" w14:textId="5B26A8C1" w:rsidR="006365F2" w:rsidRPr="00D37E4C" w:rsidRDefault="006365F2" w:rsidP="00317925">
            <w:pPr>
              <w:pStyle w:val="Tabletext"/>
              <w:ind w:left="0" w:right="0"/>
              <w:rPr>
                <w:rFonts w:cs="Calibri"/>
                <w:color w:val="auto"/>
                <w:sz w:val="20"/>
                <w:szCs w:val="20"/>
              </w:rPr>
            </w:pPr>
            <w:r w:rsidRPr="00D37E4C">
              <w:rPr>
                <w:rFonts w:cs="Calibri"/>
                <w:sz w:val="20"/>
                <w:szCs w:val="20"/>
                <w:lang w:val="en-US"/>
              </w:rPr>
              <w:t>4</w:t>
            </w:r>
            <w:r w:rsidR="00317925" w:rsidRPr="00D37E4C">
              <w:rPr>
                <w:rFonts w:cs="Calibri"/>
                <w:sz w:val="20"/>
                <w:szCs w:val="20"/>
                <w:lang w:val="en-US"/>
              </w:rPr>
              <w:t>0</w:t>
            </w:r>
            <w:r w:rsidRPr="00D37E4C">
              <w:rPr>
                <w:rFonts w:cs="Calibri"/>
                <w:sz w:val="20"/>
                <w:szCs w:val="20"/>
                <w:lang w:val="en-US"/>
              </w:rPr>
              <w:t xml:space="preserve"> (38.</w:t>
            </w:r>
            <w:r w:rsidR="00317925" w:rsidRPr="00D37E4C">
              <w:rPr>
                <w:rFonts w:cs="Calibri"/>
                <w:sz w:val="20"/>
                <w:szCs w:val="20"/>
                <w:lang w:val="en-US"/>
              </w:rPr>
              <w:t>8</w:t>
            </w:r>
            <w:r w:rsidRPr="00D37E4C">
              <w:rPr>
                <w:rFonts w:cs="Calibri"/>
                <w:sz w:val="20"/>
                <w:szCs w:val="20"/>
                <w:lang w:val="en-US"/>
              </w:rPr>
              <w:t>%)</w:t>
            </w:r>
          </w:p>
          <w:p w14:paraId="70F79B08" w14:textId="2059D72D" w:rsidR="006365F2" w:rsidRPr="00D37E4C" w:rsidRDefault="006365F2" w:rsidP="00317925">
            <w:pPr>
              <w:pStyle w:val="Tabletext"/>
              <w:ind w:left="0" w:right="0"/>
              <w:rPr>
                <w:rFonts w:cs="Calibri"/>
                <w:color w:val="auto"/>
                <w:sz w:val="20"/>
                <w:szCs w:val="20"/>
                <w:lang w:val="en-US"/>
              </w:rPr>
            </w:pPr>
            <w:r w:rsidRPr="00D37E4C">
              <w:rPr>
                <w:rFonts w:cs="Calibri"/>
                <w:sz w:val="20"/>
                <w:szCs w:val="20"/>
                <w:lang w:val="en-US"/>
              </w:rPr>
              <w:t>2</w:t>
            </w:r>
            <w:r w:rsidR="00317925" w:rsidRPr="00D37E4C">
              <w:rPr>
                <w:rFonts w:cs="Calibri"/>
                <w:sz w:val="20"/>
                <w:szCs w:val="20"/>
                <w:lang w:val="en-US"/>
              </w:rPr>
              <w:t>7</w:t>
            </w:r>
            <w:r w:rsidRPr="00D37E4C">
              <w:rPr>
                <w:rFonts w:cs="Calibri"/>
                <w:sz w:val="20"/>
                <w:szCs w:val="20"/>
                <w:lang w:val="en-US"/>
              </w:rPr>
              <w:t xml:space="preserve"> (2</w:t>
            </w:r>
            <w:r w:rsidR="00317925" w:rsidRPr="00D37E4C">
              <w:rPr>
                <w:rFonts w:cs="Calibri"/>
                <w:sz w:val="20"/>
                <w:szCs w:val="20"/>
                <w:lang w:val="en-US"/>
              </w:rPr>
              <w:t>6.2</w:t>
            </w:r>
            <w:r w:rsidRPr="00D37E4C">
              <w:rPr>
                <w:rFonts w:cs="Calibri"/>
                <w:sz w:val="20"/>
                <w:szCs w:val="20"/>
                <w:lang w:val="en-US"/>
              </w:rPr>
              <w:t>%)</w:t>
            </w:r>
          </w:p>
          <w:p w14:paraId="6603730C" w14:textId="31A0A21B" w:rsidR="006365F2" w:rsidRPr="00D37E4C" w:rsidRDefault="006365F2" w:rsidP="00317925">
            <w:pPr>
              <w:pStyle w:val="Tabletext"/>
              <w:ind w:left="0" w:right="0"/>
              <w:rPr>
                <w:rFonts w:cs="Calibri"/>
                <w:color w:val="auto"/>
                <w:sz w:val="20"/>
                <w:szCs w:val="20"/>
                <w:lang w:val="en-US"/>
              </w:rPr>
            </w:pPr>
            <w:r w:rsidRPr="00D37E4C">
              <w:rPr>
                <w:rFonts w:cs="Calibri"/>
                <w:sz w:val="20"/>
                <w:szCs w:val="20"/>
                <w:lang w:val="en-US"/>
              </w:rPr>
              <w:t>5 (4.</w:t>
            </w:r>
            <w:r w:rsidR="00317925" w:rsidRPr="00D37E4C">
              <w:rPr>
                <w:rFonts w:cs="Calibri"/>
                <w:sz w:val="20"/>
                <w:szCs w:val="20"/>
                <w:lang w:val="en-US"/>
              </w:rPr>
              <w:t>9</w:t>
            </w:r>
            <w:r w:rsidRPr="00D37E4C">
              <w:rPr>
                <w:rFonts w:cs="Calibri"/>
                <w:sz w:val="20"/>
                <w:szCs w:val="20"/>
                <w:lang w:val="en-US"/>
              </w:rPr>
              <w:t>%)</w:t>
            </w:r>
          </w:p>
        </w:tc>
        <w:tc>
          <w:tcPr>
            <w:tcW w:w="1559" w:type="dxa"/>
          </w:tcPr>
          <w:p w14:paraId="2D6177FD" w14:textId="7A77A798" w:rsidR="006365F2" w:rsidRPr="00D37E4C" w:rsidRDefault="00317925" w:rsidP="00317925">
            <w:pPr>
              <w:pStyle w:val="Tabletext"/>
              <w:ind w:left="0" w:right="0"/>
              <w:rPr>
                <w:rFonts w:cs="Calibri"/>
                <w:color w:val="auto"/>
                <w:sz w:val="20"/>
                <w:szCs w:val="20"/>
              </w:rPr>
            </w:pPr>
            <w:r w:rsidRPr="00D37E4C">
              <w:rPr>
                <w:rFonts w:cs="Calibri"/>
                <w:sz w:val="20"/>
                <w:szCs w:val="20"/>
              </w:rPr>
              <w:t>0</w:t>
            </w:r>
          </w:p>
          <w:p w14:paraId="0F44FC94" w14:textId="22BB75A5" w:rsidR="006365F2" w:rsidRPr="00D37E4C" w:rsidRDefault="006365F2" w:rsidP="00317925">
            <w:pPr>
              <w:pStyle w:val="Tabletext"/>
              <w:ind w:left="0" w:right="0"/>
              <w:rPr>
                <w:rFonts w:cs="Calibri"/>
                <w:color w:val="auto"/>
                <w:sz w:val="20"/>
                <w:szCs w:val="20"/>
              </w:rPr>
            </w:pPr>
            <w:r w:rsidRPr="00D37E4C">
              <w:rPr>
                <w:rFonts w:cs="Calibri"/>
                <w:sz w:val="20"/>
                <w:szCs w:val="20"/>
                <w:lang w:val="en-US"/>
              </w:rPr>
              <w:t>1 (50</w:t>
            </w:r>
            <w:r w:rsidR="00317925" w:rsidRPr="00D37E4C">
              <w:rPr>
                <w:rFonts w:cs="Calibri"/>
                <w:sz w:val="20"/>
                <w:szCs w:val="20"/>
                <w:lang w:val="en-US"/>
              </w:rPr>
              <w:t>.0</w:t>
            </w:r>
            <w:r w:rsidRPr="00D37E4C">
              <w:rPr>
                <w:rFonts w:cs="Calibri"/>
                <w:sz w:val="20"/>
                <w:szCs w:val="20"/>
                <w:lang w:val="en-US"/>
              </w:rPr>
              <w:t>%)</w:t>
            </w:r>
          </w:p>
          <w:p w14:paraId="649A812C" w14:textId="6EE79F0E" w:rsidR="006365F2" w:rsidRPr="00D37E4C" w:rsidRDefault="006365F2" w:rsidP="00317925">
            <w:pPr>
              <w:pStyle w:val="Tabletext"/>
              <w:ind w:left="0" w:right="0"/>
              <w:rPr>
                <w:rFonts w:cs="Calibri"/>
                <w:color w:val="auto"/>
                <w:sz w:val="20"/>
                <w:szCs w:val="20"/>
                <w:lang w:val="en-US"/>
              </w:rPr>
            </w:pPr>
            <w:r w:rsidRPr="00D37E4C">
              <w:rPr>
                <w:rFonts w:cs="Calibri"/>
                <w:sz w:val="20"/>
                <w:szCs w:val="20"/>
                <w:lang w:val="en-US"/>
              </w:rPr>
              <w:t>1 (50</w:t>
            </w:r>
            <w:r w:rsidR="00317925" w:rsidRPr="00D37E4C">
              <w:rPr>
                <w:rFonts w:cs="Calibri"/>
                <w:sz w:val="20"/>
                <w:szCs w:val="20"/>
                <w:lang w:val="en-US"/>
              </w:rPr>
              <w:t>.0</w:t>
            </w:r>
            <w:r w:rsidRPr="00D37E4C">
              <w:rPr>
                <w:rFonts w:cs="Calibri"/>
                <w:sz w:val="20"/>
                <w:szCs w:val="20"/>
                <w:lang w:val="en-US"/>
              </w:rPr>
              <w:t>%)</w:t>
            </w:r>
          </w:p>
          <w:p w14:paraId="165A52CC" w14:textId="5B655E7D" w:rsidR="006365F2" w:rsidRPr="00D37E4C" w:rsidRDefault="00317925" w:rsidP="00317925">
            <w:pPr>
              <w:pStyle w:val="Tabletext"/>
              <w:ind w:left="0" w:right="0"/>
              <w:rPr>
                <w:rFonts w:cs="Calibri"/>
                <w:color w:val="auto"/>
                <w:sz w:val="20"/>
                <w:szCs w:val="20"/>
                <w:lang w:val="en-US"/>
              </w:rPr>
            </w:pPr>
            <w:r w:rsidRPr="00D37E4C">
              <w:rPr>
                <w:rFonts w:cs="Calibri"/>
                <w:sz w:val="20"/>
                <w:szCs w:val="20"/>
                <w:lang w:val="en-US"/>
              </w:rPr>
              <w:t>0</w:t>
            </w:r>
          </w:p>
        </w:tc>
        <w:tc>
          <w:tcPr>
            <w:tcW w:w="1418" w:type="dxa"/>
          </w:tcPr>
          <w:p w14:paraId="22271F79" w14:textId="5AE6CD61" w:rsidR="006365F2" w:rsidRPr="00D37E4C" w:rsidRDefault="006365F2" w:rsidP="00317925">
            <w:pPr>
              <w:pStyle w:val="Tabletext"/>
              <w:ind w:left="0" w:right="0"/>
              <w:rPr>
                <w:rFonts w:cs="Calibri"/>
                <w:color w:val="auto"/>
                <w:sz w:val="20"/>
                <w:szCs w:val="20"/>
              </w:rPr>
            </w:pPr>
            <w:r w:rsidRPr="00D37E4C">
              <w:rPr>
                <w:rFonts w:cs="Calibri"/>
                <w:sz w:val="20"/>
                <w:szCs w:val="20"/>
              </w:rPr>
              <w:t>31 (2</w:t>
            </w:r>
            <w:r w:rsidR="00317925" w:rsidRPr="00D37E4C">
              <w:rPr>
                <w:rFonts w:cs="Calibri"/>
                <w:sz w:val="20"/>
                <w:szCs w:val="20"/>
              </w:rPr>
              <w:t>9.5</w:t>
            </w:r>
            <w:r w:rsidRPr="00D37E4C">
              <w:rPr>
                <w:rFonts w:cs="Calibri"/>
                <w:sz w:val="20"/>
                <w:szCs w:val="20"/>
              </w:rPr>
              <w:t>%)</w:t>
            </w:r>
          </w:p>
          <w:p w14:paraId="51EF23BF" w14:textId="408BEBAA" w:rsidR="006365F2" w:rsidRPr="00D37E4C" w:rsidRDefault="006365F2" w:rsidP="00317925">
            <w:pPr>
              <w:pStyle w:val="Tabletext"/>
              <w:ind w:left="0" w:right="0"/>
              <w:rPr>
                <w:rFonts w:cs="Calibri"/>
                <w:color w:val="auto"/>
                <w:sz w:val="20"/>
                <w:szCs w:val="20"/>
              </w:rPr>
            </w:pPr>
            <w:r w:rsidRPr="00D37E4C">
              <w:rPr>
                <w:rFonts w:cs="Calibri"/>
                <w:sz w:val="20"/>
                <w:szCs w:val="20"/>
              </w:rPr>
              <w:t>4</w:t>
            </w:r>
            <w:r w:rsidR="00317925" w:rsidRPr="00D37E4C">
              <w:rPr>
                <w:rFonts w:cs="Calibri"/>
                <w:sz w:val="20"/>
                <w:szCs w:val="20"/>
              </w:rPr>
              <w:t>1</w:t>
            </w:r>
            <w:r w:rsidRPr="00D37E4C">
              <w:rPr>
                <w:rFonts w:cs="Calibri"/>
                <w:sz w:val="20"/>
                <w:szCs w:val="20"/>
              </w:rPr>
              <w:t xml:space="preserve"> (3</w:t>
            </w:r>
            <w:r w:rsidR="00317925" w:rsidRPr="00D37E4C">
              <w:rPr>
                <w:rFonts w:cs="Calibri"/>
                <w:sz w:val="20"/>
                <w:szCs w:val="20"/>
              </w:rPr>
              <w:t>9.0</w:t>
            </w:r>
            <w:r w:rsidRPr="00D37E4C">
              <w:rPr>
                <w:rFonts w:cs="Calibri"/>
                <w:sz w:val="20"/>
                <w:szCs w:val="20"/>
              </w:rPr>
              <w:t>%)</w:t>
            </w:r>
          </w:p>
          <w:p w14:paraId="5E3B3877" w14:textId="7815853E" w:rsidR="006365F2" w:rsidRPr="00D37E4C" w:rsidRDefault="00317925" w:rsidP="00317925">
            <w:pPr>
              <w:pStyle w:val="Tabletext"/>
              <w:ind w:left="0" w:right="0"/>
              <w:rPr>
                <w:rFonts w:cs="Calibri"/>
                <w:color w:val="auto"/>
                <w:sz w:val="20"/>
                <w:szCs w:val="20"/>
              </w:rPr>
            </w:pPr>
            <w:r w:rsidRPr="00D37E4C">
              <w:rPr>
                <w:rFonts w:cs="Calibri"/>
                <w:sz w:val="20"/>
                <w:szCs w:val="20"/>
              </w:rPr>
              <w:t>28</w:t>
            </w:r>
            <w:r w:rsidR="006365F2" w:rsidRPr="00D37E4C">
              <w:rPr>
                <w:rFonts w:cs="Calibri"/>
                <w:sz w:val="20"/>
                <w:szCs w:val="20"/>
              </w:rPr>
              <w:t xml:space="preserve"> (2</w:t>
            </w:r>
            <w:r w:rsidRPr="00D37E4C">
              <w:rPr>
                <w:rFonts w:cs="Calibri"/>
                <w:sz w:val="20"/>
                <w:szCs w:val="20"/>
              </w:rPr>
              <w:t>6.7</w:t>
            </w:r>
            <w:r w:rsidR="006365F2" w:rsidRPr="00D37E4C">
              <w:rPr>
                <w:rFonts w:cs="Calibri"/>
                <w:sz w:val="20"/>
                <w:szCs w:val="20"/>
              </w:rPr>
              <w:t>%)</w:t>
            </w:r>
          </w:p>
          <w:p w14:paraId="20F22485" w14:textId="03607D4C" w:rsidR="006365F2" w:rsidRPr="00D37E4C" w:rsidRDefault="006365F2" w:rsidP="00317925">
            <w:pPr>
              <w:pStyle w:val="Tabletext"/>
              <w:ind w:left="0" w:right="0"/>
              <w:rPr>
                <w:rFonts w:cs="Calibri"/>
                <w:color w:val="auto"/>
                <w:sz w:val="20"/>
                <w:szCs w:val="20"/>
              </w:rPr>
            </w:pPr>
            <w:r w:rsidRPr="00D37E4C">
              <w:rPr>
                <w:rFonts w:cs="Calibri"/>
                <w:sz w:val="20"/>
                <w:szCs w:val="20"/>
              </w:rPr>
              <w:t>5 (4.</w:t>
            </w:r>
            <w:r w:rsidR="00225385" w:rsidRPr="00D37E4C">
              <w:rPr>
                <w:rFonts w:cs="Calibri"/>
                <w:sz w:val="20"/>
                <w:szCs w:val="20"/>
              </w:rPr>
              <w:t>8</w:t>
            </w:r>
            <w:r w:rsidRPr="00D37E4C">
              <w:rPr>
                <w:rFonts w:cs="Calibri"/>
                <w:sz w:val="20"/>
                <w:szCs w:val="20"/>
              </w:rPr>
              <w:t>%)</w:t>
            </w:r>
          </w:p>
        </w:tc>
      </w:tr>
    </w:tbl>
    <w:p w14:paraId="5E79386E" w14:textId="43F39310" w:rsidR="00D04EFE" w:rsidRDefault="008C6055" w:rsidP="00D04EFE">
      <w:pPr>
        <w:pStyle w:val="TableDescription"/>
      </w:pPr>
      <w:r w:rsidRPr="008C6055">
        <w:t>Abbreviations:</w:t>
      </w:r>
      <w:r>
        <w:t xml:space="preserve"> </w:t>
      </w:r>
      <w:proofErr w:type="spellStart"/>
      <w:r w:rsidR="00D04EFE" w:rsidRPr="00D04EFE">
        <w:t>dMMR</w:t>
      </w:r>
      <w:proofErr w:type="spellEnd"/>
      <w:r w:rsidR="00D04EFE" w:rsidRPr="00D04EFE">
        <w:t xml:space="preserve"> = </w:t>
      </w:r>
      <w:r w:rsidR="000E0713">
        <w:t xml:space="preserve">DNA </w:t>
      </w:r>
      <w:r w:rsidR="00D04EFE" w:rsidRPr="00D04EFE">
        <w:t xml:space="preserve">mismatch repair deficient; ECOG = Eastern Cooperative Oncology Group; FIGO = International Federation of </w:t>
      </w:r>
      <w:proofErr w:type="spellStart"/>
      <w:r w:rsidR="00D04EFE" w:rsidRPr="00D04EFE">
        <w:t>Gynecology</w:t>
      </w:r>
      <w:proofErr w:type="spellEnd"/>
      <w:r w:rsidR="00D04EFE" w:rsidRPr="00D04EFE">
        <w:t xml:space="preserve"> and Obstetrics; MMR = </w:t>
      </w:r>
      <w:r w:rsidR="00EF79D8">
        <w:t>DNA</w:t>
      </w:r>
      <w:r w:rsidR="00D04EFE" w:rsidRPr="00D04EFE">
        <w:t xml:space="preserve"> mismatch repair; MSI-H = microsatellite instability-high; n = number of subjects in group.</w:t>
      </w:r>
    </w:p>
    <w:p w14:paraId="75507B6D" w14:textId="279C60FB" w:rsidR="00D74D86" w:rsidRPr="00D04EFE" w:rsidRDefault="00D74D86" w:rsidP="00D74D86">
      <w:pPr>
        <w:pStyle w:val="TableDescription"/>
      </w:pPr>
      <w:r>
        <w:t>a. an ‘Other’ may include adenocarcinoma; adenocarcinoma with ambiguous differentiation; biopsies showed a high-grade adenocarcinoma, which can be seen with tumours of Mullerian origin; carcinoma epidermoid; endometrial adenocarcinoma; endometrial adenocarcinoma not otherwise specified; endometrial neuroendocrine carcinoma; endometrioid adenocarcinoma; high-grade uterine carcinoma; moderately differentiated adenocarcinoma; papillary serous carcinoma; and undifferentiated clear cell carcinoma.</w:t>
      </w:r>
    </w:p>
    <w:p w14:paraId="4D9AF309" w14:textId="52CB4477" w:rsidR="006365F2" w:rsidRPr="00655F66" w:rsidRDefault="006365F2" w:rsidP="006365F2">
      <w:r w:rsidRPr="00655F66">
        <w:t>All patients had prior anticancer therapy (62.9% had one prior regimen</w:t>
      </w:r>
      <w:r w:rsidR="002A2A0A">
        <w:t>,</w:t>
      </w:r>
      <w:r w:rsidRPr="00655F66">
        <w:t xml:space="preserve"> 25.7% had two prior regimen</w:t>
      </w:r>
      <w:r w:rsidR="002A2A0A">
        <w:t>s</w:t>
      </w:r>
      <w:r w:rsidR="00841AD5">
        <w:t>, 8.6% had 3</w:t>
      </w:r>
      <w:r w:rsidR="00841AD5" w:rsidRPr="00841AD5">
        <w:t xml:space="preserve"> </w:t>
      </w:r>
      <w:r w:rsidR="00841AD5" w:rsidRPr="00655F66">
        <w:t>prior regimen</w:t>
      </w:r>
      <w:r w:rsidR="002A2A0A">
        <w:t>s,</w:t>
      </w:r>
      <w:r w:rsidR="00277682">
        <w:t xml:space="preserve"> and </w:t>
      </w:r>
      <w:r w:rsidR="002A2A0A">
        <w:t xml:space="preserve">2.9% had </w:t>
      </w:r>
      <w:r w:rsidR="00277682">
        <w:t>≥</w:t>
      </w:r>
      <w:r w:rsidR="00860E0D">
        <w:t xml:space="preserve"> </w:t>
      </w:r>
      <w:r w:rsidR="00277682" w:rsidRPr="00277682">
        <w:t>4</w:t>
      </w:r>
      <w:r w:rsidR="00277682">
        <w:t xml:space="preserve"> prior regimens</w:t>
      </w:r>
      <w:r w:rsidRPr="00655F66">
        <w:t>), 90.5% had surgery and 70.5% had prior radiotherapy.</w:t>
      </w:r>
    </w:p>
    <w:p w14:paraId="4C6A8EA3" w14:textId="13DD0B84" w:rsidR="006365F2" w:rsidRPr="00655F66" w:rsidRDefault="006365F2" w:rsidP="006365F2">
      <w:r w:rsidRPr="00655F66">
        <w:lastRenderedPageBreak/>
        <w:t xml:space="preserve">The </w:t>
      </w:r>
      <w:r w:rsidR="00B81AC6" w:rsidRPr="00655F66">
        <w:t>sponsor</w:t>
      </w:r>
      <w:r w:rsidRPr="00655F66">
        <w:t xml:space="preserve"> used the </w:t>
      </w:r>
      <w:r w:rsidR="00000FBE" w:rsidRPr="00655F66">
        <w:t xml:space="preserve">Ventana </w:t>
      </w:r>
      <w:r w:rsidRPr="00655F66">
        <w:t xml:space="preserve">MMR </w:t>
      </w:r>
      <w:proofErr w:type="spellStart"/>
      <w:r w:rsidRPr="00655F66">
        <w:t>RxDx</w:t>
      </w:r>
      <w:proofErr w:type="spellEnd"/>
      <w:r w:rsidRPr="00655F66">
        <w:t xml:space="preserve"> Panel assay to confirm the </w:t>
      </w:r>
      <w:r w:rsidR="00EF79D8">
        <w:t xml:space="preserve">DNA </w:t>
      </w:r>
      <w:r w:rsidR="00EF79D8" w:rsidRPr="00655F66">
        <w:t>mismatch repair</w:t>
      </w:r>
      <w:r w:rsidR="00EF79D8">
        <w:t xml:space="preserve"> </w:t>
      </w:r>
      <w:r w:rsidR="00EF79D8" w:rsidRPr="00655F66">
        <w:t>deficient</w:t>
      </w:r>
      <w:r w:rsidR="00EF79D8">
        <w:t xml:space="preserve"> </w:t>
      </w:r>
      <w:r w:rsidRPr="00655F66">
        <w:t>status of the tumours.</w:t>
      </w:r>
      <w:r w:rsidR="008402A5">
        <w:rPr>
          <w:rStyle w:val="FootnoteReference"/>
        </w:rPr>
        <w:footnoteReference w:id="14"/>
      </w:r>
    </w:p>
    <w:p w14:paraId="2EEEF269" w14:textId="5361538D" w:rsidR="006365F2" w:rsidRPr="00655F66" w:rsidRDefault="006365F2" w:rsidP="006365F2">
      <w:pPr>
        <w:pStyle w:val="Heading5"/>
        <w:rPr>
          <w:lang w:eastAsia="ja-JP"/>
        </w:rPr>
      </w:pPr>
      <w:r w:rsidRPr="00655F66">
        <w:rPr>
          <w:lang w:eastAsia="ja-JP"/>
        </w:rPr>
        <w:t>Primary endpoint</w:t>
      </w:r>
    </w:p>
    <w:p w14:paraId="1FD66EE7" w14:textId="2B107A72" w:rsidR="006365F2" w:rsidRPr="00655F66" w:rsidRDefault="006365F2" w:rsidP="006365F2">
      <w:r w:rsidRPr="00655F66">
        <w:t>The interim analysis with a data cut</w:t>
      </w:r>
      <w:r w:rsidR="00304CE0" w:rsidRPr="00655F66">
        <w:t>-off</w:t>
      </w:r>
      <w:r w:rsidRPr="00655F66">
        <w:t xml:space="preserve"> date was the basis of the </w:t>
      </w:r>
      <w:r w:rsidR="00304CE0" w:rsidRPr="00655F66">
        <w:t xml:space="preserve">clinical evaluation and </w:t>
      </w:r>
      <w:r w:rsidRPr="00655F66">
        <w:t xml:space="preserve">the </w:t>
      </w:r>
      <w:r w:rsidR="00722DA2" w:rsidRPr="00655F66">
        <w:t xml:space="preserve">clinical </w:t>
      </w:r>
      <w:r w:rsidRPr="00655F66">
        <w:t>evaluator’s recommendations.</w:t>
      </w:r>
    </w:p>
    <w:p w14:paraId="006955B6" w14:textId="6D8EE478" w:rsidR="006365F2" w:rsidRPr="00655F66" w:rsidRDefault="006365F2" w:rsidP="006365F2">
      <w:r w:rsidRPr="00655F66">
        <w:t>The median duration of follow-up at the data cut-off date was 16.3 months.</w:t>
      </w:r>
    </w:p>
    <w:p w14:paraId="6409C6A9" w14:textId="6AD09F55" w:rsidR="006365F2" w:rsidRPr="00655F66" w:rsidRDefault="006365F2" w:rsidP="006365F2">
      <w:r w:rsidRPr="00655F66">
        <w:t xml:space="preserve">The primary efficacy endpoint was </w:t>
      </w:r>
      <w:r w:rsidR="008402A5">
        <w:t>objective response rate</w:t>
      </w:r>
      <w:r w:rsidRPr="00655F66">
        <w:t xml:space="preserve">, defined as the proportion of participants achieving best overall response of complete response or partial response per </w:t>
      </w:r>
      <w:r w:rsidR="00DE4619" w:rsidRPr="00655F66">
        <w:t xml:space="preserve">Response Evaluation Criteria </w:t>
      </w:r>
      <w:proofErr w:type="gramStart"/>
      <w:r w:rsidR="00DE4619" w:rsidRPr="00655F66">
        <w:t>In</w:t>
      </w:r>
      <w:proofErr w:type="gramEnd"/>
      <w:r w:rsidR="00DE4619" w:rsidRPr="00655F66">
        <w:t xml:space="preserve"> Solid Tumours (</w:t>
      </w:r>
      <w:r w:rsidRPr="00655F66">
        <w:t>RECIST</w:t>
      </w:r>
      <w:r w:rsidR="00DE4619" w:rsidRPr="00655F66">
        <w:t>);</w:t>
      </w:r>
      <w:bookmarkStart w:id="44" w:name="_Ref110430558"/>
      <w:r w:rsidR="00DE4619" w:rsidRPr="00655F66">
        <w:rPr>
          <w:rStyle w:val="FootnoteReference"/>
        </w:rPr>
        <w:footnoteReference w:id="15"/>
      </w:r>
      <w:bookmarkEnd w:id="44"/>
      <w:r w:rsidRPr="00655F66">
        <w:t xml:space="preserve"> v</w:t>
      </w:r>
      <w:r w:rsidR="00DE4619" w:rsidRPr="00655F66">
        <w:t>ersion </w:t>
      </w:r>
      <w:r w:rsidRPr="00655F66">
        <w:t xml:space="preserve">1.1 by </w:t>
      </w:r>
      <w:r w:rsidR="00DE4619" w:rsidRPr="00655F66">
        <w:t>blinded independent centralised review</w:t>
      </w:r>
      <w:r w:rsidRPr="00655F66">
        <w:t>.</w:t>
      </w:r>
      <w:r w:rsidR="00CE4EA4">
        <w:t xml:space="preserve"> </w:t>
      </w:r>
      <w:r w:rsidR="00CE4EA4" w:rsidRPr="00BB473A">
        <w:rPr>
          <w:lang w:val="en-US"/>
        </w:rPr>
        <w:t xml:space="preserve">Results of </w:t>
      </w:r>
      <w:r w:rsidR="00BC1039">
        <w:rPr>
          <w:lang w:val="en-US"/>
        </w:rPr>
        <w:t xml:space="preserve">the </w:t>
      </w:r>
      <w:r w:rsidR="00CE4EA4" w:rsidRPr="00BB473A">
        <w:rPr>
          <w:lang w:val="en-US"/>
        </w:rPr>
        <w:t xml:space="preserve">105 patients </w:t>
      </w:r>
      <w:r w:rsidR="00BC1039">
        <w:rPr>
          <w:lang w:val="en-US"/>
        </w:rPr>
        <w:t>are</w:t>
      </w:r>
      <w:r w:rsidR="00CE4EA4" w:rsidRPr="00BB473A">
        <w:rPr>
          <w:lang w:val="en-US"/>
        </w:rPr>
        <w:t xml:space="preserve"> presented in </w:t>
      </w:r>
      <w:r w:rsidR="00D76035">
        <w:rPr>
          <w:lang w:val="en-US"/>
        </w:rPr>
        <w:fldChar w:fldCharType="begin"/>
      </w:r>
      <w:r w:rsidR="00D76035">
        <w:rPr>
          <w:lang w:val="en-US"/>
        </w:rPr>
        <w:instrText xml:space="preserve"> REF _Ref84855117 \h </w:instrText>
      </w:r>
      <w:r w:rsidR="00D76035">
        <w:rPr>
          <w:lang w:val="en-US"/>
        </w:rPr>
      </w:r>
      <w:r w:rsidR="00D76035">
        <w:rPr>
          <w:lang w:val="en-US"/>
        </w:rPr>
        <w:fldChar w:fldCharType="separate"/>
      </w:r>
      <w:r w:rsidR="000A7290" w:rsidRPr="00117AEB">
        <w:t xml:space="preserve">Table </w:t>
      </w:r>
      <w:r w:rsidR="000A7290">
        <w:rPr>
          <w:noProof/>
        </w:rPr>
        <w:t>5</w:t>
      </w:r>
      <w:r w:rsidR="00D76035">
        <w:rPr>
          <w:lang w:val="en-US"/>
        </w:rPr>
        <w:fldChar w:fldCharType="end"/>
      </w:r>
      <w:r w:rsidR="005B1D45">
        <w:rPr>
          <w:lang w:val="en-US"/>
        </w:rPr>
        <w:t>.</w:t>
      </w:r>
    </w:p>
    <w:p w14:paraId="0B9C845F" w14:textId="3D36A5EE" w:rsidR="006365F2" w:rsidRDefault="006365F2" w:rsidP="00117AEB">
      <w:pPr>
        <w:pStyle w:val="TableTitle"/>
      </w:pPr>
      <w:bookmarkStart w:id="46" w:name="_Ref84855117"/>
      <w:r w:rsidRPr="00117AEB">
        <w:t xml:space="preserve">Table </w:t>
      </w:r>
      <w:r>
        <w:fldChar w:fldCharType="begin"/>
      </w:r>
      <w:r>
        <w:instrText>SEQ Table \* ARABIC</w:instrText>
      </w:r>
      <w:r>
        <w:fldChar w:fldCharType="separate"/>
      </w:r>
      <w:r w:rsidR="000A7290">
        <w:rPr>
          <w:noProof/>
        </w:rPr>
        <w:t>5</w:t>
      </w:r>
      <w:r>
        <w:fldChar w:fldCharType="end"/>
      </w:r>
      <w:bookmarkEnd w:id="46"/>
      <w:r w:rsidR="00BD5F0E" w:rsidRPr="00117AEB">
        <w:t xml:space="preserve">: </w:t>
      </w:r>
      <w:r w:rsidR="008402A5">
        <w:t>Study 4010-01-001 (</w:t>
      </w:r>
      <w:r w:rsidR="00BD5F0E" w:rsidRPr="00117AEB">
        <w:t>GARNET trial</w:t>
      </w:r>
      <w:r w:rsidR="008402A5">
        <w:t>)</w:t>
      </w:r>
      <w:r w:rsidR="00BD5F0E" w:rsidRPr="00117AEB">
        <w:t xml:space="preserve"> </w:t>
      </w:r>
      <w:r w:rsidRPr="00117AEB">
        <w:t>Efficacy</w:t>
      </w:r>
      <w:r w:rsidR="00304CE0" w:rsidRPr="00117AEB">
        <w:t xml:space="preserve"> for</w:t>
      </w:r>
      <w:r w:rsidRPr="00117AEB">
        <w:t xml:space="preserve"> Cohort A1</w:t>
      </w:r>
    </w:p>
    <w:p w14:paraId="5834C329" w14:textId="25F3161A" w:rsidR="00176E30" w:rsidRPr="00117AEB" w:rsidRDefault="00176E30" w:rsidP="00176E30">
      <w:r>
        <w:rPr>
          <w:noProof/>
          <w:lang w:val="en-GB" w:eastAsia="en-GB"/>
        </w:rPr>
        <w:drawing>
          <wp:inline distT="0" distB="0" distL="0" distR="0" wp14:anchorId="79A3B6EA" wp14:editId="71A600A8">
            <wp:extent cx="5400040" cy="3389630"/>
            <wp:effectExtent l="0" t="0" r="0" b="1270"/>
            <wp:docPr id="3" name="Picture 2" descr="Table 5: Study 4010-01-001 (GARNET trial) Efficacy for Cohort 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able 5: Study 4010-01-001 (GARNET trial) Efficacy for Cohort A1"/>
                    <pic:cNvPicPr/>
                  </pic:nvPicPr>
                  <pic:blipFill>
                    <a:blip r:embed="rId26"/>
                    <a:stretch>
                      <a:fillRect/>
                    </a:stretch>
                  </pic:blipFill>
                  <pic:spPr>
                    <a:xfrm>
                      <a:off x="0" y="0"/>
                      <a:ext cx="5400040" cy="3389630"/>
                    </a:xfrm>
                    <a:prstGeom prst="rect">
                      <a:avLst/>
                    </a:prstGeom>
                  </pic:spPr>
                </pic:pic>
              </a:graphicData>
            </a:graphic>
          </wp:inline>
        </w:drawing>
      </w:r>
    </w:p>
    <w:p w14:paraId="7B234194" w14:textId="7E4166FD" w:rsidR="00176E30" w:rsidRPr="00176E30" w:rsidRDefault="00176E30" w:rsidP="00176E30">
      <w:pPr>
        <w:pStyle w:val="TableDescription"/>
      </w:pPr>
      <w:r w:rsidRPr="00176E30">
        <w:t xml:space="preserve">Abbreviations: BOR = best overall response; CI = confidence interval; CR = complete response; DCR = disease control rate; </w:t>
      </w:r>
      <w:proofErr w:type="spellStart"/>
      <w:r w:rsidRPr="00176E30">
        <w:t>dMMR</w:t>
      </w:r>
      <w:proofErr w:type="spellEnd"/>
      <w:r w:rsidRPr="00176E30">
        <w:t xml:space="preserve"> = </w:t>
      </w:r>
      <w:r w:rsidR="000E0713">
        <w:t xml:space="preserve">DNA </w:t>
      </w:r>
      <w:r w:rsidRPr="00176E30">
        <w:t>mismatch repair deficient; MMR-</w:t>
      </w:r>
      <w:proofErr w:type="spellStart"/>
      <w:r w:rsidRPr="00176E30">
        <w:t>unk</w:t>
      </w:r>
      <w:proofErr w:type="spellEnd"/>
      <w:r w:rsidRPr="00176E30">
        <w:t xml:space="preserve"> =</w:t>
      </w:r>
      <w:r w:rsidR="00213CF1">
        <w:t xml:space="preserve"> </w:t>
      </w:r>
      <w:r w:rsidRPr="00176E30">
        <w:t xml:space="preserve">unknown mismatch repair tumour status; MSI-H = microsatellite instability high; </w:t>
      </w:r>
      <w:r w:rsidR="00213CF1">
        <w:t xml:space="preserve">N= number of subjects; </w:t>
      </w:r>
      <w:r w:rsidRPr="00176E30">
        <w:t>NE = not evaluable; ORR = objective response rate; PD = progressive disease; PR = partial response; RECIST v1.1=Response Evaluation Criteria in Solid Tumours version 1.1; SD = stable disease.</w:t>
      </w:r>
    </w:p>
    <w:p w14:paraId="4B311E05" w14:textId="49907869" w:rsidR="00176E30" w:rsidRPr="00176E30" w:rsidRDefault="00176E30" w:rsidP="00176E30">
      <w:pPr>
        <w:pStyle w:val="TableDescription"/>
      </w:pPr>
      <w:r w:rsidRPr="00176E30">
        <w:t>Objective response rate (ORR) was defined as the percentage of participants with a RECIST</w:t>
      </w:r>
      <w:r w:rsidR="00D04EFE">
        <w:t>;</w:t>
      </w:r>
      <w:r w:rsidR="00D04EFE" w:rsidRPr="00D04EFE">
        <w:rPr>
          <w:vertAlign w:val="superscript"/>
        </w:rPr>
        <w:fldChar w:fldCharType="begin"/>
      </w:r>
      <w:r w:rsidR="00D04EFE" w:rsidRPr="00D04EFE">
        <w:rPr>
          <w:vertAlign w:val="superscript"/>
        </w:rPr>
        <w:instrText xml:space="preserve"> NOTEREF _Ref110430558 \h </w:instrText>
      </w:r>
      <w:r w:rsidR="00D04EFE">
        <w:rPr>
          <w:vertAlign w:val="superscript"/>
        </w:rPr>
        <w:instrText xml:space="preserve"> \* MERGEFORMAT </w:instrText>
      </w:r>
      <w:r w:rsidR="00D04EFE" w:rsidRPr="00D04EFE">
        <w:rPr>
          <w:vertAlign w:val="superscript"/>
        </w:rPr>
      </w:r>
      <w:r w:rsidR="00D04EFE" w:rsidRPr="00D04EFE">
        <w:rPr>
          <w:vertAlign w:val="superscript"/>
        </w:rPr>
        <w:fldChar w:fldCharType="separate"/>
      </w:r>
      <w:r w:rsidR="000A7290">
        <w:rPr>
          <w:vertAlign w:val="superscript"/>
        </w:rPr>
        <w:t>14</w:t>
      </w:r>
      <w:r w:rsidR="00D04EFE" w:rsidRPr="00D04EFE">
        <w:rPr>
          <w:vertAlign w:val="superscript"/>
        </w:rPr>
        <w:fldChar w:fldCharType="end"/>
      </w:r>
      <w:r w:rsidRPr="00176E30">
        <w:t xml:space="preserve"> v1.1 confirmed CR or PR. DCR was defined as the percentage of participants with a RECIST v1.1 confirmed PR, confirmed CR, or SD. Response assessments were based on blinded independent central review (BICR).</w:t>
      </w:r>
    </w:p>
    <w:p w14:paraId="36597637" w14:textId="77777777" w:rsidR="00176E30" w:rsidRPr="00176E30" w:rsidRDefault="00176E30" w:rsidP="00176E30">
      <w:pPr>
        <w:pStyle w:val="TableDescription"/>
      </w:pPr>
      <w:proofErr w:type="spellStart"/>
      <w:proofErr w:type="gramStart"/>
      <w:r w:rsidRPr="00176E30">
        <w:t>a</w:t>
      </w:r>
      <w:proofErr w:type="spellEnd"/>
      <w:proofErr w:type="gramEnd"/>
      <w:r w:rsidRPr="00176E30">
        <w:t xml:space="preserve"> Exact 2-sided 95% CI for the binomial proportion.</w:t>
      </w:r>
    </w:p>
    <w:p w14:paraId="22A42AE1" w14:textId="3E75FF60" w:rsidR="00176E30" w:rsidRPr="00176E30" w:rsidRDefault="00176E30" w:rsidP="00176E30">
      <w:pPr>
        <w:pStyle w:val="TableDescription"/>
      </w:pPr>
      <w:r w:rsidRPr="00176E30">
        <w:lastRenderedPageBreak/>
        <w:t>b All responders who have not yet died or progressed (including clinical progression); the denominator for the percentage is the number of responders.</w:t>
      </w:r>
    </w:p>
    <w:p w14:paraId="189F8BAD" w14:textId="2FED8841" w:rsidR="006365F2" w:rsidRPr="00655F66" w:rsidRDefault="006365F2" w:rsidP="006365F2">
      <w:r w:rsidRPr="00655F66">
        <w:t xml:space="preserve">At the data cut-off the median </w:t>
      </w:r>
      <w:r w:rsidR="008402A5">
        <w:t>duration of response</w:t>
      </w:r>
      <w:r w:rsidR="008402A5" w:rsidRPr="00655F66">
        <w:t xml:space="preserve"> </w:t>
      </w:r>
      <w:r w:rsidRPr="00655F66">
        <w:t xml:space="preserve">had not been reached, but 78.3% of responders with </w:t>
      </w:r>
      <w:r w:rsidR="008402A5">
        <w:t>DNA mismatch repair deficient</w:t>
      </w:r>
      <w:r w:rsidR="008402A5" w:rsidRPr="00655F66">
        <w:t xml:space="preserve"> </w:t>
      </w:r>
      <w:r w:rsidR="00151835" w:rsidRPr="00655F66">
        <w:t>endometrial cancer</w:t>
      </w:r>
      <w:r w:rsidRPr="00655F66">
        <w:t xml:space="preserve"> had a minimum duration of response that exceeded 6</w:t>
      </w:r>
      <w:r w:rsidR="00304CE0" w:rsidRPr="00655F66">
        <w:t> </w:t>
      </w:r>
      <w:r w:rsidRPr="00655F66">
        <w:t>months. At the time of the data cut-off, 89.1% of responders had an ongoing response.</w:t>
      </w:r>
    </w:p>
    <w:p w14:paraId="3BBE18BB" w14:textId="56EB3A80" w:rsidR="006365F2" w:rsidRPr="00655F66" w:rsidRDefault="006365F2" w:rsidP="006365F2">
      <w:r w:rsidRPr="00655F66">
        <w:fldChar w:fldCharType="begin"/>
      </w:r>
      <w:r w:rsidRPr="00655F66">
        <w:instrText xml:space="preserve"> REF _Ref89239578 \h  \* MERGEFORMAT </w:instrText>
      </w:r>
      <w:r w:rsidRPr="00655F66">
        <w:fldChar w:fldCharType="separate"/>
      </w:r>
      <w:r w:rsidR="000A7290" w:rsidRPr="00213CF1">
        <w:t xml:space="preserve">Table </w:t>
      </w:r>
      <w:r w:rsidR="000A7290">
        <w:t>6</w:t>
      </w:r>
      <w:r w:rsidRPr="00655F66">
        <w:fldChar w:fldCharType="end"/>
      </w:r>
      <w:r w:rsidRPr="00655F66">
        <w:t xml:space="preserve"> summarises the duration of response data for Cohort A1 for patients who had an objective response summarised in </w:t>
      </w:r>
      <w:r w:rsidRPr="00655F66">
        <w:fldChar w:fldCharType="begin"/>
      </w:r>
      <w:r w:rsidRPr="00655F66">
        <w:instrText xml:space="preserve"> REF _Ref84855117 \h  \* MERGEFORMAT </w:instrText>
      </w:r>
      <w:r w:rsidRPr="00655F66">
        <w:fldChar w:fldCharType="separate"/>
      </w:r>
      <w:r w:rsidR="000A7290" w:rsidRPr="00117AEB">
        <w:t xml:space="preserve">Table </w:t>
      </w:r>
      <w:r w:rsidR="000A7290">
        <w:t>5</w:t>
      </w:r>
      <w:r w:rsidRPr="00655F66">
        <w:fldChar w:fldCharType="end"/>
      </w:r>
      <w:r w:rsidRPr="00655F66">
        <w:t>.</w:t>
      </w:r>
    </w:p>
    <w:p w14:paraId="06C79035" w14:textId="024FB491" w:rsidR="006365F2" w:rsidRPr="00213CF1" w:rsidRDefault="006365F2" w:rsidP="00213CF1">
      <w:pPr>
        <w:pStyle w:val="TableTitle"/>
      </w:pPr>
      <w:bookmarkStart w:id="47" w:name="_Ref89239578"/>
      <w:r w:rsidRPr="00213CF1">
        <w:t xml:space="preserve">Table </w:t>
      </w:r>
      <w:r>
        <w:fldChar w:fldCharType="begin"/>
      </w:r>
      <w:r>
        <w:instrText>SEQ Table \* ARABIC</w:instrText>
      </w:r>
      <w:r>
        <w:fldChar w:fldCharType="separate"/>
      </w:r>
      <w:r w:rsidR="000A7290">
        <w:rPr>
          <w:noProof/>
        </w:rPr>
        <w:t>6</w:t>
      </w:r>
      <w:r>
        <w:fldChar w:fldCharType="end"/>
      </w:r>
      <w:bookmarkEnd w:id="47"/>
      <w:r w:rsidR="00304CE0" w:rsidRPr="00213CF1">
        <w:t>:</w:t>
      </w:r>
      <w:r w:rsidRPr="00213CF1">
        <w:t xml:space="preserve"> </w:t>
      </w:r>
      <w:r w:rsidR="008402A5">
        <w:t>Study 4010-01-001</w:t>
      </w:r>
      <w:r w:rsidR="008402A5" w:rsidRPr="00213CF1">
        <w:t xml:space="preserve"> </w:t>
      </w:r>
      <w:r w:rsidR="008402A5">
        <w:t>(</w:t>
      </w:r>
      <w:r w:rsidR="00BD5F0E" w:rsidRPr="00213CF1">
        <w:t>GARNET trial</w:t>
      </w:r>
      <w:r w:rsidR="008402A5">
        <w:t>)</w:t>
      </w:r>
      <w:r w:rsidR="00BD5F0E" w:rsidRPr="00213CF1">
        <w:t xml:space="preserve"> </w:t>
      </w:r>
      <w:r w:rsidRPr="00213CF1">
        <w:t xml:space="preserve">Duration of </w:t>
      </w:r>
      <w:r w:rsidR="00304CE0" w:rsidRPr="00213CF1">
        <w:t>response for Cohort A1</w:t>
      </w:r>
    </w:p>
    <w:p w14:paraId="548A06A1" w14:textId="41856989" w:rsidR="00213CF1" w:rsidRPr="00117AEB" w:rsidRDefault="00213CF1" w:rsidP="00213CF1">
      <w:r>
        <w:rPr>
          <w:noProof/>
          <w:lang w:val="en-GB" w:eastAsia="en-GB"/>
        </w:rPr>
        <w:drawing>
          <wp:inline distT="0" distB="0" distL="0" distR="0" wp14:anchorId="362E966B" wp14:editId="61AB29B4">
            <wp:extent cx="5400040" cy="4216400"/>
            <wp:effectExtent l="0" t="0" r="0" b="0"/>
            <wp:docPr id="4" name="Picture 3" descr="Table 6: Study 4010-01-001 (GARNET trial) Duration of response for Cohort 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 6: Study 4010-01-001 (GARNET trial) Duration of response for Cohort A1"/>
                    <pic:cNvPicPr/>
                  </pic:nvPicPr>
                  <pic:blipFill>
                    <a:blip r:embed="rId27"/>
                    <a:stretch>
                      <a:fillRect/>
                    </a:stretch>
                  </pic:blipFill>
                  <pic:spPr>
                    <a:xfrm>
                      <a:off x="0" y="0"/>
                      <a:ext cx="5400040" cy="4216400"/>
                    </a:xfrm>
                    <a:prstGeom prst="rect">
                      <a:avLst/>
                    </a:prstGeom>
                  </pic:spPr>
                </pic:pic>
              </a:graphicData>
            </a:graphic>
          </wp:inline>
        </w:drawing>
      </w:r>
    </w:p>
    <w:p w14:paraId="32A291EA" w14:textId="6BCF2F85" w:rsidR="00213CF1" w:rsidRPr="00213CF1" w:rsidRDefault="00213CF1" w:rsidP="00213CF1">
      <w:pPr>
        <w:pStyle w:val="TableDescription"/>
      </w:pPr>
      <w:r w:rsidRPr="00213CF1">
        <w:t xml:space="preserve">Abbreviations: CI = confidence interval; </w:t>
      </w:r>
      <w:proofErr w:type="spellStart"/>
      <w:r w:rsidRPr="00213CF1">
        <w:t>dMMR</w:t>
      </w:r>
      <w:proofErr w:type="spellEnd"/>
      <w:r w:rsidRPr="00213CF1">
        <w:t xml:space="preserve"> = </w:t>
      </w:r>
      <w:r w:rsidR="000E0713">
        <w:t xml:space="preserve">DNA </w:t>
      </w:r>
      <w:r w:rsidRPr="00213CF1">
        <w:t>mismatch repair deficient; DOR = duration of response; max = maximum; min = minimum; MMR-</w:t>
      </w:r>
      <w:proofErr w:type="spellStart"/>
      <w:r w:rsidRPr="00213CF1">
        <w:t>unk</w:t>
      </w:r>
      <w:proofErr w:type="spellEnd"/>
      <w:r w:rsidRPr="00213CF1">
        <w:t xml:space="preserve"> = unknown mismatch repair tumour status; MSI-H = microsatellite instability-high; N = number of subjects; NR = not reached.</w:t>
      </w:r>
    </w:p>
    <w:p w14:paraId="21C49C1F" w14:textId="51069799" w:rsidR="00213CF1" w:rsidRPr="00213CF1" w:rsidRDefault="00213CF1" w:rsidP="00213CF1">
      <w:pPr>
        <w:pStyle w:val="TableDescription"/>
      </w:pPr>
      <w:r w:rsidRPr="00213CF1">
        <w:t>Duration of response (DOR) per Response Evaluation Criteria in Solid Tumours version 1.1 (RECIST v1.1) was based on blinded independent central review (BICR). A ‘+’ indicates that the participant’s response is ongoing.</w:t>
      </w:r>
    </w:p>
    <w:p w14:paraId="07AE73F4" w14:textId="5C5B1918" w:rsidR="00213CF1" w:rsidRPr="00213CF1" w:rsidRDefault="00213CF1" w:rsidP="00213CF1">
      <w:pPr>
        <w:pStyle w:val="TableDescription"/>
      </w:pPr>
      <w:r w:rsidRPr="00213CF1">
        <w:t>a 95% CIs were generated using the method of Brookmeyer and Crowley (1982).</w:t>
      </w:r>
      <w:r w:rsidR="00D04EFE">
        <w:rPr>
          <w:rStyle w:val="FootnoteReference"/>
        </w:rPr>
        <w:footnoteReference w:id="16"/>
      </w:r>
    </w:p>
    <w:p w14:paraId="1C8A1E61" w14:textId="180B5E3B" w:rsidR="006365F2" w:rsidRPr="00655F66" w:rsidRDefault="006365F2" w:rsidP="006365F2">
      <w:r w:rsidRPr="00655F66">
        <w:t xml:space="preserve">These data for </w:t>
      </w:r>
      <w:r w:rsidR="008402A5">
        <w:t>DNA mismatch repair deficient</w:t>
      </w:r>
      <w:r w:rsidR="008402A5" w:rsidRPr="00655F66">
        <w:t xml:space="preserve"> </w:t>
      </w:r>
      <w:r w:rsidRPr="00655F66">
        <w:t>patients are also presented in a swimmer’s plot (</w:t>
      </w:r>
      <w:r w:rsidR="00304CE0" w:rsidRPr="00655F66">
        <w:t xml:space="preserve">see </w:t>
      </w:r>
      <w:r w:rsidRPr="00655F66">
        <w:fldChar w:fldCharType="begin"/>
      </w:r>
      <w:r w:rsidRPr="00655F66">
        <w:instrText xml:space="preserve"> REF _Ref84856610 \h  \* MERGEFORMAT </w:instrText>
      </w:r>
      <w:r w:rsidRPr="00655F66">
        <w:fldChar w:fldCharType="separate"/>
      </w:r>
      <w:r w:rsidR="000A7290" w:rsidRPr="00F40711">
        <w:t xml:space="preserve">Figure </w:t>
      </w:r>
      <w:r w:rsidR="000A7290">
        <w:t>3</w:t>
      </w:r>
      <w:r w:rsidRPr="00655F66">
        <w:fldChar w:fldCharType="end"/>
      </w:r>
      <w:r w:rsidR="00304CE0" w:rsidRPr="00655F66">
        <w:t xml:space="preserve"> below</w:t>
      </w:r>
      <w:r w:rsidRPr="00655F66">
        <w:t>).</w:t>
      </w:r>
    </w:p>
    <w:p w14:paraId="79BC3DFC" w14:textId="2675E64E" w:rsidR="006365F2" w:rsidRPr="00F40711" w:rsidRDefault="006365F2" w:rsidP="00F40711">
      <w:pPr>
        <w:pStyle w:val="FigureTitle"/>
      </w:pPr>
      <w:bookmarkStart w:id="48" w:name="_Ref84856610"/>
      <w:r w:rsidRPr="00F40711">
        <w:lastRenderedPageBreak/>
        <w:t xml:space="preserve">Figure </w:t>
      </w:r>
      <w:r>
        <w:fldChar w:fldCharType="begin"/>
      </w:r>
      <w:r>
        <w:instrText>SEQ Figure \* ARABIC</w:instrText>
      </w:r>
      <w:r>
        <w:fldChar w:fldCharType="separate"/>
      </w:r>
      <w:r w:rsidR="000A7290">
        <w:rPr>
          <w:noProof/>
        </w:rPr>
        <w:t>3</w:t>
      </w:r>
      <w:r>
        <w:fldChar w:fldCharType="end"/>
      </w:r>
      <w:bookmarkEnd w:id="48"/>
      <w:r w:rsidR="00304CE0" w:rsidRPr="00F40711">
        <w:t>:</w:t>
      </w:r>
      <w:r w:rsidRPr="00F40711">
        <w:t xml:space="preserve"> </w:t>
      </w:r>
      <w:r w:rsidR="00A117D8">
        <w:t>Study 4010-01-001</w:t>
      </w:r>
      <w:r w:rsidR="00A117D8" w:rsidRPr="00F40711">
        <w:t xml:space="preserve"> </w:t>
      </w:r>
      <w:r w:rsidR="00A117D8">
        <w:t>(</w:t>
      </w:r>
      <w:r w:rsidR="00BD5F0E" w:rsidRPr="00F40711">
        <w:t>GARNET trial</w:t>
      </w:r>
      <w:r w:rsidR="00A117D8">
        <w:t>)</w:t>
      </w:r>
      <w:r w:rsidR="00BD5F0E" w:rsidRPr="00F40711">
        <w:t xml:space="preserve"> </w:t>
      </w:r>
      <w:r w:rsidRPr="00F40711">
        <w:t xml:space="preserve">Duration of </w:t>
      </w:r>
      <w:r w:rsidR="00304CE0" w:rsidRPr="00F40711">
        <w:t xml:space="preserve">treatment </w:t>
      </w:r>
      <w:r w:rsidRPr="00F40711">
        <w:t xml:space="preserve">(Swimmer’s </w:t>
      </w:r>
      <w:r w:rsidR="00304CE0" w:rsidRPr="00F40711">
        <w:t>plot</w:t>
      </w:r>
      <w:r w:rsidRPr="00F40711">
        <w:t>)</w:t>
      </w:r>
      <w:r w:rsidR="00304CE0" w:rsidRPr="00F40711">
        <w:t xml:space="preserve"> for Cohort A1</w:t>
      </w:r>
    </w:p>
    <w:p w14:paraId="00CE508B" w14:textId="01054FEA" w:rsidR="00F40711" w:rsidRPr="00117AEB" w:rsidRDefault="00F40711" w:rsidP="00F40711">
      <w:r>
        <w:rPr>
          <w:noProof/>
          <w:lang w:val="en-GB" w:eastAsia="en-GB"/>
        </w:rPr>
        <w:drawing>
          <wp:inline distT="0" distB="0" distL="0" distR="0" wp14:anchorId="43D763ED" wp14:editId="3090F6A2">
            <wp:extent cx="5400040" cy="4334510"/>
            <wp:effectExtent l="0" t="0" r="0" b="8890"/>
            <wp:docPr id="5" name="Picture 4" descr="Figure 3: Study 4010-01-001 (GARNET trial) Duration of treatment (Swimmer’s plot) for Cohort 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Figure 3: Study 4010-01-001 (GARNET trial) Duration of treatment (Swimmer’s plot) for Cohort A1"/>
                    <pic:cNvPicPr/>
                  </pic:nvPicPr>
                  <pic:blipFill>
                    <a:blip r:embed="rId28"/>
                    <a:stretch>
                      <a:fillRect/>
                    </a:stretch>
                  </pic:blipFill>
                  <pic:spPr>
                    <a:xfrm>
                      <a:off x="0" y="0"/>
                      <a:ext cx="5400040" cy="4334510"/>
                    </a:xfrm>
                    <a:prstGeom prst="rect">
                      <a:avLst/>
                    </a:prstGeom>
                  </pic:spPr>
                </pic:pic>
              </a:graphicData>
            </a:graphic>
          </wp:inline>
        </w:drawing>
      </w:r>
    </w:p>
    <w:p w14:paraId="4CA3D196" w14:textId="40414453" w:rsidR="00F40711" w:rsidRDefault="008C6055" w:rsidP="00F40711">
      <w:pPr>
        <w:pStyle w:val="FigureDescription"/>
      </w:pPr>
      <w:r w:rsidRPr="008C6055">
        <w:t>Abbreviations:</w:t>
      </w:r>
      <w:r>
        <w:t xml:space="preserve"> </w:t>
      </w:r>
      <w:r w:rsidR="00F40711">
        <w:t>CR =</w:t>
      </w:r>
      <w:r w:rsidR="00F40711" w:rsidRPr="00F40711">
        <w:t xml:space="preserve"> </w:t>
      </w:r>
      <w:r w:rsidR="00F40711" w:rsidRPr="00176E30">
        <w:t>complete response</w:t>
      </w:r>
      <w:r w:rsidR="00F40711">
        <w:t xml:space="preserve">; </w:t>
      </w:r>
      <w:proofErr w:type="spellStart"/>
      <w:r w:rsidR="00F40711">
        <w:t>dMMR</w:t>
      </w:r>
      <w:proofErr w:type="spellEnd"/>
      <w:r w:rsidR="00F40711">
        <w:t xml:space="preserve"> =</w:t>
      </w:r>
      <w:r w:rsidR="00F40711" w:rsidRPr="00F40711">
        <w:t xml:space="preserve"> </w:t>
      </w:r>
      <w:r w:rsidR="000E0713">
        <w:t xml:space="preserve">DNA </w:t>
      </w:r>
      <w:r w:rsidR="00F40711" w:rsidRPr="00117AEB">
        <w:t>mismatch repair deficient</w:t>
      </w:r>
      <w:r w:rsidR="00F40711">
        <w:t>; EC =</w:t>
      </w:r>
      <w:r w:rsidR="00F40711" w:rsidRPr="00F40711">
        <w:t xml:space="preserve"> </w:t>
      </w:r>
      <w:r w:rsidR="00F40711">
        <w:t>e</w:t>
      </w:r>
      <w:r w:rsidR="00F40711" w:rsidRPr="00F40711">
        <w:t>ndometrial cancer</w:t>
      </w:r>
      <w:r w:rsidR="00F40711">
        <w:t>; NE</w:t>
      </w:r>
      <w:r w:rsidR="00A117D8">
        <w:t> </w:t>
      </w:r>
      <w:r w:rsidR="00F40711">
        <w:t>=</w:t>
      </w:r>
      <w:r w:rsidR="00F40711" w:rsidRPr="00F40711">
        <w:t xml:space="preserve"> </w:t>
      </w:r>
      <w:r w:rsidR="00F40711" w:rsidRPr="00176E30">
        <w:t>not evaluable</w:t>
      </w:r>
      <w:r w:rsidR="00F40711">
        <w:t>; PD =</w:t>
      </w:r>
      <w:r w:rsidR="00F40711" w:rsidRPr="00F40711">
        <w:t xml:space="preserve"> </w:t>
      </w:r>
      <w:r w:rsidR="00F40711" w:rsidRPr="00176E30">
        <w:t>progressive disease</w:t>
      </w:r>
      <w:r w:rsidR="00F40711">
        <w:t>; PR =</w:t>
      </w:r>
      <w:r w:rsidR="00F40711" w:rsidRPr="00F40711">
        <w:t xml:space="preserve"> </w:t>
      </w:r>
      <w:r w:rsidR="00F40711" w:rsidRPr="00176E30">
        <w:t>partial response</w:t>
      </w:r>
      <w:r w:rsidR="00F40711">
        <w:t>; SD =</w:t>
      </w:r>
      <w:r w:rsidR="00F40711" w:rsidRPr="00F40711">
        <w:t xml:space="preserve"> </w:t>
      </w:r>
      <w:r w:rsidR="00F40711" w:rsidRPr="00176E30">
        <w:t>stable disease</w:t>
      </w:r>
      <w:r w:rsidR="00F40711">
        <w:t>.</w:t>
      </w:r>
    </w:p>
    <w:p w14:paraId="11288780" w14:textId="24219449" w:rsidR="00F40711" w:rsidRPr="00F40711" w:rsidRDefault="00F40711" w:rsidP="00F40711">
      <w:pPr>
        <w:pStyle w:val="FigureDescription"/>
      </w:pPr>
      <w:r w:rsidRPr="00F40711">
        <w:t xml:space="preserve">It the last cycle of treatment is ≤ 4 cycles, duration of treatment = last dose date </w:t>
      </w:r>
      <w:r w:rsidR="00A117D8">
        <w:t>minus</w:t>
      </w:r>
      <w:r w:rsidRPr="00F40711">
        <w:t xml:space="preserve"> start date </w:t>
      </w:r>
      <w:r w:rsidR="00A117D8">
        <w:t>plus</w:t>
      </w:r>
      <w:r w:rsidRPr="00F40711">
        <w:t xml:space="preserve"> 21</w:t>
      </w:r>
      <w:r w:rsidR="00A117D8">
        <w:t> weeks</w:t>
      </w:r>
      <w:r w:rsidRPr="00F40711">
        <w:t xml:space="preserve">. If the last cycle of treatment is ≥ 5 cycles, duration of treatment = last dose date </w:t>
      </w:r>
      <w:r w:rsidR="00A117D8">
        <w:t>minus</w:t>
      </w:r>
      <w:r w:rsidRPr="00F40711">
        <w:t xml:space="preserve"> start date </w:t>
      </w:r>
      <w:r w:rsidR="00A117D8">
        <w:t>plus</w:t>
      </w:r>
      <w:r w:rsidRPr="00F40711">
        <w:t xml:space="preserve"> 42</w:t>
      </w:r>
      <w:r w:rsidR="00A117D8">
        <w:t xml:space="preserve"> weeks</w:t>
      </w:r>
      <w:r w:rsidRPr="00F40711">
        <w:t>.</w:t>
      </w:r>
    </w:p>
    <w:p w14:paraId="53A6A2A3" w14:textId="56E7E651" w:rsidR="00F40711" w:rsidRPr="00F40711" w:rsidRDefault="00F40711" w:rsidP="00F40711">
      <w:pPr>
        <w:pStyle w:val="FigureDescription"/>
      </w:pPr>
      <w:r w:rsidRPr="00F40711">
        <w:t>Data cut-off date: 1 March 2020.</w:t>
      </w:r>
    </w:p>
    <w:p w14:paraId="15D479E9" w14:textId="0864FAFB" w:rsidR="006365F2" w:rsidRPr="00655F66" w:rsidRDefault="006365F2" w:rsidP="006365F2">
      <w:r w:rsidRPr="00655F66">
        <w:t xml:space="preserve">At the time of the data cut-off, the median </w:t>
      </w:r>
      <w:r w:rsidR="00DE4619" w:rsidRPr="00655F66">
        <w:t>overall survival</w:t>
      </w:r>
      <w:r w:rsidRPr="00655F66">
        <w:t xml:space="preserve"> had not been reached in participants with </w:t>
      </w:r>
      <w:r w:rsidR="00A117D8">
        <w:t>DNA mismatch repair deficient</w:t>
      </w:r>
      <w:r w:rsidRPr="00655F66">
        <w:t xml:space="preserve"> </w:t>
      </w:r>
      <w:r w:rsidR="00151835" w:rsidRPr="00655F66">
        <w:t>endometrial cancer</w:t>
      </w:r>
      <w:r w:rsidRPr="00655F66">
        <w:t xml:space="preserve">. </w:t>
      </w:r>
      <w:r w:rsidR="00655F66" w:rsidRPr="00655F66">
        <w:t>Kaplan-Meier</w:t>
      </w:r>
      <w:r w:rsidRPr="00655F66">
        <w:t xml:space="preserve"> estimates of the probability of survival were 80.7% at Month</w:t>
      </w:r>
      <w:r w:rsidR="00304CE0" w:rsidRPr="00655F66">
        <w:t> </w:t>
      </w:r>
      <w:r w:rsidRPr="00655F66">
        <w:t>6, 74.9% at Month 9, and 68.5% at Month</w:t>
      </w:r>
      <w:r w:rsidR="00304CE0" w:rsidRPr="00655F66">
        <w:t> </w:t>
      </w:r>
      <w:r w:rsidRPr="00655F66">
        <w:t xml:space="preserve">12 in participants with </w:t>
      </w:r>
      <w:r w:rsidR="004E1E83">
        <w:t>DNA mismatch repair deficient</w:t>
      </w:r>
      <w:r w:rsidR="004E1E83" w:rsidRPr="00655F66">
        <w:t xml:space="preserve"> </w:t>
      </w:r>
      <w:r w:rsidR="00151835" w:rsidRPr="00655F66">
        <w:t>endometrial cancer</w:t>
      </w:r>
      <w:r w:rsidRPr="00655F66">
        <w:t xml:space="preserve"> in the primary efficacy analysis set. The median </w:t>
      </w:r>
      <w:r w:rsidR="00304CE0" w:rsidRPr="00655F66">
        <w:t>progression free survival</w:t>
      </w:r>
      <w:r w:rsidR="009530C3">
        <w:t xml:space="preserve"> </w:t>
      </w:r>
      <w:r w:rsidRPr="00655F66">
        <w:t>was 5.5</w:t>
      </w:r>
      <w:r w:rsidR="004E1E83">
        <w:t> </w:t>
      </w:r>
      <w:r w:rsidRPr="00655F66">
        <w:t xml:space="preserve">months in participants with </w:t>
      </w:r>
      <w:r w:rsidR="004E1E83">
        <w:t>DNA mismatch repair deficient</w:t>
      </w:r>
      <w:r w:rsidR="004E1E83" w:rsidRPr="00655F66">
        <w:t xml:space="preserve"> </w:t>
      </w:r>
      <w:r w:rsidR="00151835" w:rsidRPr="00655F66">
        <w:t>endometrial cancer</w:t>
      </w:r>
      <w:r w:rsidRPr="00655F66">
        <w:t>.</w:t>
      </w:r>
    </w:p>
    <w:p w14:paraId="58835532" w14:textId="649BA834" w:rsidR="006365F2" w:rsidRPr="00655F66" w:rsidRDefault="006365F2" w:rsidP="006365F2">
      <w:r w:rsidRPr="00655F66">
        <w:t xml:space="preserve">The </w:t>
      </w:r>
      <w:r w:rsidR="00722DA2" w:rsidRPr="00655F66">
        <w:t xml:space="preserve">clinical </w:t>
      </w:r>
      <w:r w:rsidRPr="00655F66">
        <w:t>evaluat</w:t>
      </w:r>
      <w:r w:rsidR="004E1E83">
        <w:t>ion raised</w:t>
      </w:r>
      <w:r w:rsidRPr="00655F66">
        <w:t xml:space="preserve"> concerns about the use of </w:t>
      </w:r>
      <w:r w:rsidR="00655F66" w:rsidRPr="00655F66">
        <w:t xml:space="preserve">polymerase chain reaction </w:t>
      </w:r>
      <w:r w:rsidRPr="00655F66">
        <w:t xml:space="preserve">or </w:t>
      </w:r>
      <w:r w:rsidR="00655F66" w:rsidRPr="00655F66">
        <w:t xml:space="preserve">next generation sequencing </w:t>
      </w:r>
      <w:r w:rsidRPr="00655F66">
        <w:t xml:space="preserve">to detect </w:t>
      </w:r>
      <w:r w:rsidR="004E1E83">
        <w:t>microsatellite instability</w:t>
      </w:r>
      <w:r w:rsidR="00F2715F">
        <w:t xml:space="preserve"> (MSI)</w:t>
      </w:r>
      <w:proofErr w:type="gramStart"/>
      <w:r w:rsidR="00F2715F">
        <w:t>-</w:t>
      </w:r>
      <w:r w:rsidR="004E1E83">
        <w:t>‘</w:t>
      </w:r>
      <w:proofErr w:type="gramEnd"/>
      <w:r w:rsidR="004E1E83">
        <w:t>high’ status</w:t>
      </w:r>
      <w:r w:rsidRPr="00655F66">
        <w:t>. This issue is considered resolved in the context of the submission after the narrowing of the scope of the indication to omit patients identified by MSI-</w:t>
      </w:r>
      <w:r w:rsidR="0030219E">
        <w:t>high</w:t>
      </w:r>
      <w:r w:rsidRPr="00655F66">
        <w:t xml:space="preserve"> tumour status from the indication.</w:t>
      </w:r>
    </w:p>
    <w:p w14:paraId="41683EC6" w14:textId="5D614725" w:rsidR="006365F2" w:rsidRPr="00655F66" w:rsidRDefault="006365F2" w:rsidP="006365F2">
      <w:r w:rsidRPr="00655F66">
        <w:t xml:space="preserve">In response to questions the </w:t>
      </w:r>
      <w:r w:rsidR="00B81AC6" w:rsidRPr="00655F66">
        <w:t>sponsor</w:t>
      </w:r>
      <w:r w:rsidRPr="00655F66">
        <w:t xml:space="preserve"> presented </w:t>
      </w:r>
      <w:r w:rsidR="004E1E83">
        <w:t>objective response rate</w:t>
      </w:r>
      <w:r w:rsidR="004E1E83" w:rsidRPr="00655F66">
        <w:t xml:space="preserve"> </w:t>
      </w:r>
      <w:r w:rsidRPr="00655F66">
        <w:t xml:space="preserve">results for each of the actual </w:t>
      </w:r>
      <w:r w:rsidR="004E1E83">
        <w:t>DNA mismatch repair</w:t>
      </w:r>
      <w:r w:rsidR="004E1E83" w:rsidRPr="00655F66">
        <w:t xml:space="preserve"> </w:t>
      </w:r>
      <w:r w:rsidRPr="00655F66">
        <w:t>proteins missing.</w:t>
      </w:r>
    </w:p>
    <w:p w14:paraId="2C14353D" w14:textId="502E1BD2" w:rsidR="006365F2" w:rsidRPr="00A51754" w:rsidRDefault="006365F2" w:rsidP="00A51754">
      <w:pPr>
        <w:pStyle w:val="TableTitle"/>
      </w:pPr>
      <w:r w:rsidRPr="00A51754">
        <w:lastRenderedPageBreak/>
        <w:t xml:space="preserve">Table </w:t>
      </w:r>
      <w:r>
        <w:fldChar w:fldCharType="begin"/>
      </w:r>
      <w:r>
        <w:instrText>SEQ Table \* ARABIC</w:instrText>
      </w:r>
      <w:r>
        <w:fldChar w:fldCharType="separate"/>
      </w:r>
      <w:r w:rsidR="000A7290">
        <w:rPr>
          <w:noProof/>
        </w:rPr>
        <w:t>7</w:t>
      </w:r>
      <w:r>
        <w:fldChar w:fldCharType="end"/>
      </w:r>
      <w:r w:rsidR="00304CE0" w:rsidRPr="00A51754">
        <w:t>:</w:t>
      </w:r>
      <w:r w:rsidRPr="00A51754">
        <w:t xml:space="preserve"> </w:t>
      </w:r>
      <w:r w:rsidR="004E1E83">
        <w:t>Study 4010-01-001 (</w:t>
      </w:r>
      <w:r w:rsidR="00BD5F0E" w:rsidRPr="00A51754">
        <w:t>GARNET trial</w:t>
      </w:r>
      <w:r w:rsidR="004E1E83">
        <w:t>)</w:t>
      </w:r>
      <w:r w:rsidR="00BD5F0E" w:rsidRPr="00A51754">
        <w:t xml:space="preserve"> </w:t>
      </w:r>
      <w:r w:rsidRPr="00A51754">
        <w:t xml:space="preserve">Response to </w:t>
      </w:r>
      <w:r w:rsidR="00304CE0" w:rsidRPr="00A51754">
        <w:t xml:space="preserve">questions tumour response </w:t>
      </w:r>
      <w:r w:rsidRPr="00A51754">
        <w:t xml:space="preserve">by </w:t>
      </w:r>
      <w:r w:rsidR="00304CE0" w:rsidRPr="00A51754">
        <w:t>mismatch repair</w:t>
      </w:r>
      <w:r w:rsidRPr="00A51754">
        <w:t xml:space="preserve"> protein loss</w:t>
      </w:r>
    </w:p>
    <w:p w14:paraId="0D404846" w14:textId="2802BC97" w:rsidR="008C6055" w:rsidRPr="008C6055" w:rsidRDefault="00A51754" w:rsidP="008C6055">
      <w:pPr>
        <w:pStyle w:val="TableDescription"/>
      </w:pPr>
      <w:r>
        <w:rPr>
          <w:noProof/>
          <w:lang w:val="en-GB" w:eastAsia="en-GB"/>
        </w:rPr>
        <w:drawing>
          <wp:inline distT="0" distB="0" distL="0" distR="0" wp14:anchorId="589EC836" wp14:editId="76C5136C">
            <wp:extent cx="5400040" cy="2056130"/>
            <wp:effectExtent l="0" t="0" r="0" b="1270"/>
            <wp:docPr id="6" name="Picture 5" descr="Table 7: Study 4010-01-001 (GARNET trial) Response to questions tumour response by mismatch repair protein 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Table 7: Study 4010-01-001 (GARNET trial) Response to questions tumour response by mismatch repair protein loss"/>
                    <pic:cNvPicPr/>
                  </pic:nvPicPr>
                  <pic:blipFill>
                    <a:blip r:embed="rId29"/>
                    <a:stretch>
                      <a:fillRect/>
                    </a:stretch>
                  </pic:blipFill>
                  <pic:spPr>
                    <a:xfrm>
                      <a:off x="0" y="0"/>
                      <a:ext cx="5400040" cy="2056130"/>
                    </a:xfrm>
                    <a:prstGeom prst="rect">
                      <a:avLst/>
                    </a:prstGeom>
                  </pic:spPr>
                </pic:pic>
              </a:graphicData>
            </a:graphic>
          </wp:inline>
        </w:drawing>
      </w:r>
      <w:r>
        <w:t xml:space="preserve"> </w:t>
      </w:r>
      <w:r w:rsidR="008C6055" w:rsidRPr="008C6055">
        <w:t>Abbreviations:</w:t>
      </w:r>
      <w:r w:rsidR="008C6055">
        <w:t xml:space="preserve"> </w:t>
      </w:r>
      <w:r w:rsidR="008C6055" w:rsidRPr="008C6055">
        <w:t xml:space="preserve">CI = confidence interval; CR = complete response; DCR = disease control rate; </w:t>
      </w:r>
      <w:proofErr w:type="spellStart"/>
      <w:r w:rsidR="008C6055" w:rsidRPr="008C6055">
        <w:t>dMMR</w:t>
      </w:r>
      <w:proofErr w:type="spellEnd"/>
      <w:r w:rsidR="004E1E83">
        <w:t> </w:t>
      </w:r>
      <w:r w:rsidR="008C6055" w:rsidRPr="008C6055">
        <w:t>=</w:t>
      </w:r>
      <w:r w:rsidR="004E1E83">
        <w:t xml:space="preserve"> DNA </w:t>
      </w:r>
      <w:r w:rsidR="008C6055" w:rsidRPr="008C6055">
        <w:t xml:space="preserve">mismatch repair deficient; EC = endometrial cancer; MLH1 = </w:t>
      </w:r>
      <w:proofErr w:type="spellStart"/>
      <w:r w:rsidR="008C6055" w:rsidRPr="008C6055">
        <w:rPr>
          <w:i/>
          <w:iCs/>
        </w:rPr>
        <w:t>mutL</w:t>
      </w:r>
      <w:proofErr w:type="spellEnd"/>
      <w:r w:rsidR="008C6055" w:rsidRPr="008C6055">
        <w:t xml:space="preserve"> homologue 1; MSH2</w:t>
      </w:r>
      <w:r w:rsidR="004E1E83">
        <w:t> </w:t>
      </w:r>
      <w:r w:rsidR="008C6055" w:rsidRPr="008C6055">
        <w:t>=</w:t>
      </w:r>
      <w:r w:rsidR="004E1E83">
        <w:t> </w:t>
      </w:r>
      <w:proofErr w:type="spellStart"/>
      <w:r w:rsidR="008C6055" w:rsidRPr="008C6055">
        <w:rPr>
          <w:i/>
          <w:iCs/>
        </w:rPr>
        <w:t>mutS</w:t>
      </w:r>
      <w:proofErr w:type="spellEnd"/>
      <w:r w:rsidR="008C6055" w:rsidRPr="008C6055">
        <w:t xml:space="preserve"> homologue 2; MSH6 = </w:t>
      </w:r>
      <w:proofErr w:type="spellStart"/>
      <w:r w:rsidR="008C6055" w:rsidRPr="008C6055">
        <w:rPr>
          <w:i/>
          <w:iCs/>
        </w:rPr>
        <w:t>mutS</w:t>
      </w:r>
      <w:proofErr w:type="spellEnd"/>
      <w:r w:rsidR="008C6055" w:rsidRPr="008C6055">
        <w:t xml:space="preserve"> homologue 6; n= number of subjects in group; ORR = objective response rate; PD = progressive disease; PMS2 = post</w:t>
      </w:r>
      <w:r w:rsidR="008C6055">
        <w:t>-</w:t>
      </w:r>
      <w:r w:rsidR="008C6055" w:rsidRPr="008C6055">
        <w:t xml:space="preserve">meiotic segregation increased 2; PR = partial response; RECIST = Response Evaluation Criteria </w:t>
      </w:r>
      <w:proofErr w:type="gramStart"/>
      <w:r w:rsidR="008C6055" w:rsidRPr="008C6055">
        <w:t>In</w:t>
      </w:r>
      <w:proofErr w:type="gramEnd"/>
      <w:r w:rsidR="008C6055" w:rsidRPr="008C6055">
        <w:t xml:space="preserve"> Solid Tumours; SD = stable disease.</w:t>
      </w:r>
    </w:p>
    <w:p w14:paraId="532AF9C7" w14:textId="447147F4" w:rsidR="00F40711" w:rsidRPr="008C6055" w:rsidRDefault="008C6055" w:rsidP="008C6055">
      <w:pPr>
        <w:pStyle w:val="TableDescription"/>
      </w:pPr>
      <w:r>
        <w:t>O</w:t>
      </w:r>
      <w:r w:rsidRPr="008C6055">
        <w:t xml:space="preserve">bjective response rate </w:t>
      </w:r>
      <w:r>
        <w:t>(</w:t>
      </w:r>
      <w:r w:rsidR="00F40711" w:rsidRPr="008C6055">
        <w:t>ORR</w:t>
      </w:r>
      <w:r>
        <w:t>)</w:t>
      </w:r>
      <w:r w:rsidR="00F40711" w:rsidRPr="008C6055">
        <w:t xml:space="preserve"> is defined as the percentage of patients with a RECIST v</w:t>
      </w:r>
      <w:r>
        <w:t xml:space="preserve">ersion </w:t>
      </w:r>
      <w:r w:rsidR="00F40711" w:rsidRPr="008C6055">
        <w:t xml:space="preserve">1.1 </w:t>
      </w:r>
      <w:r w:rsidR="00A51754" w:rsidRPr="008C6055">
        <w:t>confirmed</w:t>
      </w:r>
      <w:r w:rsidR="00F40711" w:rsidRPr="008C6055">
        <w:t xml:space="preserve"> CR or PR. DCR is defined as the percentage of patients with a RECIST </w:t>
      </w:r>
      <w:r>
        <w:t xml:space="preserve">version </w:t>
      </w:r>
      <w:r w:rsidR="00F40711" w:rsidRPr="008C6055">
        <w:t xml:space="preserve">1.1 </w:t>
      </w:r>
      <w:r w:rsidR="00A51754" w:rsidRPr="008C6055">
        <w:t>confirmed</w:t>
      </w:r>
      <w:r w:rsidR="00F40711" w:rsidRPr="008C6055">
        <w:t xml:space="preserve"> PR, confirmed CR, SD. Response assessments are based on blinded </w:t>
      </w:r>
      <w:r w:rsidR="00A51754" w:rsidRPr="008C6055">
        <w:t>independent</w:t>
      </w:r>
      <w:r w:rsidR="00F40711" w:rsidRPr="008C6055">
        <w:t xml:space="preserve"> central review (BICR).</w:t>
      </w:r>
    </w:p>
    <w:p w14:paraId="40A2B97E" w14:textId="19889838" w:rsidR="00A51754" w:rsidRPr="008C6055" w:rsidRDefault="00A51754" w:rsidP="008C6055">
      <w:pPr>
        <w:pStyle w:val="TableDescription"/>
      </w:pPr>
      <w:r w:rsidRPr="008C6055">
        <w:t xml:space="preserve">a </w:t>
      </w:r>
      <w:r w:rsidR="008C6055">
        <w:t>C</w:t>
      </w:r>
      <w:r w:rsidR="008C6055" w:rsidRPr="008C6055">
        <w:t xml:space="preserve">omplete response </w:t>
      </w:r>
      <w:r w:rsidR="008C6055">
        <w:t>(</w:t>
      </w:r>
      <w:r w:rsidRPr="008C6055">
        <w:t>CR</w:t>
      </w:r>
      <w:r w:rsidR="008C6055">
        <w:t>)</w:t>
      </w:r>
      <w:r w:rsidRPr="008C6055">
        <w:t xml:space="preserve">, PR, </w:t>
      </w:r>
      <w:proofErr w:type="gramStart"/>
      <w:r w:rsidRPr="008C6055">
        <w:t>SD</w:t>
      </w:r>
      <w:proofErr w:type="gramEnd"/>
      <w:r w:rsidRPr="008C6055">
        <w:t xml:space="preserve"> and PD.</w:t>
      </w:r>
    </w:p>
    <w:p w14:paraId="7D6B4AA3" w14:textId="71FB3195" w:rsidR="00A51754" w:rsidRPr="008C6055" w:rsidRDefault="00A51754" w:rsidP="008C6055">
      <w:pPr>
        <w:pStyle w:val="TableDescription"/>
      </w:pPr>
      <w:r w:rsidRPr="008C6055">
        <w:t>b Exact 2</w:t>
      </w:r>
      <w:r w:rsidR="008C6055">
        <w:t>-</w:t>
      </w:r>
      <w:r w:rsidRPr="008C6055">
        <w:t xml:space="preserve">sided 95% confidence interval for the binomial </w:t>
      </w:r>
      <w:proofErr w:type="spellStart"/>
      <w:r w:rsidRPr="008C6055">
        <w:t>propotion</w:t>
      </w:r>
      <w:proofErr w:type="spellEnd"/>
      <w:r w:rsidRPr="008C6055">
        <w:t>.</w:t>
      </w:r>
    </w:p>
    <w:p w14:paraId="328CD28C" w14:textId="26A69E54" w:rsidR="00A51754" w:rsidRPr="008C6055" w:rsidRDefault="00A51754" w:rsidP="008C6055">
      <w:pPr>
        <w:pStyle w:val="TableDescription"/>
      </w:pPr>
      <w:r w:rsidRPr="008C6055">
        <w:t xml:space="preserve">C </w:t>
      </w:r>
      <w:r w:rsidR="008C6055">
        <w:t>A</w:t>
      </w:r>
      <w:r w:rsidRPr="008C6055">
        <w:t>ll responders who have not yet died or progressed (including clinical progression), denominator for percentage is number of responders.</w:t>
      </w:r>
    </w:p>
    <w:p w14:paraId="33D4595D" w14:textId="0B43458B" w:rsidR="00A51754" w:rsidRPr="008C6055" w:rsidRDefault="00A51754" w:rsidP="008C6055">
      <w:pPr>
        <w:pStyle w:val="TableDescription"/>
      </w:pPr>
      <w:r w:rsidRPr="008C6055">
        <w:t>Data cut-off date: 1 March 2020.</w:t>
      </w:r>
    </w:p>
    <w:p w14:paraId="44F9947C" w14:textId="4E8C3B9E" w:rsidR="006365F2" w:rsidRPr="00655F66" w:rsidRDefault="006365F2" w:rsidP="006365F2">
      <w:r w:rsidRPr="00655F66">
        <w:t xml:space="preserve">The </w:t>
      </w:r>
      <w:r w:rsidR="00722DA2" w:rsidRPr="00655F66">
        <w:t xml:space="preserve">clinical </w:t>
      </w:r>
      <w:r w:rsidRPr="00655F66">
        <w:t xml:space="preserve">evaluator noted that MSH6 binds to MSH2 and PMS2 binds to MLH1, so if MSH2 or MSH1 is missing the specimen will not stain for it or its partner protein. Similarity across the subgroups by </w:t>
      </w:r>
      <w:r w:rsidR="004E1E83">
        <w:t>DNA mismatch repair</w:t>
      </w:r>
      <w:r w:rsidR="004E1E83" w:rsidRPr="00655F66">
        <w:t xml:space="preserve"> </w:t>
      </w:r>
      <w:r w:rsidRPr="00655F66">
        <w:t>deficient protein was noted, including the persistence in response in the responder analysis.</w:t>
      </w:r>
    </w:p>
    <w:p w14:paraId="35C242C6" w14:textId="57CF17B8" w:rsidR="006365F2" w:rsidRDefault="006365F2" w:rsidP="006365F2">
      <w:pPr>
        <w:pStyle w:val="Heading4"/>
      </w:pPr>
      <w:r w:rsidRPr="00655F66">
        <w:t>Safety</w:t>
      </w:r>
    </w:p>
    <w:p w14:paraId="004CBF5F" w14:textId="2923CDD2" w:rsidR="00B75E4C" w:rsidRPr="00821445" w:rsidRDefault="00B75E4C" w:rsidP="00ED51B1">
      <w:pPr>
        <w:pStyle w:val="Heading5"/>
      </w:pPr>
      <w:r>
        <w:t>Exposure</w:t>
      </w:r>
    </w:p>
    <w:p w14:paraId="238CC8ED" w14:textId="6A983CDC" w:rsidR="006365F2" w:rsidRPr="00655F66" w:rsidRDefault="006365F2" w:rsidP="006365F2">
      <w:r w:rsidRPr="00655F66">
        <w:t>Direct support for the safety of dostarlimab in the proposed population was derived from 129</w:t>
      </w:r>
      <w:r w:rsidR="00C45323" w:rsidRPr="00655F66">
        <w:t> </w:t>
      </w:r>
      <w:r w:rsidRPr="00655F66">
        <w:t>patients from Cohort A1. Overall, 515 patients have been exposed to at least one dose of dostarlimab at the recommended dose.</w:t>
      </w:r>
    </w:p>
    <w:p w14:paraId="6B04FD18" w14:textId="49E1D686" w:rsidR="006365F2" w:rsidRPr="00655F66" w:rsidRDefault="006365F2" w:rsidP="006365F2">
      <w:r w:rsidRPr="00655F66">
        <w:t>In the</w:t>
      </w:r>
      <w:r w:rsidR="00C95DB2">
        <w:t xml:space="preserve"> </w:t>
      </w:r>
      <w:r w:rsidR="00C95DB2" w:rsidRPr="00C95DB2">
        <w:t>Cohort A1</w:t>
      </w:r>
      <w:r w:rsidRPr="00655F66">
        <w:t xml:space="preserve"> safety set for the indication the median duration of exposure was 26</w:t>
      </w:r>
      <w:r w:rsidR="004727C6">
        <w:t>.0</w:t>
      </w:r>
      <w:r w:rsidR="00EC6AE3">
        <w:t> </w:t>
      </w:r>
      <w:r w:rsidRPr="00655F66">
        <w:t>weeks (range: 3</w:t>
      </w:r>
      <w:r w:rsidR="004727C6">
        <w:t>.0</w:t>
      </w:r>
      <w:r w:rsidRPr="00655F66">
        <w:t xml:space="preserve"> </w:t>
      </w:r>
      <w:r w:rsidR="00C45323" w:rsidRPr="00655F66">
        <w:t>to</w:t>
      </w:r>
      <w:r w:rsidRPr="00655F66">
        <w:t xml:space="preserve"> </w:t>
      </w:r>
      <w:r w:rsidR="00C95DB2">
        <w:t>138.9</w:t>
      </w:r>
      <w:r w:rsidRPr="00655F66">
        <w:t xml:space="preserve"> weeks). Only 35 patients (27.1%) had an exposure of </w:t>
      </w:r>
      <w:r w:rsidR="006D3D4D">
        <w:t xml:space="preserve">greater than </w:t>
      </w:r>
      <w:r w:rsidRPr="00655F66">
        <w:t>54 weeks, and 53.</w:t>
      </w:r>
      <w:r w:rsidR="00C95DB2">
        <w:t>5</w:t>
      </w:r>
      <w:r w:rsidRPr="00655F66">
        <w:t>% of the dostarlimab patients were exposed for between 19 and 24 weeks.</w:t>
      </w:r>
    </w:p>
    <w:p w14:paraId="396E691F" w14:textId="77EFC11F" w:rsidR="006365F2" w:rsidRDefault="006365F2" w:rsidP="006365F2">
      <w:r w:rsidRPr="00655F66">
        <w:t>Just over half of all participants</w:t>
      </w:r>
      <w:r w:rsidR="00986094">
        <w:t xml:space="preserve"> </w:t>
      </w:r>
      <w:r w:rsidRPr="00655F66">
        <w:t>had discontinued treatment, and approximately one</w:t>
      </w:r>
      <w:r w:rsidR="00C45323" w:rsidRPr="00655F66">
        <w:noBreakHyphen/>
      </w:r>
      <w:r w:rsidRPr="00655F66">
        <w:t>third had discontinued the study. The most common reason for treatment discontinuation was disease progression (38.0</w:t>
      </w:r>
      <w:r w:rsidR="00A35959">
        <w:t>%</w:t>
      </w:r>
      <w:r w:rsidRPr="00655F66">
        <w:t>), and the most common reason for study discontinuation was death (27.9%).</w:t>
      </w:r>
    </w:p>
    <w:p w14:paraId="576C6C1A" w14:textId="09FDBF83" w:rsidR="004E1E83" w:rsidRPr="00655F66" w:rsidRDefault="00B75E4C" w:rsidP="00ED51B1">
      <w:pPr>
        <w:pStyle w:val="Heading5"/>
      </w:pPr>
      <w:r>
        <w:lastRenderedPageBreak/>
        <w:t>Adverse events</w:t>
      </w:r>
    </w:p>
    <w:p w14:paraId="5BC39736" w14:textId="53791D0F" w:rsidR="006365F2" w:rsidRPr="00117AEB" w:rsidRDefault="006365F2" w:rsidP="00117AEB">
      <w:pPr>
        <w:pStyle w:val="TableTitle"/>
      </w:pPr>
      <w:r w:rsidRPr="00117AEB">
        <w:t xml:space="preserve">Table </w:t>
      </w:r>
      <w:r>
        <w:fldChar w:fldCharType="begin"/>
      </w:r>
      <w:r>
        <w:instrText>SEQ Table \* ARABIC</w:instrText>
      </w:r>
      <w:r>
        <w:fldChar w:fldCharType="separate"/>
      </w:r>
      <w:r w:rsidR="000A7290">
        <w:rPr>
          <w:noProof/>
        </w:rPr>
        <w:t>8</w:t>
      </w:r>
      <w:r>
        <w:fldChar w:fldCharType="end"/>
      </w:r>
      <w:r w:rsidR="00C45323" w:rsidRPr="00117AEB">
        <w:t xml:space="preserve">: </w:t>
      </w:r>
      <w:r w:rsidR="004E1E83">
        <w:t>Study 4010-01-001</w:t>
      </w:r>
      <w:r w:rsidR="004E1E83" w:rsidRPr="00117AEB">
        <w:t xml:space="preserve"> </w:t>
      </w:r>
      <w:r w:rsidR="004E1E83">
        <w:t>(</w:t>
      </w:r>
      <w:r w:rsidR="00BD5F0E" w:rsidRPr="00117AEB">
        <w:t>GARNET trial</w:t>
      </w:r>
      <w:r w:rsidR="004E1E83">
        <w:t>)</w:t>
      </w:r>
      <w:r w:rsidR="00BD5F0E" w:rsidRPr="00117AEB">
        <w:t xml:space="preserve"> </w:t>
      </w:r>
      <w:r w:rsidRPr="00117AEB">
        <w:t>Summary of safety information</w:t>
      </w:r>
    </w:p>
    <w:tbl>
      <w:tblPr>
        <w:tblStyle w:val="TableTGAblue"/>
        <w:tblpPr w:leftFromText="180" w:rightFromText="180" w:vertAnchor="text" w:tblpY="1"/>
        <w:tblW w:w="8779" w:type="dxa"/>
        <w:tblLayout w:type="fixed"/>
        <w:tblLook w:val="04A0" w:firstRow="1" w:lastRow="0" w:firstColumn="1" w:lastColumn="0" w:noHBand="0" w:noVBand="1"/>
      </w:tblPr>
      <w:tblGrid>
        <w:gridCol w:w="3959"/>
        <w:gridCol w:w="1701"/>
        <w:gridCol w:w="1560"/>
        <w:gridCol w:w="1559"/>
      </w:tblGrid>
      <w:tr w:rsidR="006365F2" w:rsidRPr="00655F66" w14:paraId="6B3B6F0E" w14:textId="77777777" w:rsidTr="00C45323">
        <w:trPr>
          <w:cnfStyle w:val="100000000000" w:firstRow="1" w:lastRow="0" w:firstColumn="0" w:lastColumn="0" w:oddVBand="0" w:evenVBand="0" w:oddHBand="0" w:evenHBand="0" w:firstRowFirstColumn="0" w:firstRowLastColumn="0" w:lastRowFirstColumn="0" w:lastRowLastColumn="0"/>
          <w:trHeight w:val="54"/>
        </w:trPr>
        <w:tc>
          <w:tcPr>
            <w:tcW w:w="3959" w:type="dxa"/>
          </w:tcPr>
          <w:p w14:paraId="798CE15C" w14:textId="77777777" w:rsidR="006365F2" w:rsidRPr="001A4C29" w:rsidRDefault="006365F2" w:rsidP="001A4C29">
            <w:pPr>
              <w:pStyle w:val="Tabletext"/>
              <w:ind w:left="0" w:right="0"/>
            </w:pPr>
          </w:p>
        </w:tc>
        <w:tc>
          <w:tcPr>
            <w:tcW w:w="1701" w:type="dxa"/>
          </w:tcPr>
          <w:p w14:paraId="2CAE7218" w14:textId="7E2466C1" w:rsidR="006365F2" w:rsidRPr="001A4C29" w:rsidRDefault="006365F2" w:rsidP="001A4C29">
            <w:pPr>
              <w:pStyle w:val="Tabletext"/>
              <w:ind w:left="0" w:right="0"/>
            </w:pPr>
            <w:proofErr w:type="spellStart"/>
            <w:r w:rsidRPr="001A4C29">
              <w:t>dMMR</w:t>
            </w:r>
            <w:proofErr w:type="spellEnd"/>
            <w:r w:rsidRPr="001A4C29">
              <w:t xml:space="preserve"> (n</w:t>
            </w:r>
            <w:r w:rsidR="00580F93">
              <w:t xml:space="preserve"> </w:t>
            </w:r>
            <w:r w:rsidRPr="001A4C29">
              <w:t>=</w:t>
            </w:r>
            <w:r w:rsidR="00580F93">
              <w:t xml:space="preserve"> </w:t>
            </w:r>
            <w:r w:rsidRPr="001A4C29">
              <w:t>126)</w:t>
            </w:r>
          </w:p>
        </w:tc>
        <w:tc>
          <w:tcPr>
            <w:tcW w:w="1560" w:type="dxa"/>
          </w:tcPr>
          <w:p w14:paraId="3B5BDD4F" w14:textId="796B3313" w:rsidR="006365F2" w:rsidRPr="001A4C29" w:rsidRDefault="006365F2" w:rsidP="001A4C29">
            <w:pPr>
              <w:pStyle w:val="Tabletext"/>
              <w:ind w:left="0" w:right="0"/>
            </w:pPr>
            <w:r w:rsidRPr="001A4C29">
              <w:t>MMR-un</w:t>
            </w:r>
            <w:r w:rsidR="00580F93">
              <w:t>known /</w:t>
            </w:r>
            <w:r w:rsidRPr="001A4C29">
              <w:t xml:space="preserve"> MSI-H (n</w:t>
            </w:r>
            <w:r w:rsidR="00580F93">
              <w:t xml:space="preserve"> </w:t>
            </w:r>
            <w:r w:rsidRPr="001A4C29">
              <w:t>=</w:t>
            </w:r>
            <w:r w:rsidR="00580F93">
              <w:t xml:space="preserve"> </w:t>
            </w:r>
            <w:r w:rsidRPr="001A4C29">
              <w:t>3)</w:t>
            </w:r>
          </w:p>
        </w:tc>
        <w:tc>
          <w:tcPr>
            <w:tcW w:w="1559" w:type="dxa"/>
          </w:tcPr>
          <w:p w14:paraId="4E45EA54" w14:textId="142DF95E" w:rsidR="006365F2" w:rsidRPr="001A4C29" w:rsidRDefault="006365F2" w:rsidP="001A4C29">
            <w:pPr>
              <w:pStyle w:val="Tabletext"/>
              <w:ind w:left="0" w:right="0"/>
            </w:pPr>
            <w:r w:rsidRPr="001A4C29">
              <w:t>Cohort A1 Total (n</w:t>
            </w:r>
            <w:r w:rsidR="00580F93">
              <w:t xml:space="preserve"> </w:t>
            </w:r>
            <w:r w:rsidRPr="001A4C29">
              <w:t>=</w:t>
            </w:r>
            <w:r w:rsidR="00580F93">
              <w:t xml:space="preserve"> </w:t>
            </w:r>
            <w:r w:rsidRPr="001A4C29">
              <w:t>129)</w:t>
            </w:r>
          </w:p>
        </w:tc>
      </w:tr>
      <w:tr w:rsidR="00580F93" w:rsidRPr="00655F66" w14:paraId="53968632" w14:textId="77777777" w:rsidTr="00656B04">
        <w:trPr>
          <w:trHeight w:val="269"/>
        </w:trPr>
        <w:tc>
          <w:tcPr>
            <w:tcW w:w="8779" w:type="dxa"/>
            <w:gridSpan w:val="4"/>
          </w:tcPr>
          <w:p w14:paraId="0FB95249" w14:textId="20936414" w:rsidR="00580F93" w:rsidRPr="0096397C" w:rsidRDefault="00580F93" w:rsidP="001A4C29">
            <w:pPr>
              <w:pStyle w:val="Tabletext"/>
              <w:ind w:left="0" w:right="0"/>
              <w:rPr>
                <w:b/>
              </w:rPr>
            </w:pPr>
            <w:r w:rsidRPr="0096397C">
              <w:rPr>
                <w:b/>
              </w:rPr>
              <w:t>Treatment-emergent adverse events</w:t>
            </w:r>
          </w:p>
        </w:tc>
      </w:tr>
      <w:tr w:rsidR="006365F2" w:rsidRPr="00655F66" w14:paraId="13BF78DD" w14:textId="77777777" w:rsidTr="00C45323">
        <w:trPr>
          <w:trHeight w:val="107"/>
        </w:trPr>
        <w:tc>
          <w:tcPr>
            <w:tcW w:w="3959" w:type="dxa"/>
          </w:tcPr>
          <w:p w14:paraId="50A71789" w14:textId="517316A0" w:rsidR="006365F2" w:rsidRPr="001A4C29" w:rsidRDefault="006365F2" w:rsidP="001A4C29">
            <w:pPr>
              <w:pStyle w:val="Tabletext"/>
              <w:ind w:left="0" w:right="0"/>
            </w:pPr>
            <w:bookmarkStart w:id="49" w:name="_Hlk84920558"/>
            <w:r w:rsidRPr="001A4C29">
              <w:t xml:space="preserve">Any </w:t>
            </w:r>
            <w:r w:rsidR="00580F93">
              <w:t>treatment-emergent adverse event</w:t>
            </w:r>
          </w:p>
        </w:tc>
        <w:tc>
          <w:tcPr>
            <w:tcW w:w="1701" w:type="dxa"/>
          </w:tcPr>
          <w:p w14:paraId="353EC7C6" w14:textId="77777777" w:rsidR="006365F2" w:rsidRPr="001A4C29" w:rsidRDefault="006365F2" w:rsidP="001A4C29">
            <w:pPr>
              <w:pStyle w:val="Tabletext"/>
              <w:ind w:left="0" w:right="0"/>
            </w:pPr>
            <w:r w:rsidRPr="001A4C29">
              <w:t xml:space="preserve">120 (95.2%) </w:t>
            </w:r>
          </w:p>
        </w:tc>
        <w:tc>
          <w:tcPr>
            <w:tcW w:w="1560" w:type="dxa"/>
          </w:tcPr>
          <w:p w14:paraId="4482CB13" w14:textId="77777777" w:rsidR="006365F2" w:rsidRPr="001A4C29" w:rsidRDefault="006365F2" w:rsidP="001A4C29">
            <w:pPr>
              <w:pStyle w:val="Tabletext"/>
              <w:ind w:left="0" w:right="0"/>
            </w:pPr>
            <w:r w:rsidRPr="001A4C29">
              <w:t>3 (100%)</w:t>
            </w:r>
          </w:p>
        </w:tc>
        <w:tc>
          <w:tcPr>
            <w:tcW w:w="1559" w:type="dxa"/>
          </w:tcPr>
          <w:p w14:paraId="68B57111" w14:textId="77777777" w:rsidR="006365F2" w:rsidRPr="001A4C29" w:rsidRDefault="006365F2" w:rsidP="001A4C29">
            <w:pPr>
              <w:pStyle w:val="Tabletext"/>
              <w:ind w:left="0" w:right="0"/>
            </w:pPr>
            <w:r w:rsidRPr="001A4C29">
              <w:t>123 (95.3%)</w:t>
            </w:r>
          </w:p>
        </w:tc>
      </w:tr>
      <w:bookmarkEnd w:id="49"/>
      <w:tr w:rsidR="00580F93" w:rsidRPr="00655F66" w14:paraId="48520A7E" w14:textId="77777777" w:rsidTr="0076537A">
        <w:trPr>
          <w:trHeight w:val="269"/>
        </w:trPr>
        <w:tc>
          <w:tcPr>
            <w:tcW w:w="8779" w:type="dxa"/>
            <w:gridSpan w:val="4"/>
          </w:tcPr>
          <w:p w14:paraId="2C80127D" w14:textId="702D29B3" w:rsidR="00580F93" w:rsidRPr="0096397C" w:rsidRDefault="00580F93" w:rsidP="001A4C29">
            <w:pPr>
              <w:pStyle w:val="Tabletext"/>
              <w:ind w:left="0" w:right="0"/>
              <w:rPr>
                <w:b/>
              </w:rPr>
            </w:pPr>
            <w:r w:rsidRPr="0096397C">
              <w:rPr>
                <w:b/>
              </w:rPr>
              <w:t>Most common adverse events in 10% or more of Cohort A1</w:t>
            </w:r>
          </w:p>
        </w:tc>
      </w:tr>
      <w:tr w:rsidR="006365F2" w:rsidRPr="00655F66" w14:paraId="47325E0B" w14:textId="77777777" w:rsidTr="00C45323">
        <w:trPr>
          <w:trHeight w:val="269"/>
        </w:trPr>
        <w:tc>
          <w:tcPr>
            <w:tcW w:w="3959" w:type="dxa"/>
          </w:tcPr>
          <w:p w14:paraId="0E696FC0" w14:textId="14EFDC83" w:rsidR="006365F2" w:rsidRPr="001A4C29" w:rsidRDefault="00F6419B" w:rsidP="001A4C29">
            <w:pPr>
              <w:pStyle w:val="Tabletext"/>
              <w:ind w:left="0" w:right="0"/>
            </w:pPr>
            <w:r w:rsidRPr="001A4C29">
              <w:t>N</w:t>
            </w:r>
            <w:r w:rsidR="006365F2" w:rsidRPr="001A4C29">
              <w:t>ausea</w:t>
            </w:r>
          </w:p>
        </w:tc>
        <w:tc>
          <w:tcPr>
            <w:tcW w:w="1701" w:type="dxa"/>
          </w:tcPr>
          <w:p w14:paraId="7DF0C268" w14:textId="77777777" w:rsidR="006365F2" w:rsidRPr="001A4C29" w:rsidRDefault="006365F2" w:rsidP="001A4C29">
            <w:pPr>
              <w:pStyle w:val="Tabletext"/>
              <w:ind w:left="0" w:right="0"/>
            </w:pPr>
            <w:r w:rsidRPr="001A4C29">
              <w:t>31.7%</w:t>
            </w:r>
          </w:p>
        </w:tc>
        <w:tc>
          <w:tcPr>
            <w:tcW w:w="1560" w:type="dxa"/>
          </w:tcPr>
          <w:p w14:paraId="185F0FB0" w14:textId="77777777" w:rsidR="006365F2" w:rsidRPr="001A4C29" w:rsidRDefault="006365F2" w:rsidP="001A4C29">
            <w:pPr>
              <w:pStyle w:val="Tabletext"/>
              <w:ind w:left="0" w:right="0"/>
            </w:pPr>
            <w:r w:rsidRPr="001A4C29">
              <w:t>66.7%</w:t>
            </w:r>
          </w:p>
        </w:tc>
        <w:tc>
          <w:tcPr>
            <w:tcW w:w="1559" w:type="dxa"/>
          </w:tcPr>
          <w:p w14:paraId="11E988D0" w14:textId="77777777" w:rsidR="006365F2" w:rsidRPr="001A4C29" w:rsidRDefault="006365F2" w:rsidP="001A4C29">
            <w:pPr>
              <w:pStyle w:val="Tabletext"/>
              <w:ind w:left="0" w:right="0"/>
            </w:pPr>
            <w:r w:rsidRPr="001A4C29">
              <w:t>32.6%</w:t>
            </w:r>
          </w:p>
        </w:tc>
      </w:tr>
      <w:tr w:rsidR="006365F2" w:rsidRPr="00655F66" w14:paraId="58814DB0" w14:textId="77777777" w:rsidTr="00C45323">
        <w:trPr>
          <w:trHeight w:val="269"/>
        </w:trPr>
        <w:tc>
          <w:tcPr>
            <w:tcW w:w="3959" w:type="dxa"/>
          </w:tcPr>
          <w:p w14:paraId="724E9499" w14:textId="5CE7D07D" w:rsidR="006365F2" w:rsidRPr="001A4C29" w:rsidRDefault="00F6419B" w:rsidP="001A4C29">
            <w:pPr>
              <w:pStyle w:val="Tabletext"/>
              <w:ind w:left="0" w:right="0"/>
            </w:pPr>
            <w:r w:rsidRPr="001A4C29">
              <w:t>D</w:t>
            </w:r>
            <w:r w:rsidR="006365F2" w:rsidRPr="001A4C29">
              <w:t>iarrhoea</w:t>
            </w:r>
          </w:p>
        </w:tc>
        <w:tc>
          <w:tcPr>
            <w:tcW w:w="1701" w:type="dxa"/>
          </w:tcPr>
          <w:p w14:paraId="4BA7B229" w14:textId="77777777" w:rsidR="006365F2" w:rsidRPr="001A4C29" w:rsidRDefault="006365F2" w:rsidP="001A4C29">
            <w:pPr>
              <w:pStyle w:val="Tabletext"/>
              <w:ind w:left="0" w:right="0"/>
            </w:pPr>
            <w:r w:rsidRPr="001A4C29">
              <w:t>27.8%</w:t>
            </w:r>
          </w:p>
        </w:tc>
        <w:tc>
          <w:tcPr>
            <w:tcW w:w="1560" w:type="dxa"/>
          </w:tcPr>
          <w:p w14:paraId="7B6A9D0B" w14:textId="77777777" w:rsidR="006365F2" w:rsidRPr="001A4C29" w:rsidRDefault="006365F2" w:rsidP="001A4C29">
            <w:pPr>
              <w:pStyle w:val="Tabletext"/>
              <w:ind w:left="0" w:right="0"/>
            </w:pPr>
            <w:r w:rsidRPr="001A4C29">
              <w:t>33.3%</w:t>
            </w:r>
          </w:p>
        </w:tc>
        <w:tc>
          <w:tcPr>
            <w:tcW w:w="1559" w:type="dxa"/>
          </w:tcPr>
          <w:p w14:paraId="44179A25" w14:textId="77777777" w:rsidR="006365F2" w:rsidRPr="001A4C29" w:rsidRDefault="006365F2" w:rsidP="001A4C29">
            <w:pPr>
              <w:pStyle w:val="Tabletext"/>
              <w:ind w:left="0" w:right="0"/>
            </w:pPr>
            <w:r w:rsidRPr="001A4C29">
              <w:t>27.9%</w:t>
            </w:r>
          </w:p>
        </w:tc>
      </w:tr>
      <w:tr w:rsidR="006365F2" w:rsidRPr="00655F66" w14:paraId="1F479888" w14:textId="77777777" w:rsidTr="00C45323">
        <w:trPr>
          <w:trHeight w:val="269"/>
        </w:trPr>
        <w:tc>
          <w:tcPr>
            <w:tcW w:w="3959" w:type="dxa"/>
          </w:tcPr>
          <w:p w14:paraId="738E4761" w14:textId="7B50AD32" w:rsidR="006365F2" w:rsidRPr="001A4C29" w:rsidRDefault="00F6419B" w:rsidP="001A4C29">
            <w:pPr>
              <w:pStyle w:val="Tabletext"/>
              <w:ind w:left="0" w:right="0"/>
            </w:pPr>
            <w:r w:rsidRPr="001A4C29">
              <w:t>A</w:t>
            </w:r>
            <w:r w:rsidR="006365F2" w:rsidRPr="001A4C29">
              <w:t>naemia</w:t>
            </w:r>
          </w:p>
        </w:tc>
        <w:tc>
          <w:tcPr>
            <w:tcW w:w="1701" w:type="dxa"/>
          </w:tcPr>
          <w:p w14:paraId="34554A67" w14:textId="77777777" w:rsidR="006365F2" w:rsidRPr="001A4C29" w:rsidRDefault="006365F2" w:rsidP="001A4C29">
            <w:pPr>
              <w:pStyle w:val="Tabletext"/>
              <w:ind w:left="0" w:right="0"/>
            </w:pPr>
            <w:r w:rsidRPr="001A4C29">
              <w:t>27.8%</w:t>
            </w:r>
          </w:p>
        </w:tc>
        <w:tc>
          <w:tcPr>
            <w:tcW w:w="1560" w:type="dxa"/>
          </w:tcPr>
          <w:p w14:paraId="47141621" w14:textId="77777777" w:rsidR="006365F2" w:rsidRPr="001A4C29" w:rsidRDefault="006365F2" w:rsidP="001A4C29">
            <w:pPr>
              <w:pStyle w:val="Tabletext"/>
              <w:ind w:left="0" w:right="0"/>
            </w:pPr>
            <w:r w:rsidRPr="001A4C29">
              <w:t>0</w:t>
            </w:r>
          </w:p>
        </w:tc>
        <w:tc>
          <w:tcPr>
            <w:tcW w:w="1559" w:type="dxa"/>
          </w:tcPr>
          <w:p w14:paraId="68A1B91E" w14:textId="77777777" w:rsidR="006365F2" w:rsidRPr="001A4C29" w:rsidRDefault="006365F2" w:rsidP="001A4C29">
            <w:pPr>
              <w:pStyle w:val="Tabletext"/>
              <w:ind w:left="0" w:right="0"/>
            </w:pPr>
            <w:r w:rsidRPr="001A4C29">
              <w:t>27.1%</w:t>
            </w:r>
          </w:p>
        </w:tc>
      </w:tr>
      <w:tr w:rsidR="006365F2" w:rsidRPr="00655F66" w14:paraId="6BAC9B81" w14:textId="77777777" w:rsidTr="00C45323">
        <w:trPr>
          <w:trHeight w:val="269"/>
        </w:trPr>
        <w:tc>
          <w:tcPr>
            <w:tcW w:w="3959" w:type="dxa"/>
          </w:tcPr>
          <w:p w14:paraId="18B34AB6" w14:textId="631DBF49" w:rsidR="006365F2" w:rsidRPr="001A4C29" w:rsidRDefault="00F6419B" w:rsidP="001A4C29">
            <w:pPr>
              <w:pStyle w:val="Tabletext"/>
              <w:ind w:left="0" w:right="0"/>
            </w:pPr>
            <w:r w:rsidRPr="001A4C29">
              <w:t>F</w:t>
            </w:r>
            <w:r w:rsidR="006365F2" w:rsidRPr="001A4C29">
              <w:t>atigue</w:t>
            </w:r>
          </w:p>
        </w:tc>
        <w:tc>
          <w:tcPr>
            <w:tcW w:w="1701" w:type="dxa"/>
          </w:tcPr>
          <w:p w14:paraId="3145EF86" w14:textId="77777777" w:rsidR="006365F2" w:rsidRPr="001A4C29" w:rsidRDefault="006365F2" w:rsidP="001A4C29">
            <w:pPr>
              <w:pStyle w:val="Tabletext"/>
              <w:ind w:left="0" w:right="0"/>
            </w:pPr>
            <w:r w:rsidRPr="001A4C29">
              <w:t>24.6%</w:t>
            </w:r>
          </w:p>
        </w:tc>
        <w:tc>
          <w:tcPr>
            <w:tcW w:w="1560" w:type="dxa"/>
          </w:tcPr>
          <w:p w14:paraId="6302C57D" w14:textId="77777777" w:rsidR="006365F2" w:rsidRPr="001A4C29" w:rsidRDefault="006365F2" w:rsidP="001A4C29">
            <w:pPr>
              <w:pStyle w:val="Tabletext"/>
              <w:ind w:left="0" w:right="0"/>
            </w:pPr>
            <w:r w:rsidRPr="001A4C29">
              <w:t>33.3%</w:t>
            </w:r>
          </w:p>
        </w:tc>
        <w:tc>
          <w:tcPr>
            <w:tcW w:w="1559" w:type="dxa"/>
          </w:tcPr>
          <w:p w14:paraId="7C5F3621" w14:textId="77777777" w:rsidR="006365F2" w:rsidRPr="001A4C29" w:rsidRDefault="006365F2" w:rsidP="001A4C29">
            <w:pPr>
              <w:pStyle w:val="Tabletext"/>
              <w:ind w:left="0" w:right="0"/>
            </w:pPr>
            <w:r w:rsidRPr="001A4C29">
              <w:t>24.8%</w:t>
            </w:r>
          </w:p>
        </w:tc>
      </w:tr>
      <w:tr w:rsidR="006365F2" w:rsidRPr="00655F66" w14:paraId="7D2EE42E" w14:textId="77777777" w:rsidTr="00C45323">
        <w:trPr>
          <w:trHeight w:val="269"/>
        </w:trPr>
        <w:tc>
          <w:tcPr>
            <w:tcW w:w="3959" w:type="dxa"/>
          </w:tcPr>
          <w:p w14:paraId="57D68618" w14:textId="69EC62F1" w:rsidR="006365F2" w:rsidRPr="001A4C29" w:rsidRDefault="00F6419B" w:rsidP="001A4C29">
            <w:pPr>
              <w:pStyle w:val="Tabletext"/>
              <w:ind w:left="0" w:right="0"/>
            </w:pPr>
            <w:r w:rsidRPr="001A4C29">
              <w:t>A</w:t>
            </w:r>
            <w:r w:rsidR="006365F2" w:rsidRPr="001A4C29">
              <w:t>sthenia</w:t>
            </w:r>
          </w:p>
        </w:tc>
        <w:tc>
          <w:tcPr>
            <w:tcW w:w="1701" w:type="dxa"/>
          </w:tcPr>
          <w:p w14:paraId="5BE325A7" w14:textId="77777777" w:rsidR="006365F2" w:rsidRPr="001A4C29" w:rsidRDefault="006365F2" w:rsidP="001A4C29">
            <w:pPr>
              <w:pStyle w:val="Tabletext"/>
              <w:ind w:left="0" w:right="0"/>
            </w:pPr>
            <w:r w:rsidRPr="001A4C29">
              <w:t>22.2%</w:t>
            </w:r>
          </w:p>
        </w:tc>
        <w:tc>
          <w:tcPr>
            <w:tcW w:w="1560" w:type="dxa"/>
          </w:tcPr>
          <w:p w14:paraId="342856D4" w14:textId="77777777" w:rsidR="006365F2" w:rsidRPr="001A4C29" w:rsidRDefault="006365F2" w:rsidP="001A4C29">
            <w:pPr>
              <w:pStyle w:val="Tabletext"/>
              <w:ind w:left="0" w:right="0"/>
            </w:pPr>
            <w:r w:rsidRPr="001A4C29">
              <w:t>0</w:t>
            </w:r>
          </w:p>
        </w:tc>
        <w:tc>
          <w:tcPr>
            <w:tcW w:w="1559" w:type="dxa"/>
          </w:tcPr>
          <w:p w14:paraId="0A97D0B8" w14:textId="77777777" w:rsidR="006365F2" w:rsidRPr="001A4C29" w:rsidRDefault="006365F2" w:rsidP="001A4C29">
            <w:pPr>
              <w:pStyle w:val="Tabletext"/>
              <w:ind w:left="0" w:right="0"/>
            </w:pPr>
            <w:r w:rsidRPr="001A4C29">
              <w:t>21.7%</w:t>
            </w:r>
          </w:p>
        </w:tc>
      </w:tr>
      <w:tr w:rsidR="006365F2" w:rsidRPr="00655F66" w14:paraId="7A0B40CF" w14:textId="77777777" w:rsidTr="00C45323">
        <w:trPr>
          <w:trHeight w:val="269"/>
        </w:trPr>
        <w:tc>
          <w:tcPr>
            <w:tcW w:w="3959" w:type="dxa"/>
          </w:tcPr>
          <w:p w14:paraId="0AF4A18A" w14:textId="4F7011C8" w:rsidR="006365F2" w:rsidRPr="001A4C29" w:rsidRDefault="00F6419B" w:rsidP="001A4C29">
            <w:pPr>
              <w:pStyle w:val="Tabletext"/>
              <w:ind w:left="0" w:right="0"/>
            </w:pPr>
            <w:r w:rsidRPr="001A4C29">
              <w:t>C</w:t>
            </w:r>
            <w:r w:rsidR="006365F2" w:rsidRPr="001A4C29">
              <w:t>onstipation</w:t>
            </w:r>
          </w:p>
        </w:tc>
        <w:tc>
          <w:tcPr>
            <w:tcW w:w="1701" w:type="dxa"/>
          </w:tcPr>
          <w:p w14:paraId="65E5E31A" w14:textId="77777777" w:rsidR="006365F2" w:rsidRPr="001A4C29" w:rsidRDefault="006365F2" w:rsidP="001A4C29">
            <w:pPr>
              <w:pStyle w:val="Tabletext"/>
              <w:ind w:left="0" w:right="0"/>
            </w:pPr>
            <w:r w:rsidRPr="001A4C29">
              <w:t>19.8%</w:t>
            </w:r>
          </w:p>
        </w:tc>
        <w:tc>
          <w:tcPr>
            <w:tcW w:w="1560" w:type="dxa"/>
          </w:tcPr>
          <w:p w14:paraId="3F465096" w14:textId="77777777" w:rsidR="006365F2" w:rsidRPr="001A4C29" w:rsidRDefault="006365F2" w:rsidP="001A4C29">
            <w:pPr>
              <w:pStyle w:val="Tabletext"/>
              <w:ind w:left="0" w:right="0"/>
            </w:pPr>
            <w:r w:rsidRPr="001A4C29">
              <w:t>0</w:t>
            </w:r>
          </w:p>
        </w:tc>
        <w:tc>
          <w:tcPr>
            <w:tcW w:w="1559" w:type="dxa"/>
          </w:tcPr>
          <w:p w14:paraId="078E52CD" w14:textId="77777777" w:rsidR="006365F2" w:rsidRPr="001A4C29" w:rsidRDefault="006365F2" w:rsidP="001A4C29">
            <w:pPr>
              <w:pStyle w:val="Tabletext"/>
              <w:ind w:left="0" w:right="0"/>
            </w:pPr>
            <w:r w:rsidRPr="001A4C29">
              <w:t>19.4%</w:t>
            </w:r>
          </w:p>
        </w:tc>
      </w:tr>
      <w:tr w:rsidR="006365F2" w:rsidRPr="00655F66" w14:paraId="78BD909A" w14:textId="77777777" w:rsidTr="00C45323">
        <w:trPr>
          <w:trHeight w:val="269"/>
        </w:trPr>
        <w:tc>
          <w:tcPr>
            <w:tcW w:w="3959" w:type="dxa"/>
          </w:tcPr>
          <w:p w14:paraId="1CC24A33" w14:textId="1E0C9A27" w:rsidR="006365F2" w:rsidRPr="001A4C29" w:rsidRDefault="00F6419B" w:rsidP="001A4C29">
            <w:pPr>
              <w:pStyle w:val="Tabletext"/>
              <w:ind w:left="0" w:right="0"/>
            </w:pPr>
            <w:r w:rsidRPr="001A4C29">
              <w:t>V</w:t>
            </w:r>
            <w:r w:rsidR="006365F2" w:rsidRPr="001A4C29">
              <w:t>omiting</w:t>
            </w:r>
          </w:p>
        </w:tc>
        <w:tc>
          <w:tcPr>
            <w:tcW w:w="1701" w:type="dxa"/>
          </w:tcPr>
          <w:p w14:paraId="64A549E3" w14:textId="77777777" w:rsidR="006365F2" w:rsidRPr="001A4C29" w:rsidRDefault="006365F2" w:rsidP="001A4C29">
            <w:pPr>
              <w:pStyle w:val="Tabletext"/>
              <w:ind w:left="0" w:right="0"/>
            </w:pPr>
            <w:r w:rsidRPr="001A4C29">
              <w:t>19.0%</w:t>
            </w:r>
          </w:p>
        </w:tc>
        <w:tc>
          <w:tcPr>
            <w:tcW w:w="1560" w:type="dxa"/>
          </w:tcPr>
          <w:p w14:paraId="34106E9E" w14:textId="77777777" w:rsidR="006365F2" w:rsidRPr="001A4C29" w:rsidRDefault="006365F2" w:rsidP="001A4C29">
            <w:pPr>
              <w:pStyle w:val="Tabletext"/>
              <w:ind w:left="0" w:right="0"/>
            </w:pPr>
            <w:r w:rsidRPr="001A4C29">
              <w:t>0</w:t>
            </w:r>
          </w:p>
        </w:tc>
        <w:tc>
          <w:tcPr>
            <w:tcW w:w="1559" w:type="dxa"/>
          </w:tcPr>
          <w:p w14:paraId="7570857A" w14:textId="77777777" w:rsidR="006365F2" w:rsidRPr="001A4C29" w:rsidRDefault="006365F2" w:rsidP="001A4C29">
            <w:pPr>
              <w:pStyle w:val="Tabletext"/>
              <w:ind w:left="0" w:right="0"/>
            </w:pPr>
            <w:r w:rsidRPr="001A4C29">
              <w:t>18.6%</w:t>
            </w:r>
          </w:p>
        </w:tc>
      </w:tr>
      <w:tr w:rsidR="006365F2" w:rsidRPr="00655F66" w14:paraId="1C78CB67" w14:textId="77777777" w:rsidTr="00C45323">
        <w:trPr>
          <w:trHeight w:val="269"/>
        </w:trPr>
        <w:tc>
          <w:tcPr>
            <w:tcW w:w="3959" w:type="dxa"/>
          </w:tcPr>
          <w:p w14:paraId="1B616ABE" w14:textId="7C7D384B" w:rsidR="006365F2" w:rsidRPr="001A4C29" w:rsidRDefault="00580F93" w:rsidP="001A4C29">
            <w:pPr>
              <w:pStyle w:val="Tabletext"/>
              <w:ind w:left="0" w:right="0"/>
            </w:pPr>
            <w:r>
              <w:t>A</w:t>
            </w:r>
            <w:r w:rsidR="006365F2" w:rsidRPr="001A4C29">
              <w:t>bdominal pain</w:t>
            </w:r>
          </w:p>
        </w:tc>
        <w:tc>
          <w:tcPr>
            <w:tcW w:w="1701" w:type="dxa"/>
          </w:tcPr>
          <w:p w14:paraId="0348CC2D" w14:textId="77777777" w:rsidR="006365F2" w:rsidRPr="001A4C29" w:rsidRDefault="006365F2" w:rsidP="001A4C29">
            <w:pPr>
              <w:pStyle w:val="Tabletext"/>
              <w:ind w:left="0" w:right="0"/>
            </w:pPr>
            <w:r w:rsidRPr="001A4C29">
              <w:t>16.7%</w:t>
            </w:r>
          </w:p>
        </w:tc>
        <w:tc>
          <w:tcPr>
            <w:tcW w:w="1560" w:type="dxa"/>
          </w:tcPr>
          <w:p w14:paraId="1ACD82F6" w14:textId="77777777" w:rsidR="006365F2" w:rsidRPr="001A4C29" w:rsidRDefault="006365F2" w:rsidP="001A4C29">
            <w:pPr>
              <w:pStyle w:val="Tabletext"/>
              <w:ind w:left="0" w:right="0"/>
            </w:pPr>
            <w:r w:rsidRPr="001A4C29">
              <w:t>0</w:t>
            </w:r>
          </w:p>
        </w:tc>
        <w:tc>
          <w:tcPr>
            <w:tcW w:w="1559" w:type="dxa"/>
          </w:tcPr>
          <w:p w14:paraId="5925DC14" w14:textId="77777777" w:rsidR="006365F2" w:rsidRPr="001A4C29" w:rsidRDefault="006365F2" w:rsidP="001A4C29">
            <w:pPr>
              <w:pStyle w:val="Tabletext"/>
              <w:ind w:left="0" w:right="0"/>
            </w:pPr>
            <w:r w:rsidRPr="001A4C29">
              <w:t>16.3%</w:t>
            </w:r>
          </w:p>
        </w:tc>
      </w:tr>
      <w:tr w:rsidR="006365F2" w:rsidRPr="00655F66" w14:paraId="7ED23723" w14:textId="77777777" w:rsidTr="00C45323">
        <w:trPr>
          <w:trHeight w:val="269"/>
        </w:trPr>
        <w:tc>
          <w:tcPr>
            <w:tcW w:w="3959" w:type="dxa"/>
          </w:tcPr>
          <w:p w14:paraId="611FE39E" w14:textId="2FE65789" w:rsidR="006365F2" w:rsidRPr="001A4C29" w:rsidRDefault="00F6419B" w:rsidP="001A4C29">
            <w:pPr>
              <w:pStyle w:val="Tabletext"/>
              <w:ind w:left="0" w:right="0"/>
            </w:pPr>
            <w:r w:rsidRPr="001A4C29">
              <w:t>C</w:t>
            </w:r>
            <w:r w:rsidR="006365F2" w:rsidRPr="001A4C29">
              <w:t>ough</w:t>
            </w:r>
          </w:p>
        </w:tc>
        <w:tc>
          <w:tcPr>
            <w:tcW w:w="1701" w:type="dxa"/>
          </w:tcPr>
          <w:p w14:paraId="1F6BFCE4" w14:textId="77777777" w:rsidR="006365F2" w:rsidRPr="001A4C29" w:rsidRDefault="006365F2" w:rsidP="001A4C29">
            <w:pPr>
              <w:pStyle w:val="Tabletext"/>
              <w:ind w:left="0" w:right="0"/>
            </w:pPr>
            <w:r w:rsidRPr="001A4C29">
              <w:t>15.1%</w:t>
            </w:r>
          </w:p>
        </w:tc>
        <w:tc>
          <w:tcPr>
            <w:tcW w:w="1560" w:type="dxa"/>
          </w:tcPr>
          <w:p w14:paraId="0CD17E2A" w14:textId="77777777" w:rsidR="006365F2" w:rsidRPr="001A4C29" w:rsidRDefault="006365F2" w:rsidP="001A4C29">
            <w:pPr>
              <w:pStyle w:val="Tabletext"/>
              <w:ind w:left="0" w:right="0"/>
            </w:pPr>
            <w:r w:rsidRPr="001A4C29">
              <w:t>66.7%</w:t>
            </w:r>
          </w:p>
        </w:tc>
        <w:tc>
          <w:tcPr>
            <w:tcW w:w="1559" w:type="dxa"/>
          </w:tcPr>
          <w:p w14:paraId="5BE1C1BC" w14:textId="77777777" w:rsidR="006365F2" w:rsidRPr="001A4C29" w:rsidRDefault="006365F2" w:rsidP="001A4C29">
            <w:pPr>
              <w:pStyle w:val="Tabletext"/>
              <w:ind w:left="0" w:right="0"/>
            </w:pPr>
            <w:r w:rsidRPr="001A4C29">
              <w:t>16.3%</w:t>
            </w:r>
          </w:p>
        </w:tc>
      </w:tr>
      <w:tr w:rsidR="006365F2" w:rsidRPr="00655F66" w14:paraId="627248A1" w14:textId="77777777" w:rsidTr="00C45323">
        <w:trPr>
          <w:trHeight w:val="269"/>
        </w:trPr>
        <w:tc>
          <w:tcPr>
            <w:tcW w:w="3959" w:type="dxa"/>
          </w:tcPr>
          <w:p w14:paraId="619A44DB" w14:textId="0FFD43B8" w:rsidR="006365F2" w:rsidRPr="001A4C29" w:rsidRDefault="00F6419B" w:rsidP="001A4C29">
            <w:pPr>
              <w:pStyle w:val="Tabletext"/>
              <w:ind w:left="0" w:right="0"/>
            </w:pPr>
            <w:r w:rsidRPr="001A4C29">
              <w:t>A</w:t>
            </w:r>
            <w:r w:rsidR="006365F2" w:rsidRPr="001A4C29">
              <w:t>rthralgia</w:t>
            </w:r>
          </w:p>
        </w:tc>
        <w:tc>
          <w:tcPr>
            <w:tcW w:w="1701" w:type="dxa"/>
          </w:tcPr>
          <w:p w14:paraId="76506B3C" w14:textId="77777777" w:rsidR="006365F2" w:rsidRPr="001A4C29" w:rsidRDefault="006365F2" w:rsidP="001A4C29">
            <w:pPr>
              <w:pStyle w:val="Tabletext"/>
              <w:ind w:left="0" w:right="0"/>
            </w:pPr>
            <w:r w:rsidRPr="001A4C29">
              <w:t>14.3%</w:t>
            </w:r>
          </w:p>
        </w:tc>
        <w:tc>
          <w:tcPr>
            <w:tcW w:w="1560" w:type="dxa"/>
          </w:tcPr>
          <w:p w14:paraId="062EC94C" w14:textId="77777777" w:rsidR="006365F2" w:rsidRPr="001A4C29" w:rsidRDefault="006365F2" w:rsidP="001A4C29">
            <w:pPr>
              <w:pStyle w:val="Tabletext"/>
              <w:ind w:left="0" w:right="0"/>
            </w:pPr>
            <w:r w:rsidRPr="001A4C29">
              <w:t>66.7%</w:t>
            </w:r>
          </w:p>
        </w:tc>
        <w:tc>
          <w:tcPr>
            <w:tcW w:w="1559" w:type="dxa"/>
          </w:tcPr>
          <w:p w14:paraId="4BED1CAF" w14:textId="77777777" w:rsidR="006365F2" w:rsidRPr="001A4C29" w:rsidRDefault="006365F2" w:rsidP="001A4C29">
            <w:pPr>
              <w:pStyle w:val="Tabletext"/>
              <w:ind w:left="0" w:right="0"/>
            </w:pPr>
            <w:r w:rsidRPr="001A4C29">
              <w:t>15.5%</w:t>
            </w:r>
          </w:p>
        </w:tc>
      </w:tr>
      <w:tr w:rsidR="006365F2" w:rsidRPr="00655F66" w14:paraId="34E0A7A1" w14:textId="77777777" w:rsidTr="00C45323">
        <w:trPr>
          <w:trHeight w:val="269"/>
        </w:trPr>
        <w:tc>
          <w:tcPr>
            <w:tcW w:w="3959" w:type="dxa"/>
          </w:tcPr>
          <w:p w14:paraId="55592746" w14:textId="6AE59C0A" w:rsidR="006365F2" w:rsidRPr="001A4C29" w:rsidRDefault="00580F93" w:rsidP="001A4C29">
            <w:pPr>
              <w:pStyle w:val="Tabletext"/>
              <w:ind w:left="0" w:right="0"/>
            </w:pPr>
            <w:r>
              <w:t>U</w:t>
            </w:r>
            <w:r w:rsidR="006365F2" w:rsidRPr="001A4C29">
              <w:t>rinary tract infection</w:t>
            </w:r>
          </w:p>
        </w:tc>
        <w:tc>
          <w:tcPr>
            <w:tcW w:w="1701" w:type="dxa"/>
          </w:tcPr>
          <w:p w14:paraId="584479A7" w14:textId="77777777" w:rsidR="006365F2" w:rsidRPr="001A4C29" w:rsidRDefault="006365F2" w:rsidP="001A4C29">
            <w:pPr>
              <w:pStyle w:val="Tabletext"/>
              <w:ind w:left="0" w:right="0"/>
            </w:pPr>
            <w:r w:rsidRPr="001A4C29">
              <w:t>15.1%</w:t>
            </w:r>
          </w:p>
        </w:tc>
        <w:tc>
          <w:tcPr>
            <w:tcW w:w="1560" w:type="dxa"/>
          </w:tcPr>
          <w:p w14:paraId="55FBD19C" w14:textId="77777777" w:rsidR="006365F2" w:rsidRPr="001A4C29" w:rsidRDefault="006365F2" w:rsidP="001A4C29">
            <w:pPr>
              <w:pStyle w:val="Tabletext"/>
              <w:ind w:left="0" w:right="0"/>
            </w:pPr>
            <w:r w:rsidRPr="001A4C29">
              <w:t>33.3%</w:t>
            </w:r>
          </w:p>
        </w:tc>
        <w:tc>
          <w:tcPr>
            <w:tcW w:w="1559" w:type="dxa"/>
          </w:tcPr>
          <w:p w14:paraId="38A534A0" w14:textId="77777777" w:rsidR="006365F2" w:rsidRPr="001A4C29" w:rsidRDefault="006365F2" w:rsidP="001A4C29">
            <w:pPr>
              <w:pStyle w:val="Tabletext"/>
              <w:ind w:left="0" w:right="0"/>
            </w:pPr>
            <w:r w:rsidRPr="001A4C29">
              <w:t>15.5%</w:t>
            </w:r>
          </w:p>
        </w:tc>
      </w:tr>
      <w:tr w:rsidR="006365F2" w:rsidRPr="00655F66" w14:paraId="72526ECF" w14:textId="77777777" w:rsidTr="00C45323">
        <w:trPr>
          <w:trHeight w:val="269"/>
        </w:trPr>
        <w:tc>
          <w:tcPr>
            <w:tcW w:w="3959" w:type="dxa"/>
          </w:tcPr>
          <w:p w14:paraId="298BAC99" w14:textId="05A02326" w:rsidR="006365F2" w:rsidRPr="001A4C29" w:rsidRDefault="00580F93" w:rsidP="001A4C29">
            <w:pPr>
              <w:pStyle w:val="Tabletext"/>
              <w:ind w:left="0" w:right="0"/>
            </w:pPr>
            <w:r>
              <w:t>B</w:t>
            </w:r>
            <w:r w:rsidR="006365F2" w:rsidRPr="001A4C29">
              <w:t>ack pain</w:t>
            </w:r>
          </w:p>
        </w:tc>
        <w:tc>
          <w:tcPr>
            <w:tcW w:w="1701" w:type="dxa"/>
          </w:tcPr>
          <w:p w14:paraId="6E692CA4" w14:textId="77777777" w:rsidR="006365F2" w:rsidRPr="001A4C29" w:rsidRDefault="006365F2" w:rsidP="001A4C29">
            <w:pPr>
              <w:pStyle w:val="Tabletext"/>
              <w:ind w:left="0" w:right="0"/>
            </w:pPr>
            <w:r w:rsidRPr="001A4C29">
              <w:t>15.1%</w:t>
            </w:r>
          </w:p>
        </w:tc>
        <w:tc>
          <w:tcPr>
            <w:tcW w:w="1560" w:type="dxa"/>
          </w:tcPr>
          <w:p w14:paraId="53E27F38" w14:textId="77777777" w:rsidR="006365F2" w:rsidRPr="001A4C29" w:rsidRDefault="006365F2" w:rsidP="001A4C29">
            <w:pPr>
              <w:pStyle w:val="Tabletext"/>
              <w:ind w:left="0" w:right="0"/>
            </w:pPr>
            <w:r w:rsidRPr="001A4C29">
              <w:t>0</w:t>
            </w:r>
          </w:p>
        </w:tc>
        <w:tc>
          <w:tcPr>
            <w:tcW w:w="1559" w:type="dxa"/>
          </w:tcPr>
          <w:p w14:paraId="33377A0F" w14:textId="77777777" w:rsidR="006365F2" w:rsidRPr="001A4C29" w:rsidRDefault="006365F2" w:rsidP="001A4C29">
            <w:pPr>
              <w:pStyle w:val="Tabletext"/>
              <w:ind w:left="0" w:right="0"/>
            </w:pPr>
            <w:r w:rsidRPr="001A4C29">
              <w:t>14.7%</w:t>
            </w:r>
          </w:p>
        </w:tc>
      </w:tr>
      <w:tr w:rsidR="006365F2" w:rsidRPr="00655F66" w14:paraId="3ED23965" w14:textId="77777777" w:rsidTr="00C45323">
        <w:trPr>
          <w:trHeight w:val="269"/>
        </w:trPr>
        <w:tc>
          <w:tcPr>
            <w:tcW w:w="3959" w:type="dxa"/>
          </w:tcPr>
          <w:p w14:paraId="5F71E17A" w14:textId="624E6622" w:rsidR="006365F2" w:rsidRPr="001A4C29" w:rsidRDefault="00F6419B" w:rsidP="001A4C29">
            <w:pPr>
              <w:pStyle w:val="Tabletext"/>
              <w:ind w:left="0" w:right="0"/>
            </w:pPr>
            <w:r w:rsidRPr="001A4C29">
              <w:t>P</w:t>
            </w:r>
            <w:r w:rsidR="006365F2" w:rsidRPr="001A4C29">
              <w:t>ruritus</w:t>
            </w:r>
          </w:p>
        </w:tc>
        <w:tc>
          <w:tcPr>
            <w:tcW w:w="1701" w:type="dxa"/>
          </w:tcPr>
          <w:p w14:paraId="2EE3DCEA" w14:textId="77777777" w:rsidR="006365F2" w:rsidRPr="001A4C29" w:rsidRDefault="006365F2" w:rsidP="001A4C29">
            <w:pPr>
              <w:pStyle w:val="Tabletext"/>
              <w:ind w:left="0" w:right="0"/>
            </w:pPr>
            <w:r w:rsidRPr="001A4C29">
              <w:t>14.3%</w:t>
            </w:r>
          </w:p>
        </w:tc>
        <w:tc>
          <w:tcPr>
            <w:tcW w:w="1560" w:type="dxa"/>
          </w:tcPr>
          <w:p w14:paraId="769EBD71" w14:textId="77777777" w:rsidR="006365F2" w:rsidRPr="001A4C29" w:rsidRDefault="006365F2" w:rsidP="001A4C29">
            <w:pPr>
              <w:pStyle w:val="Tabletext"/>
              <w:ind w:left="0" w:right="0"/>
            </w:pPr>
            <w:r w:rsidRPr="001A4C29">
              <w:t>0</w:t>
            </w:r>
          </w:p>
        </w:tc>
        <w:tc>
          <w:tcPr>
            <w:tcW w:w="1559" w:type="dxa"/>
          </w:tcPr>
          <w:p w14:paraId="42D6A058" w14:textId="77777777" w:rsidR="006365F2" w:rsidRPr="001A4C29" w:rsidRDefault="006365F2" w:rsidP="001A4C29">
            <w:pPr>
              <w:pStyle w:val="Tabletext"/>
              <w:ind w:left="0" w:right="0"/>
            </w:pPr>
            <w:r w:rsidRPr="001A4C29">
              <w:t>14.0%</w:t>
            </w:r>
          </w:p>
        </w:tc>
      </w:tr>
      <w:tr w:rsidR="006365F2" w:rsidRPr="00655F66" w14:paraId="29690A2F" w14:textId="77777777" w:rsidTr="00C45323">
        <w:trPr>
          <w:trHeight w:val="269"/>
        </w:trPr>
        <w:tc>
          <w:tcPr>
            <w:tcW w:w="3959" w:type="dxa"/>
          </w:tcPr>
          <w:p w14:paraId="21F0A0F9" w14:textId="6B71117D" w:rsidR="006365F2" w:rsidRPr="001A4C29" w:rsidRDefault="00580F93" w:rsidP="001A4C29">
            <w:pPr>
              <w:pStyle w:val="Tabletext"/>
              <w:ind w:left="0" w:right="0"/>
            </w:pPr>
            <w:r>
              <w:t>D</w:t>
            </w:r>
            <w:r w:rsidR="006365F2" w:rsidRPr="001A4C29">
              <w:t>ecreased appetite</w:t>
            </w:r>
          </w:p>
        </w:tc>
        <w:tc>
          <w:tcPr>
            <w:tcW w:w="1701" w:type="dxa"/>
          </w:tcPr>
          <w:p w14:paraId="275C3CA9" w14:textId="77777777" w:rsidR="006365F2" w:rsidRPr="001A4C29" w:rsidRDefault="006365F2" w:rsidP="001A4C29">
            <w:pPr>
              <w:pStyle w:val="Tabletext"/>
              <w:ind w:left="0" w:right="0"/>
            </w:pPr>
            <w:r w:rsidRPr="001A4C29">
              <w:t>12.7%</w:t>
            </w:r>
          </w:p>
        </w:tc>
        <w:tc>
          <w:tcPr>
            <w:tcW w:w="1560" w:type="dxa"/>
          </w:tcPr>
          <w:p w14:paraId="188FEED2" w14:textId="77777777" w:rsidR="006365F2" w:rsidRPr="001A4C29" w:rsidRDefault="006365F2" w:rsidP="001A4C29">
            <w:pPr>
              <w:pStyle w:val="Tabletext"/>
              <w:ind w:left="0" w:right="0"/>
            </w:pPr>
            <w:r w:rsidRPr="001A4C29">
              <w:t>0</w:t>
            </w:r>
          </w:p>
        </w:tc>
        <w:tc>
          <w:tcPr>
            <w:tcW w:w="1559" w:type="dxa"/>
          </w:tcPr>
          <w:p w14:paraId="64C9B671" w14:textId="77777777" w:rsidR="006365F2" w:rsidRPr="001A4C29" w:rsidRDefault="006365F2" w:rsidP="001A4C29">
            <w:pPr>
              <w:pStyle w:val="Tabletext"/>
              <w:ind w:left="0" w:right="0"/>
            </w:pPr>
            <w:r w:rsidRPr="001A4C29">
              <w:t>12.4%</w:t>
            </w:r>
          </w:p>
        </w:tc>
      </w:tr>
      <w:tr w:rsidR="006365F2" w:rsidRPr="00655F66" w14:paraId="44263F04" w14:textId="77777777" w:rsidTr="00C45323">
        <w:trPr>
          <w:trHeight w:val="269"/>
        </w:trPr>
        <w:tc>
          <w:tcPr>
            <w:tcW w:w="3959" w:type="dxa"/>
          </w:tcPr>
          <w:p w14:paraId="3DB86D97" w14:textId="3A6A470C" w:rsidR="006365F2" w:rsidRPr="001A4C29" w:rsidRDefault="00F6419B" w:rsidP="001A4C29">
            <w:pPr>
              <w:pStyle w:val="Tabletext"/>
              <w:ind w:left="0" w:right="0"/>
            </w:pPr>
            <w:r w:rsidRPr="001A4C29">
              <w:t>M</w:t>
            </w:r>
            <w:r w:rsidR="006365F2" w:rsidRPr="001A4C29">
              <w:t>yalgia</w:t>
            </w:r>
          </w:p>
        </w:tc>
        <w:tc>
          <w:tcPr>
            <w:tcW w:w="1701" w:type="dxa"/>
          </w:tcPr>
          <w:p w14:paraId="6750FC64" w14:textId="77777777" w:rsidR="006365F2" w:rsidRPr="001A4C29" w:rsidRDefault="006365F2" w:rsidP="001A4C29">
            <w:pPr>
              <w:pStyle w:val="Tabletext"/>
              <w:ind w:left="0" w:right="0"/>
            </w:pPr>
            <w:r w:rsidRPr="001A4C29">
              <w:t>10.3%</w:t>
            </w:r>
          </w:p>
        </w:tc>
        <w:tc>
          <w:tcPr>
            <w:tcW w:w="1560" w:type="dxa"/>
          </w:tcPr>
          <w:p w14:paraId="28EF6D8F" w14:textId="77777777" w:rsidR="006365F2" w:rsidRPr="001A4C29" w:rsidRDefault="006365F2" w:rsidP="001A4C29">
            <w:pPr>
              <w:pStyle w:val="Tabletext"/>
              <w:ind w:left="0" w:right="0"/>
            </w:pPr>
            <w:r w:rsidRPr="001A4C29">
              <w:t>33.3%</w:t>
            </w:r>
          </w:p>
        </w:tc>
        <w:tc>
          <w:tcPr>
            <w:tcW w:w="1559" w:type="dxa"/>
          </w:tcPr>
          <w:p w14:paraId="044AC9A4" w14:textId="77777777" w:rsidR="006365F2" w:rsidRPr="001A4C29" w:rsidRDefault="006365F2" w:rsidP="001A4C29">
            <w:pPr>
              <w:pStyle w:val="Tabletext"/>
              <w:ind w:left="0" w:right="0"/>
            </w:pPr>
            <w:r w:rsidRPr="001A4C29">
              <w:t>10.9%</w:t>
            </w:r>
          </w:p>
        </w:tc>
      </w:tr>
      <w:tr w:rsidR="006365F2" w:rsidRPr="00655F66" w14:paraId="1EAD2C3F" w14:textId="77777777" w:rsidTr="00C45323">
        <w:trPr>
          <w:trHeight w:val="269"/>
        </w:trPr>
        <w:tc>
          <w:tcPr>
            <w:tcW w:w="3959" w:type="dxa"/>
          </w:tcPr>
          <w:p w14:paraId="0A4C5D44" w14:textId="378F69DE" w:rsidR="006365F2" w:rsidRPr="001A4C29" w:rsidRDefault="00F6419B" w:rsidP="001A4C29">
            <w:pPr>
              <w:pStyle w:val="Tabletext"/>
              <w:ind w:left="0" w:right="0"/>
            </w:pPr>
            <w:r w:rsidRPr="001A4C29">
              <w:t>P</w:t>
            </w:r>
            <w:r w:rsidR="006365F2" w:rsidRPr="001A4C29">
              <w:t>yrexia</w:t>
            </w:r>
          </w:p>
        </w:tc>
        <w:tc>
          <w:tcPr>
            <w:tcW w:w="1701" w:type="dxa"/>
          </w:tcPr>
          <w:p w14:paraId="2EA2A0E4" w14:textId="77777777" w:rsidR="006365F2" w:rsidRPr="001A4C29" w:rsidRDefault="006365F2" w:rsidP="001A4C29">
            <w:pPr>
              <w:pStyle w:val="Tabletext"/>
              <w:ind w:left="0" w:right="0"/>
            </w:pPr>
            <w:r w:rsidRPr="001A4C29">
              <w:t>10.3%</w:t>
            </w:r>
          </w:p>
        </w:tc>
        <w:tc>
          <w:tcPr>
            <w:tcW w:w="1560" w:type="dxa"/>
          </w:tcPr>
          <w:p w14:paraId="30032498" w14:textId="77777777" w:rsidR="006365F2" w:rsidRPr="001A4C29" w:rsidRDefault="006365F2" w:rsidP="001A4C29">
            <w:pPr>
              <w:pStyle w:val="Tabletext"/>
              <w:ind w:left="0" w:right="0"/>
            </w:pPr>
            <w:r w:rsidRPr="001A4C29">
              <w:t>33.3%</w:t>
            </w:r>
          </w:p>
        </w:tc>
        <w:tc>
          <w:tcPr>
            <w:tcW w:w="1559" w:type="dxa"/>
          </w:tcPr>
          <w:p w14:paraId="039FA5ED" w14:textId="77777777" w:rsidR="006365F2" w:rsidRPr="001A4C29" w:rsidRDefault="006365F2" w:rsidP="001A4C29">
            <w:pPr>
              <w:pStyle w:val="Tabletext"/>
              <w:ind w:left="0" w:right="0"/>
            </w:pPr>
            <w:r w:rsidRPr="001A4C29">
              <w:t>10.9%</w:t>
            </w:r>
          </w:p>
        </w:tc>
      </w:tr>
      <w:tr w:rsidR="006365F2" w:rsidRPr="00655F66" w14:paraId="0C80324C" w14:textId="77777777" w:rsidTr="00C45323">
        <w:trPr>
          <w:trHeight w:val="269"/>
        </w:trPr>
        <w:tc>
          <w:tcPr>
            <w:tcW w:w="3959" w:type="dxa"/>
          </w:tcPr>
          <w:p w14:paraId="74873ABC" w14:textId="6BB8DA73" w:rsidR="006365F2" w:rsidRPr="001A4C29" w:rsidRDefault="00580F93" w:rsidP="001A4C29">
            <w:pPr>
              <w:pStyle w:val="Tabletext"/>
              <w:ind w:left="0" w:right="0"/>
            </w:pPr>
            <w:r>
              <w:t>O</w:t>
            </w:r>
            <w:r w:rsidR="006365F2" w:rsidRPr="001A4C29">
              <w:t>edema peripheral</w:t>
            </w:r>
          </w:p>
        </w:tc>
        <w:tc>
          <w:tcPr>
            <w:tcW w:w="1701" w:type="dxa"/>
          </w:tcPr>
          <w:p w14:paraId="02E533F0" w14:textId="77777777" w:rsidR="006365F2" w:rsidRPr="001A4C29" w:rsidRDefault="006365F2" w:rsidP="001A4C29">
            <w:pPr>
              <w:pStyle w:val="Tabletext"/>
              <w:ind w:left="0" w:right="0"/>
            </w:pPr>
            <w:r w:rsidRPr="001A4C29">
              <w:t>8.7%</w:t>
            </w:r>
          </w:p>
        </w:tc>
        <w:tc>
          <w:tcPr>
            <w:tcW w:w="1560" w:type="dxa"/>
          </w:tcPr>
          <w:p w14:paraId="2E06388F" w14:textId="77777777" w:rsidR="006365F2" w:rsidRPr="001A4C29" w:rsidRDefault="006365F2" w:rsidP="001A4C29">
            <w:pPr>
              <w:pStyle w:val="Tabletext"/>
              <w:ind w:left="0" w:right="0"/>
            </w:pPr>
            <w:r w:rsidRPr="001A4C29">
              <w:t>66.7%</w:t>
            </w:r>
          </w:p>
        </w:tc>
        <w:tc>
          <w:tcPr>
            <w:tcW w:w="1559" w:type="dxa"/>
          </w:tcPr>
          <w:p w14:paraId="3FB48C89" w14:textId="77777777" w:rsidR="006365F2" w:rsidRPr="001A4C29" w:rsidRDefault="006365F2" w:rsidP="001A4C29">
            <w:pPr>
              <w:pStyle w:val="Tabletext"/>
              <w:ind w:left="0" w:right="0"/>
            </w:pPr>
            <w:r w:rsidRPr="001A4C29">
              <w:t>10.1%</w:t>
            </w:r>
          </w:p>
        </w:tc>
      </w:tr>
      <w:tr w:rsidR="006365F2" w:rsidRPr="00655F66" w14:paraId="650A178D" w14:textId="77777777" w:rsidTr="00C45323">
        <w:trPr>
          <w:trHeight w:val="269"/>
        </w:trPr>
        <w:tc>
          <w:tcPr>
            <w:tcW w:w="3959" w:type="dxa"/>
          </w:tcPr>
          <w:p w14:paraId="2D164EE0" w14:textId="2CCFD2EB" w:rsidR="006365F2" w:rsidRPr="001A4C29" w:rsidRDefault="00F6419B" w:rsidP="001A4C29">
            <w:pPr>
              <w:pStyle w:val="Tabletext"/>
              <w:ind w:left="0" w:right="0"/>
            </w:pPr>
            <w:r w:rsidRPr="001A4C29">
              <w:t>R</w:t>
            </w:r>
            <w:r w:rsidR="006365F2" w:rsidRPr="001A4C29">
              <w:t>ash</w:t>
            </w:r>
          </w:p>
        </w:tc>
        <w:tc>
          <w:tcPr>
            <w:tcW w:w="1701" w:type="dxa"/>
          </w:tcPr>
          <w:p w14:paraId="4BDCA2DE" w14:textId="77777777" w:rsidR="006365F2" w:rsidRPr="001A4C29" w:rsidRDefault="006365F2" w:rsidP="001A4C29">
            <w:pPr>
              <w:pStyle w:val="Tabletext"/>
              <w:ind w:left="0" w:right="0"/>
            </w:pPr>
            <w:r w:rsidRPr="001A4C29">
              <w:t>10.3%</w:t>
            </w:r>
          </w:p>
        </w:tc>
        <w:tc>
          <w:tcPr>
            <w:tcW w:w="1560" w:type="dxa"/>
          </w:tcPr>
          <w:p w14:paraId="6A610107" w14:textId="77777777" w:rsidR="006365F2" w:rsidRPr="001A4C29" w:rsidRDefault="006365F2" w:rsidP="001A4C29">
            <w:pPr>
              <w:pStyle w:val="Tabletext"/>
              <w:ind w:left="0" w:right="0"/>
            </w:pPr>
            <w:r w:rsidRPr="001A4C29">
              <w:t>0</w:t>
            </w:r>
          </w:p>
        </w:tc>
        <w:tc>
          <w:tcPr>
            <w:tcW w:w="1559" w:type="dxa"/>
          </w:tcPr>
          <w:p w14:paraId="26715657" w14:textId="77777777" w:rsidR="006365F2" w:rsidRPr="001A4C29" w:rsidRDefault="006365F2" w:rsidP="001A4C29">
            <w:pPr>
              <w:pStyle w:val="Tabletext"/>
              <w:ind w:left="0" w:right="0"/>
            </w:pPr>
            <w:r w:rsidRPr="001A4C29">
              <w:t>10.1%</w:t>
            </w:r>
          </w:p>
        </w:tc>
      </w:tr>
      <w:tr w:rsidR="006365F2" w:rsidRPr="00655F66" w14:paraId="310E23F8" w14:textId="77777777" w:rsidTr="00C45323">
        <w:trPr>
          <w:trHeight w:val="269"/>
        </w:trPr>
        <w:tc>
          <w:tcPr>
            <w:tcW w:w="3959" w:type="dxa"/>
          </w:tcPr>
          <w:p w14:paraId="4F367528" w14:textId="2DA1594D" w:rsidR="006365F2" w:rsidRPr="001A4C29" w:rsidRDefault="006365F2" w:rsidP="001A4C29">
            <w:pPr>
              <w:pStyle w:val="Tabletext"/>
              <w:ind w:left="0" w:right="0"/>
            </w:pPr>
            <w:r w:rsidRPr="001A4C29">
              <w:t xml:space="preserve">Grade 3 </w:t>
            </w:r>
            <w:r w:rsidR="00580F93">
              <w:t>to</w:t>
            </w:r>
            <w:r w:rsidRPr="001A4C29">
              <w:t xml:space="preserve"> 5 events</w:t>
            </w:r>
          </w:p>
        </w:tc>
        <w:tc>
          <w:tcPr>
            <w:tcW w:w="1701" w:type="dxa"/>
          </w:tcPr>
          <w:p w14:paraId="77395FD0" w14:textId="77777777" w:rsidR="006365F2" w:rsidRPr="001A4C29" w:rsidRDefault="006365F2" w:rsidP="001A4C29">
            <w:pPr>
              <w:pStyle w:val="Tabletext"/>
              <w:ind w:left="0" w:right="0"/>
            </w:pPr>
            <w:r w:rsidRPr="001A4C29">
              <w:t>48.4%</w:t>
            </w:r>
          </w:p>
        </w:tc>
        <w:tc>
          <w:tcPr>
            <w:tcW w:w="1560" w:type="dxa"/>
          </w:tcPr>
          <w:p w14:paraId="6F1D980F" w14:textId="77777777" w:rsidR="006365F2" w:rsidRPr="001A4C29" w:rsidRDefault="006365F2" w:rsidP="001A4C29">
            <w:pPr>
              <w:pStyle w:val="Tabletext"/>
              <w:ind w:left="0" w:right="0"/>
            </w:pPr>
            <w:r w:rsidRPr="001A4C29">
              <w:t>33.3%</w:t>
            </w:r>
          </w:p>
        </w:tc>
        <w:tc>
          <w:tcPr>
            <w:tcW w:w="1559" w:type="dxa"/>
          </w:tcPr>
          <w:p w14:paraId="5D5F6E0F" w14:textId="77777777" w:rsidR="006365F2" w:rsidRPr="001A4C29" w:rsidRDefault="006365F2" w:rsidP="001A4C29">
            <w:pPr>
              <w:pStyle w:val="Tabletext"/>
              <w:ind w:left="0" w:right="0"/>
            </w:pPr>
            <w:r w:rsidRPr="001A4C29">
              <w:t>48.1%</w:t>
            </w:r>
          </w:p>
        </w:tc>
      </w:tr>
      <w:tr w:rsidR="00580F93" w:rsidRPr="00655F66" w14:paraId="67A9D002" w14:textId="77777777" w:rsidTr="00DE5AB6">
        <w:trPr>
          <w:trHeight w:val="269"/>
        </w:trPr>
        <w:tc>
          <w:tcPr>
            <w:tcW w:w="8779" w:type="dxa"/>
            <w:gridSpan w:val="4"/>
          </w:tcPr>
          <w:p w14:paraId="794859CC" w14:textId="28372EE0" w:rsidR="00580F93" w:rsidRPr="0096397C" w:rsidRDefault="00580F93" w:rsidP="001A4C29">
            <w:pPr>
              <w:pStyle w:val="Tabletext"/>
              <w:ind w:left="0" w:right="0"/>
              <w:rPr>
                <w:b/>
                <w:i/>
              </w:rPr>
            </w:pPr>
            <w:r w:rsidRPr="0096397C">
              <w:rPr>
                <w:b/>
              </w:rPr>
              <w:t>Most common adverse events of Grade 3 severity or higher (in 2% or more of Cohort A1)</w:t>
            </w:r>
          </w:p>
        </w:tc>
      </w:tr>
      <w:tr w:rsidR="006365F2" w:rsidRPr="00655F66" w14:paraId="0C376619" w14:textId="77777777" w:rsidTr="00C45323">
        <w:trPr>
          <w:trHeight w:val="269"/>
        </w:trPr>
        <w:tc>
          <w:tcPr>
            <w:tcW w:w="3959" w:type="dxa"/>
          </w:tcPr>
          <w:p w14:paraId="789DC1F4" w14:textId="3B23CD16" w:rsidR="006365F2" w:rsidRPr="001A4C29" w:rsidRDefault="00F6419B" w:rsidP="001A4C29">
            <w:pPr>
              <w:pStyle w:val="Tabletext"/>
              <w:ind w:left="0" w:right="0"/>
            </w:pPr>
            <w:r w:rsidRPr="001A4C29">
              <w:t>A</w:t>
            </w:r>
            <w:r w:rsidR="006365F2" w:rsidRPr="001A4C29">
              <w:t>naemia</w:t>
            </w:r>
          </w:p>
        </w:tc>
        <w:tc>
          <w:tcPr>
            <w:tcW w:w="1701" w:type="dxa"/>
          </w:tcPr>
          <w:p w14:paraId="572696B0" w14:textId="77777777" w:rsidR="006365F2" w:rsidRPr="001A4C29" w:rsidRDefault="006365F2" w:rsidP="001A4C29">
            <w:pPr>
              <w:pStyle w:val="Tabletext"/>
              <w:ind w:left="0" w:right="0"/>
            </w:pPr>
            <w:r w:rsidRPr="001A4C29">
              <w:t>15.1%</w:t>
            </w:r>
          </w:p>
        </w:tc>
        <w:tc>
          <w:tcPr>
            <w:tcW w:w="1560" w:type="dxa"/>
          </w:tcPr>
          <w:p w14:paraId="7E6FD140" w14:textId="77777777" w:rsidR="006365F2" w:rsidRPr="001A4C29" w:rsidRDefault="006365F2" w:rsidP="001A4C29">
            <w:pPr>
              <w:pStyle w:val="Tabletext"/>
              <w:ind w:left="0" w:right="0"/>
            </w:pPr>
            <w:r w:rsidRPr="001A4C29">
              <w:t>0</w:t>
            </w:r>
          </w:p>
        </w:tc>
        <w:tc>
          <w:tcPr>
            <w:tcW w:w="1559" w:type="dxa"/>
          </w:tcPr>
          <w:p w14:paraId="22BB72FF" w14:textId="77777777" w:rsidR="006365F2" w:rsidRPr="001A4C29" w:rsidRDefault="006365F2" w:rsidP="001A4C29">
            <w:pPr>
              <w:pStyle w:val="Tabletext"/>
              <w:ind w:left="0" w:right="0"/>
            </w:pPr>
            <w:r w:rsidRPr="001A4C29">
              <w:t>14.7%</w:t>
            </w:r>
          </w:p>
        </w:tc>
      </w:tr>
      <w:tr w:rsidR="006365F2" w:rsidRPr="00655F66" w14:paraId="36EED966" w14:textId="77777777" w:rsidTr="00C45323">
        <w:trPr>
          <w:trHeight w:val="269"/>
        </w:trPr>
        <w:tc>
          <w:tcPr>
            <w:tcW w:w="3959" w:type="dxa"/>
          </w:tcPr>
          <w:p w14:paraId="44548F2B" w14:textId="21EBABA0" w:rsidR="006365F2" w:rsidRPr="001A4C29" w:rsidRDefault="00580F93" w:rsidP="001A4C29">
            <w:pPr>
              <w:pStyle w:val="Tabletext"/>
              <w:ind w:left="0" w:right="0"/>
            </w:pPr>
            <w:r>
              <w:t>A</w:t>
            </w:r>
            <w:r w:rsidR="006365F2" w:rsidRPr="001A4C29">
              <w:t>bdominal pain</w:t>
            </w:r>
          </w:p>
        </w:tc>
        <w:tc>
          <w:tcPr>
            <w:tcW w:w="1701" w:type="dxa"/>
          </w:tcPr>
          <w:p w14:paraId="7B054666" w14:textId="77777777" w:rsidR="006365F2" w:rsidRPr="001A4C29" w:rsidRDefault="006365F2" w:rsidP="001A4C29">
            <w:pPr>
              <w:pStyle w:val="Tabletext"/>
              <w:ind w:left="0" w:right="0"/>
            </w:pPr>
            <w:r w:rsidRPr="001A4C29">
              <w:t>5.6%</w:t>
            </w:r>
          </w:p>
        </w:tc>
        <w:tc>
          <w:tcPr>
            <w:tcW w:w="1560" w:type="dxa"/>
          </w:tcPr>
          <w:p w14:paraId="146AB8D5" w14:textId="77777777" w:rsidR="006365F2" w:rsidRPr="001A4C29" w:rsidRDefault="006365F2" w:rsidP="001A4C29">
            <w:pPr>
              <w:pStyle w:val="Tabletext"/>
              <w:ind w:left="0" w:right="0"/>
            </w:pPr>
            <w:r w:rsidRPr="001A4C29">
              <w:t>0</w:t>
            </w:r>
          </w:p>
        </w:tc>
        <w:tc>
          <w:tcPr>
            <w:tcW w:w="1559" w:type="dxa"/>
          </w:tcPr>
          <w:p w14:paraId="5D418DEE" w14:textId="77777777" w:rsidR="006365F2" w:rsidRPr="001A4C29" w:rsidRDefault="006365F2" w:rsidP="001A4C29">
            <w:pPr>
              <w:pStyle w:val="Tabletext"/>
              <w:ind w:left="0" w:right="0"/>
            </w:pPr>
            <w:r w:rsidRPr="001A4C29">
              <w:t>5.4%</w:t>
            </w:r>
          </w:p>
        </w:tc>
      </w:tr>
      <w:tr w:rsidR="006365F2" w:rsidRPr="00655F66" w14:paraId="508AA313" w14:textId="77777777" w:rsidTr="00C45323">
        <w:trPr>
          <w:trHeight w:val="269"/>
        </w:trPr>
        <w:tc>
          <w:tcPr>
            <w:tcW w:w="3959" w:type="dxa"/>
          </w:tcPr>
          <w:p w14:paraId="0416F427" w14:textId="55770A1C" w:rsidR="006365F2" w:rsidRPr="001A4C29" w:rsidRDefault="00F6419B" w:rsidP="001A4C29">
            <w:pPr>
              <w:pStyle w:val="Tabletext"/>
              <w:ind w:left="0" w:right="0"/>
            </w:pPr>
            <w:r w:rsidRPr="001A4C29">
              <w:lastRenderedPageBreak/>
              <w:t>H</w:t>
            </w:r>
            <w:r w:rsidR="006365F2" w:rsidRPr="001A4C29">
              <w:t>yponatraemia</w:t>
            </w:r>
          </w:p>
        </w:tc>
        <w:tc>
          <w:tcPr>
            <w:tcW w:w="1701" w:type="dxa"/>
          </w:tcPr>
          <w:p w14:paraId="7FA12453" w14:textId="77777777" w:rsidR="006365F2" w:rsidRPr="001A4C29" w:rsidRDefault="006365F2" w:rsidP="001A4C29">
            <w:pPr>
              <w:pStyle w:val="Tabletext"/>
              <w:ind w:left="0" w:right="0"/>
            </w:pPr>
            <w:r w:rsidRPr="001A4C29">
              <w:t>3.2%</w:t>
            </w:r>
          </w:p>
        </w:tc>
        <w:tc>
          <w:tcPr>
            <w:tcW w:w="1560" w:type="dxa"/>
          </w:tcPr>
          <w:p w14:paraId="63FB9224" w14:textId="77777777" w:rsidR="006365F2" w:rsidRPr="001A4C29" w:rsidRDefault="006365F2" w:rsidP="001A4C29">
            <w:pPr>
              <w:pStyle w:val="Tabletext"/>
              <w:ind w:left="0" w:right="0"/>
            </w:pPr>
            <w:r w:rsidRPr="001A4C29">
              <w:t>33.3%</w:t>
            </w:r>
          </w:p>
        </w:tc>
        <w:tc>
          <w:tcPr>
            <w:tcW w:w="1559" w:type="dxa"/>
          </w:tcPr>
          <w:p w14:paraId="45225102" w14:textId="77777777" w:rsidR="006365F2" w:rsidRPr="001A4C29" w:rsidRDefault="006365F2" w:rsidP="001A4C29">
            <w:pPr>
              <w:pStyle w:val="Tabletext"/>
              <w:ind w:left="0" w:right="0"/>
            </w:pPr>
            <w:r w:rsidRPr="001A4C29">
              <w:t>3.9%</w:t>
            </w:r>
          </w:p>
        </w:tc>
      </w:tr>
      <w:tr w:rsidR="006365F2" w:rsidRPr="00655F66" w14:paraId="5A4607BF" w14:textId="77777777" w:rsidTr="00C45323">
        <w:trPr>
          <w:trHeight w:val="269"/>
        </w:trPr>
        <w:tc>
          <w:tcPr>
            <w:tcW w:w="3959" w:type="dxa"/>
          </w:tcPr>
          <w:p w14:paraId="719EF893" w14:textId="6923EBFE" w:rsidR="006365F2" w:rsidRPr="001A4C29" w:rsidRDefault="00580F93" w:rsidP="001A4C29">
            <w:pPr>
              <w:pStyle w:val="Tabletext"/>
              <w:ind w:left="0" w:right="0"/>
            </w:pPr>
            <w:r>
              <w:t>A</w:t>
            </w:r>
            <w:r w:rsidR="006365F2" w:rsidRPr="001A4C29">
              <w:t>cute kidney injury</w:t>
            </w:r>
          </w:p>
        </w:tc>
        <w:tc>
          <w:tcPr>
            <w:tcW w:w="1701" w:type="dxa"/>
          </w:tcPr>
          <w:p w14:paraId="7AB31616" w14:textId="77777777" w:rsidR="006365F2" w:rsidRPr="001A4C29" w:rsidRDefault="006365F2" w:rsidP="001A4C29">
            <w:pPr>
              <w:pStyle w:val="Tabletext"/>
              <w:ind w:left="0" w:right="0"/>
            </w:pPr>
            <w:r w:rsidRPr="001A4C29">
              <w:t>3.2%</w:t>
            </w:r>
          </w:p>
        </w:tc>
        <w:tc>
          <w:tcPr>
            <w:tcW w:w="1560" w:type="dxa"/>
          </w:tcPr>
          <w:p w14:paraId="43633F68" w14:textId="77777777" w:rsidR="006365F2" w:rsidRPr="001A4C29" w:rsidRDefault="006365F2" w:rsidP="001A4C29">
            <w:pPr>
              <w:pStyle w:val="Tabletext"/>
              <w:ind w:left="0" w:right="0"/>
            </w:pPr>
            <w:r w:rsidRPr="001A4C29">
              <w:t>0</w:t>
            </w:r>
          </w:p>
        </w:tc>
        <w:tc>
          <w:tcPr>
            <w:tcW w:w="1559" w:type="dxa"/>
          </w:tcPr>
          <w:p w14:paraId="51844488" w14:textId="77777777" w:rsidR="006365F2" w:rsidRPr="001A4C29" w:rsidRDefault="006365F2" w:rsidP="001A4C29">
            <w:pPr>
              <w:pStyle w:val="Tabletext"/>
              <w:ind w:left="0" w:right="0"/>
            </w:pPr>
            <w:r w:rsidRPr="001A4C29">
              <w:t>3.1%</w:t>
            </w:r>
          </w:p>
        </w:tc>
      </w:tr>
      <w:tr w:rsidR="006365F2" w:rsidRPr="00655F66" w14:paraId="62410C9B" w14:textId="77777777" w:rsidTr="00C45323">
        <w:trPr>
          <w:trHeight w:val="269"/>
        </w:trPr>
        <w:tc>
          <w:tcPr>
            <w:tcW w:w="3959" w:type="dxa"/>
          </w:tcPr>
          <w:p w14:paraId="4BA40B45" w14:textId="22216B6F" w:rsidR="006365F2" w:rsidRPr="001A4C29" w:rsidRDefault="00580F93" w:rsidP="001A4C29">
            <w:pPr>
              <w:pStyle w:val="Tabletext"/>
              <w:ind w:left="0" w:right="0"/>
            </w:pPr>
            <w:r>
              <w:t>B</w:t>
            </w:r>
            <w:r w:rsidR="006365F2" w:rsidRPr="001A4C29">
              <w:t>ack pain</w:t>
            </w:r>
          </w:p>
        </w:tc>
        <w:tc>
          <w:tcPr>
            <w:tcW w:w="1701" w:type="dxa"/>
          </w:tcPr>
          <w:p w14:paraId="6F512A95" w14:textId="77777777" w:rsidR="006365F2" w:rsidRPr="001A4C29" w:rsidRDefault="006365F2" w:rsidP="001A4C29">
            <w:pPr>
              <w:pStyle w:val="Tabletext"/>
              <w:ind w:left="0" w:right="0"/>
            </w:pPr>
            <w:r w:rsidRPr="001A4C29">
              <w:t>3.2%</w:t>
            </w:r>
          </w:p>
        </w:tc>
        <w:tc>
          <w:tcPr>
            <w:tcW w:w="1560" w:type="dxa"/>
          </w:tcPr>
          <w:p w14:paraId="17DB9223" w14:textId="77777777" w:rsidR="006365F2" w:rsidRPr="001A4C29" w:rsidRDefault="006365F2" w:rsidP="001A4C29">
            <w:pPr>
              <w:pStyle w:val="Tabletext"/>
              <w:ind w:left="0" w:right="0"/>
            </w:pPr>
            <w:r w:rsidRPr="001A4C29">
              <w:t>0</w:t>
            </w:r>
          </w:p>
        </w:tc>
        <w:tc>
          <w:tcPr>
            <w:tcW w:w="1559" w:type="dxa"/>
          </w:tcPr>
          <w:p w14:paraId="5D8213DE" w14:textId="77777777" w:rsidR="006365F2" w:rsidRPr="001A4C29" w:rsidRDefault="006365F2" w:rsidP="001A4C29">
            <w:pPr>
              <w:pStyle w:val="Tabletext"/>
              <w:ind w:left="0" w:right="0"/>
            </w:pPr>
            <w:r w:rsidRPr="001A4C29">
              <w:t>3.1%</w:t>
            </w:r>
          </w:p>
        </w:tc>
      </w:tr>
      <w:tr w:rsidR="006365F2" w:rsidRPr="00655F66" w14:paraId="698189B5" w14:textId="77777777" w:rsidTr="00C45323">
        <w:trPr>
          <w:trHeight w:val="269"/>
        </w:trPr>
        <w:tc>
          <w:tcPr>
            <w:tcW w:w="3959" w:type="dxa"/>
          </w:tcPr>
          <w:p w14:paraId="748D71CB" w14:textId="772333F9" w:rsidR="006365F2" w:rsidRPr="001A4C29" w:rsidRDefault="00580F93" w:rsidP="001A4C29">
            <w:pPr>
              <w:pStyle w:val="Tabletext"/>
              <w:ind w:left="0" w:right="0"/>
            </w:pPr>
            <w:r>
              <w:t>P</w:t>
            </w:r>
            <w:r w:rsidR="006365F2" w:rsidRPr="001A4C29">
              <w:t>ulmonary embolism</w:t>
            </w:r>
          </w:p>
        </w:tc>
        <w:tc>
          <w:tcPr>
            <w:tcW w:w="1701" w:type="dxa"/>
          </w:tcPr>
          <w:p w14:paraId="715370A1" w14:textId="77777777" w:rsidR="006365F2" w:rsidRPr="001A4C29" w:rsidRDefault="006365F2" w:rsidP="001A4C29">
            <w:pPr>
              <w:pStyle w:val="Tabletext"/>
              <w:ind w:left="0" w:right="0"/>
            </w:pPr>
            <w:r w:rsidRPr="001A4C29">
              <w:t>3.2%</w:t>
            </w:r>
          </w:p>
        </w:tc>
        <w:tc>
          <w:tcPr>
            <w:tcW w:w="1560" w:type="dxa"/>
          </w:tcPr>
          <w:p w14:paraId="2914C24E" w14:textId="77777777" w:rsidR="006365F2" w:rsidRPr="001A4C29" w:rsidRDefault="006365F2" w:rsidP="001A4C29">
            <w:pPr>
              <w:pStyle w:val="Tabletext"/>
              <w:ind w:left="0" w:right="0"/>
            </w:pPr>
            <w:r w:rsidRPr="001A4C29">
              <w:t>0</w:t>
            </w:r>
          </w:p>
        </w:tc>
        <w:tc>
          <w:tcPr>
            <w:tcW w:w="1559" w:type="dxa"/>
          </w:tcPr>
          <w:p w14:paraId="1C6F00E1" w14:textId="77777777" w:rsidR="006365F2" w:rsidRPr="001A4C29" w:rsidRDefault="006365F2" w:rsidP="001A4C29">
            <w:pPr>
              <w:pStyle w:val="Tabletext"/>
              <w:ind w:left="0" w:right="0"/>
            </w:pPr>
            <w:r w:rsidRPr="001A4C29">
              <w:t>3.1%</w:t>
            </w:r>
          </w:p>
        </w:tc>
      </w:tr>
      <w:tr w:rsidR="006365F2" w:rsidRPr="00655F66" w14:paraId="05DEF9D9" w14:textId="77777777" w:rsidTr="00C45323">
        <w:trPr>
          <w:trHeight w:val="269"/>
        </w:trPr>
        <w:tc>
          <w:tcPr>
            <w:tcW w:w="3959" w:type="dxa"/>
          </w:tcPr>
          <w:p w14:paraId="298CDA05" w14:textId="766E68E1" w:rsidR="006365F2" w:rsidRPr="001A4C29" w:rsidRDefault="00F6419B" w:rsidP="001A4C29">
            <w:pPr>
              <w:pStyle w:val="Tabletext"/>
              <w:ind w:left="0" w:right="0"/>
            </w:pPr>
            <w:r w:rsidRPr="001A4C29">
              <w:t>S</w:t>
            </w:r>
            <w:r w:rsidR="006365F2" w:rsidRPr="001A4C29">
              <w:t>epsis</w:t>
            </w:r>
          </w:p>
        </w:tc>
        <w:tc>
          <w:tcPr>
            <w:tcW w:w="1701" w:type="dxa"/>
          </w:tcPr>
          <w:p w14:paraId="1B94AF8F" w14:textId="77777777" w:rsidR="006365F2" w:rsidRPr="001A4C29" w:rsidRDefault="006365F2" w:rsidP="001A4C29">
            <w:pPr>
              <w:pStyle w:val="Tabletext"/>
              <w:ind w:left="0" w:right="0"/>
            </w:pPr>
            <w:r w:rsidRPr="001A4C29">
              <w:t>3.2%</w:t>
            </w:r>
          </w:p>
        </w:tc>
        <w:tc>
          <w:tcPr>
            <w:tcW w:w="1560" w:type="dxa"/>
          </w:tcPr>
          <w:p w14:paraId="321FCE34" w14:textId="77777777" w:rsidR="006365F2" w:rsidRPr="001A4C29" w:rsidRDefault="006365F2" w:rsidP="001A4C29">
            <w:pPr>
              <w:pStyle w:val="Tabletext"/>
              <w:ind w:left="0" w:right="0"/>
            </w:pPr>
            <w:r w:rsidRPr="001A4C29">
              <w:t>0</w:t>
            </w:r>
          </w:p>
        </w:tc>
        <w:tc>
          <w:tcPr>
            <w:tcW w:w="1559" w:type="dxa"/>
          </w:tcPr>
          <w:p w14:paraId="09365EC9" w14:textId="77777777" w:rsidR="006365F2" w:rsidRPr="001A4C29" w:rsidRDefault="006365F2" w:rsidP="001A4C29">
            <w:pPr>
              <w:pStyle w:val="Tabletext"/>
              <w:ind w:left="0" w:right="0"/>
            </w:pPr>
            <w:r w:rsidRPr="001A4C29">
              <w:t>3.1%</w:t>
            </w:r>
          </w:p>
        </w:tc>
      </w:tr>
      <w:tr w:rsidR="006365F2" w:rsidRPr="00655F66" w14:paraId="47C7FAE5" w14:textId="77777777" w:rsidTr="00C45323">
        <w:trPr>
          <w:trHeight w:val="269"/>
        </w:trPr>
        <w:tc>
          <w:tcPr>
            <w:tcW w:w="3959" w:type="dxa"/>
          </w:tcPr>
          <w:p w14:paraId="5623AF7B" w14:textId="1C8DCF92" w:rsidR="006365F2" w:rsidRPr="001A4C29" w:rsidRDefault="00580F93" w:rsidP="001A4C29">
            <w:pPr>
              <w:pStyle w:val="Tabletext"/>
              <w:ind w:left="0" w:right="0"/>
            </w:pPr>
            <w:r>
              <w:t>A</w:t>
            </w:r>
            <w:r w:rsidR="006365F2" w:rsidRPr="001A4C29">
              <w:t>lanine aminotransferase increased</w:t>
            </w:r>
          </w:p>
        </w:tc>
        <w:tc>
          <w:tcPr>
            <w:tcW w:w="1701" w:type="dxa"/>
          </w:tcPr>
          <w:p w14:paraId="320FDD9F" w14:textId="77777777" w:rsidR="006365F2" w:rsidRPr="001A4C29" w:rsidRDefault="006365F2" w:rsidP="001A4C29">
            <w:pPr>
              <w:pStyle w:val="Tabletext"/>
              <w:ind w:left="0" w:right="0"/>
            </w:pPr>
            <w:r w:rsidRPr="001A4C29">
              <w:t>2.4%</w:t>
            </w:r>
          </w:p>
        </w:tc>
        <w:tc>
          <w:tcPr>
            <w:tcW w:w="1560" w:type="dxa"/>
          </w:tcPr>
          <w:p w14:paraId="25B5F1BB" w14:textId="77777777" w:rsidR="006365F2" w:rsidRPr="001A4C29" w:rsidRDefault="006365F2" w:rsidP="001A4C29">
            <w:pPr>
              <w:pStyle w:val="Tabletext"/>
              <w:ind w:left="0" w:right="0"/>
            </w:pPr>
            <w:r w:rsidRPr="001A4C29">
              <w:t>0</w:t>
            </w:r>
          </w:p>
        </w:tc>
        <w:tc>
          <w:tcPr>
            <w:tcW w:w="1559" w:type="dxa"/>
          </w:tcPr>
          <w:p w14:paraId="50076C06" w14:textId="77777777" w:rsidR="006365F2" w:rsidRPr="001A4C29" w:rsidRDefault="006365F2" w:rsidP="001A4C29">
            <w:pPr>
              <w:pStyle w:val="Tabletext"/>
              <w:ind w:left="0" w:right="0"/>
            </w:pPr>
            <w:r w:rsidRPr="001A4C29">
              <w:t>2.3%</w:t>
            </w:r>
          </w:p>
        </w:tc>
      </w:tr>
      <w:tr w:rsidR="006365F2" w:rsidRPr="00655F66" w14:paraId="00FC1181" w14:textId="77777777" w:rsidTr="00C45323">
        <w:trPr>
          <w:trHeight w:val="269"/>
        </w:trPr>
        <w:tc>
          <w:tcPr>
            <w:tcW w:w="3959" w:type="dxa"/>
          </w:tcPr>
          <w:p w14:paraId="5DF0FF6D" w14:textId="4290EB5C" w:rsidR="006365F2" w:rsidRPr="001A4C29" w:rsidRDefault="00F6419B" w:rsidP="001A4C29">
            <w:pPr>
              <w:pStyle w:val="Tabletext"/>
              <w:ind w:left="0" w:right="0"/>
            </w:pPr>
            <w:r w:rsidRPr="001A4C29">
              <w:t>D</w:t>
            </w:r>
            <w:r w:rsidR="006365F2" w:rsidRPr="001A4C29">
              <w:t>iarrhoea</w:t>
            </w:r>
          </w:p>
        </w:tc>
        <w:tc>
          <w:tcPr>
            <w:tcW w:w="1701" w:type="dxa"/>
          </w:tcPr>
          <w:p w14:paraId="0183E972" w14:textId="77777777" w:rsidR="006365F2" w:rsidRPr="001A4C29" w:rsidRDefault="006365F2" w:rsidP="001A4C29">
            <w:pPr>
              <w:pStyle w:val="Tabletext"/>
              <w:ind w:left="0" w:right="0"/>
            </w:pPr>
            <w:r w:rsidRPr="001A4C29">
              <w:t>2.4%</w:t>
            </w:r>
          </w:p>
        </w:tc>
        <w:tc>
          <w:tcPr>
            <w:tcW w:w="1560" w:type="dxa"/>
          </w:tcPr>
          <w:p w14:paraId="3C9F5CA8" w14:textId="77777777" w:rsidR="006365F2" w:rsidRPr="001A4C29" w:rsidRDefault="006365F2" w:rsidP="001A4C29">
            <w:pPr>
              <w:pStyle w:val="Tabletext"/>
              <w:ind w:left="0" w:right="0"/>
            </w:pPr>
            <w:r w:rsidRPr="001A4C29">
              <w:t>0</w:t>
            </w:r>
          </w:p>
        </w:tc>
        <w:tc>
          <w:tcPr>
            <w:tcW w:w="1559" w:type="dxa"/>
          </w:tcPr>
          <w:p w14:paraId="48B2733F" w14:textId="77777777" w:rsidR="006365F2" w:rsidRPr="001A4C29" w:rsidRDefault="006365F2" w:rsidP="001A4C29">
            <w:pPr>
              <w:pStyle w:val="Tabletext"/>
              <w:ind w:left="0" w:right="0"/>
            </w:pPr>
            <w:r w:rsidRPr="001A4C29">
              <w:t>2.3%</w:t>
            </w:r>
          </w:p>
        </w:tc>
      </w:tr>
      <w:tr w:rsidR="006365F2" w:rsidRPr="00655F66" w14:paraId="390B76C1" w14:textId="77777777" w:rsidTr="00C45323">
        <w:trPr>
          <w:trHeight w:val="269"/>
        </w:trPr>
        <w:tc>
          <w:tcPr>
            <w:tcW w:w="3959" w:type="dxa"/>
          </w:tcPr>
          <w:p w14:paraId="61383EA1" w14:textId="2E9D7520" w:rsidR="006365F2" w:rsidRPr="001A4C29" w:rsidRDefault="00F6419B" w:rsidP="001A4C29">
            <w:pPr>
              <w:pStyle w:val="Tabletext"/>
              <w:ind w:left="0" w:right="0"/>
            </w:pPr>
            <w:r w:rsidRPr="001A4C29">
              <w:t>H</w:t>
            </w:r>
            <w:r w:rsidR="006365F2" w:rsidRPr="001A4C29">
              <w:t>ypertension</w:t>
            </w:r>
          </w:p>
        </w:tc>
        <w:tc>
          <w:tcPr>
            <w:tcW w:w="1701" w:type="dxa"/>
          </w:tcPr>
          <w:p w14:paraId="45C78C3E" w14:textId="77777777" w:rsidR="006365F2" w:rsidRPr="001A4C29" w:rsidRDefault="006365F2" w:rsidP="001A4C29">
            <w:pPr>
              <w:pStyle w:val="Tabletext"/>
              <w:ind w:left="0" w:right="0"/>
            </w:pPr>
            <w:r w:rsidRPr="001A4C29">
              <w:t>2.4%</w:t>
            </w:r>
          </w:p>
        </w:tc>
        <w:tc>
          <w:tcPr>
            <w:tcW w:w="1560" w:type="dxa"/>
          </w:tcPr>
          <w:p w14:paraId="135BFF17" w14:textId="77777777" w:rsidR="006365F2" w:rsidRPr="001A4C29" w:rsidRDefault="006365F2" w:rsidP="001A4C29">
            <w:pPr>
              <w:pStyle w:val="Tabletext"/>
              <w:ind w:left="0" w:right="0"/>
            </w:pPr>
            <w:r w:rsidRPr="001A4C29">
              <w:t>0</w:t>
            </w:r>
          </w:p>
        </w:tc>
        <w:tc>
          <w:tcPr>
            <w:tcW w:w="1559" w:type="dxa"/>
          </w:tcPr>
          <w:p w14:paraId="4B55E3A8" w14:textId="77777777" w:rsidR="006365F2" w:rsidRPr="001A4C29" w:rsidRDefault="006365F2" w:rsidP="001A4C29">
            <w:pPr>
              <w:pStyle w:val="Tabletext"/>
              <w:ind w:left="0" w:right="0"/>
            </w:pPr>
            <w:r w:rsidRPr="001A4C29">
              <w:t>2.3%</w:t>
            </w:r>
          </w:p>
        </w:tc>
      </w:tr>
      <w:tr w:rsidR="006365F2" w:rsidRPr="00655F66" w14:paraId="6C114C36" w14:textId="77777777" w:rsidTr="00C45323">
        <w:trPr>
          <w:trHeight w:val="269"/>
        </w:trPr>
        <w:tc>
          <w:tcPr>
            <w:tcW w:w="3959" w:type="dxa"/>
          </w:tcPr>
          <w:p w14:paraId="07D791F9" w14:textId="0760CE1D" w:rsidR="006365F2" w:rsidRPr="001A4C29" w:rsidRDefault="00580F93" w:rsidP="001A4C29">
            <w:pPr>
              <w:pStyle w:val="Tabletext"/>
              <w:ind w:left="0" w:right="0"/>
            </w:pPr>
            <w:r>
              <w:t>L</w:t>
            </w:r>
            <w:r w:rsidR="006365F2" w:rsidRPr="001A4C29">
              <w:t>ipase</w:t>
            </w:r>
            <w:r w:rsidR="006D3D4D">
              <w:t xml:space="preserve"> </w:t>
            </w:r>
            <w:r w:rsidR="000A12ED">
              <w:t>increased</w:t>
            </w:r>
          </w:p>
        </w:tc>
        <w:tc>
          <w:tcPr>
            <w:tcW w:w="1701" w:type="dxa"/>
          </w:tcPr>
          <w:p w14:paraId="7407B859" w14:textId="77777777" w:rsidR="006365F2" w:rsidRPr="001A4C29" w:rsidRDefault="006365F2" w:rsidP="001A4C29">
            <w:pPr>
              <w:pStyle w:val="Tabletext"/>
              <w:ind w:left="0" w:right="0"/>
            </w:pPr>
            <w:r w:rsidRPr="001A4C29">
              <w:t>2.4%</w:t>
            </w:r>
          </w:p>
        </w:tc>
        <w:tc>
          <w:tcPr>
            <w:tcW w:w="1560" w:type="dxa"/>
          </w:tcPr>
          <w:p w14:paraId="673825B1" w14:textId="77777777" w:rsidR="006365F2" w:rsidRPr="001A4C29" w:rsidRDefault="006365F2" w:rsidP="001A4C29">
            <w:pPr>
              <w:pStyle w:val="Tabletext"/>
              <w:ind w:left="0" w:right="0"/>
            </w:pPr>
            <w:r w:rsidRPr="001A4C29">
              <w:t>0</w:t>
            </w:r>
          </w:p>
        </w:tc>
        <w:tc>
          <w:tcPr>
            <w:tcW w:w="1559" w:type="dxa"/>
          </w:tcPr>
          <w:p w14:paraId="700ADEC6" w14:textId="77777777" w:rsidR="006365F2" w:rsidRPr="001A4C29" w:rsidRDefault="006365F2" w:rsidP="001A4C29">
            <w:pPr>
              <w:pStyle w:val="Tabletext"/>
              <w:ind w:left="0" w:right="0"/>
            </w:pPr>
            <w:r w:rsidRPr="001A4C29">
              <w:t>2.3%</w:t>
            </w:r>
          </w:p>
        </w:tc>
      </w:tr>
      <w:tr w:rsidR="006365F2" w:rsidRPr="00655F66" w14:paraId="30D60AF8" w14:textId="77777777" w:rsidTr="00C45323">
        <w:trPr>
          <w:trHeight w:val="269"/>
        </w:trPr>
        <w:tc>
          <w:tcPr>
            <w:tcW w:w="3959" w:type="dxa"/>
          </w:tcPr>
          <w:p w14:paraId="6EA59E3D" w14:textId="35040C6D" w:rsidR="006365F2" w:rsidRPr="001A4C29" w:rsidRDefault="00F6419B" w:rsidP="001A4C29">
            <w:pPr>
              <w:pStyle w:val="Tabletext"/>
              <w:ind w:left="0" w:right="0"/>
            </w:pPr>
            <w:r w:rsidRPr="001A4C29">
              <w:t>P</w:t>
            </w:r>
            <w:r w:rsidR="006365F2" w:rsidRPr="001A4C29">
              <w:t>neumonia</w:t>
            </w:r>
          </w:p>
        </w:tc>
        <w:tc>
          <w:tcPr>
            <w:tcW w:w="1701" w:type="dxa"/>
          </w:tcPr>
          <w:p w14:paraId="62B47648" w14:textId="77777777" w:rsidR="006365F2" w:rsidRPr="001A4C29" w:rsidRDefault="006365F2" w:rsidP="001A4C29">
            <w:pPr>
              <w:pStyle w:val="Tabletext"/>
              <w:ind w:left="0" w:right="0"/>
            </w:pPr>
            <w:r w:rsidRPr="001A4C29">
              <w:t>2.4%</w:t>
            </w:r>
          </w:p>
        </w:tc>
        <w:tc>
          <w:tcPr>
            <w:tcW w:w="1560" w:type="dxa"/>
          </w:tcPr>
          <w:p w14:paraId="402A8631" w14:textId="77777777" w:rsidR="006365F2" w:rsidRPr="001A4C29" w:rsidRDefault="006365F2" w:rsidP="001A4C29">
            <w:pPr>
              <w:pStyle w:val="Tabletext"/>
              <w:ind w:left="0" w:right="0"/>
            </w:pPr>
            <w:r w:rsidRPr="001A4C29">
              <w:t>0</w:t>
            </w:r>
          </w:p>
        </w:tc>
        <w:tc>
          <w:tcPr>
            <w:tcW w:w="1559" w:type="dxa"/>
          </w:tcPr>
          <w:p w14:paraId="3A6ADE11" w14:textId="77777777" w:rsidR="006365F2" w:rsidRPr="001A4C29" w:rsidRDefault="006365F2" w:rsidP="001A4C29">
            <w:pPr>
              <w:pStyle w:val="Tabletext"/>
              <w:ind w:left="0" w:right="0"/>
            </w:pPr>
            <w:r w:rsidRPr="001A4C29">
              <w:t>2.3%</w:t>
            </w:r>
          </w:p>
        </w:tc>
      </w:tr>
      <w:tr w:rsidR="006365F2" w:rsidRPr="00655F66" w14:paraId="7D785C17" w14:textId="77777777" w:rsidTr="00C45323">
        <w:trPr>
          <w:trHeight w:val="269"/>
        </w:trPr>
        <w:tc>
          <w:tcPr>
            <w:tcW w:w="3959" w:type="dxa"/>
          </w:tcPr>
          <w:p w14:paraId="1E6F88F0" w14:textId="27CFD93F" w:rsidR="006365F2" w:rsidRPr="001A4C29" w:rsidRDefault="00580F93" w:rsidP="001A4C29">
            <w:pPr>
              <w:pStyle w:val="Tabletext"/>
              <w:ind w:left="0" w:right="0"/>
            </w:pPr>
            <w:r>
              <w:t>U</w:t>
            </w:r>
            <w:r w:rsidR="006365F2" w:rsidRPr="001A4C29">
              <w:t>rinary tract infection</w:t>
            </w:r>
          </w:p>
        </w:tc>
        <w:tc>
          <w:tcPr>
            <w:tcW w:w="1701" w:type="dxa"/>
          </w:tcPr>
          <w:p w14:paraId="37E5258C" w14:textId="77777777" w:rsidR="006365F2" w:rsidRPr="001A4C29" w:rsidRDefault="006365F2" w:rsidP="001A4C29">
            <w:pPr>
              <w:pStyle w:val="Tabletext"/>
              <w:ind w:left="0" w:right="0"/>
            </w:pPr>
            <w:r w:rsidRPr="001A4C29">
              <w:t>2.4%</w:t>
            </w:r>
          </w:p>
        </w:tc>
        <w:tc>
          <w:tcPr>
            <w:tcW w:w="1560" w:type="dxa"/>
          </w:tcPr>
          <w:p w14:paraId="6CDE34D6" w14:textId="77777777" w:rsidR="006365F2" w:rsidRPr="001A4C29" w:rsidRDefault="006365F2" w:rsidP="001A4C29">
            <w:pPr>
              <w:pStyle w:val="Tabletext"/>
              <w:ind w:left="0" w:right="0"/>
            </w:pPr>
            <w:r w:rsidRPr="001A4C29">
              <w:t>0</w:t>
            </w:r>
          </w:p>
        </w:tc>
        <w:tc>
          <w:tcPr>
            <w:tcW w:w="1559" w:type="dxa"/>
          </w:tcPr>
          <w:p w14:paraId="239DF2CD" w14:textId="77777777" w:rsidR="006365F2" w:rsidRPr="001A4C29" w:rsidRDefault="006365F2" w:rsidP="001A4C29">
            <w:pPr>
              <w:pStyle w:val="Tabletext"/>
              <w:ind w:left="0" w:right="0"/>
            </w:pPr>
            <w:r w:rsidRPr="001A4C29">
              <w:t>2.3%</w:t>
            </w:r>
          </w:p>
        </w:tc>
      </w:tr>
      <w:tr w:rsidR="006365F2" w:rsidRPr="00655F66" w14:paraId="629F5AB3" w14:textId="77777777" w:rsidTr="00C45323">
        <w:trPr>
          <w:trHeight w:val="269"/>
        </w:trPr>
        <w:tc>
          <w:tcPr>
            <w:tcW w:w="8779" w:type="dxa"/>
            <w:gridSpan w:val="4"/>
          </w:tcPr>
          <w:p w14:paraId="0D71D259" w14:textId="5AF7D305" w:rsidR="006365F2" w:rsidRPr="0096397C" w:rsidRDefault="006365F2" w:rsidP="00821445">
            <w:pPr>
              <w:pStyle w:val="Tabletext"/>
              <w:ind w:left="0" w:right="0"/>
              <w:rPr>
                <w:b/>
              </w:rPr>
            </w:pPr>
            <w:r w:rsidRPr="0096397C">
              <w:rPr>
                <w:b/>
              </w:rPr>
              <w:t>Treatment</w:t>
            </w:r>
            <w:r w:rsidR="00580F93" w:rsidRPr="0096397C">
              <w:rPr>
                <w:b/>
              </w:rPr>
              <w:t>-rel</w:t>
            </w:r>
            <w:r w:rsidRPr="0096397C">
              <w:rPr>
                <w:b/>
              </w:rPr>
              <w:t xml:space="preserve">ated </w:t>
            </w:r>
            <w:r w:rsidR="00580F93" w:rsidRPr="0096397C">
              <w:rPr>
                <w:b/>
              </w:rPr>
              <w:t>adverse events</w:t>
            </w:r>
          </w:p>
        </w:tc>
      </w:tr>
      <w:tr w:rsidR="006365F2" w:rsidRPr="00655F66" w14:paraId="36DA9B09" w14:textId="77777777" w:rsidTr="00C45323">
        <w:trPr>
          <w:trHeight w:val="269"/>
        </w:trPr>
        <w:tc>
          <w:tcPr>
            <w:tcW w:w="3959" w:type="dxa"/>
          </w:tcPr>
          <w:p w14:paraId="166771FA" w14:textId="706755EF" w:rsidR="006365F2" w:rsidRPr="001A4C29" w:rsidRDefault="006365F2" w:rsidP="00821445">
            <w:pPr>
              <w:pStyle w:val="Tabletext"/>
              <w:ind w:left="0" w:right="0"/>
            </w:pPr>
            <w:r w:rsidRPr="001A4C29">
              <w:t xml:space="preserve">Any </w:t>
            </w:r>
            <w:r w:rsidR="00580F93">
              <w:t>treatment related adverse event</w:t>
            </w:r>
          </w:p>
        </w:tc>
        <w:tc>
          <w:tcPr>
            <w:tcW w:w="1701" w:type="dxa"/>
          </w:tcPr>
          <w:p w14:paraId="198C3B58" w14:textId="77777777" w:rsidR="006365F2" w:rsidRPr="001A4C29" w:rsidRDefault="006365F2" w:rsidP="001A4C29">
            <w:pPr>
              <w:pStyle w:val="Tabletext"/>
              <w:ind w:left="0" w:right="0"/>
            </w:pPr>
            <w:r w:rsidRPr="001A4C29">
              <w:t>63.5%</w:t>
            </w:r>
          </w:p>
        </w:tc>
        <w:tc>
          <w:tcPr>
            <w:tcW w:w="1560" w:type="dxa"/>
          </w:tcPr>
          <w:p w14:paraId="33CD694C" w14:textId="77777777" w:rsidR="006365F2" w:rsidRPr="001A4C29" w:rsidRDefault="006365F2" w:rsidP="001A4C29">
            <w:pPr>
              <w:pStyle w:val="Tabletext"/>
              <w:ind w:left="0" w:right="0"/>
            </w:pPr>
            <w:r w:rsidRPr="001A4C29">
              <w:t>66.7%</w:t>
            </w:r>
          </w:p>
        </w:tc>
        <w:tc>
          <w:tcPr>
            <w:tcW w:w="1559" w:type="dxa"/>
          </w:tcPr>
          <w:p w14:paraId="6A4D69A4" w14:textId="77777777" w:rsidR="006365F2" w:rsidRPr="001A4C29" w:rsidRDefault="006365F2" w:rsidP="001A4C29">
            <w:pPr>
              <w:pStyle w:val="Tabletext"/>
              <w:ind w:left="0" w:right="0"/>
            </w:pPr>
            <w:r w:rsidRPr="001A4C29">
              <w:t>63.6%</w:t>
            </w:r>
          </w:p>
        </w:tc>
      </w:tr>
      <w:tr w:rsidR="006365F2" w:rsidRPr="00655F66" w14:paraId="24011350" w14:textId="77777777" w:rsidTr="00C45323">
        <w:trPr>
          <w:trHeight w:val="269"/>
        </w:trPr>
        <w:tc>
          <w:tcPr>
            <w:tcW w:w="8779" w:type="dxa"/>
            <w:gridSpan w:val="4"/>
          </w:tcPr>
          <w:p w14:paraId="7B7A75AB" w14:textId="0D289CFA" w:rsidR="006365F2" w:rsidRPr="0096397C" w:rsidRDefault="006365F2" w:rsidP="00821445">
            <w:pPr>
              <w:pStyle w:val="Tabletext"/>
              <w:ind w:left="0" w:right="0"/>
              <w:rPr>
                <w:b/>
              </w:rPr>
            </w:pPr>
            <w:r w:rsidRPr="0096397C">
              <w:rPr>
                <w:b/>
              </w:rPr>
              <w:t xml:space="preserve">Most common </w:t>
            </w:r>
            <w:r w:rsidR="00580F93" w:rsidRPr="0096397C">
              <w:rPr>
                <w:b/>
              </w:rPr>
              <w:t xml:space="preserve">treatment related adverse events </w:t>
            </w:r>
            <w:r w:rsidRPr="0096397C">
              <w:rPr>
                <w:b/>
              </w:rPr>
              <w:t>(</w:t>
            </w:r>
            <w:r w:rsidR="00580F93">
              <w:rPr>
                <w:b/>
              </w:rPr>
              <w:t xml:space="preserve">in </w:t>
            </w:r>
            <w:r w:rsidR="00BE1725" w:rsidRPr="0096397C">
              <w:rPr>
                <w:b/>
              </w:rPr>
              <w:t>5</w:t>
            </w:r>
            <w:r w:rsidRPr="0096397C">
              <w:rPr>
                <w:b/>
              </w:rPr>
              <w:t xml:space="preserve">% </w:t>
            </w:r>
            <w:r w:rsidR="00580F93">
              <w:rPr>
                <w:b/>
              </w:rPr>
              <w:t xml:space="preserve">or more </w:t>
            </w:r>
            <w:r w:rsidRPr="0096397C">
              <w:rPr>
                <w:b/>
              </w:rPr>
              <w:t>of Cohort A1)</w:t>
            </w:r>
          </w:p>
        </w:tc>
      </w:tr>
      <w:tr w:rsidR="006365F2" w:rsidRPr="00655F66" w14:paraId="5D97E357" w14:textId="77777777" w:rsidTr="00C45323">
        <w:trPr>
          <w:trHeight w:val="269"/>
        </w:trPr>
        <w:tc>
          <w:tcPr>
            <w:tcW w:w="3959" w:type="dxa"/>
          </w:tcPr>
          <w:p w14:paraId="584EB702" w14:textId="512EE289" w:rsidR="006365F2" w:rsidRPr="001A4C29" w:rsidRDefault="00F6419B" w:rsidP="001A4C29">
            <w:pPr>
              <w:pStyle w:val="Tabletext"/>
              <w:ind w:left="0" w:right="0"/>
            </w:pPr>
            <w:r w:rsidRPr="001A4C29">
              <w:t>D</w:t>
            </w:r>
            <w:r w:rsidR="006365F2" w:rsidRPr="001A4C29">
              <w:t>iarrhoea</w:t>
            </w:r>
          </w:p>
        </w:tc>
        <w:tc>
          <w:tcPr>
            <w:tcW w:w="1701" w:type="dxa"/>
          </w:tcPr>
          <w:p w14:paraId="5ECFA47C" w14:textId="77777777" w:rsidR="006365F2" w:rsidRPr="001A4C29" w:rsidRDefault="006365F2" w:rsidP="001A4C29">
            <w:pPr>
              <w:pStyle w:val="Tabletext"/>
              <w:ind w:left="0" w:right="0"/>
            </w:pPr>
            <w:r w:rsidRPr="001A4C29">
              <w:t>15.9%</w:t>
            </w:r>
          </w:p>
        </w:tc>
        <w:tc>
          <w:tcPr>
            <w:tcW w:w="1560" w:type="dxa"/>
          </w:tcPr>
          <w:p w14:paraId="5EE6244D" w14:textId="77777777" w:rsidR="006365F2" w:rsidRPr="001A4C29" w:rsidRDefault="006365F2" w:rsidP="001A4C29">
            <w:pPr>
              <w:pStyle w:val="Tabletext"/>
              <w:ind w:left="0" w:right="0"/>
            </w:pPr>
            <w:r w:rsidRPr="001A4C29">
              <w:t>33.3%</w:t>
            </w:r>
          </w:p>
        </w:tc>
        <w:tc>
          <w:tcPr>
            <w:tcW w:w="1559" w:type="dxa"/>
          </w:tcPr>
          <w:p w14:paraId="3E0B9675" w14:textId="77777777" w:rsidR="006365F2" w:rsidRPr="001A4C29" w:rsidRDefault="006365F2" w:rsidP="001A4C29">
            <w:pPr>
              <w:pStyle w:val="Tabletext"/>
              <w:ind w:left="0" w:right="0"/>
            </w:pPr>
            <w:r w:rsidRPr="001A4C29">
              <w:t>16.3%</w:t>
            </w:r>
          </w:p>
        </w:tc>
      </w:tr>
      <w:tr w:rsidR="006365F2" w:rsidRPr="00655F66" w14:paraId="2F81BABB" w14:textId="77777777" w:rsidTr="00C45323">
        <w:trPr>
          <w:trHeight w:val="269"/>
        </w:trPr>
        <w:tc>
          <w:tcPr>
            <w:tcW w:w="3959" w:type="dxa"/>
          </w:tcPr>
          <w:p w14:paraId="26F95C78" w14:textId="52F7BB52" w:rsidR="006365F2" w:rsidRPr="001A4C29" w:rsidRDefault="00F6419B" w:rsidP="001A4C29">
            <w:pPr>
              <w:pStyle w:val="Tabletext"/>
              <w:ind w:left="0" w:right="0"/>
            </w:pPr>
            <w:r w:rsidRPr="001A4C29">
              <w:t>A</w:t>
            </w:r>
            <w:r w:rsidR="006365F2" w:rsidRPr="001A4C29">
              <w:t>sthenia</w:t>
            </w:r>
          </w:p>
        </w:tc>
        <w:tc>
          <w:tcPr>
            <w:tcW w:w="1701" w:type="dxa"/>
          </w:tcPr>
          <w:p w14:paraId="475D3598" w14:textId="77777777" w:rsidR="006365F2" w:rsidRPr="001A4C29" w:rsidRDefault="006365F2" w:rsidP="001A4C29">
            <w:pPr>
              <w:pStyle w:val="Tabletext"/>
              <w:ind w:left="0" w:right="0"/>
            </w:pPr>
            <w:r w:rsidRPr="001A4C29">
              <w:t>14.3%</w:t>
            </w:r>
          </w:p>
        </w:tc>
        <w:tc>
          <w:tcPr>
            <w:tcW w:w="1560" w:type="dxa"/>
          </w:tcPr>
          <w:p w14:paraId="5DDDE56E" w14:textId="77777777" w:rsidR="006365F2" w:rsidRPr="001A4C29" w:rsidRDefault="006365F2" w:rsidP="001A4C29">
            <w:pPr>
              <w:pStyle w:val="Tabletext"/>
              <w:ind w:left="0" w:right="0"/>
            </w:pPr>
            <w:r w:rsidRPr="001A4C29">
              <w:t>0</w:t>
            </w:r>
          </w:p>
        </w:tc>
        <w:tc>
          <w:tcPr>
            <w:tcW w:w="1559" w:type="dxa"/>
          </w:tcPr>
          <w:p w14:paraId="24B7854E" w14:textId="77777777" w:rsidR="006365F2" w:rsidRPr="001A4C29" w:rsidRDefault="006365F2" w:rsidP="001A4C29">
            <w:pPr>
              <w:pStyle w:val="Tabletext"/>
              <w:ind w:left="0" w:right="0"/>
            </w:pPr>
            <w:r w:rsidRPr="001A4C29">
              <w:t>14.0%</w:t>
            </w:r>
          </w:p>
        </w:tc>
      </w:tr>
      <w:tr w:rsidR="006365F2" w:rsidRPr="00655F66" w14:paraId="2627BF2E" w14:textId="77777777" w:rsidTr="00C45323">
        <w:trPr>
          <w:trHeight w:val="269"/>
        </w:trPr>
        <w:tc>
          <w:tcPr>
            <w:tcW w:w="3959" w:type="dxa"/>
          </w:tcPr>
          <w:p w14:paraId="1EE57705" w14:textId="76835862" w:rsidR="006365F2" w:rsidRPr="001A4C29" w:rsidRDefault="00F6419B" w:rsidP="001A4C29">
            <w:pPr>
              <w:pStyle w:val="Tabletext"/>
              <w:ind w:left="0" w:right="0"/>
            </w:pPr>
            <w:r w:rsidRPr="001A4C29">
              <w:t>F</w:t>
            </w:r>
            <w:r w:rsidR="006365F2" w:rsidRPr="001A4C29">
              <w:t>atigue</w:t>
            </w:r>
          </w:p>
        </w:tc>
        <w:tc>
          <w:tcPr>
            <w:tcW w:w="1701" w:type="dxa"/>
          </w:tcPr>
          <w:p w14:paraId="6413C18C" w14:textId="77777777" w:rsidR="006365F2" w:rsidRPr="001A4C29" w:rsidRDefault="006365F2" w:rsidP="001A4C29">
            <w:pPr>
              <w:pStyle w:val="Tabletext"/>
              <w:ind w:left="0" w:right="0"/>
            </w:pPr>
            <w:r w:rsidRPr="001A4C29">
              <w:t>13.5%</w:t>
            </w:r>
          </w:p>
        </w:tc>
        <w:tc>
          <w:tcPr>
            <w:tcW w:w="1560" w:type="dxa"/>
          </w:tcPr>
          <w:p w14:paraId="64F503AE" w14:textId="77777777" w:rsidR="006365F2" w:rsidRPr="001A4C29" w:rsidRDefault="006365F2" w:rsidP="001A4C29">
            <w:pPr>
              <w:pStyle w:val="Tabletext"/>
              <w:ind w:left="0" w:right="0"/>
            </w:pPr>
            <w:r w:rsidRPr="001A4C29">
              <w:t>0</w:t>
            </w:r>
          </w:p>
        </w:tc>
        <w:tc>
          <w:tcPr>
            <w:tcW w:w="1559" w:type="dxa"/>
          </w:tcPr>
          <w:p w14:paraId="269B12AA" w14:textId="77777777" w:rsidR="006365F2" w:rsidRPr="001A4C29" w:rsidRDefault="006365F2" w:rsidP="001A4C29">
            <w:pPr>
              <w:pStyle w:val="Tabletext"/>
              <w:ind w:left="0" w:right="0"/>
            </w:pPr>
            <w:r w:rsidRPr="001A4C29">
              <w:t>13.2%</w:t>
            </w:r>
          </w:p>
        </w:tc>
      </w:tr>
      <w:tr w:rsidR="006365F2" w:rsidRPr="00655F66" w14:paraId="1BD05BA3" w14:textId="77777777" w:rsidTr="00C45323">
        <w:trPr>
          <w:trHeight w:val="269"/>
        </w:trPr>
        <w:tc>
          <w:tcPr>
            <w:tcW w:w="3959" w:type="dxa"/>
          </w:tcPr>
          <w:p w14:paraId="5DDDFCC2" w14:textId="38A9C723" w:rsidR="006365F2" w:rsidRPr="001A4C29" w:rsidRDefault="00F6419B" w:rsidP="001A4C29">
            <w:pPr>
              <w:pStyle w:val="Tabletext"/>
              <w:ind w:left="0" w:right="0"/>
            </w:pPr>
            <w:r w:rsidRPr="001A4C29">
              <w:t>N</w:t>
            </w:r>
            <w:r w:rsidR="006365F2" w:rsidRPr="001A4C29">
              <w:t>ausea</w:t>
            </w:r>
          </w:p>
        </w:tc>
        <w:tc>
          <w:tcPr>
            <w:tcW w:w="1701" w:type="dxa"/>
          </w:tcPr>
          <w:p w14:paraId="28368F65" w14:textId="77777777" w:rsidR="006365F2" w:rsidRPr="001A4C29" w:rsidRDefault="006365F2" w:rsidP="001A4C29">
            <w:pPr>
              <w:pStyle w:val="Tabletext"/>
              <w:ind w:left="0" w:right="0"/>
            </w:pPr>
            <w:r w:rsidRPr="001A4C29">
              <w:t>12.7%</w:t>
            </w:r>
          </w:p>
        </w:tc>
        <w:tc>
          <w:tcPr>
            <w:tcW w:w="1560" w:type="dxa"/>
          </w:tcPr>
          <w:p w14:paraId="5027E544" w14:textId="77777777" w:rsidR="006365F2" w:rsidRPr="001A4C29" w:rsidRDefault="006365F2" w:rsidP="001A4C29">
            <w:pPr>
              <w:pStyle w:val="Tabletext"/>
              <w:ind w:left="0" w:right="0"/>
            </w:pPr>
            <w:r w:rsidRPr="001A4C29">
              <w:t>0</w:t>
            </w:r>
          </w:p>
        </w:tc>
        <w:tc>
          <w:tcPr>
            <w:tcW w:w="1559" w:type="dxa"/>
          </w:tcPr>
          <w:p w14:paraId="259337CC" w14:textId="77777777" w:rsidR="006365F2" w:rsidRPr="001A4C29" w:rsidRDefault="006365F2" w:rsidP="001A4C29">
            <w:pPr>
              <w:pStyle w:val="Tabletext"/>
              <w:ind w:left="0" w:right="0"/>
            </w:pPr>
            <w:r w:rsidRPr="001A4C29">
              <w:t>12.4%</w:t>
            </w:r>
          </w:p>
        </w:tc>
      </w:tr>
      <w:tr w:rsidR="006365F2" w:rsidRPr="00655F66" w14:paraId="20BE4119" w14:textId="77777777" w:rsidTr="00C45323">
        <w:trPr>
          <w:trHeight w:val="269"/>
        </w:trPr>
        <w:tc>
          <w:tcPr>
            <w:tcW w:w="3959" w:type="dxa"/>
          </w:tcPr>
          <w:p w14:paraId="23583D7B" w14:textId="76ACF4D0" w:rsidR="006365F2" w:rsidRPr="001A4C29" w:rsidRDefault="00F6419B" w:rsidP="001A4C29">
            <w:pPr>
              <w:pStyle w:val="Tabletext"/>
              <w:ind w:left="0" w:right="0"/>
            </w:pPr>
            <w:r w:rsidRPr="001A4C29">
              <w:t>A</w:t>
            </w:r>
            <w:r w:rsidR="006365F2" w:rsidRPr="001A4C29">
              <w:t>rthralgia</w:t>
            </w:r>
          </w:p>
        </w:tc>
        <w:tc>
          <w:tcPr>
            <w:tcW w:w="1701" w:type="dxa"/>
          </w:tcPr>
          <w:p w14:paraId="0B3B532E" w14:textId="77777777" w:rsidR="006365F2" w:rsidRPr="001A4C29" w:rsidRDefault="006365F2" w:rsidP="001A4C29">
            <w:pPr>
              <w:pStyle w:val="Tabletext"/>
              <w:ind w:left="0" w:right="0"/>
            </w:pPr>
            <w:r w:rsidRPr="001A4C29">
              <w:t>8.7%</w:t>
            </w:r>
          </w:p>
        </w:tc>
        <w:tc>
          <w:tcPr>
            <w:tcW w:w="1560" w:type="dxa"/>
          </w:tcPr>
          <w:p w14:paraId="7DF2C7BA" w14:textId="77777777" w:rsidR="006365F2" w:rsidRPr="001A4C29" w:rsidRDefault="006365F2" w:rsidP="001A4C29">
            <w:pPr>
              <w:pStyle w:val="Tabletext"/>
              <w:ind w:left="0" w:right="0"/>
            </w:pPr>
            <w:r w:rsidRPr="001A4C29">
              <w:t>0</w:t>
            </w:r>
          </w:p>
        </w:tc>
        <w:tc>
          <w:tcPr>
            <w:tcW w:w="1559" w:type="dxa"/>
          </w:tcPr>
          <w:p w14:paraId="65E5175D" w14:textId="77777777" w:rsidR="006365F2" w:rsidRPr="001A4C29" w:rsidRDefault="006365F2" w:rsidP="001A4C29">
            <w:pPr>
              <w:pStyle w:val="Tabletext"/>
              <w:ind w:left="0" w:right="0"/>
            </w:pPr>
            <w:r w:rsidRPr="001A4C29">
              <w:t>8.5%</w:t>
            </w:r>
          </w:p>
        </w:tc>
      </w:tr>
      <w:tr w:rsidR="006365F2" w:rsidRPr="00655F66" w14:paraId="4CD4AD94" w14:textId="77777777" w:rsidTr="00C45323">
        <w:trPr>
          <w:trHeight w:val="269"/>
        </w:trPr>
        <w:tc>
          <w:tcPr>
            <w:tcW w:w="3959" w:type="dxa"/>
          </w:tcPr>
          <w:p w14:paraId="3DD42EA7" w14:textId="438B1C95" w:rsidR="006365F2" w:rsidRPr="001A4C29" w:rsidRDefault="00F6419B" w:rsidP="001A4C29">
            <w:pPr>
              <w:pStyle w:val="Tabletext"/>
              <w:ind w:left="0" w:right="0"/>
            </w:pPr>
            <w:r w:rsidRPr="001A4C29">
              <w:t>P</w:t>
            </w:r>
            <w:r w:rsidR="006365F2" w:rsidRPr="001A4C29">
              <w:t>ruritus</w:t>
            </w:r>
          </w:p>
        </w:tc>
        <w:tc>
          <w:tcPr>
            <w:tcW w:w="1701" w:type="dxa"/>
          </w:tcPr>
          <w:p w14:paraId="100E9CF4" w14:textId="77777777" w:rsidR="006365F2" w:rsidRPr="001A4C29" w:rsidRDefault="006365F2" w:rsidP="001A4C29">
            <w:pPr>
              <w:pStyle w:val="Tabletext"/>
              <w:ind w:left="0" w:right="0"/>
            </w:pPr>
            <w:r w:rsidRPr="001A4C29">
              <w:t>8.7%</w:t>
            </w:r>
          </w:p>
        </w:tc>
        <w:tc>
          <w:tcPr>
            <w:tcW w:w="1560" w:type="dxa"/>
          </w:tcPr>
          <w:p w14:paraId="1BA7FFC7" w14:textId="77777777" w:rsidR="006365F2" w:rsidRPr="001A4C29" w:rsidRDefault="006365F2" w:rsidP="001A4C29">
            <w:pPr>
              <w:pStyle w:val="Tabletext"/>
              <w:ind w:left="0" w:right="0"/>
            </w:pPr>
            <w:r w:rsidRPr="001A4C29">
              <w:t>0</w:t>
            </w:r>
          </w:p>
        </w:tc>
        <w:tc>
          <w:tcPr>
            <w:tcW w:w="1559" w:type="dxa"/>
          </w:tcPr>
          <w:p w14:paraId="170C458B" w14:textId="77777777" w:rsidR="006365F2" w:rsidRPr="001A4C29" w:rsidRDefault="006365F2" w:rsidP="001A4C29">
            <w:pPr>
              <w:pStyle w:val="Tabletext"/>
              <w:ind w:left="0" w:right="0"/>
            </w:pPr>
            <w:r w:rsidRPr="001A4C29">
              <w:t>8.5%</w:t>
            </w:r>
          </w:p>
        </w:tc>
      </w:tr>
      <w:tr w:rsidR="006365F2" w:rsidRPr="00655F66" w14:paraId="169C4ECC" w14:textId="77777777" w:rsidTr="00C45323">
        <w:trPr>
          <w:trHeight w:val="269"/>
        </w:trPr>
        <w:tc>
          <w:tcPr>
            <w:tcW w:w="3959" w:type="dxa"/>
          </w:tcPr>
          <w:p w14:paraId="1613D691" w14:textId="040319AD" w:rsidR="006365F2" w:rsidRPr="001A4C29" w:rsidRDefault="00F6419B" w:rsidP="001A4C29">
            <w:pPr>
              <w:pStyle w:val="Tabletext"/>
              <w:ind w:left="0" w:right="0"/>
            </w:pPr>
            <w:r w:rsidRPr="001A4C29">
              <w:t>A</w:t>
            </w:r>
            <w:r w:rsidR="006365F2" w:rsidRPr="001A4C29">
              <w:t>naemia</w:t>
            </w:r>
          </w:p>
        </w:tc>
        <w:tc>
          <w:tcPr>
            <w:tcW w:w="1701" w:type="dxa"/>
          </w:tcPr>
          <w:p w14:paraId="121B3D50" w14:textId="77777777" w:rsidR="006365F2" w:rsidRPr="001A4C29" w:rsidRDefault="006365F2" w:rsidP="001A4C29">
            <w:pPr>
              <w:pStyle w:val="Tabletext"/>
              <w:ind w:left="0" w:right="0"/>
            </w:pPr>
            <w:r w:rsidRPr="001A4C29">
              <w:t>7.1%</w:t>
            </w:r>
          </w:p>
        </w:tc>
        <w:tc>
          <w:tcPr>
            <w:tcW w:w="1560" w:type="dxa"/>
          </w:tcPr>
          <w:p w14:paraId="3A0BE83A" w14:textId="77777777" w:rsidR="006365F2" w:rsidRPr="001A4C29" w:rsidRDefault="006365F2" w:rsidP="001A4C29">
            <w:pPr>
              <w:pStyle w:val="Tabletext"/>
              <w:ind w:left="0" w:right="0"/>
            </w:pPr>
            <w:r w:rsidRPr="001A4C29">
              <w:t>0</w:t>
            </w:r>
          </w:p>
        </w:tc>
        <w:tc>
          <w:tcPr>
            <w:tcW w:w="1559" w:type="dxa"/>
          </w:tcPr>
          <w:p w14:paraId="75D8BB74" w14:textId="77777777" w:rsidR="006365F2" w:rsidRPr="001A4C29" w:rsidRDefault="006365F2" w:rsidP="001A4C29">
            <w:pPr>
              <w:pStyle w:val="Tabletext"/>
              <w:ind w:left="0" w:right="0"/>
            </w:pPr>
            <w:r w:rsidRPr="001A4C29">
              <w:t>7.0%</w:t>
            </w:r>
          </w:p>
        </w:tc>
      </w:tr>
      <w:tr w:rsidR="006365F2" w:rsidRPr="00655F66" w14:paraId="22ABD807" w14:textId="77777777" w:rsidTr="00C45323">
        <w:trPr>
          <w:trHeight w:val="269"/>
        </w:trPr>
        <w:tc>
          <w:tcPr>
            <w:tcW w:w="3959" w:type="dxa"/>
          </w:tcPr>
          <w:p w14:paraId="0587B31E" w14:textId="55C33799" w:rsidR="006365F2" w:rsidRPr="001A4C29" w:rsidRDefault="00F6419B" w:rsidP="001A4C29">
            <w:pPr>
              <w:pStyle w:val="Tabletext"/>
              <w:ind w:left="0" w:right="0"/>
            </w:pPr>
            <w:r w:rsidRPr="001A4C29">
              <w:t>H</w:t>
            </w:r>
            <w:r w:rsidR="006365F2" w:rsidRPr="001A4C29">
              <w:t>ypothyroidism</w:t>
            </w:r>
          </w:p>
        </w:tc>
        <w:tc>
          <w:tcPr>
            <w:tcW w:w="1701" w:type="dxa"/>
          </w:tcPr>
          <w:p w14:paraId="41EF328E" w14:textId="77777777" w:rsidR="006365F2" w:rsidRPr="001A4C29" w:rsidRDefault="006365F2" w:rsidP="001A4C29">
            <w:pPr>
              <w:pStyle w:val="Tabletext"/>
              <w:ind w:left="0" w:right="0"/>
            </w:pPr>
            <w:r w:rsidRPr="001A4C29">
              <w:t>6.3%</w:t>
            </w:r>
          </w:p>
        </w:tc>
        <w:tc>
          <w:tcPr>
            <w:tcW w:w="1560" w:type="dxa"/>
          </w:tcPr>
          <w:p w14:paraId="10735552" w14:textId="77777777" w:rsidR="006365F2" w:rsidRPr="001A4C29" w:rsidRDefault="006365F2" w:rsidP="001A4C29">
            <w:pPr>
              <w:pStyle w:val="Tabletext"/>
              <w:ind w:left="0" w:right="0"/>
            </w:pPr>
            <w:r w:rsidRPr="001A4C29">
              <w:t>33.3%</w:t>
            </w:r>
          </w:p>
        </w:tc>
        <w:tc>
          <w:tcPr>
            <w:tcW w:w="1559" w:type="dxa"/>
          </w:tcPr>
          <w:p w14:paraId="339CD533" w14:textId="77777777" w:rsidR="006365F2" w:rsidRPr="001A4C29" w:rsidRDefault="006365F2" w:rsidP="001A4C29">
            <w:pPr>
              <w:pStyle w:val="Tabletext"/>
              <w:ind w:left="0" w:right="0"/>
            </w:pPr>
            <w:r w:rsidRPr="001A4C29">
              <w:t>7.0%</w:t>
            </w:r>
          </w:p>
        </w:tc>
      </w:tr>
      <w:tr w:rsidR="006365F2" w:rsidRPr="00655F66" w14:paraId="27412A33" w14:textId="77777777" w:rsidTr="00C45323">
        <w:trPr>
          <w:trHeight w:val="269"/>
        </w:trPr>
        <w:tc>
          <w:tcPr>
            <w:tcW w:w="3959" w:type="dxa"/>
          </w:tcPr>
          <w:p w14:paraId="358B377F" w14:textId="65480778" w:rsidR="006365F2" w:rsidRPr="001A4C29" w:rsidRDefault="00F6419B" w:rsidP="001A4C29">
            <w:pPr>
              <w:pStyle w:val="Tabletext"/>
              <w:ind w:left="0" w:right="0"/>
            </w:pPr>
            <w:r w:rsidRPr="001A4C29">
              <w:t>R</w:t>
            </w:r>
            <w:r w:rsidR="006365F2" w:rsidRPr="001A4C29">
              <w:t>ash</w:t>
            </w:r>
          </w:p>
        </w:tc>
        <w:tc>
          <w:tcPr>
            <w:tcW w:w="1701" w:type="dxa"/>
          </w:tcPr>
          <w:p w14:paraId="38DCCA65" w14:textId="77777777" w:rsidR="006365F2" w:rsidRPr="001A4C29" w:rsidRDefault="006365F2" w:rsidP="001A4C29">
            <w:pPr>
              <w:pStyle w:val="Tabletext"/>
              <w:ind w:left="0" w:right="0"/>
            </w:pPr>
            <w:r w:rsidRPr="001A4C29">
              <w:t>5.6%</w:t>
            </w:r>
          </w:p>
        </w:tc>
        <w:tc>
          <w:tcPr>
            <w:tcW w:w="1560" w:type="dxa"/>
          </w:tcPr>
          <w:p w14:paraId="094D5492" w14:textId="77777777" w:rsidR="006365F2" w:rsidRPr="001A4C29" w:rsidRDefault="006365F2" w:rsidP="001A4C29">
            <w:pPr>
              <w:pStyle w:val="Tabletext"/>
              <w:ind w:left="0" w:right="0"/>
            </w:pPr>
            <w:r w:rsidRPr="001A4C29">
              <w:t>0</w:t>
            </w:r>
          </w:p>
        </w:tc>
        <w:tc>
          <w:tcPr>
            <w:tcW w:w="1559" w:type="dxa"/>
          </w:tcPr>
          <w:p w14:paraId="76B20A47" w14:textId="77777777" w:rsidR="006365F2" w:rsidRPr="001A4C29" w:rsidRDefault="006365F2" w:rsidP="001A4C29">
            <w:pPr>
              <w:pStyle w:val="Tabletext"/>
              <w:ind w:left="0" w:right="0"/>
            </w:pPr>
            <w:r w:rsidRPr="001A4C29">
              <w:t>5.4%</w:t>
            </w:r>
          </w:p>
        </w:tc>
      </w:tr>
      <w:tr w:rsidR="006365F2" w:rsidRPr="00655F66" w14:paraId="0A500FCB" w14:textId="77777777" w:rsidTr="00C45323">
        <w:trPr>
          <w:trHeight w:val="269"/>
        </w:trPr>
        <w:tc>
          <w:tcPr>
            <w:tcW w:w="3959" w:type="dxa"/>
          </w:tcPr>
          <w:p w14:paraId="09FCA94B" w14:textId="1576EA5E" w:rsidR="006365F2" w:rsidRPr="001A4C29" w:rsidRDefault="006365F2" w:rsidP="001A4C29">
            <w:pPr>
              <w:pStyle w:val="Tabletext"/>
              <w:ind w:left="0" w:right="0"/>
            </w:pPr>
            <w:r w:rsidRPr="001A4C29">
              <w:t xml:space="preserve">Any CTCAE Grade 3 </w:t>
            </w:r>
            <w:r w:rsidR="00580F93">
              <w:t xml:space="preserve">to </w:t>
            </w:r>
            <w:r w:rsidRPr="001A4C29">
              <w:t xml:space="preserve">5 </w:t>
            </w:r>
            <w:r w:rsidR="00580F93">
              <w:t>tr</w:t>
            </w:r>
            <w:r w:rsidR="00B75E4C">
              <w:t>eatment-</w:t>
            </w:r>
            <w:r w:rsidR="00580F93">
              <w:t>related adverse event</w:t>
            </w:r>
          </w:p>
        </w:tc>
        <w:tc>
          <w:tcPr>
            <w:tcW w:w="1701" w:type="dxa"/>
          </w:tcPr>
          <w:p w14:paraId="3CF74FA7" w14:textId="77777777" w:rsidR="006365F2" w:rsidRPr="001A4C29" w:rsidRDefault="006365F2" w:rsidP="001A4C29">
            <w:pPr>
              <w:pStyle w:val="Tabletext"/>
              <w:ind w:left="0" w:right="0"/>
            </w:pPr>
            <w:r w:rsidRPr="001A4C29">
              <w:t>13.5%</w:t>
            </w:r>
          </w:p>
        </w:tc>
        <w:tc>
          <w:tcPr>
            <w:tcW w:w="1560" w:type="dxa"/>
          </w:tcPr>
          <w:p w14:paraId="76B7965A" w14:textId="77777777" w:rsidR="006365F2" w:rsidRPr="001A4C29" w:rsidRDefault="006365F2" w:rsidP="001A4C29">
            <w:pPr>
              <w:pStyle w:val="Tabletext"/>
              <w:ind w:left="0" w:right="0"/>
            </w:pPr>
            <w:r w:rsidRPr="001A4C29">
              <w:t>0</w:t>
            </w:r>
          </w:p>
        </w:tc>
        <w:tc>
          <w:tcPr>
            <w:tcW w:w="1559" w:type="dxa"/>
          </w:tcPr>
          <w:p w14:paraId="7C0FEEFB" w14:textId="77777777" w:rsidR="006365F2" w:rsidRPr="001A4C29" w:rsidRDefault="006365F2" w:rsidP="001A4C29">
            <w:pPr>
              <w:pStyle w:val="Tabletext"/>
              <w:ind w:left="0" w:right="0"/>
            </w:pPr>
            <w:r w:rsidRPr="001A4C29">
              <w:t>13.2%</w:t>
            </w:r>
          </w:p>
        </w:tc>
      </w:tr>
      <w:tr w:rsidR="00580F93" w:rsidRPr="00655F66" w14:paraId="077354B2" w14:textId="77777777" w:rsidTr="00680FE3">
        <w:trPr>
          <w:trHeight w:val="269"/>
        </w:trPr>
        <w:tc>
          <w:tcPr>
            <w:tcW w:w="8779" w:type="dxa"/>
            <w:gridSpan w:val="4"/>
          </w:tcPr>
          <w:p w14:paraId="45AFE1B9" w14:textId="4B1DE604" w:rsidR="00580F93" w:rsidRPr="001A4C29" w:rsidRDefault="00580F93" w:rsidP="001A4C29">
            <w:pPr>
              <w:pStyle w:val="Tabletext"/>
              <w:ind w:left="0" w:right="0"/>
            </w:pPr>
            <w:r w:rsidRPr="0096397C">
              <w:rPr>
                <w:b/>
              </w:rPr>
              <w:t xml:space="preserve">Serious </w:t>
            </w:r>
            <w:r>
              <w:rPr>
                <w:b/>
              </w:rPr>
              <w:t>a</w:t>
            </w:r>
            <w:r w:rsidRPr="0096397C">
              <w:rPr>
                <w:b/>
              </w:rPr>
              <w:t xml:space="preserve">dverse </w:t>
            </w:r>
            <w:r>
              <w:rPr>
                <w:b/>
              </w:rPr>
              <w:t>e</w:t>
            </w:r>
            <w:r w:rsidRPr="0096397C">
              <w:rPr>
                <w:b/>
              </w:rPr>
              <w:t>vents</w:t>
            </w:r>
          </w:p>
        </w:tc>
      </w:tr>
      <w:tr w:rsidR="006365F2" w:rsidRPr="00655F66" w14:paraId="5D1B5E13" w14:textId="77777777" w:rsidTr="00C45323">
        <w:trPr>
          <w:trHeight w:val="269"/>
        </w:trPr>
        <w:tc>
          <w:tcPr>
            <w:tcW w:w="3959" w:type="dxa"/>
          </w:tcPr>
          <w:p w14:paraId="6E84E603" w14:textId="0E09E674" w:rsidR="006365F2" w:rsidRPr="001A4C29" w:rsidRDefault="006365F2" w:rsidP="001A4C29">
            <w:pPr>
              <w:pStyle w:val="Tabletext"/>
              <w:ind w:left="0" w:right="0"/>
            </w:pPr>
            <w:r w:rsidRPr="001A4C29">
              <w:t xml:space="preserve">Any </w:t>
            </w:r>
            <w:r w:rsidR="00580F93">
              <w:t>serious adverse events</w:t>
            </w:r>
          </w:p>
        </w:tc>
        <w:tc>
          <w:tcPr>
            <w:tcW w:w="1701" w:type="dxa"/>
          </w:tcPr>
          <w:p w14:paraId="7B78E783" w14:textId="77777777" w:rsidR="006365F2" w:rsidRPr="001A4C29" w:rsidRDefault="006365F2" w:rsidP="001A4C29">
            <w:pPr>
              <w:pStyle w:val="Tabletext"/>
              <w:ind w:left="0" w:right="0"/>
            </w:pPr>
            <w:r w:rsidRPr="001A4C29">
              <w:t>34.1%</w:t>
            </w:r>
          </w:p>
        </w:tc>
        <w:tc>
          <w:tcPr>
            <w:tcW w:w="1560" w:type="dxa"/>
          </w:tcPr>
          <w:p w14:paraId="6856987B" w14:textId="2CDA9C80" w:rsidR="006365F2" w:rsidRPr="001A4C29" w:rsidRDefault="006365F2" w:rsidP="001A4C29">
            <w:pPr>
              <w:pStyle w:val="Tabletext"/>
              <w:ind w:left="0" w:right="0"/>
            </w:pPr>
            <w:r w:rsidRPr="001A4C29">
              <w:t>33.3%</w:t>
            </w:r>
          </w:p>
        </w:tc>
        <w:tc>
          <w:tcPr>
            <w:tcW w:w="1559" w:type="dxa"/>
          </w:tcPr>
          <w:p w14:paraId="5D248551" w14:textId="77777777" w:rsidR="006365F2" w:rsidRPr="001A4C29" w:rsidRDefault="006365F2" w:rsidP="001A4C29">
            <w:pPr>
              <w:pStyle w:val="Tabletext"/>
              <w:ind w:left="0" w:right="0"/>
            </w:pPr>
            <w:r w:rsidRPr="001A4C29">
              <w:t>34.1%</w:t>
            </w:r>
          </w:p>
        </w:tc>
      </w:tr>
      <w:tr w:rsidR="00580F93" w:rsidRPr="00655F66" w14:paraId="66CCFDB6" w14:textId="77777777" w:rsidTr="00477D3A">
        <w:trPr>
          <w:trHeight w:val="269"/>
        </w:trPr>
        <w:tc>
          <w:tcPr>
            <w:tcW w:w="8779" w:type="dxa"/>
            <w:gridSpan w:val="4"/>
          </w:tcPr>
          <w:p w14:paraId="35D27B32" w14:textId="350B5E51" w:rsidR="00580F93" w:rsidRPr="0096397C" w:rsidRDefault="00580F93" w:rsidP="001A4C29">
            <w:pPr>
              <w:pStyle w:val="Tabletext"/>
              <w:ind w:left="0" w:right="0"/>
              <w:rPr>
                <w:b/>
              </w:rPr>
            </w:pPr>
            <w:r w:rsidRPr="0096397C">
              <w:rPr>
                <w:b/>
              </w:rPr>
              <w:t>Serious adverse events in 2% or more of Cohort A1</w:t>
            </w:r>
          </w:p>
        </w:tc>
      </w:tr>
      <w:tr w:rsidR="006365F2" w:rsidRPr="00655F66" w14:paraId="0C75C489" w14:textId="77777777" w:rsidTr="00C45323">
        <w:trPr>
          <w:trHeight w:val="269"/>
        </w:trPr>
        <w:tc>
          <w:tcPr>
            <w:tcW w:w="3959" w:type="dxa"/>
          </w:tcPr>
          <w:p w14:paraId="612E1312" w14:textId="102E1A6D" w:rsidR="006365F2" w:rsidRPr="001A4C29" w:rsidRDefault="00580F93" w:rsidP="001A4C29">
            <w:pPr>
              <w:pStyle w:val="Tabletext"/>
              <w:ind w:left="0" w:right="0"/>
            </w:pPr>
            <w:r>
              <w:lastRenderedPageBreak/>
              <w:t>A</w:t>
            </w:r>
            <w:r w:rsidR="006365F2" w:rsidRPr="001A4C29">
              <w:t>bdominal pain</w:t>
            </w:r>
          </w:p>
        </w:tc>
        <w:tc>
          <w:tcPr>
            <w:tcW w:w="1701" w:type="dxa"/>
          </w:tcPr>
          <w:p w14:paraId="3F9E7F38" w14:textId="77777777" w:rsidR="006365F2" w:rsidRPr="001A4C29" w:rsidRDefault="006365F2" w:rsidP="001A4C29">
            <w:pPr>
              <w:pStyle w:val="Tabletext"/>
              <w:ind w:left="0" w:right="0"/>
            </w:pPr>
            <w:r w:rsidRPr="001A4C29">
              <w:t>3.2%</w:t>
            </w:r>
          </w:p>
        </w:tc>
        <w:tc>
          <w:tcPr>
            <w:tcW w:w="1560" w:type="dxa"/>
          </w:tcPr>
          <w:p w14:paraId="3E834D7A" w14:textId="77777777" w:rsidR="006365F2" w:rsidRPr="001A4C29" w:rsidRDefault="006365F2" w:rsidP="001A4C29">
            <w:pPr>
              <w:pStyle w:val="Tabletext"/>
              <w:ind w:left="0" w:right="0"/>
            </w:pPr>
            <w:r w:rsidRPr="001A4C29">
              <w:t>0</w:t>
            </w:r>
          </w:p>
        </w:tc>
        <w:tc>
          <w:tcPr>
            <w:tcW w:w="1559" w:type="dxa"/>
          </w:tcPr>
          <w:p w14:paraId="4E401BC2" w14:textId="77777777" w:rsidR="006365F2" w:rsidRPr="001A4C29" w:rsidRDefault="006365F2" w:rsidP="001A4C29">
            <w:pPr>
              <w:pStyle w:val="Tabletext"/>
              <w:ind w:left="0" w:right="0"/>
            </w:pPr>
            <w:r w:rsidRPr="001A4C29">
              <w:t>3.1%</w:t>
            </w:r>
          </w:p>
        </w:tc>
      </w:tr>
      <w:tr w:rsidR="006365F2" w:rsidRPr="00655F66" w14:paraId="071A007D" w14:textId="77777777" w:rsidTr="00C45323">
        <w:trPr>
          <w:trHeight w:val="269"/>
        </w:trPr>
        <w:tc>
          <w:tcPr>
            <w:tcW w:w="3959" w:type="dxa"/>
          </w:tcPr>
          <w:p w14:paraId="1D017431" w14:textId="53B888A2" w:rsidR="006365F2" w:rsidRPr="001A4C29" w:rsidRDefault="00580F93" w:rsidP="001A4C29">
            <w:pPr>
              <w:pStyle w:val="Tabletext"/>
              <w:ind w:left="0" w:right="0"/>
            </w:pPr>
            <w:r>
              <w:t>A</w:t>
            </w:r>
            <w:r w:rsidR="006365F2" w:rsidRPr="001A4C29">
              <w:t>cute kidney injury</w:t>
            </w:r>
          </w:p>
        </w:tc>
        <w:tc>
          <w:tcPr>
            <w:tcW w:w="1701" w:type="dxa"/>
          </w:tcPr>
          <w:p w14:paraId="5BD34D06" w14:textId="77777777" w:rsidR="006365F2" w:rsidRPr="001A4C29" w:rsidRDefault="006365F2" w:rsidP="001A4C29">
            <w:pPr>
              <w:pStyle w:val="Tabletext"/>
              <w:ind w:left="0" w:right="0"/>
            </w:pPr>
            <w:r w:rsidRPr="001A4C29">
              <w:t>3.2%</w:t>
            </w:r>
          </w:p>
        </w:tc>
        <w:tc>
          <w:tcPr>
            <w:tcW w:w="1560" w:type="dxa"/>
          </w:tcPr>
          <w:p w14:paraId="543EB51F" w14:textId="77777777" w:rsidR="006365F2" w:rsidRPr="001A4C29" w:rsidRDefault="006365F2" w:rsidP="001A4C29">
            <w:pPr>
              <w:pStyle w:val="Tabletext"/>
              <w:ind w:left="0" w:right="0"/>
            </w:pPr>
            <w:r w:rsidRPr="001A4C29">
              <w:t>0</w:t>
            </w:r>
          </w:p>
        </w:tc>
        <w:tc>
          <w:tcPr>
            <w:tcW w:w="1559" w:type="dxa"/>
          </w:tcPr>
          <w:p w14:paraId="04B74D38" w14:textId="77777777" w:rsidR="006365F2" w:rsidRPr="001A4C29" w:rsidRDefault="006365F2" w:rsidP="001A4C29">
            <w:pPr>
              <w:pStyle w:val="Tabletext"/>
              <w:ind w:left="0" w:right="0"/>
            </w:pPr>
            <w:r w:rsidRPr="001A4C29">
              <w:t>3.1%</w:t>
            </w:r>
          </w:p>
        </w:tc>
      </w:tr>
      <w:tr w:rsidR="006365F2" w:rsidRPr="00655F66" w14:paraId="2E7EC5D1" w14:textId="77777777" w:rsidTr="00C45323">
        <w:trPr>
          <w:trHeight w:val="269"/>
        </w:trPr>
        <w:tc>
          <w:tcPr>
            <w:tcW w:w="3959" w:type="dxa"/>
          </w:tcPr>
          <w:p w14:paraId="0B917628" w14:textId="5D935152" w:rsidR="006365F2" w:rsidRPr="001A4C29" w:rsidRDefault="00F6419B" w:rsidP="001A4C29">
            <w:pPr>
              <w:pStyle w:val="Tabletext"/>
              <w:ind w:left="0" w:right="0"/>
            </w:pPr>
            <w:r w:rsidRPr="001A4C29">
              <w:t>S</w:t>
            </w:r>
            <w:r w:rsidR="006365F2" w:rsidRPr="001A4C29">
              <w:t>epsis</w:t>
            </w:r>
          </w:p>
        </w:tc>
        <w:tc>
          <w:tcPr>
            <w:tcW w:w="1701" w:type="dxa"/>
          </w:tcPr>
          <w:p w14:paraId="666E9F97" w14:textId="77777777" w:rsidR="006365F2" w:rsidRPr="001A4C29" w:rsidRDefault="006365F2" w:rsidP="001A4C29">
            <w:pPr>
              <w:pStyle w:val="Tabletext"/>
              <w:ind w:left="0" w:right="0"/>
            </w:pPr>
            <w:r w:rsidRPr="001A4C29">
              <w:t>3.2%</w:t>
            </w:r>
          </w:p>
        </w:tc>
        <w:tc>
          <w:tcPr>
            <w:tcW w:w="1560" w:type="dxa"/>
          </w:tcPr>
          <w:p w14:paraId="3CED5380" w14:textId="77777777" w:rsidR="006365F2" w:rsidRPr="001A4C29" w:rsidRDefault="006365F2" w:rsidP="001A4C29">
            <w:pPr>
              <w:pStyle w:val="Tabletext"/>
              <w:ind w:left="0" w:right="0"/>
            </w:pPr>
            <w:r w:rsidRPr="001A4C29">
              <w:t>0</w:t>
            </w:r>
          </w:p>
        </w:tc>
        <w:tc>
          <w:tcPr>
            <w:tcW w:w="1559" w:type="dxa"/>
          </w:tcPr>
          <w:p w14:paraId="77A921B3" w14:textId="77777777" w:rsidR="006365F2" w:rsidRPr="001A4C29" w:rsidRDefault="006365F2" w:rsidP="001A4C29">
            <w:pPr>
              <w:pStyle w:val="Tabletext"/>
              <w:ind w:left="0" w:right="0"/>
            </w:pPr>
            <w:r w:rsidRPr="001A4C29">
              <w:t>3.1%</w:t>
            </w:r>
          </w:p>
        </w:tc>
      </w:tr>
      <w:tr w:rsidR="006365F2" w:rsidRPr="00655F66" w14:paraId="3D41BBA2" w14:textId="77777777" w:rsidTr="00C45323">
        <w:trPr>
          <w:trHeight w:val="269"/>
        </w:trPr>
        <w:tc>
          <w:tcPr>
            <w:tcW w:w="3959" w:type="dxa"/>
          </w:tcPr>
          <w:p w14:paraId="5077AB15" w14:textId="695EA22A" w:rsidR="006365F2" w:rsidRPr="001A4C29" w:rsidRDefault="00580F93" w:rsidP="00821445">
            <w:pPr>
              <w:pStyle w:val="Tabletext"/>
              <w:ind w:left="0" w:right="0"/>
            </w:pPr>
            <w:r>
              <w:t>Pu</w:t>
            </w:r>
            <w:r w:rsidR="006365F2" w:rsidRPr="001A4C29">
              <w:t>lmonary embolism</w:t>
            </w:r>
          </w:p>
        </w:tc>
        <w:tc>
          <w:tcPr>
            <w:tcW w:w="1701" w:type="dxa"/>
          </w:tcPr>
          <w:p w14:paraId="19EB1B66" w14:textId="77777777" w:rsidR="006365F2" w:rsidRPr="001A4C29" w:rsidRDefault="006365F2" w:rsidP="001A4C29">
            <w:pPr>
              <w:pStyle w:val="Tabletext"/>
              <w:ind w:left="0" w:right="0"/>
            </w:pPr>
            <w:r w:rsidRPr="001A4C29">
              <w:t>2.4%</w:t>
            </w:r>
          </w:p>
        </w:tc>
        <w:tc>
          <w:tcPr>
            <w:tcW w:w="1560" w:type="dxa"/>
          </w:tcPr>
          <w:p w14:paraId="6B86D891" w14:textId="77777777" w:rsidR="006365F2" w:rsidRPr="001A4C29" w:rsidRDefault="006365F2" w:rsidP="001A4C29">
            <w:pPr>
              <w:pStyle w:val="Tabletext"/>
              <w:ind w:left="0" w:right="0"/>
            </w:pPr>
            <w:r w:rsidRPr="001A4C29">
              <w:t>0</w:t>
            </w:r>
          </w:p>
        </w:tc>
        <w:tc>
          <w:tcPr>
            <w:tcW w:w="1559" w:type="dxa"/>
          </w:tcPr>
          <w:p w14:paraId="2F2F1B94" w14:textId="77777777" w:rsidR="006365F2" w:rsidRPr="001A4C29" w:rsidRDefault="006365F2" w:rsidP="001A4C29">
            <w:pPr>
              <w:pStyle w:val="Tabletext"/>
              <w:ind w:left="0" w:right="0"/>
            </w:pPr>
            <w:r w:rsidRPr="001A4C29">
              <w:t>2.3%</w:t>
            </w:r>
          </w:p>
        </w:tc>
      </w:tr>
      <w:tr w:rsidR="006365F2" w:rsidRPr="00655F66" w14:paraId="55756042" w14:textId="77777777" w:rsidTr="00C45323">
        <w:trPr>
          <w:trHeight w:val="269"/>
        </w:trPr>
        <w:tc>
          <w:tcPr>
            <w:tcW w:w="3959" w:type="dxa"/>
          </w:tcPr>
          <w:p w14:paraId="1DC7F88A" w14:textId="1661EA75" w:rsidR="006365F2" w:rsidRPr="001A4C29" w:rsidRDefault="00F6419B" w:rsidP="001A4C29">
            <w:pPr>
              <w:pStyle w:val="Tabletext"/>
              <w:ind w:left="0" w:right="0"/>
            </w:pPr>
            <w:r w:rsidRPr="001A4C29">
              <w:t>P</w:t>
            </w:r>
            <w:r w:rsidR="006365F2" w:rsidRPr="001A4C29">
              <w:t>yrexia</w:t>
            </w:r>
          </w:p>
        </w:tc>
        <w:tc>
          <w:tcPr>
            <w:tcW w:w="1701" w:type="dxa"/>
          </w:tcPr>
          <w:p w14:paraId="1B9692F0" w14:textId="77777777" w:rsidR="006365F2" w:rsidRPr="001A4C29" w:rsidRDefault="006365F2" w:rsidP="001A4C29">
            <w:pPr>
              <w:pStyle w:val="Tabletext"/>
              <w:ind w:left="0" w:right="0"/>
            </w:pPr>
            <w:r w:rsidRPr="001A4C29">
              <w:t>2.4%</w:t>
            </w:r>
          </w:p>
        </w:tc>
        <w:tc>
          <w:tcPr>
            <w:tcW w:w="1560" w:type="dxa"/>
          </w:tcPr>
          <w:p w14:paraId="7A8FBBA1" w14:textId="77777777" w:rsidR="006365F2" w:rsidRPr="001A4C29" w:rsidRDefault="006365F2" w:rsidP="001A4C29">
            <w:pPr>
              <w:pStyle w:val="Tabletext"/>
              <w:ind w:left="0" w:right="0"/>
            </w:pPr>
            <w:r w:rsidRPr="001A4C29">
              <w:t>0</w:t>
            </w:r>
          </w:p>
        </w:tc>
        <w:tc>
          <w:tcPr>
            <w:tcW w:w="1559" w:type="dxa"/>
          </w:tcPr>
          <w:p w14:paraId="771E0366" w14:textId="77777777" w:rsidR="006365F2" w:rsidRPr="001A4C29" w:rsidRDefault="006365F2" w:rsidP="001A4C29">
            <w:pPr>
              <w:pStyle w:val="Tabletext"/>
              <w:ind w:left="0" w:right="0"/>
            </w:pPr>
            <w:r w:rsidRPr="001A4C29">
              <w:t>2.3%</w:t>
            </w:r>
          </w:p>
        </w:tc>
      </w:tr>
      <w:tr w:rsidR="006365F2" w:rsidRPr="00655F66" w14:paraId="63336179" w14:textId="77777777" w:rsidTr="00C45323">
        <w:trPr>
          <w:trHeight w:val="269"/>
        </w:trPr>
        <w:tc>
          <w:tcPr>
            <w:tcW w:w="3959" w:type="dxa"/>
          </w:tcPr>
          <w:p w14:paraId="12FA95BA" w14:textId="6E801400" w:rsidR="006365F2" w:rsidRPr="001A4C29" w:rsidRDefault="00580F93" w:rsidP="001A4C29">
            <w:pPr>
              <w:pStyle w:val="Tabletext"/>
              <w:ind w:left="0" w:right="0"/>
            </w:pPr>
            <w:r>
              <w:t>U</w:t>
            </w:r>
            <w:r w:rsidR="006365F2" w:rsidRPr="001A4C29">
              <w:t>rinary tract infection</w:t>
            </w:r>
          </w:p>
        </w:tc>
        <w:tc>
          <w:tcPr>
            <w:tcW w:w="1701" w:type="dxa"/>
          </w:tcPr>
          <w:p w14:paraId="324EBA91" w14:textId="77777777" w:rsidR="006365F2" w:rsidRPr="001A4C29" w:rsidRDefault="006365F2" w:rsidP="001A4C29">
            <w:pPr>
              <w:pStyle w:val="Tabletext"/>
              <w:ind w:left="0" w:right="0"/>
            </w:pPr>
            <w:r w:rsidRPr="001A4C29">
              <w:t>2.4%</w:t>
            </w:r>
          </w:p>
        </w:tc>
        <w:tc>
          <w:tcPr>
            <w:tcW w:w="1560" w:type="dxa"/>
          </w:tcPr>
          <w:p w14:paraId="115816C8" w14:textId="77777777" w:rsidR="006365F2" w:rsidRPr="001A4C29" w:rsidRDefault="006365F2" w:rsidP="001A4C29">
            <w:pPr>
              <w:pStyle w:val="Tabletext"/>
              <w:ind w:left="0" w:right="0"/>
            </w:pPr>
            <w:r w:rsidRPr="001A4C29">
              <w:t>0</w:t>
            </w:r>
          </w:p>
        </w:tc>
        <w:tc>
          <w:tcPr>
            <w:tcW w:w="1559" w:type="dxa"/>
          </w:tcPr>
          <w:p w14:paraId="7B6EC2C8" w14:textId="77777777" w:rsidR="006365F2" w:rsidRPr="001A4C29" w:rsidRDefault="006365F2" w:rsidP="001A4C29">
            <w:pPr>
              <w:pStyle w:val="Tabletext"/>
              <w:ind w:left="0" w:right="0"/>
            </w:pPr>
            <w:r w:rsidRPr="001A4C29">
              <w:t>2.3%</w:t>
            </w:r>
          </w:p>
        </w:tc>
      </w:tr>
      <w:tr w:rsidR="00580F93" w:rsidRPr="00655F66" w14:paraId="645C14BE" w14:textId="77777777" w:rsidTr="00A71AB0">
        <w:trPr>
          <w:trHeight w:val="269"/>
        </w:trPr>
        <w:tc>
          <w:tcPr>
            <w:tcW w:w="8779" w:type="dxa"/>
            <w:gridSpan w:val="4"/>
          </w:tcPr>
          <w:p w14:paraId="435D10D8" w14:textId="428C2FAC" w:rsidR="00580F93" w:rsidRPr="0096397C" w:rsidRDefault="00580F93" w:rsidP="001A4C29">
            <w:pPr>
              <w:pStyle w:val="Tabletext"/>
              <w:ind w:left="0" w:right="0"/>
              <w:rPr>
                <w:b/>
              </w:rPr>
            </w:pPr>
            <w:r w:rsidRPr="0096397C">
              <w:rPr>
                <w:b/>
              </w:rPr>
              <w:t>Serious treat</w:t>
            </w:r>
            <w:r w:rsidRPr="002418F2">
              <w:rPr>
                <w:b/>
              </w:rPr>
              <w:t>ment-</w:t>
            </w:r>
            <w:r w:rsidRPr="0096397C">
              <w:rPr>
                <w:b/>
              </w:rPr>
              <w:t>related adverse events</w:t>
            </w:r>
          </w:p>
        </w:tc>
      </w:tr>
      <w:tr w:rsidR="006365F2" w:rsidRPr="00655F66" w14:paraId="03AB0C9D" w14:textId="77777777" w:rsidTr="00C45323">
        <w:trPr>
          <w:trHeight w:val="269"/>
        </w:trPr>
        <w:tc>
          <w:tcPr>
            <w:tcW w:w="3959" w:type="dxa"/>
          </w:tcPr>
          <w:p w14:paraId="3B94BAE7" w14:textId="03C20789" w:rsidR="006365F2" w:rsidRPr="001A4C29" w:rsidRDefault="006365F2" w:rsidP="00821445">
            <w:pPr>
              <w:pStyle w:val="Tabletext"/>
              <w:ind w:left="0" w:right="0"/>
            </w:pPr>
            <w:r w:rsidRPr="001A4C29">
              <w:t xml:space="preserve">Any </w:t>
            </w:r>
            <w:r w:rsidR="00580F93">
              <w:t>s</w:t>
            </w:r>
            <w:r w:rsidRPr="001A4C29">
              <w:t xml:space="preserve">erious </w:t>
            </w:r>
            <w:r w:rsidR="00580F93">
              <w:t>treatment-related adverse event</w:t>
            </w:r>
          </w:p>
        </w:tc>
        <w:tc>
          <w:tcPr>
            <w:tcW w:w="1701" w:type="dxa"/>
          </w:tcPr>
          <w:p w14:paraId="53D30FC0" w14:textId="77777777" w:rsidR="006365F2" w:rsidRPr="001A4C29" w:rsidRDefault="006365F2" w:rsidP="001A4C29">
            <w:pPr>
              <w:pStyle w:val="Tabletext"/>
              <w:ind w:left="0" w:right="0"/>
            </w:pPr>
            <w:r w:rsidRPr="001A4C29">
              <w:t>9.5%</w:t>
            </w:r>
          </w:p>
        </w:tc>
        <w:tc>
          <w:tcPr>
            <w:tcW w:w="1560" w:type="dxa"/>
          </w:tcPr>
          <w:p w14:paraId="63101ECD" w14:textId="77777777" w:rsidR="006365F2" w:rsidRPr="001A4C29" w:rsidRDefault="006365F2" w:rsidP="001A4C29">
            <w:pPr>
              <w:pStyle w:val="Tabletext"/>
              <w:ind w:left="0" w:right="0"/>
            </w:pPr>
            <w:bookmarkStart w:id="50" w:name="_Hlk84924687"/>
            <w:r w:rsidRPr="001A4C29">
              <w:t>0</w:t>
            </w:r>
            <w:bookmarkEnd w:id="50"/>
          </w:p>
        </w:tc>
        <w:tc>
          <w:tcPr>
            <w:tcW w:w="1559" w:type="dxa"/>
          </w:tcPr>
          <w:p w14:paraId="7C7A8772" w14:textId="77777777" w:rsidR="006365F2" w:rsidRPr="001A4C29" w:rsidRDefault="006365F2" w:rsidP="001A4C29">
            <w:pPr>
              <w:pStyle w:val="Tabletext"/>
              <w:ind w:left="0" w:right="0"/>
            </w:pPr>
            <w:r w:rsidRPr="001A4C29">
              <w:t>9.3%</w:t>
            </w:r>
          </w:p>
        </w:tc>
      </w:tr>
      <w:tr w:rsidR="006365F2" w:rsidRPr="00655F66" w14:paraId="76B75E1E" w14:textId="77777777" w:rsidTr="00C45323">
        <w:trPr>
          <w:trHeight w:val="269"/>
        </w:trPr>
        <w:tc>
          <w:tcPr>
            <w:tcW w:w="8779" w:type="dxa"/>
            <w:gridSpan w:val="4"/>
          </w:tcPr>
          <w:p w14:paraId="540FA199" w14:textId="13D28427" w:rsidR="006365F2" w:rsidRPr="0096397C" w:rsidRDefault="006365F2" w:rsidP="00821445">
            <w:pPr>
              <w:pStyle w:val="Tabletext"/>
              <w:ind w:left="0" w:right="0"/>
              <w:rPr>
                <w:b/>
              </w:rPr>
            </w:pPr>
            <w:r w:rsidRPr="0096397C">
              <w:rPr>
                <w:b/>
              </w:rPr>
              <w:t xml:space="preserve">Most common </w:t>
            </w:r>
            <w:r w:rsidR="00B75E4C" w:rsidRPr="0096397C">
              <w:rPr>
                <w:b/>
              </w:rPr>
              <w:t>s</w:t>
            </w:r>
            <w:r w:rsidRPr="0096397C">
              <w:rPr>
                <w:b/>
              </w:rPr>
              <w:t xml:space="preserve">erious </w:t>
            </w:r>
            <w:r w:rsidR="00B75E4C" w:rsidRPr="0096397C">
              <w:rPr>
                <w:b/>
              </w:rPr>
              <w:t>treatment-related adverse events in more than one</w:t>
            </w:r>
            <w:r w:rsidRPr="0096397C">
              <w:rPr>
                <w:b/>
              </w:rPr>
              <w:t xml:space="preserve"> patient</w:t>
            </w:r>
          </w:p>
        </w:tc>
      </w:tr>
      <w:tr w:rsidR="006365F2" w:rsidRPr="00655F66" w14:paraId="3B43FBFE" w14:textId="77777777" w:rsidTr="00C45323">
        <w:trPr>
          <w:trHeight w:val="269"/>
        </w:trPr>
        <w:tc>
          <w:tcPr>
            <w:tcW w:w="3959" w:type="dxa"/>
          </w:tcPr>
          <w:p w14:paraId="73A2A88B" w14:textId="4622324F" w:rsidR="006365F2" w:rsidRPr="001A4C29" w:rsidRDefault="00F6419B" w:rsidP="001A4C29">
            <w:pPr>
              <w:pStyle w:val="Tabletext"/>
              <w:ind w:left="0" w:right="0"/>
            </w:pPr>
            <w:r w:rsidRPr="001A4C29">
              <w:t>C</w:t>
            </w:r>
            <w:r w:rsidR="006365F2" w:rsidRPr="001A4C29">
              <w:t>olitis</w:t>
            </w:r>
          </w:p>
        </w:tc>
        <w:tc>
          <w:tcPr>
            <w:tcW w:w="1701" w:type="dxa"/>
          </w:tcPr>
          <w:p w14:paraId="4228E23E" w14:textId="77777777" w:rsidR="006365F2" w:rsidRPr="001A4C29" w:rsidRDefault="006365F2" w:rsidP="001A4C29">
            <w:pPr>
              <w:pStyle w:val="Tabletext"/>
              <w:ind w:left="0" w:right="0"/>
            </w:pPr>
            <w:r w:rsidRPr="001A4C29">
              <w:t>1.6%</w:t>
            </w:r>
          </w:p>
        </w:tc>
        <w:tc>
          <w:tcPr>
            <w:tcW w:w="1560" w:type="dxa"/>
          </w:tcPr>
          <w:p w14:paraId="357C4734" w14:textId="77777777" w:rsidR="006365F2" w:rsidRPr="001A4C29" w:rsidRDefault="006365F2" w:rsidP="001A4C29">
            <w:pPr>
              <w:pStyle w:val="Tabletext"/>
              <w:ind w:left="0" w:right="0"/>
            </w:pPr>
            <w:r w:rsidRPr="001A4C29">
              <w:t>0</w:t>
            </w:r>
          </w:p>
        </w:tc>
        <w:tc>
          <w:tcPr>
            <w:tcW w:w="1559" w:type="dxa"/>
          </w:tcPr>
          <w:p w14:paraId="7BC47831" w14:textId="77777777" w:rsidR="006365F2" w:rsidRPr="001A4C29" w:rsidRDefault="006365F2" w:rsidP="001A4C29">
            <w:pPr>
              <w:pStyle w:val="Tabletext"/>
              <w:ind w:left="0" w:right="0"/>
            </w:pPr>
            <w:r w:rsidRPr="001A4C29">
              <w:t>1.6%</w:t>
            </w:r>
          </w:p>
        </w:tc>
      </w:tr>
      <w:tr w:rsidR="00B75E4C" w:rsidRPr="00655F66" w14:paraId="6CCD3DF3" w14:textId="77777777" w:rsidTr="007F5E9F">
        <w:trPr>
          <w:trHeight w:val="269"/>
        </w:trPr>
        <w:tc>
          <w:tcPr>
            <w:tcW w:w="8779" w:type="dxa"/>
            <w:gridSpan w:val="4"/>
          </w:tcPr>
          <w:p w14:paraId="0820C90A" w14:textId="33E0E4BD" w:rsidR="00B75E4C" w:rsidRPr="001A4C29" w:rsidRDefault="00B75E4C" w:rsidP="001A4C29">
            <w:pPr>
              <w:pStyle w:val="Tabletext"/>
              <w:ind w:left="0" w:right="0"/>
            </w:pPr>
            <w:r w:rsidRPr="0096397C">
              <w:rPr>
                <w:b/>
              </w:rPr>
              <w:t>Deaths</w:t>
            </w:r>
          </w:p>
        </w:tc>
      </w:tr>
      <w:tr w:rsidR="006365F2" w:rsidRPr="00655F66" w14:paraId="1ABDD9A2" w14:textId="77777777" w:rsidTr="00C45323">
        <w:trPr>
          <w:trHeight w:val="269"/>
        </w:trPr>
        <w:tc>
          <w:tcPr>
            <w:tcW w:w="3959" w:type="dxa"/>
          </w:tcPr>
          <w:p w14:paraId="18CE91C2" w14:textId="0E2489EA" w:rsidR="006365F2" w:rsidRPr="002418F2" w:rsidRDefault="006365F2" w:rsidP="001A4C29">
            <w:pPr>
              <w:pStyle w:val="Tabletext"/>
              <w:ind w:left="0" w:right="0"/>
            </w:pPr>
            <w:r w:rsidRPr="002418F2">
              <w:t xml:space="preserve">Fatal </w:t>
            </w:r>
            <w:r w:rsidR="00B75E4C" w:rsidRPr="002418F2">
              <w:t>adverse events</w:t>
            </w:r>
          </w:p>
        </w:tc>
        <w:tc>
          <w:tcPr>
            <w:tcW w:w="1701" w:type="dxa"/>
          </w:tcPr>
          <w:p w14:paraId="47BA8A54" w14:textId="77777777" w:rsidR="006365F2" w:rsidRPr="001A4C29" w:rsidRDefault="006365F2" w:rsidP="001A4C29">
            <w:pPr>
              <w:pStyle w:val="Tabletext"/>
              <w:ind w:left="0" w:right="0"/>
            </w:pPr>
            <w:r w:rsidRPr="001A4C29">
              <w:t>4.0%</w:t>
            </w:r>
          </w:p>
        </w:tc>
        <w:tc>
          <w:tcPr>
            <w:tcW w:w="1560" w:type="dxa"/>
          </w:tcPr>
          <w:p w14:paraId="5A59A3F6" w14:textId="77777777" w:rsidR="006365F2" w:rsidRPr="001A4C29" w:rsidRDefault="006365F2" w:rsidP="001A4C29">
            <w:pPr>
              <w:pStyle w:val="Tabletext"/>
              <w:ind w:left="0" w:right="0"/>
            </w:pPr>
            <w:r w:rsidRPr="001A4C29">
              <w:t>0</w:t>
            </w:r>
          </w:p>
        </w:tc>
        <w:tc>
          <w:tcPr>
            <w:tcW w:w="1559" w:type="dxa"/>
          </w:tcPr>
          <w:p w14:paraId="3BF40057" w14:textId="77777777" w:rsidR="006365F2" w:rsidRPr="001A4C29" w:rsidRDefault="006365F2" w:rsidP="001A4C29">
            <w:pPr>
              <w:pStyle w:val="Tabletext"/>
              <w:ind w:left="0" w:right="0"/>
            </w:pPr>
            <w:r w:rsidRPr="001A4C29">
              <w:t>3.9%</w:t>
            </w:r>
          </w:p>
        </w:tc>
      </w:tr>
      <w:tr w:rsidR="006365F2" w:rsidRPr="00655F66" w14:paraId="117E5E08" w14:textId="77777777" w:rsidTr="00C45323">
        <w:trPr>
          <w:trHeight w:val="269"/>
        </w:trPr>
        <w:tc>
          <w:tcPr>
            <w:tcW w:w="3959" w:type="dxa"/>
          </w:tcPr>
          <w:p w14:paraId="0052CF08" w14:textId="2ACB7CE6" w:rsidR="006365F2" w:rsidRPr="002418F2" w:rsidRDefault="00B75E4C" w:rsidP="001A4C29">
            <w:pPr>
              <w:pStyle w:val="Tabletext"/>
              <w:ind w:left="0" w:right="0"/>
            </w:pPr>
            <w:r w:rsidRPr="002418F2">
              <w:t>Fatal treatment-related adverse events</w:t>
            </w:r>
          </w:p>
        </w:tc>
        <w:tc>
          <w:tcPr>
            <w:tcW w:w="1701" w:type="dxa"/>
          </w:tcPr>
          <w:p w14:paraId="03DD1BB5" w14:textId="77777777" w:rsidR="006365F2" w:rsidRPr="001A4C29" w:rsidRDefault="006365F2" w:rsidP="001A4C29">
            <w:pPr>
              <w:pStyle w:val="Tabletext"/>
              <w:ind w:left="0" w:right="0"/>
            </w:pPr>
            <w:r w:rsidRPr="001A4C29">
              <w:t>0</w:t>
            </w:r>
          </w:p>
        </w:tc>
        <w:tc>
          <w:tcPr>
            <w:tcW w:w="1560" w:type="dxa"/>
          </w:tcPr>
          <w:p w14:paraId="547CB244" w14:textId="77777777" w:rsidR="006365F2" w:rsidRPr="001A4C29" w:rsidRDefault="006365F2" w:rsidP="001A4C29">
            <w:pPr>
              <w:pStyle w:val="Tabletext"/>
              <w:ind w:left="0" w:right="0"/>
            </w:pPr>
            <w:r w:rsidRPr="001A4C29">
              <w:t>0</w:t>
            </w:r>
          </w:p>
        </w:tc>
        <w:tc>
          <w:tcPr>
            <w:tcW w:w="1559" w:type="dxa"/>
          </w:tcPr>
          <w:p w14:paraId="4ECFB5CD" w14:textId="77777777" w:rsidR="006365F2" w:rsidRPr="001A4C29" w:rsidRDefault="006365F2" w:rsidP="001A4C29">
            <w:pPr>
              <w:pStyle w:val="Tabletext"/>
              <w:ind w:left="0" w:right="0"/>
            </w:pPr>
            <w:r w:rsidRPr="001A4C29">
              <w:t>0</w:t>
            </w:r>
          </w:p>
        </w:tc>
      </w:tr>
      <w:tr w:rsidR="00B75E4C" w:rsidRPr="00655F66" w14:paraId="214C2929" w14:textId="77777777" w:rsidTr="00881091">
        <w:trPr>
          <w:trHeight w:val="269"/>
        </w:trPr>
        <w:tc>
          <w:tcPr>
            <w:tcW w:w="8779" w:type="dxa"/>
            <w:gridSpan w:val="4"/>
          </w:tcPr>
          <w:p w14:paraId="278B2D0E" w14:textId="5FED6485" w:rsidR="00B75E4C" w:rsidRPr="0096397C" w:rsidRDefault="00B75E4C" w:rsidP="001A4C29">
            <w:pPr>
              <w:pStyle w:val="Tabletext"/>
              <w:ind w:left="0" w:right="0"/>
              <w:rPr>
                <w:b/>
              </w:rPr>
            </w:pPr>
            <w:r w:rsidRPr="0096397C">
              <w:rPr>
                <w:b/>
              </w:rPr>
              <w:t xml:space="preserve">Discontinuation of </w:t>
            </w:r>
            <w:r>
              <w:rPr>
                <w:b/>
              </w:rPr>
              <w:t>s</w:t>
            </w:r>
            <w:r w:rsidRPr="0096397C">
              <w:rPr>
                <w:b/>
              </w:rPr>
              <w:t xml:space="preserve">tudy </w:t>
            </w:r>
            <w:r>
              <w:rPr>
                <w:b/>
              </w:rPr>
              <w:t>t</w:t>
            </w:r>
            <w:r w:rsidRPr="0096397C">
              <w:rPr>
                <w:b/>
              </w:rPr>
              <w:t>reatment</w:t>
            </w:r>
          </w:p>
        </w:tc>
      </w:tr>
      <w:tr w:rsidR="006365F2" w:rsidRPr="00655F66" w14:paraId="4AEF7F1F" w14:textId="77777777" w:rsidTr="00C45323">
        <w:trPr>
          <w:trHeight w:val="201"/>
        </w:trPr>
        <w:tc>
          <w:tcPr>
            <w:tcW w:w="3959" w:type="dxa"/>
          </w:tcPr>
          <w:p w14:paraId="01D3D0C8" w14:textId="31361B68" w:rsidR="006365F2" w:rsidRPr="001A4C29" w:rsidRDefault="006365F2" w:rsidP="001A4C29">
            <w:pPr>
              <w:pStyle w:val="Tabletext"/>
              <w:ind w:left="0" w:right="0"/>
            </w:pPr>
            <w:r w:rsidRPr="001A4C29">
              <w:t xml:space="preserve">Due to </w:t>
            </w:r>
            <w:r w:rsidR="00B75E4C">
              <w:t>an adverse event</w:t>
            </w:r>
          </w:p>
        </w:tc>
        <w:tc>
          <w:tcPr>
            <w:tcW w:w="1701" w:type="dxa"/>
          </w:tcPr>
          <w:p w14:paraId="35FD35B0" w14:textId="77777777" w:rsidR="006365F2" w:rsidRPr="001A4C29" w:rsidRDefault="006365F2" w:rsidP="001A4C29">
            <w:pPr>
              <w:pStyle w:val="Tabletext"/>
              <w:ind w:left="0" w:right="0"/>
            </w:pPr>
            <w:r w:rsidRPr="001A4C29">
              <w:t>11.9%</w:t>
            </w:r>
          </w:p>
        </w:tc>
        <w:tc>
          <w:tcPr>
            <w:tcW w:w="1560" w:type="dxa"/>
          </w:tcPr>
          <w:p w14:paraId="4E018126" w14:textId="77777777" w:rsidR="006365F2" w:rsidRPr="001A4C29" w:rsidRDefault="006365F2" w:rsidP="001A4C29">
            <w:pPr>
              <w:pStyle w:val="Tabletext"/>
              <w:ind w:left="0" w:right="0"/>
            </w:pPr>
            <w:r w:rsidRPr="001A4C29">
              <w:t>0</w:t>
            </w:r>
          </w:p>
        </w:tc>
        <w:tc>
          <w:tcPr>
            <w:tcW w:w="1559" w:type="dxa"/>
          </w:tcPr>
          <w:p w14:paraId="2AC461FA" w14:textId="77777777" w:rsidR="006365F2" w:rsidRPr="001A4C29" w:rsidRDefault="006365F2" w:rsidP="001A4C29">
            <w:pPr>
              <w:pStyle w:val="Tabletext"/>
              <w:ind w:left="0" w:right="0"/>
            </w:pPr>
            <w:r w:rsidRPr="001A4C29">
              <w:t>11.6%</w:t>
            </w:r>
          </w:p>
        </w:tc>
      </w:tr>
      <w:tr w:rsidR="006365F2" w:rsidRPr="00655F66" w14:paraId="7D8F425A" w14:textId="77777777" w:rsidTr="00C45323">
        <w:trPr>
          <w:trHeight w:val="201"/>
        </w:trPr>
        <w:tc>
          <w:tcPr>
            <w:tcW w:w="3959" w:type="dxa"/>
          </w:tcPr>
          <w:p w14:paraId="60ECB727" w14:textId="03C63D80" w:rsidR="006365F2" w:rsidRPr="001A4C29" w:rsidRDefault="006365F2" w:rsidP="001A4C29">
            <w:pPr>
              <w:pStyle w:val="Tabletext"/>
              <w:ind w:left="0" w:right="0"/>
            </w:pPr>
            <w:r w:rsidRPr="001A4C29">
              <w:t xml:space="preserve">Due to </w:t>
            </w:r>
            <w:r w:rsidR="00B75E4C">
              <w:t>treatment-related adverse event</w:t>
            </w:r>
          </w:p>
        </w:tc>
        <w:tc>
          <w:tcPr>
            <w:tcW w:w="1701" w:type="dxa"/>
          </w:tcPr>
          <w:p w14:paraId="743B4CC6" w14:textId="77777777" w:rsidR="006365F2" w:rsidRPr="001A4C29" w:rsidRDefault="006365F2" w:rsidP="001A4C29">
            <w:pPr>
              <w:pStyle w:val="Tabletext"/>
              <w:ind w:left="0" w:right="0"/>
            </w:pPr>
            <w:r w:rsidRPr="001A4C29">
              <w:t>4.0%</w:t>
            </w:r>
          </w:p>
        </w:tc>
        <w:tc>
          <w:tcPr>
            <w:tcW w:w="1560" w:type="dxa"/>
          </w:tcPr>
          <w:p w14:paraId="21FD4091" w14:textId="77777777" w:rsidR="006365F2" w:rsidRPr="001A4C29" w:rsidRDefault="006365F2" w:rsidP="001A4C29">
            <w:pPr>
              <w:pStyle w:val="Tabletext"/>
              <w:ind w:left="0" w:right="0"/>
            </w:pPr>
            <w:r w:rsidRPr="001A4C29">
              <w:t>0</w:t>
            </w:r>
          </w:p>
        </w:tc>
        <w:tc>
          <w:tcPr>
            <w:tcW w:w="1559" w:type="dxa"/>
          </w:tcPr>
          <w:p w14:paraId="0BA2BF3D" w14:textId="77777777" w:rsidR="006365F2" w:rsidRPr="001A4C29" w:rsidRDefault="006365F2" w:rsidP="001A4C29">
            <w:pPr>
              <w:pStyle w:val="Tabletext"/>
              <w:ind w:left="0" w:right="0"/>
            </w:pPr>
            <w:r w:rsidRPr="001A4C29">
              <w:t>3.9%</w:t>
            </w:r>
          </w:p>
        </w:tc>
      </w:tr>
      <w:tr w:rsidR="00B75E4C" w:rsidRPr="00655F66" w14:paraId="7BD8DD9C" w14:textId="77777777" w:rsidTr="002E0540">
        <w:trPr>
          <w:trHeight w:val="269"/>
        </w:trPr>
        <w:tc>
          <w:tcPr>
            <w:tcW w:w="8779" w:type="dxa"/>
            <w:gridSpan w:val="4"/>
          </w:tcPr>
          <w:p w14:paraId="768588AA" w14:textId="0B45BC5F" w:rsidR="00B75E4C" w:rsidRPr="001A4C29" w:rsidRDefault="00B75E4C" w:rsidP="001A4C29">
            <w:pPr>
              <w:pStyle w:val="Tabletext"/>
              <w:ind w:left="0" w:right="0"/>
            </w:pPr>
            <w:r w:rsidRPr="0096397C">
              <w:rPr>
                <w:b/>
              </w:rPr>
              <w:t>Drug dosing interruption</w:t>
            </w:r>
          </w:p>
        </w:tc>
      </w:tr>
      <w:tr w:rsidR="006365F2" w:rsidRPr="00655F66" w14:paraId="790BCCBE" w14:textId="77777777" w:rsidTr="00C45323">
        <w:trPr>
          <w:trHeight w:val="269"/>
        </w:trPr>
        <w:tc>
          <w:tcPr>
            <w:tcW w:w="3959" w:type="dxa"/>
          </w:tcPr>
          <w:p w14:paraId="49BAB39D" w14:textId="23741375" w:rsidR="006365F2" w:rsidRPr="001A4C29" w:rsidRDefault="00B75E4C" w:rsidP="001A4C29">
            <w:pPr>
              <w:pStyle w:val="Tabletext"/>
              <w:ind w:left="0" w:right="0"/>
            </w:pPr>
            <w:r>
              <w:t>Treatment-emergent adverse event</w:t>
            </w:r>
            <w:r w:rsidRPr="001A4C29">
              <w:t xml:space="preserve"> </w:t>
            </w:r>
            <w:r w:rsidR="006365F2" w:rsidRPr="001A4C29">
              <w:t>interrupted infusion</w:t>
            </w:r>
          </w:p>
        </w:tc>
        <w:tc>
          <w:tcPr>
            <w:tcW w:w="1701" w:type="dxa"/>
          </w:tcPr>
          <w:p w14:paraId="1A897750" w14:textId="77777777" w:rsidR="006365F2" w:rsidRPr="001A4C29" w:rsidRDefault="006365F2" w:rsidP="001A4C29">
            <w:pPr>
              <w:pStyle w:val="Tabletext"/>
              <w:ind w:left="0" w:right="0"/>
            </w:pPr>
            <w:r w:rsidRPr="001A4C29">
              <w:t>0.8%</w:t>
            </w:r>
          </w:p>
        </w:tc>
        <w:tc>
          <w:tcPr>
            <w:tcW w:w="1560" w:type="dxa"/>
          </w:tcPr>
          <w:p w14:paraId="26B2F368" w14:textId="77777777" w:rsidR="006365F2" w:rsidRPr="001A4C29" w:rsidRDefault="006365F2" w:rsidP="001A4C29">
            <w:pPr>
              <w:pStyle w:val="Tabletext"/>
              <w:ind w:left="0" w:right="0"/>
            </w:pPr>
            <w:r w:rsidRPr="001A4C29">
              <w:t>0</w:t>
            </w:r>
          </w:p>
        </w:tc>
        <w:tc>
          <w:tcPr>
            <w:tcW w:w="1559" w:type="dxa"/>
          </w:tcPr>
          <w:p w14:paraId="3A30B13A" w14:textId="77777777" w:rsidR="006365F2" w:rsidRPr="001A4C29" w:rsidRDefault="006365F2" w:rsidP="001A4C29">
            <w:pPr>
              <w:pStyle w:val="Tabletext"/>
              <w:ind w:left="0" w:right="0"/>
            </w:pPr>
            <w:r w:rsidRPr="001A4C29">
              <w:t>0.8%</w:t>
            </w:r>
          </w:p>
        </w:tc>
      </w:tr>
      <w:tr w:rsidR="006365F2" w:rsidRPr="00655F66" w14:paraId="690752DA" w14:textId="77777777" w:rsidTr="00C45323">
        <w:trPr>
          <w:trHeight w:val="269"/>
        </w:trPr>
        <w:tc>
          <w:tcPr>
            <w:tcW w:w="3959" w:type="dxa"/>
          </w:tcPr>
          <w:p w14:paraId="54BA8A96" w14:textId="2B63D774" w:rsidR="006365F2" w:rsidRPr="001A4C29" w:rsidRDefault="00B75E4C" w:rsidP="001A4C29">
            <w:pPr>
              <w:pStyle w:val="Tabletext"/>
              <w:ind w:left="0" w:right="0"/>
            </w:pPr>
            <w:r>
              <w:t>Treatment-emergent adverse event</w:t>
            </w:r>
            <w:r w:rsidRPr="001A4C29">
              <w:t xml:space="preserve"> </w:t>
            </w:r>
            <w:r w:rsidR="006365F2" w:rsidRPr="001A4C29">
              <w:t>interrupted study treatment</w:t>
            </w:r>
          </w:p>
        </w:tc>
        <w:tc>
          <w:tcPr>
            <w:tcW w:w="1701" w:type="dxa"/>
          </w:tcPr>
          <w:p w14:paraId="1363762F" w14:textId="77777777" w:rsidR="006365F2" w:rsidRPr="001A4C29" w:rsidRDefault="006365F2" w:rsidP="001A4C29">
            <w:pPr>
              <w:pStyle w:val="Tabletext"/>
              <w:ind w:left="0" w:right="0"/>
            </w:pPr>
            <w:r w:rsidRPr="001A4C29">
              <w:t>24.6%</w:t>
            </w:r>
          </w:p>
        </w:tc>
        <w:tc>
          <w:tcPr>
            <w:tcW w:w="1560" w:type="dxa"/>
          </w:tcPr>
          <w:p w14:paraId="69B9ACCF" w14:textId="77777777" w:rsidR="006365F2" w:rsidRPr="001A4C29" w:rsidRDefault="006365F2" w:rsidP="001A4C29">
            <w:pPr>
              <w:pStyle w:val="Tabletext"/>
              <w:ind w:left="0" w:right="0"/>
            </w:pPr>
            <w:r w:rsidRPr="001A4C29">
              <w:t>0</w:t>
            </w:r>
          </w:p>
        </w:tc>
        <w:tc>
          <w:tcPr>
            <w:tcW w:w="1559" w:type="dxa"/>
          </w:tcPr>
          <w:p w14:paraId="132762D5" w14:textId="77777777" w:rsidR="006365F2" w:rsidRPr="001A4C29" w:rsidRDefault="006365F2" w:rsidP="001A4C29">
            <w:pPr>
              <w:pStyle w:val="Tabletext"/>
              <w:ind w:left="0" w:right="0"/>
            </w:pPr>
            <w:r w:rsidRPr="001A4C29">
              <w:t>24.0%</w:t>
            </w:r>
          </w:p>
        </w:tc>
      </w:tr>
      <w:tr w:rsidR="006365F2" w:rsidRPr="00655F66" w14:paraId="4D5067E2" w14:textId="77777777" w:rsidTr="00C45323">
        <w:trPr>
          <w:trHeight w:val="269"/>
        </w:trPr>
        <w:tc>
          <w:tcPr>
            <w:tcW w:w="8779" w:type="dxa"/>
            <w:gridSpan w:val="4"/>
          </w:tcPr>
          <w:p w14:paraId="59026E5A" w14:textId="304D552F" w:rsidR="006365F2" w:rsidRPr="0096397C" w:rsidRDefault="00B75E4C" w:rsidP="001A4C29">
            <w:pPr>
              <w:pStyle w:val="Tabletext"/>
              <w:ind w:left="0" w:right="0"/>
              <w:rPr>
                <w:i/>
              </w:rPr>
            </w:pPr>
            <w:r w:rsidRPr="0096397C">
              <w:rPr>
                <w:i/>
              </w:rPr>
              <w:t>Note: d</w:t>
            </w:r>
            <w:r w:rsidR="006365F2" w:rsidRPr="0096397C">
              <w:rPr>
                <w:i/>
              </w:rPr>
              <w:t>rug dosing reduction was not allowed in the protocol</w:t>
            </w:r>
          </w:p>
        </w:tc>
      </w:tr>
      <w:tr w:rsidR="006365F2" w:rsidRPr="00655F66" w14:paraId="53FDC388" w14:textId="77777777" w:rsidTr="00C45323">
        <w:trPr>
          <w:trHeight w:val="269"/>
        </w:trPr>
        <w:tc>
          <w:tcPr>
            <w:tcW w:w="8779" w:type="dxa"/>
            <w:gridSpan w:val="4"/>
          </w:tcPr>
          <w:p w14:paraId="20AE263D" w14:textId="51703992" w:rsidR="006365F2" w:rsidRPr="0096397C" w:rsidRDefault="006365F2" w:rsidP="00821445">
            <w:pPr>
              <w:pStyle w:val="Tabletext"/>
              <w:ind w:left="0" w:right="0"/>
              <w:rPr>
                <w:b/>
              </w:rPr>
            </w:pPr>
            <w:r w:rsidRPr="0096397C">
              <w:rPr>
                <w:b/>
              </w:rPr>
              <w:t xml:space="preserve">Immune-related </w:t>
            </w:r>
            <w:r w:rsidR="00B75E4C" w:rsidRPr="0096397C">
              <w:rPr>
                <w:b/>
              </w:rPr>
              <w:t>a</w:t>
            </w:r>
            <w:r w:rsidRPr="0096397C">
              <w:rPr>
                <w:b/>
              </w:rPr>
              <w:t xml:space="preserve">dverse </w:t>
            </w:r>
            <w:r w:rsidR="00B75E4C" w:rsidRPr="0096397C">
              <w:rPr>
                <w:b/>
              </w:rPr>
              <w:t>events</w:t>
            </w:r>
          </w:p>
        </w:tc>
      </w:tr>
      <w:tr w:rsidR="006365F2" w:rsidRPr="00655F66" w14:paraId="33FE48BA" w14:textId="77777777" w:rsidTr="00C45323">
        <w:trPr>
          <w:trHeight w:val="269"/>
        </w:trPr>
        <w:tc>
          <w:tcPr>
            <w:tcW w:w="3959" w:type="dxa"/>
          </w:tcPr>
          <w:p w14:paraId="49431C49" w14:textId="26C14671" w:rsidR="006365F2" w:rsidRPr="001A4C29" w:rsidRDefault="006365F2" w:rsidP="00821445">
            <w:pPr>
              <w:pStyle w:val="Tabletext"/>
              <w:ind w:left="0" w:right="0"/>
            </w:pPr>
            <w:r w:rsidRPr="001A4C29">
              <w:t>Any</w:t>
            </w:r>
            <w:r w:rsidR="0096397C">
              <w:t xml:space="preserve"> event</w:t>
            </w:r>
          </w:p>
        </w:tc>
        <w:tc>
          <w:tcPr>
            <w:tcW w:w="1701" w:type="dxa"/>
          </w:tcPr>
          <w:p w14:paraId="2EA0FB3B" w14:textId="77777777" w:rsidR="006365F2" w:rsidRPr="001A4C29" w:rsidRDefault="006365F2" w:rsidP="001A4C29">
            <w:pPr>
              <w:pStyle w:val="Tabletext"/>
              <w:ind w:left="0" w:right="0"/>
            </w:pPr>
            <w:r w:rsidRPr="001A4C29">
              <w:t>34.9%</w:t>
            </w:r>
          </w:p>
        </w:tc>
        <w:tc>
          <w:tcPr>
            <w:tcW w:w="1560" w:type="dxa"/>
          </w:tcPr>
          <w:p w14:paraId="70D2D0AF" w14:textId="77777777" w:rsidR="006365F2" w:rsidRPr="001A4C29" w:rsidRDefault="006365F2" w:rsidP="001A4C29">
            <w:pPr>
              <w:pStyle w:val="Tabletext"/>
              <w:ind w:left="0" w:right="0"/>
            </w:pPr>
            <w:r w:rsidRPr="001A4C29">
              <w:t>33.3%</w:t>
            </w:r>
          </w:p>
        </w:tc>
        <w:tc>
          <w:tcPr>
            <w:tcW w:w="1559" w:type="dxa"/>
          </w:tcPr>
          <w:p w14:paraId="629CCA00" w14:textId="77777777" w:rsidR="006365F2" w:rsidRPr="001A4C29" w:rsidRDefault="006365F2" w:rsidP="001A4C29">
            <w:pPr>
              <w:pStyle w:val="Tabletext"/>
              <w:ind w:left="0" w:right="0"/>
            </w:pPr>
            <w:r w:rsidRPr="001A4C29">
              <w:t>34.9%</w:t>
            </w:r>
          </w:p>
        </w:tc>
      </w:tr>
      <w:tr w:rsidR="006365F2" w:rsidRPr="00655F66" w14:paraId="1B8232F5" w14:textId="77777777" w:rsidTr="00C45323">
        <w:trPr>
          <w:trHeight w:val="269"/>
        </w:trPr>
        <w:tc>
          <w:tcPr>
            <w:tcW w:w="3959" w:type="dxa"/>
          </w:tcPr>
          <w:p w14:paraId="3D38E289" w14:textId="38B15F6A" w:rsidR="006365F2" w:rsidRPr="001A4C29" w:rsidRDefault="006365F2" w:rsidP="00821445">
            <w:pPr>
              <w:pStyle w:val="Tabletext"/>
              <w:ind w:left="0" w:right="0"/>
            </w:pPr>
            <w:r w:rsidRPr="001A4C29">
              <w:t>Any treatment</w:t>
            </w:r>
            <w:r w:rsidR="00B75E4C">
              <w:t>-</w:t>
            </w:r>
            <w:r w:rsidRPr="001A4C29">
              <w:t xml:space="preserve">related </w:t>
            </w:r>
            <w:r w:rsidR="00B75E4C">
              <w:t>event</w:t>
            </w:r>
          </w:p>
        </w:tc>
        <w:tc>
          <w:tcPr>
            <w:tcW w:w="1701" w:type="dxa"/>
          </w:tcPr>
          <w:p w14:paraId="4A5768E0" w14:textId="77777777" w:rsidR="006365F2" w:rsidRPr="001A4C29" w:rsidRDefault="006365F2" w:rsidP="001A4C29">
            <w:pPr>
              <w:pStyle w:val="Tabletext"/>
              <w:ind w:left="0" w:right="0"/>
            </w:pPr>
            <w:r w:rsidRPr="001A4C29">
              <w:t>21.4%</w:t>
            </w:r>
          </w:p>
        </w:tc>
        <w:tc>
          <w:tcPr>
            <w:tcW w:w="1560" w:type="dxa"/>
          </w:tcPr>
          <w:p w14:paraId="165F41AE" w14:textId="77777777" w:rsidR="006365F2" w:rsidRPr="001A4C29" w:rsidRDefault="006365F2" w:rsidP="001A4C29">
            <w:pPr>
              <w:pStyle w:val="Tabletext"/>
              <w:ind w:left="0" w:right="0"/>
            </w:pPr>
            <w:r w:rsidRPr="001A4C29">
              <w:t>33.3%</w:t>
            </w:r>
          </w:p>
        </w:tc>
        <w:tc>
          <w:tcPr>
            <w:tcW w:w="1559" w:type="dxa"/>
          </w:tcPr>
          <w:p w14:paraId="5F675DB1" w14:textId="77777777" w:rsidR="006365F2" w:rsidRPr="001A4C29" w:rsidRDefault="006365F2" w:rsidP="001A4C29">
            <w:pPr>
              <w:pStyle w:val="Tabletext"/>
              <w:ind w:left="0" w:right="0"/>
            </w:pPr>
            <w:r w:rsidRPr="001A4C29">
              <w:t>21.7%</w:t>
            </w:r>
          </w:p>
        </w:tc>
      </w:tr>
    </w:tbl>
    <w:p w14:paraId="07B89094" w14:textId="7274BDDA" w:rsidR="00B75E4C" w:rsidRDefault="002C07CE" w:rsidP="0096397C">
      <w:pPr>
        <w:pStyle w:val="TableDescription"/>
      </w:pPr>
      <w:r w:rsidRPr="002C07CE">
        <w:t xml:space="preserve">Abbreviations: AE = adverse event; CTCAE = common terminology criteria for adverse event; </w:t>
      </w:r>
      <w:proofErr w:type="spellStart"/>
      <w:r w:rsidRPr="002C07CE">
        <w:t>dMMR</w:t>
      </w:r>
      <w:proofErr w:type="spellEnd"/>
      <w:r w:rsidRPr="002C07CE">
        <w:t xml:space="preserve"> = </w:t>
      </w:r>
      <w:r w:rsidR="000E0713">
        <w:t xml:space="preserve">DNA </w:t>
      </w:r>
      <w:r w:rsidRPr="002C07CE">
        <w:t xml:space="preserve">mismatch repair deficient; </w:t>
      </w:r>
      <w:proofErr w:type="spellStart"/>
      <w:r w:rsidRPr="002C07CE">
        <w:t>irAE</w:t>
      </w:r>
      <w:proofErr w:type="spellEnd"/>
      <w:r w:rsidRPr="002C07CE">
        <w:t xml:space="preserve"> = immune related adverse effects; MMR</w:t>
      </w:r>
      <w:r w:rsidRPr="002C07CE">
        <w:noBreakHyphen/>
      </w:r>
      <w:proofErr w:type="spellStart"/>
      <w:r w:rsidRPr="002C07CE">
        <w:t>unk</w:t>
      </w:r>
      <w:proofErr w:type="spellEnd"/>
      <w:r w:rsidRPr="002C07CE">
        <w:t xml:space="preserve"> = unknown mismatch repair tumour status; MSI-H = microsatellite instability-high; n = number of subjects in group; SAE = serious adverse events; TEAE = treatment-emergent adverse event; TRAE = treatment related adverse event.</w:t>
      </w:r>
    </w:p>
    <w:p w14:paraId="6CE9AACE" w14:textId="28B2E72E" w:rsidR="006365F2" w:rsidRPr="00655F66" w:rsidRDefault="00537432" w:rsidP="006365F2">
      <w:r>
        <w:t>C</w:t>
      </w:r>
      <w:r w:rsidR="006365F2" w:rsidRPr="00655F66">
        <w:t xml:space="preserve">auses of dose interruption included anaemia, pneumonitis, diarrhoea, adrenal </w:t>
      </w:r>
      <w:proofErr w:type="gramStart"/>
      <w:r w:rsidR="006365F2" w:rsidRPr="00655F66">
        <w:t>insufficiency</w:t>
      </w:r>
      <w:proofErr w:type="gramEnd"/>
      <w:r w:rsidR="006365F2" w:rsidRPr="00655F66">
        <w:t xml:space="preserve"> and increased transaminases. Immune</w:t>
      </w:r>
      <w:r w:rsidR="00975A3C" w:rsidRPr="00655F66">
        <w:t xml:space="preserve"> </w:t>
      </w:r>
      <w:r w:rsidR="006365F2" w:rsidRPr="00655F66">
        <w:t>related</w:t>
      </w:r>
      <w:r w:rsidR="00655F66" w:rsidRPr="00655F66">
        <w:t xml:space="preserve"> adverse events</w:t>
      </w:r>
      <w:r w:rsidR="006365F2" w:rsidRPr="00655F66">
        <w:t xml:space="preserve"> are expected </w:t>
      </w:r>
      <w:r w:rsidR="006365F2" w:rsidRPr="00655F66">
        <w:lastRenderedPageBreak/>
        <w:t xml:space="preserve">with this class of drugs and included transaminase elevation, </w:t>
      </w:r>
      <w:proofErr w:type="gramStart"/>
      <w:r w:rsidR="006365F2" w:rsidRPr="00655F66">
        <w:t>diarrhoea</w:t>
      </w:r>
      <w:proofErr w:type="gramEnd"/>
      <w:r w:rsidR="006365F2" w:rsidRPr="00655F66">
        <w:t xml:space="preserve"> and hypothyroidism. Of these most were Grade 1</w:t>
      </w:r>
      <w:r w:rsidR="00C45323" w:rsidRPr="00655F66">
        <w:t xml:space="preserve"> to Grade </w:t>
      </w:r>
      <w:r w:rsidR="006365F2" w:rsidRPr="00655F66">
        <w:t>2 events, and were managed with dose interruption, corticosteroids and hormone replacement where needed.</w:t>
      </w:r>
    </w:p>
    <w:p w14:paraId="5B4A9DD1" w14:textId="64F413EF" w:rsidR="006365F2" w:rsidRPr="00655F66" w:rsidRDefault="006365F2" w:rsidP="006365F2">
      <w:bookmarkStart w:id="51" w:name="_Hlk110936818"/>
      <w:r w:rsidRPr="00655F66">
        <w:t>Overall</w:t>
      </w:r>
      <w:r w:rsidR="00C45323" w:rsidRPr="00655F66">
        <w:t>,</w:t>
      </w:r>
      <w:r w:rsidRPr="00655F66">
        <w:t xml:space="preserve"> the safety profile was considered consistent with other PD-1</w:t>
      </w:r>
      <w:r w:rsidR="00C45323" w:rsidRPr="00655F66">
        <w:t xml:space="preserve"> or </w:t>
      </w:r>
      <w:r w:rsidRPr="00655F66">
        <w:t xml:space="preserve">PD-L1 inhibitors, however the clinical evaluator noted cardiac safety, and </w:t>
      </w:r>
      <w:proofErr w:type="gramStart"/>
      <w:r w:rsidRPr="00655F66">
        <w:t>in particular immune</w:t>
      </w:r>
      <w:proofErr w:type="gramEnd"/>
      <w:r w:rsidRPr="00655F66">
        <w:t xml:space="preserve"> mediated cardiac events had not been well characterised, </w:t>
      </w:r>
      <w:bookmarkEnd w:id="51"/>
      <w:r w:rsidRPr="00655F66">
        <w:t>and the immunogenicity information was limited precluding meaningful assessment.</w:t>
      </w:r>
    </w:p>
    <w:p w14:paraId="589533DD" w14:textId="3ECDE355" w:rsidR="006365F2" w:rsidRPr="00655F66" w:rsidRDefault="006365F2" w:rsidP="006365F2">
      <w:pPr>
        <w:pStyle w:val="Heading5"/>
      </w:pPr>
      <w:r w:rsidRPr="00655F66">
        <w:t>Safety update</w:t>
      </w:r>
    </w:p>
    <w:p w14:paraId="6EF3966D" w14:textId="77777777" w:rsidR="006365F2" w:rsidRPr="00655F66" w:rsidRDefault="006365F2" w:rsidP="006365F2">
      <w:r w:rsidRPr="00655F66">
        <w:t>Three additional safety changes were provided after the completion of the evaluation phase:</w:t>
      </w:r>
    </w:p>
    <w:p w14:paraId="11DEB814" w14:textId="53FB857B" w:rsidR="006365F2" w:rsidRPr="00655F66" w:rsidRDefault="006365F2" w:rsidP="006365F2">
      <w:pPr>
        <w:pStyle w:val="ListBullet"/>
      </w:pPr>
      <w:r w:rsidRPr="00655F66">
        <w:t>Amendment to the advice for the dosing advice for endocrinopathies, myocarditis, and severe neurological toxicities, and more precise characterising of immune</w:t>
      </w:r>
      <w:r w:rsidR="00C45323" w:rsidRPr="00655F66">
        <w:t xml:space="preserve"> </w:t>
      </w:r>
      <w:r w:rsidRPr="00655F66">
        <w:t>mediated exfoliative dermatologic conditions (</w:t>
      </w:r>
      <w:r w:rsidR="00584E39" w:rsidRPr="00655F66">
        <w:t>for example,</w:t>
      </w:r>
      <w:r w:rsidRPr="00655F66">
        <w:t xml:space="preserve"> Stevens</w:t>
      </w:r>
      <w:r w:rsidR="00B75E4C">
        <w:t>-</w:t>
      </w:r>
      <w:r w:rsidRPr="00655F66">
        <w:t xml:space="preserve">Johnson </w:t>
      </w:r>
      <w:r w:rsidR="00C45323" w:rsidRPr="00655F66">
        <w:t>syndrome</w:t>
      </w:r>
      <w:r w:rsidRPr="00655F66">
        <w:t xml:space="preserve">, </w:t>
      </w:r>
      <w:r w:rsidR="00C45323" w:rsidRPr="00655F66">
        <w:t>toxic epidermal necrolysis, and drug reaction with eosinophilia and systemic symptoms</w:t>
      </w:r>
      <w:r w:rsidRPr="00655F66">
        <w:t>).</w:t>
      </w:r>
    </w:p>
    <w:p w14:paraId="2848A112" w14:textId="63C68A78" w:rsidR="006365F2" w:rsidRPr="00655F66" w:rsidRDefault="006365F2" w:rsidP="006365F2">
      <w:pPr>
        <w:pStyle w:val="ListBullet"/>
      </w:pPr>
      <w:r>
        <w:t>A strengthening of the advice to use contraception to avoid pregnancy when prescribed dostarlimab.</w:t>
      </w:r>
    </w:p>
    <w:p w14:paraId="45E14517" w14:textId="725B86EE" w:rsidR="0074163C" w:rsidRPr="00655F66" w:rsidRDefault="006365F2" w:rsidP="006365F2">
      <w:pPr>
        <w:pStyle w:val="ListBullet"/>
      </w:pPr>
      <w:r w:rsidRPr="00655F66">
        <w:t>Updates to the frequencies of some immune</w:t>
      </w:r>
      <w:r w:rsidR="00B75E4C">
        <w:t>-</w:t>
      </w:r>
      <w:r w:rsidRPr="00655F66">
        <w:t xml:space="preserve">mediated </w:t>
      </w:r>
      <w:r w:rsidR="00B75E4C">
        <w:t>adverse events</w:t>
      </w:r>
      <w:r w:rsidR="00B75E4C" w:rsidRPr="00655F66">
        <w:t xml:space="preserve"> </w:t>
      </w:r>
      <w:r w:rsidRPr="00655F66">
        <w:t>in the PI.</w:t>
      </w:r>
    </w:p>
    <w:p w14:paraId="7DCD5419" w14:textId="7B970686" w:rsidR="008E7846" w:rsidRPr="00655F66" w:rsidRDefault="00386150" w:rsidP="007B6132">
      <w:pPr>
        <w:pStyle w:val="Heading3"/>
        <w:rPr>
          <w:lang w:eastAsia="en-AU"/>
        </w:rPr>
      </w:pPr>
      <w:bookmarkStart w:id="52" w:name="_Toc314842514"/>
      <w:bookmarkStart w:id="53" w:name="_Toc126579876"/>
      <w:r w:rsidRPr="00655F66">
        <w:rPr>
          <w:lang w:eastAsia="en-AU"/>
        </w:rPr>
        <w:t>Risk m</w:t>
      </w:r>
      <w:r w:rsidR="008E7846" w:rsidRPr="00655F66">
        <w:rPr>
          <w:lang w:eastAsia="en-AU"/>
        </w:rPr>
        <w:t xml:space="preserve">anagement </w:t>
      </w:r>
      <w:r w:rsidRPr="00655F66">
        <w:rPr>
          <w:lang w:eastAsia="en-AU"/>
        </w:rPr>
        <w:t>p</w:t>
      </w:r>
      <w:r w:rsidR="008E7846" w:rsidRPr="00655F66">
        <w:rPr>
          <w:lang w:eastAsia="en-AU"/>
        </w:rPr>
        <w:t>lan</w:t>
      </w:r>
      <w:bookmarkEnd w:id="52"/>
      <w:bookmarkEnd w:id="53"/>
    </w:p>
    <w:p w14:paraId="0700C4FB" w14:textId="69E1C63D" w:rsidR="005E6707" w:rsidRPr="00655F66" w:rsidRDefault="00C45323" w:rsidP="005E6707">
      <w:bookmarkStart w:id="54" w:name="_Toc247691531"/>
      <w:bookmarkStart w:id="55" w:name="_Toc314842515"/>
      <w:bookmarkStart w:id="56" w:name="_Toc196046505"/>
      <w:bookmarkStart w:id="57" w:name="_Toc196046949"/>
      <w:r w:rsidRPr="00655F66">
        <w:t>The sponsor</w:t>
      </w:r>
      <w:r w:rsidR="005E6707" w:rsidRPr="00655F66">
        <w:t xml:space="preserve"> has submitted EU-</w:t>
      </w:r>
      <w:r w:rsidRPr="00655F66">
        <w:t>risk management plan (</w:t>
      </w:r>
      <w:r w:rsidR="005E6707" w:rsidRPr="00655F66">
        <w:t>RMP</w:t>
      </w:r>
      <w:r w:rsidRPr="00655F66">
        <w:t>)</w:t>
      </w:r>
      <w:r w:rsidR="005E6707" w:rsidRPr="00655F66">
        <w:t xml:space="preserve"> version 0.2 (no date </w:t>
      </w:r>
      <w:proofErr w:type="gramStart"/>
      <w:r w:rsidR="005E6707" w:rsidRPr="00655F66">
        <w:t>as yet</w:t>
      </w:r>
      <w:proofErr w:type="gramEnd"/>
      <w:r w:rsidR="005E6707" w:rsidRPr="00655F66">
        <w:t xml:space="preserve">; </w:t>
      </w:r>
      <w:r w:rsidRPr="00655F66">
        <w:t>data lock point (</w:t>
      </w:r>
      <w:r w:rsidR="005E6707" w:rsidRPr="00655F66">
        <w:t>DLP</w:t>
      </w:r>
      <w:r w:rsidRPr="00655F66">
        <w:t>)</w:t>
      </w:r>
      <w:r w:rsidR="005E6707" w:rsidRPr="00655F66">
        <w:t xml:space="preserve"> 1 March 2020) and </w:t>
      </w:r>
      <w:r w:rsidR="00655F66" w:rsidRPr="00655F66">
        <w:t>Australia specific annex (</w:t>
      </w:r>
      <w:r w:rsidR="005E6707" w:rsidRPr="00655F66">
        <w:t>ASA</w:t>
      </w:r>
      <w:r w:rsidR="00655F66" w:rsidRPr="00655F66">
        <w:t>)</w:t>
      </w:r>
      <w:r w:rsidR="005E6707" w:rsidRPr="00655F66">
        <w:t xml:space="preserve"> version 1.0 (dated 7 December 2020) in support of this application. </w:t>
      </w:r>
      <w:bookmarkStart w:id="58" w:name="_Hlk82000965"/>
      <w:r w:rsidR="005E6707" w:rsidRPr="00655F66">
        <w:t xml:space="preserve">In </w:t>
      </w:r>
      <w:r w:rsidR="00000FBE">
        <w:t>response to</w:t>
      </w:r>
      <w:r w:rsidR="00000FBE" w:rsidRPr="00000FBE">
        <w:t xml:space="preserve"> a TGA request for information</w:t>
      </w:r>
      <w:r w:rsidR="00000FBE">
        <w:rPr>
          <w:rStyle w:val="CommentReference"/>
        </w:rPr>
        <w:t>,</w:t>
      </w:r>
      <w:r w:rsidR="005E6707" w:rsidRPr="00655F66">
        <w:t xml:space="preserve"> the sponsor submitted EU</w:t>
      </w:r>
      <w:r w:rsidRPr="00655F66">
        <w:noBreakHyphen/>
      </w:r>
      <w:r w:rsidR="005E6707" w:rsidRPr="00655F66">
        <w:t>RMP version 1.1 (dated 12 April 2021; DLP 1</w:t>
      </w:r>
      <w:r w:rsidR="00B75E4C">
        <w:t> </w:t>
      </w:r>
      <w:r w:rsidR="005E6707" w:rsidRPr="00655F66">
        <w:t>March 2020) and ASA version 2.0 (dated July</w:t>
      </w:r>
      <w:r w:rsidRPr="00655F66">
        <w:t> </w:t>
      </w:r>
      <w:r w:rsidR="005E6707" w:rsidRPr="00655F66">
        <w:t xml:space="preserve">2021) in support of this application. At </w:t>
      </w:r>
      <w:r w:rsidR="00000FBE">
        <w:t>second round of evaluation</w:t>
      </w:r>
      <w:r w:rsidR="005E6707" w:rsidRPr="00655F66">
        <w:t>, the sponsor has submitted ASA version 3.0 (dated October</w:t>
      </w:r>
      <w:r w:rsidR="00B75E4C">
        <w:t> </w:t>
      </w:r>
      <w:r w:rsidR="005E6707" w:rsidRPr="00655F66">
        <w:t>2021) in support of this application.</w:t>
      </w:r>
      <w:bookmarkEnd w:id="58"/>
    </w:p>
    <w:p w14:paraId="0728D9E7" w14:textId="5283E24C" w:rsidR="00B75E4C" w:rsidRPr="00655F66" w:rsidRDefault="0074163C" w:rsidP="005F568F">
      <w:r w:rsidRPr="00655F66">
        <w:t xml:space="preserve">The summary of safety concerns and their associated risk monitoring and mitigation strategies are summarised in </w:t>
      </w:r>
      <w:r w:rsidR="00C45323" w:rsidRPr="00655F66">
        <w:fldChar w:fldCharType="begin"/>
      </w:r>
      <w:r w:rsidR="00C45323" w:rsidRPr="00655F66">
        <w:instrText xml:space="preserve"> REF _Ref97629131 \h </w:instrText>
      </w:r>
      <w:r w:rsidR="00655F66" w:rsidRPr="00655F66">
        <w:instrText xml:space="preserve"> \* MERGEFORMAT </w:instrText>
      </w:r>
      <w:r w:rsidR="00C45323" w:rsidRPr="00655F66">
        <w:fldChar w:fldCharType="separate"/>
      </w:r>
      <w:r w:rsidR="000A7290" w:rsidRPr="00117AEB">
        <w:t xml:space="preserve">Table </w:t>
      </w:r>
      <w:r w:rsidR="000A7290">
        <w:rPr>
          <w:noProof/>
        </w:rPr>
        <w:t>9</w:t>
      </w:r>
      <w:r w:rsidR="00C45323" w:rsidRPr="00655F66">
        <w:fldChar w:fldCharType="end"/>
      </w:r>
      <w:r w:rsidR="00C45323" w:rsidRPr="00655F66">
        <w:t>.</w:t>
      </w:r>
      <w:r w:rsidRPr="00655F66">
        <w:t xml:space="preserve"> Further information regarding </w:t>
      </w:r>
      <w:r w:rsidR="00CC5044" w:rsidRPr="00655F66">
        <w:t>the TGA</w:t>
      </w:r>
      <w:r w:rsidR="00BF7063" w:rsidRPr="00655F66">
        <w:t>’</w:t>
      </w:r>
      <w:r w:rsidR="00CC5044" w:rsidRPr="00655F66">
        <w:t>s r</w:t>
      </w:r>
      <w:r w:rsidRPr="00655F66">
        <w:t xml:space="preserve">isk management approach can be found in </w:t>
      </w:r>
      <w:hyperlink r:id="rId30" w:history="1">
        <w:r w:rsidRPr="00655F66">
          <w:rPr>
            <w:rStyle w:val="Hyperlink"/>
          </w:rPr>
          <w:t>risk management plans for medicines and biologicals</w:t>
        </w:r>
      </w:hyperlink>
      <w:r w:rsidRPr="00655F66">
        <w:t xml:space="preserve"> and </w:t>
      </w:r>
      <w:hyperlink r:id="rId31" w:history="1">
        <w:r w:rsidRPr="00655F66">
          <w:rPr>
            <w:rStyle w:val="Hyperlink"/>
          </w:rPr>
          <w:t>the TGA's risk management approach</w:t>
        </w:r>
      </w:hyperlink>
      <w:r w:rsidRPr="00655F66">
        <w:t>.</w:t>
      </w:r>
    </w:p>
    <w:p w14:paraId="0EC0BC9C" w14:textId="10AF2FCE" w:rsidR="0074163C" w:rsidRPr="00117AEB" w:rsidRDefault="0074163C" w:rsidP="00117AEB">
      <w:pPr>
        <w:pStyle w:val="TableTitle"/>
      </w:pPr>
      <w:bookmarkStart w:id="59" w:name="_Ref97629131"/>
      <w:r w:rsidRPr="00117AEB">
        <w:t xml:space="preserve">Table </w:t>
      </w:r>
      <w:r>
        <w:fldChar w:fldCharType="begin"/>
      </w:r>
      <w:r>
        <w:instrText>SEQ Table \* ARABIC</w:instrText>
      </w:r>
      <w:r>
        <w:fldChar w:fldCharType="separate"/>
      </w:r>
      <w:r w:rsidR="000A7290">
        <w:rPr>
          <w:noProof/>
        </w:rPr>
        <w:t>9</w:t>
      </w:r>
      <w:r>
        <w:fldChar w:fldCharType="end"/>
      </w:r>
      <w:bookmarkEnd w:id="59"/>
      <w:r w:rsidRPr="00117AEB">
        <w:t>: Summary of safety concerns</w:t>
      </w:r>
    </w:p>
    <w:tbl>
      <w:tblPr>
        <w:tblStyle w:val="TableTGAblue"/>
        <w:tblW w:w="8359" w:type="dxa"/>
        <w:tblLayout w:type="fixed"/>
        <w:tblLook w:val="04A0" w:firstRow="1" w:lastRow="0" w:firstColumn="1" w:lastColumn="0" w:noHBand="0" w:noVBand="1"/>
      </w:tblPr>
      <w:tblGrid>
        <w:gridCol w:w="1413"/>
        <w:gridCol w:w="2410"/>
        <w:gridCol w:w="992"/>
        <w:gridCol w:w="1276"/>
        <w:gridCol w:w="992"/>
        <w:gridCol w:w="1276"/>
      </w:tblGrid>
      <w:tr w:rsidR="005E6707" w:rsidRPr="00655F66" w14:paraId="0284D052" w14:textId="77777777" w:rsidTr="00C45323">
        <w:trPr>
          <w:cnfStyle w:val="100000000000" w:firstRow="1" w:lastRow="0" w:firstColumn="0" w:lastColumn="0" w:oddVBand="0" w:evenVBand="0" w:oddHBand="0" w:evenHBand="0" w:firstRowFirstColumn="0" w:firstRowLastColumn="0" w:lastRowFirstColumn="0" w:lastRowLastColumn="0"/>
          <w:trHeight w:val="131"/>
        </w:trPr>
        <w:tc>
          <w:tcPr>
            <w:tcW w:w="3823" w:type="dxa"/>
            <w:gridSpan w:val="2"/>
            <w:vMerge w:val="restart"/>
            <w:tcBorders>
              <w:top w:val="single" w:sz="4" w:space="0" w:color="auto"/>
              <w:left w:val="single" w:sz="4" w:space="0" w:color="auto"/>
              <w:bottom w:val="single" w:sz="4" w:space="0" w:color="auto"/>
              <w:right w:val="single" w:sz="4" w:space="0" w:color="auto"/>
            </w:tcBorders>
          </w:tcPr>
          <w:p w14:paraId="31772F26" w14:textId="77777777" w:rsidR="005E6707" w:rsidRPr="00655F66" w:rsidRDefault="005E6707" w:rsidP="005E6707">
            <w:pPr>
              <w:pStyle w:val="Tabletext"/>
              <w:ind w:left="0" w:right="0"/>
            </w:pPr>
            <w:r w:rsidRPr="00655F66">
              <w:t>Summary of safety concerns</w:t>
            </w:r>
          </w:p>
        </w:tc>
        <w:tc>
          <w:tcPr>
            <w:tcW w:w="2268" w:type="dxa"/>
            <w:gridSpan w:val="2"/>
            <w:tcBorders>
              <w:top w:val="single" w:sz="4" w:space="0" w:color="auto"/>
              <w:left w:val="single" w:sz="4" w:space="0" w:color="auto"/>
              <w:bottom w:val="single" w:sz="4" w:space="0" w:color="auto"/>
              <w:right w:val="single" w:sz="4" w:space="0" w:color="auto"/>
            </w:tcBorders>
          </w:tcPr>
          <w:p w14:paraId="4458A384" w14:textId="77777777" w:rsidR="005E6707" w:rsidRPr="00655F66" w:rsidRDefault="005E6707" w:rsidP="005E6707">
            <w:pPr>
              <w:pStyle w:val="Tabletext"/>
              <w:ind w:left="0" w:right="0"/>
            </w:pPr>
            <w:r w:rsidRPr="00655F66">
              <w:t>Pharmacovigilance</w:t>
            </w:r>
          </w:p>
        </w:tc>
        <w:tc>
          <w:tcPr>
            <w:tcW w:w="2268" w:type="dxa"/>
            <w:gridSpan w:val="2"/>
            <w:tcBorders>
              <w:top w:val="single" w:sz="4" w:space="0" w:color="auto"/>
              <w:left w:val="single" w:sz="4" w:space="0" w:color="auto"/>
              <w:bottom w:val="single" w:sz="4" w:space="0" w:color="auto"/>
              <w:right w:val="single" w:sz="4" w:space="0" w:color="auto"/>
            </w:tcBorders>
          </w:tcPr>
          <w:p w14:paraId="1785C936" w14:textId="044F1F86" w:rsidR="005E6707" w:rsidRPr="00655F66" w:rsidRDefault="005E6707" w:rsidP="005E6707">
            <w:pPr>
              <w:pStyle w:val="Tabletext"/>
              <w:ind w:left="0" w:right="0"/>
            </w:pPr>
            <w:r w:rsidRPr="00655F66">
              <w:t xml:space="preserve">Risk </w:t>
            </w:r>
            <w:r w:rsidR="00C45323" w:rsidRPr="00655F66">
              <w:t>m</w:t>
            </w:r>
            <w:r w:rsidRPr="00655F66">
              <w:t>inimisation</w:t>
            </w:r>
          </w:p>
        </w:tc>
      </w:tr>
      <w:tr w:rsidR="005E6707" w:rsidRPr="00655F66" w14:paraId="7619494D" w14:textId="77777777" w:rsidTr="00C45323">
        <w:trPr>
          <w:trHeight w:val="150"/>
        </w:trPr>
        <w:tc>
          <w:tcPr>
            <w:tcW w:w="3823" w:type="dxa"/>
            <w:gridSpan w:val="2"/>
            <w:vMerge/>
            <w:tcBorders>
              <w:top w:val="single" w:sz="4" w:space="0" w:color="auto"/>
              <w:left w:val="single" w:sz="4" w:space="0" w:color="auto"/>
              <w:bottom w:val="single" w:sz="4" w:space="0" w:color="auto"/>
              <w:right w:val="single" w:sz="4" w:space="0" w:color="auto"/>
            </w:tcBorders>
            <w:shd w:val="clear" w:color="auto" w:fill="006DA7"/>
          </w:tcPr>
          <w:p w14:paraId="3C389A01" w14:textId="77777777" w:rsidR="005E6707" w:rsidRPr="00655F66" w:rsidRDefault="005E6707" w:rsidP="005E6707">
            <w:pPr>
              <w:pStyle w:val="Tabletext"/>
              <w:ind w:left="0" w:right="0"/>
            </w:pPr>
          </w:p>
        </w:tc>
        <w:tc>
          <w:tcPr>
            <w:tcW w:w="992" w:type="dxa"/>
            <w:tcBorders>
              <w:top w:val="single" w:sz="4" w:space="0" w:color="auto"/>
              <w:left w:val="single" w:sz="4" w:space="0" w:color="auto"/>
              <w:bottom w:val="single" w:sz="4" w:space="0" w:color="auto"/>
              <w:right w:val="single" w:sz="4" w:space="0" w:color="auto"/>
            </w:tcBorders>
            <w:shd w:val="clear" w:color="auto" w:fill="006DA7"/>
          </w:tcPr>
          <w:p w14:paraId="6278E564" w14:textId="77777777" w:rsidR="005E6707" w:rsidRPr="00655F66" w:rsidRDefault="005E6707" w:rsidP="005E6707">
            <w:pPr>
              <w:pStyle w:val="Tabletext"/>
              <w:ind w:left="0" w:right="0"/>
              <w:rPr>
                <w:b/>
                <w:bCs/>
                <w:color w:val="FFFFFF" w:themeColor="background1"/>
              </w:rPr>
            </w:pPr>
            <w:r w:rsidRPr="00655F66">
              <w:rPr>
                <w:b/>
                <w:bCs/>
                <w:color w:val="FFFFFF" w:themeColor="background1"/>
              </w:rPr>
              <w:t>Routine</w:t>
            </w:r>
          </w:p>
        </w:tc>
        <w:tc>
          <w:tcPr>
            <w:tcW w:w="1276" w:type="dxa"/>
            <w:tcBorders>
              <w:top w:val="single" w:sz="4" w:space="0" w:color="auto"/>
              <w:left w:val="single" w:sz="4" w:space="0" w:color="auto"/>
              <w:bottom w:val="single" w:sz="4" w:space="0" w:color="auto"/>
              <w:right w:val="single" w:sz="4" w:space="0" w:color="auto"/>
            </w:tcBorders>
            <w:shd w:val="clear" w:color="auto" w:fill="006DA7"/>
          </w:tcPr>
          <w:p w14:paraId="530513AE" w14:textId="77777777" w:rsidR="005E6707" w:rsidRPr="00655F66" w:rsidRDefault="005E6707" w:rsidP="005E6707">
            <w:pPr>
              <w:pStyle w:val="Tabletext"/>
              <w:ind w:left="0" w:right="0"/>
              <w:rPr>
                <w:b/>
                <w:bCs/>
                <w:color w:val="FFFFFF" w:themeColor="background1"/>
              </w:rPr>
            </w:pPr>
            <w:r w:rsidRPr="00655F66">
              <w:rPr>
                <w:b/>
                <w:bCs/>
                <w:color w:val="FFFFFF" w:themeColor="background1"/>
              </w:rPr>
              <w:t>Additional</w:t>
            </w:r>
          </w:p>
        </w:tc>
        <w:tc>
          <w:tcPr>
            <w:tcW w:w="992" w:type="dxa"/>
            <w:tcBorders>
              <w:top w:val="single" w:sz="4" w:space="0" w:color="auto"/>
              <w:left w:val="single" w:sz="4" w:space="0" w:color="auto"/>
              <w:bottom w:val="single" w:sz="4" w:space="0" w:color="auto"/>
              <w:right w:val="single" w:sz="4" w:space="0" w:color="auto"/>
            </w:tcBorders>
            <w:shd w:val="clear" w:color="auto" w:fill="006DA7"/>
          </w:tcPr>
          <w:p w14:paraId="04D0D8B3" w14:textId="77777777" w:rsidR="005E6707" w:rsidRPr="00655F66" w:rsidRDefault="005E6707" w:rsidP="005E6707">
            <w:pPr>
              <w:pStyle w:val="Tabletext"/>
              <w:ind w:left="0" w:right="0"/>
              <w:rPr>
                <w:b/>
                <w:bCs/>
                <w:color w:val="FFFFFF" w:themeColor="background1"/>
              </w:rPr>
            </w:pPr>
            <w:r w:rsidRPr="00655F66">
              <w:rPr>
                <w:b/>
                <w:bCs/>
                <w:color w:val="FFFFFF" w:themeColor="background1"/>
              </w:rPr>
              <w:t>Routine</w:t>
            </w:r>
          </w:p>
        </w:tc>
        <w:tc>
          <w:tcPr>
            <w:tcW w:w="1276" w:type="dxa"/>
            <w:tcBorders>
              <w:top w:val="single" w:sz="4" w:space="0" w:color="auto"/>
              <w:left w:val="single" w:sz="4" w:space="0" w:color="auto"/>
              <w:bottom w:val="single" w:sz="4" w:space="0" w:color="auto"/>
              <w:right w:val="single" w:sz="4" w:space="0" w:color="auto"/>
            </w:tcBorders>
            <w:shd w:val="clear" w:color="auto" w:fill="006DA7"/>
          </w:tcPr>
          <w:p w14:paraId="5B160060" w14:textId="77777777" w:rsidR="005E6707" w:rsidRPr="00655F66" w:rsidRDefault="005E6707" w:rsidP="005E6707">
            <w:pPr>
              <w:pStyle w:val="Tabletext"/>
              <w:ind w:left="0" w:right="0"/>
              <w:rPr>
                <w:b/>
                <w:bCs/>
                <w:color w:val="FFFFFF" w:themeColor="background1"/>
              </w:rPr>
            </w:pPr>
            <w:r w:rsidRPr="00655F66">
              <w:rPr>
                <w:b/>
                <w:bCs/>
                <w:color w:val="FFFFFF" w:themeColor="background1"/>
              </w:rPr>
              <w:t>Additional</w:t>
            </w:r>
          </w:p>
        </w:tc>
      </w:tr>
      <w:tr w:rsidR="005E6707" w:rsidRPr="00655F66" w14:paraId="57ED59B7" w14:textId="77777777" w:rsidTr="00C45323">
        <w:trPr>
          <w:trHeight w:val="137"/>
        </w:trPr>
        <w:tc>
          <w:tcPr>
            <w:tcW w:w="1413" w:type="dxa"/>
            <w:vMerge w:val="restart"/>
            <w:tcBorders>
              <w:top w:val="single" w:sz="4" w:space="0" w:color="auto"/>
            </w:tcBorders>
          </w:tcPr>
          <w:p w14:paraId="431DF46D" w14:textId="77777777" w:rsidR="005E6707" w:rsidRPr="00655F66" w:rsidRDefault="005E6707" w:rsidP="005E6707">
            <w:pPr>
              <w:pStyle w:val="Tabletext"/>
              <w:ind w:left="0" w:right="0"/>
              <w:rPr>
                <w:b/>
                <w:bCs/>
              </w:rPr>
            </w:pPr>
            <w:r w:rsidRPr="00655F66">
              <w:rPr>
                <w:b/>
                <w:bCs/>
              </w:rPr>
              <w:t>Important identified risks</w:t>
            </w:r>
          </w:p>
        </w:tc>
        <w:tc>
          <w:tcPr>
            <w:tcW w:w="2410" w:type="dxa"/>
            <w:tcBorders>
              <w:top w:val="single" w:sz="4" w:space="0" w:color="auto"/>
            </w:tcBorders>
          </w:tcPr>
          <w:p w14:paraId="6F36D156" w14:textId="77777777" w:rsidR="005E6707" w:rsidRPr="00655F66" w:rsidRDefault="005E6707" w:rsidP="005E6707">
            <w:pPr>
              <w:pStyle w:val="Tabletext"/>
              <w:ind w:left="0" w:right="0"/>
            </w:pPr>
            <w:r w:rsidRPr="00655F66">
              <w:t>Immune related adverse reactions (</w:t>
            </w:r>
            <w:proofErr w:type="spellStart"/>
            <w:r w:rsidRPr="00655F66">
              <w:t>IrARs</w:t>
            </w:r>
            <w:proofErr w:type="spellEnd"/>
            <w:r w:rsidRPr="00655F66">
              <w:t xml:space="preserve">) (such as immune-related pneumonitis, colitis, endocrinopathies, immune-related skin adverse reactions, nephritis, systemic inflammatory response syndrome, myositis and other </w:t>
            </w:r>
            <w:proofErr w:type="spellStart"/>
            <w:r w:rsidRPr="00655F66">
              <w:t>irARs</w:t>
            </w:r>
            <w:proofErr w:type="spellEnd"/>
            <w:r w:rsidRPr="00655F66">
              <w:t>)</w:t>
            </w:r>
          </w:p>
        </w:tc>
        <w:tc>
          <w:tcPr>
            <w:tcW w:w="992" w:type="dxa"/>
            <w:tcBorders>
              <w:top w:val="single" w:sz="4" w:space="0" w:color="auto"/>
            </w:tcBorders>
          </w:tcPr>
          <w:p w14:paraId="2509C4FC" w14:textId="77777777" w:rsidR="005E6707" w:rsidRPr="00655F66" w:rsidRDefault="005E6707" w:rsidP="005E6707">
            <w:pPr>
              <w:pStyle w:val="Tabletext"/>
              <w:ind w:left="0" w:right="0"/>
            </w:pPr>
            <w:r w:rsidRPr="00655F66">
              <w:rPr>
                <w:rFonts w:ascii="Wingdings" w:eastAsia="Wingdings" w:hAnsi="Wingdings" w:cs="Wingdings"/>
              </w:rPr>
              <w:t></w:t>
            </w:r>
          </w:p>
        </w:tc>
        <w:tc>
          <w:tcPr>
            <w:tcW w:w="1276" w:type="dxa"/>
            <w:tcBorders>
              <w:top w:val="single" w:sz="4" w:space="0" w:color="auto"/>
            </w:tcBorders>
          </w:tcPr>
          <w:p w14:paraId="02D6AB07" w14:textId="77777777" w:rsidR="005E6707" w:rsidRPr="00655F66" w:rsidRDefault="005E6707" w:rsidP="005E6707">
            <w:pPr>
              <w:pStyle w:val="Tabletext"/>
              <w:ind w:left="0" w:right="0"/>
            </w:pPr>
            <w:r w:rsidRPr="00655F66">
              <w:t>–</w:t>
            </w:r>
          </w:p>
        </w:tc>
        <w:tc>
          <w:tcPr>
            <w:tcW w:w="992" w:type="dxa"/>
            <w:tcBorders>
              <w:top w:val="single" w:sz="4" w:space="0" w:color="auto"/>
            </w:tcBorders>
          </w:tcPr>
          <w:p w14:paraId="006BD6DB" w14:textId="77777777" w:rsidR="005E6707" w:rsidRPr="00655F66" w:rsidRDefault="005E6707" w:rsidP="005E6707">
            <w:pPr>
              <w:pStyle w:val="Tabletext"/>
              <w:ind w:left="0" w:right="0"/>
            </w:pPr>
            <w:r w:rsidRPr="00655F66">
              <w:rPr>
                <w:rFonts w:ascii="Wingdings" w:eastAsia="Wingdings" w:hAnsi="Wingdings" w:cs="Wingdings"/>
              </w:rPr>
              <w:t></w:t>
            </w:r>
          </w:p>
        </w:tc>
        <w:tc>
          <w:tcPr>
            <w:tcW w:w="1276" w:type="dxa"/>
            <w:tcBorders>
              <w:top w:val="single" w:sz="4" w:space="0" w:color="auto"/>
            </w:tcBorders>
          </w:tcPr>
          <w:p w14:paraId="441E4296" w14:textId="77777777" w:rsidR="005E6707" w:rsidRPr="00655F66" w:rsidRDefault="005E6707" w:rsidP="005E6707">
            <w:pPr>
              <w:pStyle w:val="Tabletext"/>
              <w:ind w:left="0" w:right="0"/>
            </w:pPr>
            <w:r w:rsidRPr="00655F66">
              <w:rPr>
                <w:rFonts w:ascii="Wingdings" w:eastAsia="Wingdings" w:hAnsi="Wingdings" w:cs="Wingdings"/>
              </w:rPr>
              <w:t></w:t>
            </w:r>
            <w:r w:rsidRPr="00655F66">
              <w:t>*</w:t>
            </w:r>
          </w:p>
        </w:tc>
      </w:tr>
      <w:tr w:rsidR="005E6707" w:rsidRPr="00655F66" w14:paraId="6136CB5F" w14:textId="77777777" w:rsidTr="00C45323">
        <w:trPr>
          <w:trHeight w:val="187"/>
        </w:trPr>
        <w:tc>
          <w:tcPr>
            <w:tcW w:w="1413" w:type="dxa"/>
            <w:vMerge/>
          </w:tcPr>
          <w:p w14:paraId="4797976C" w14:textId="77777777" w:rsidR="005E6707" w:rsidRPr="00655F66" w:rsidRDefault="005E6707" w:rsidP="005E6707">
            <w:pPr>
              <w:pStyle w:val="Tabletext"/>
              <w:ind w:left="0" w:right="0"/>
              <w:rPr>
                <w:b/>
                <w:bCs/>
              </w:rPr>
            </w:pPr>
          </w:p>
        </w:tc>
        <w:tc>
          <w:tcPr>
            <w:tcW w:w="2410" w:type="dxa"/>
          </w:tcPr>
          <w:p w14:paraId="1D98F130" w14:textId="77777777" w:rsidR="005E6707" w:rsidRPr="00655F66" w:rsidRDefault="005E6707" w:rsidP="005E6707">
            <w:pPr>
              <w:pStyle w:val="Tabletext"/>
              <w:ind w:left="0" w:right="0"/>
            </w:pPr>
            <w:r w:rsidRPr="00655F66">
              <w:t>Infusion-related reactions</w:t>
            </w:r>
          </w:p>
        </w:tc>
        <w:tc>
          <w:tcPr>
            <w:tcW w:w="992" w:type="dxa"/>
          </w:tcPr>
          <w:p w14:paraId="0F6987F2" w14:textId="77777777" w:rsidR="005E6707" w:rsidRPr="00655F66" w:rsidRDefault="005E6707" w:rsidP="005E6707">
            <w:pPr>
              <w:pStyle w:val="Tabletext"/>
              <w:ind w:left="0" w:right="0"/>
            </w:pPr>
            <w:r w:rsidRPr="00655F66">
              <w:rPr>
                <w:rFonts w:ascii="Wingdings" w:eastAsia="Wingdings" w:hAnsi="Wingdings" w:cs="Wingdings"/>
              </w:rPr>
              <w:t></w:t>
            </w:r>
          </w:p>
        </w:tc>
        <w:tc>
          <w:tcPr>
            <w:tcW w:w="1276" w:type="dxa"/>
          </w:tcPr>
          <w:p w14:paraId="5E9109A8" w14:textId="77777777" w:rsidR="005E6707" w:rsidRPr="00655F66" w:rsidRDefault="005E6707" w:rsidP="005E6707">
            <w:pPr>
              <w:pStyle w:val="Tabletext"/>
              <w:ind w:left="0" w:right="0"/>
            </w:pPr>
            <w:r w:rsidRPr="00655F66">
              <w:t>–</w:t>
            </w:r>
          </w:p>
        </w:tc>
        <w:tc>
          <w:tcPr>
            <w:tcW w:w="992" w:type="dxa"/>
          </w:tcPr>
          <w:p w14:paraId="7D2C5B74" w14:textId="77777777" w:rsidR="005E6707" w:rsidRPr="00655F66" w:rsidRDefault="005E6707" w:rsidP="005E6707">
            <w:pPr>
              <w:pStyle w:val="Tabletext"/>
              <w:ind w:left="0" w:right="0"/>
            </w:pPr>
            <w:r w:rsidRPr="00655F66">
              <w:rPr>
                <w:rFonts w:ascii="Wingdings" w:eastAsia="Wingdings" w:hAnsi="Wingdings" w:cs="Wingdings"/>
              </w:rPr>
              <w:t></w:t>
            </w:r>
          </w:p>
        </w:tc>
        <w:tc>
          <w:tcPr>
            <w:tcW w:w="1276" w:type="dxa"/>
          </w:tcPr>
          <w:p w14:paraId="29BD60C9" w14:textId="77777777" w:rsidR="005E6707" w:rsidRPr="00655F66" w:rsidRDefault="005E6707" w:rsidP="005E6707">
            <w:pPr>
              <w:pStyle w:val="Tabletext"/>
              <w:ind w:left="0" w:right="0"/>
            </w:pPr>
            <w:r w:rsidRPr="00655F66">
              <w:t>–</w:t>
            </w:r>
          </w:p>
        </w:tc>
      </w:tr>
      <w:tr w:rsidR="005E6707" w:rsidRPr="00655F66" w14:paraId="2356455F" w14:textId="77777777" w:rsidTr="00C45323">
        <w:trPr>
          <w:trHeight w:val="159"/>
        </w:trPr>
        <w:tc>
          <w:tcPr>
            <w:tcW w:w="1413" w:type="dxa"/>
          </w:tcPr>
          <w:p w14:paraId="0E24D8E0" w14:textId="77777777" w:rsidR="005E6707" w:rsidRPr="00655F66" w:rsidRDefault="005E6707" w:rsidP="005E6707">
            <w:pPr>
              <w:pStyle w:val="Tabletext"/>
              <w:ind w:left="0" w:right="0"/>
              <w:rPr>
                <w:b/>
                <w:bCs/>
              </w:rPr>
            </w:pPr>
            <w:r w:rsidRPr="00655F66">
              <w:rPr>
                <w:b/>
                <w:bCs/>
              </w:rPr>
              <w:lastRenderedPageBreak/>
              <w:t>Important potential risks</w:t>
            </w:r>
          </w:p>
        </w:tc>
        <w:tc>
          <w:tcPr>
            <w:tcW w:w="2410" w:type="dxa"/>
          </w:tcPr>
          <w:p w14:paraId="36A0C94A" w14:textId="77777777" w:rsidR="005E6707" w:rsidRPr="00655F66" w:rsidRDefault="005E6707" w:rsidP="005E6707">
            <w:pPr>
              <w:pStyle w:val="Tabletext"/>
              <w:ind w:left="0" w:right="0"/>
            </w:pPr>
            <w:r w:rsidRPr="00655F66">
              <w:t>None</w:t>
            </w:r>
          </w:p>
        </w:tc>
        <w:tc>
          <w:tcPr>
            <w:tcW w:w="992" w:type="dxa"/>
          </w:tcPr>
          <w:p w14:paraId="5156F366" w14:textId="77777777" w:rsidR="005E6707" w:rsidRPr="00655F66" w:rsidRDefault="005E6707" w:rsidP="005E6707">
            <w:pPr>
              <w:pStyle w:val="Tabletext"/>
              <w:ind w:left="0" w:right="0"/>
            </w:pPr>
            <w:r w:rsidRPr="00655F66">
              <w:rPr>
                <w:rFonts w:ascii="Wingdings" w:eastAsia="Wingdings" w:hAnsi="Wingdings" w:cs="Wingdings"/>
              </w:rPr>
              <w:t></w:t>
            </w:r>
          </w:p>
        </w:tc>
        <w:tc>
          <w:tcPr>
            <w:tcW w:w="1276" w:type="dxa"/>
          </w:tcPr>
          <w:p w14:paraId="0FC46FE4" w14:textId="77777777" w:rsidR="005E6707" w:rsidRPr="00655F66" w:rsidRDefault="005E6707" w:rsidP="005E6707">
            <w:pPr>
              <w:pStyle w:val="Tabletext"/>
              <w:ind w:left="0" w:right="0"/>
            </w:pPr>
            <w:r w:rsidRPr="00655F66">
              <w:t>–</w:t>
            </w:r>
          </w:p>
        </w:tc>
        <w:tc>
          <w:tcPr>
            <w:tcW w:w="992" w:type="dxa"/>
          </w:tcPr>
          <w:p w14:paraId="7E053D84" w14:textId="77777777" w:rsidR="005E6707" w:rsidRPr="00655F66" w:rsidRDefault="005E6707" w:rsidP="005E6707">
            <w:pPr>
              <w:pStyle w:val="Tabletext"/>
              <w:ind w:left="0" w:right="0"/>
            </w:pPr>
            <w:r w:rsidRPr="00655F66">
              <w:rPr>
                <w:rFonts w:ascii="Wingdings" w:eastAsia="Wingdings" w:hAnsi="Wingdings" w:cs="Wingdings"/>
              </w:rPr>
              <w:t></w:t>
            </w:r>
          </w:p>
        </w:tc>
        <w:tc>
          <w:tcPr>
            <w:tcW w:w="1276" w:type="dxa"/>
          </w:tcPr>
          <w:p w14:paraId="2A15D9EE" w14:textId="77777777" w:rsidR="005E6707" w:rsidRPr="00655F66" w:rsidRDefault="005E6707" w:rsidP="005E6707">
            <w:pPr>
              <w:pStyle w:val="Tabletext"/>
              <w:ind w:left="0" w:right="0"/>
            </w:pPr>
            <w:r w:rsidRPr="00655F66">
              <w:t>–</w:t>
            </w:r>
          </w:p>
        </w:tc>
      </w:tr>
      <w:tr w:rsidR="005E6707" w:rsidRPr="00655F66" w14:paraId="62CA962D" w14:textId="77777777" w:rsidTr="00C45323">
        <w:trPr>
          <w:trHeight w:val="178"/>
        </w:trPr>
        <w:tc>
          <w:tcPr>
            <w:tcW w:w="1413" w:type="dxa"/>
          </w:tcPr>
          <w:p w14:paraId="3FB0130C" w14:textId="77777777" w:rsidR="005E6707" w:rsidRPr="00655F66" w:rsidRDefault="005E6707" w:rsidP="005E6707">
            <w:pPr>
              <w:pStyle w:val="Tabletext"/>
              <w:ind w:left="0" w:right="0"/>
              <w:rPr>
                <w:b/>
                <w:bCs/>
              </w:rPr>
            </w:pPr>
            <w:r w:rsidRPr="00655F66">
              <w:rPr>
                <w:b/>
                <w:bCs/>
              </w:rPr>
              <w:t>Missing information</w:t>
            </w:r>
          </w:p>
        </w:tc>
        <w:tc>
          <w:tcPr>
            <w:tcW w:w="2410" w:type="dxa"/>
          </w:tcPr>
          <w:p w14:paraId="60D77C6A" w14:textId="77777777" w:rsidR="005E6707" w:rsidRPr="00655F66" w:rsidRDefault="005E6707" w:rsidP="005E6707">
            <w:pPr>
              <w:pStyle w:val="Tabletext"/>
              <w:ind w:left="0" w:right="0"/>
            </w:pPr>
            <w:r w:rsidRPr="00655F66">
              <w:t>Long-term safety</w:t>
            </w:r>
          </w:p>
        </w:tc>
        <w:tc>
          <w:tcPr>
            <w:tcW w:w="992" w:type="dxa"/>
          </w:tcPr>
          <w:p w14:paraId="45CCCC2B" w14:textId="77777777" w:rsidR="005E6707" w:rsidRPr="00655F66" w:rsidRDefault="005E6707" w:rsidP="005E6707">
            <w:pPr>
              <w:pStyle w:val="Tabletext"/>
              <w:ind w:left="0" w:right="0"/>
            </w:pPr>
            <w:r w:rsidRPr="00655F66">
              <w:t>–</w:t>
            </w:r>
          </w:p>
        </w:tc>
        <w:tc>
          <w:tcPr>
            <w:tcW w:w="1276" w:type="dxa"/>
          </w:tcPr>
          <w:p w14:paraId="5CC16968" w14:textId="77777777" w:rsidR="005E6707" w:rsidRPr="00655F66" w:rsidRDefault="005E6707" w:rsidP="005E6707">
            <w:pPr>
              <w:pStyle w:val="Tabletext"/>
              <w:ind w:left="0" w:right="0"/>
            </w:pPr>
            <w:r w:rsidRPr="00655F66">
              <w:t>–</w:t>
            </w:r>
          </w:p>
        </w:tc>
        <w:tc>
          <w:tcPr>
            <w:tcW w:w="992" w:type="dxa"/>
          </w:tcPr>
          <w:p w14:paraId="02F5A82E" w14:textId="77777777" w:rsidR="005E6707" w:rsidRPr="00655F66" w:rsidRDefault="005E6707" w:rsidP="005E6707">
            <w:pPr>
              <w:pStyle w:val="Tabletext"/>
              <w:ind w:left="0" w:right="0"/>
            </w:pPr>
            <w:r w:rsidRPr="00655F66">
              <w:t>–</w:t>
            </w:r>
          </w:p>
        </w:tc>
        <w:tc>
          <w:tcPr>
            <w:tcW w:w="1276" w:type="dxa"/>
          </w:tcPr>
          <w:p w14:paraId="2541A7AE" w14:textId="77777777" w:rsidR="005E6707" w:rsidRPr="00655F66" w:rsidRDefault="005E6707" w:rsidP="005E6707">
            <w:pPr>
              <w:pStyle w:val="Tabletext"/>
              <w:ind w:left="0" w:right="0"/>
            </w:pPr>
            <w:r w:rsidRPr="00655F66">
              <w:t>–</w:t>
            </w:r>
          </w:p>
        </w:tc>
      </w:tr>
    </w:tbl>
    <w:p w14:paraId="10F036A2" w14:textId="3A95F919" w:rsidR="005E6707" w:rsidRPr="00655F66" w:rsidRDefault="005E6707" w:rsidP="005E6707">
      <w:pPr>
        <w:pStyle w:val="TableDescription"/>
      </w:pPr>
      <w:r w:rsidRPr="00655F66">
        <w:t>*Patient Alert Card.</w:t>
      </w:r>
    </w:p>
    <w:p w14:paraId="65A08337" w14:textId="50F94F55" w:rsidR="005E6707" w:rsidRPr="00655F66" w:rsidRDefault="005E6707" w:rsidP="005E6707">
      <w:pPr>
        <w:pStyle w:val="ListBullet"/>
      </w:pPr>
      <w:r w:rsidRPr="00655F66">
        <w:t xml:space="preserve">The summary of safety concerns </w:t>
      </w:r>
      <w:r w:rsidR="00C45323" w:rsidRPr="00655F66">
        <w:t>is</w:t>
      </w:r>
      <w:r w:rsidRPr="00655F66">
        <w:t xml:space="preserve"> satisfactory and include </w:t>
      </w:r>
      <w:r w:rsidR="00C45323" w:rsidRPr="00655F66">
        <w:t xml:space="preserve">‘systemic </w:t>
      </w:r>
      <w:r w:rsidRPr="00655F66">
        <w:t>inflammatory response syndrome and myositis</w:t>
      </w:r>
      <w:r w:rsidR="00C45323" w:rsidRPr="00655F66">
        <w:t>’</w:t>
      </w:r>
      <w:r w:rsidRPr="00655F66">
        <w:t xml:space="preserve"> in the list of </w:t>
      </w:r>
      <w:r w:rsidR="00C45323" w:rsidRPr="00655F66">
        <w:t>‘</w:t>
      </w:r>
      <w:r w:rsidRPr="00655F66">
        <w:t>immune</w:t>
      </w:r>
      <w:r w:rsidR="00975A3C" w:rsidRPr="00655F66">
        <w:t xml:space="preserve"> </w:t>
      </w:r>
      <w:r w:rsidRPr="00655F66">
        <w:t>related adverse reactions</w:t>
      </w:r>
      <w:r w:rsidR="00C45323" w:rsidRPr="00655F66">
        <w:t>’</w:t>
      </w:r>
      <w:r w:rsidRPr="00655F66">
        <w:t xml:space="preserve"> consistent with the latest EU-RMP</w:t>
      </w:r>
      <w:r w:rsidR="00C45323" w:rsidRPr="00655F66">
        <w:t>.</w:t>
      </w:r>
      <w:r w:rsidRPr="00655F66">
        <w:rPr>
          <w:rStyle w:val="FootnoteReference"/>
        </w:rPr>
        <w:footnoteReference w:id="17"/>
      </w:r>
    </w:p>
    <w:p w14:paraId="59D6D256" w14:textId="77777777" w:rsidR="005E6707" w:rsidRPr="00655F66" w:rsidRDefault="005E6707" w:rsidP="005E6707">
      <w:pPr>
        <w:pStyle w:val="ListBullet"/>
      </w:pPr>
      <w:r w:rsidRPr="00655F66">
        <w:t>Routine pharmacovigilance activities only have been proposed. This is acceptable considering the safety concerns proposed and is consistent with the EU-RMP.</w:t>
      </w:r>
    </w:p>
    <w:p w14:paraId="62D3E0D6" w14:textId="34B491E7" w:rsidR="0074163C" w:rsidRPr="00655F66" w:rsidRDefault="005E6707" w:rsidP="005E6707">
      <w:pPr>
        <w:pStyle w:val="ListBullet"/>
      </w:pPr>
      <w:r w:rsidRPr="00655F66">
        <w:t>Routine risk minimisation activities have been proposed. In addition, the sponsor proposes a Patient Card as an additional risk minimisation activity to inform patients about the important identified risk of immune</w:t>
      </w:r>
      <w:r w:rsidR="00975A3C" w:rsidRPr="00655F66">
        <w:t xml:space="preserve"> </w:t>
      </w:r>
      <w:r w:rsidRPr="00655F66">
        <w:t xml:space="preserve">related adverse reactions. The Patient Card will </w:t>
      </w:r>
      <w:r w:rsidR="00C45323" w:rsidRPr="00655F66">
        <w:t>be distributed</w:t>
      </w:r>
      <w:r w:rsidRPr="00655F66">
        <w:t xml:space="preserve"> to physicians with the effectiveness assessed by routine pharmacovigilance. This is acceptable.</w:t>
      </w:r>
    </w:p>
    <w:p w14:paraId="75655B03" w14:textId="6BE229EE" w:rsidR="008E7846" w:rsidRPr="00655F66" w:rsidRDefault="00AA0ED0" w:rsidP="008E7846">
      <w:pPr>
        <w:pStyle w:val="Heading3"/>
      </w:pPr>
      <w:bookmarkStart w:id="60" w:name="_Toc126579877"/>
      <w:r w:rsidRPr="00655F66">
        <w:t>Risk-benefit a</w:t>
      </w:r>
      <w:r w:rsidR="008E7846" w:rsidRPr="00655F66">
        <w:t>nalysis</w:t>
      </w:r>
      <w:bookmarkEnd w:id="54"/>
      <w:bookmarkEnd w:id="55"/>
      <w:bookmarkEnd w:id="60"/>
    </w:p>
    <w:p w14:paraId="4C618A29" w14:textId="5E6F74FD" w:rsidR="0074163C" w:rsidRPr="00655F66" w:rsidRDefault="0074163C" w:rsidP="0074163C">
      <w:pPr>
        <w:pStyle w:val="Heading4"/>
      </w:pPr>
      <w:bookmarkStart w:id="61" w:name="_Toc98931932"/>
      <w:r w:rsidRPr="00655F66">
        <w:t>Delegate’s considerations</w:t>
      </w:r>
      <w:bookmarkEnd w:id="61"/>
    </w:p>
    <w:p w14:paraId="7256C398" w14:textId="32A1C665" w:rsidR="005E6707" w:rsidRPr="00655F66" w:rsidRDefault="005E6707" w:rsidP="005E6707">
      <w:r w:rsidRPr="00655F66">
        <w:t>The provisional registration of dostarlimab is supported by single arm data. As a general principle the presentation of single arm data in the provisional registration setting is considered sufficient to demonstrate promising evidence of effect and an early assessment of the safety profile of the product.</w:t>
      </w:r>
    </w:p>
    <w:p w14:paraId="059A80AE" w14:textId="0344E703" w:rsidR="005E6707" w:rsidRPr="00655F66" w:rsidRDefault="005E6707" w:rsidP="005E6707">
      <w:r w:rsidRPr="00655F66">
        <w:t>The patient characteristics and prior treatments are considered sufficiently generalisable to the Australian context given the submission is seeking provisional registration.</w:t>
      </w:r>
    </w:p>
    <w:p w14:paraId="13473A67" w14:textId="7124870C" w:rsidR="005E6707" w:rsidRPr="00655F66" w:rsidRDefault="005E6707" w:rsidP="005E6707">
      <w:r w:rsidRPr="00655F66">
        <w:t xml:space="preserve">After a median duration of follow-up of 16.3 months, dostarlimab treatment resulted in an objective response in 46 of 103 participants with </w:t>
      </w:r>
      <w:r w:rsidR="00B75E4C">
        <w:t>DNA mismatch repair deficient</w:t>
      </w:r>
      <w:r w:rsidR="00B75E4C" w:rsidRPr="00655F66">
        <w:t xml:space="preserve"> </w:t>
      </w:r>
      <w:r w:rsidR="00151835" w:rsidRPr="00655F66">
        <w:t>endometrial cancer</w:t>
      </w:r>
      <w:r w:rsidRPr="00655F66">
        <w:t xml:space="preserve">, with an </w:t>
      </w:r>
      <w:r w:rsidR="00B75E4C">
        <w:t>objective response rate</w:t>
      </w:r>
      <w:r w:rsidR="00B75E4C" w:rsidRPr="00655F66">
        <w:t xml:space="preserve"> </w:t>
      </w:r>
      <w:r w:rsidRPr="00655F66">
        <w:t xml:space="preserve">of 44.7% (95% CI: 34.9%, 54.8%). The median </w:t>
      </w:r>
      <w:r w:rsidR="0065626F">
        <w:t>duration of response</w:t>
      </w:r>
      <w:r w:rsidR="0065626F" w:rsidRPr="00655F66">
        <w:t xml:space="preserve"> </w:t>
      </w:r>
      <w:r w:rsidRPr="00655F66">
        <w:t xml:space="preserve">had not been reached, and 78.3% of responders with </w:t>
      </w:r>
      <w:r w:rsidR="00EF79D8">
        <w:t xml:space="preserve">DNA </w:t>
      </w:r>
      <w:r w:rsidR="00EF79D8" w:rsidRPr="00655F66">
        <w:t>mismatch repair</w:t>
      </w:r>
      <w:r w:rsidR="00EF79D8">
        <w:t xml:space="preserve"> </w:t>
      </w:r>
      <w:r w:rsidR="00EF79D8" w:rsidRPr="00655F66">
        <w:t>deficient</w:t>
      </w:r>
      <w:r w:rsidR="00EF79D8">
        <w:t xml:space="preserve"> </w:t>
      </w:r>
      <w:r w:rsidR="00151835" w:rsidRPr="00655F66">
        <w:t>endometrial cancer</w:t>
      </w:r>
      <w:r w:rsidR="00AF1F2F">
        <w:t>.</w:t>
      </w:r>
      <w:r w:rsidR="00AF1F2F">
        <w:rPr>
          <w:rStyle w:val="FootnoteReference"/>
        </w:rPr>
        <w:footnoteReference w:id="18"/>
      </w:r>
      <w:r w:rsidRPr="00655F66">
        <w:t xml:space="preserve"> </w:t>
      </w:r>
      <w:r w:rsidR="00655F66" w:rsidRPr="00655F66">
        <w:t>Kaplan-Meier</w:t>
      </w:r>
      <w:r w:rsidRPr="00655F66">
        <w:t xml:space="preserve"> estimates of the probability of survival were 80.7% at Month 6, 74.9% at Month 9, and 68.5% at Month 12 in participants with </w:t>
      </w:r>
      <w:r w:rsidR="0065626F">
        <w:t xml:space="preserve">DNA mismatch repair deficient </w:t>
      </w:r>
      <w:r w:rsidR="00151835" w:rsidRPr="00655F66">
        <w:t>endometrial cancer</w:t>
      </w:r>
      <w:r w:rsidRPr="00655F66">
        <w:t xml:space="preserve"> in the primary efficacy analysis set. The median </w:t>
      </w:r>
      <w:r w:rsidR="0065626F">
        <w:t>progression</w:t>
      </w:r>
      <w:r w:rsidR="009530C3">
        <w:t xml:space="preserve"> </w:t>
      </w:r>
      <w:r w:rsidR="0065626F">
        <w:t>free survival</w:t>
      </w:r>
      <w:r w:rsidR="0065626F" w:rsidRPr="00655F66">
        <w:t xml:space="preserve"> </w:t>
      </w:r>
      <w:r w:rsidRPr="00655F66">
        <w:t>was 5.5</w:t>
      </w:r>
      <w:r w:rsidR="00C45323" w:rsidRPr="00655F66">
        <w:t> </w:t>
      </w:r>
      <w:r w:rsidRPr="00655F66">
        <w:t xml:space="preserve">months in participants with </w:t>
      </w:r>
      <w:r w:rsidR="0065626F">
        <w:t xml:space="preserve">DNA mismatch repair deficient </w:t>
      </w:r>
      <w:r w:rsidR="00151835" w:rsidRPr="00655F66">
        <w:t>endometrial cancer</w:t>
      </w:r>
      <w:r w:rsidRPr="00655F66">
        <w:t>.</w:t>
      </w:r>
    </w:p>
    <w:p w14:paraId="2E9834D2" w14:textId="2D4173A0" w:rsidR="005E6707" w:rsidRPr="00655F66" w:rsidRDefault="0065626F" w:rsidP="005E6707">
      <w:r>
        <w:t>Study 4010-01-001</w:t>
      </w:r>
      <w:r w:rsidRPr="00655F66">
        <w:t xml:space="preserve"> </w:t>
      </w:r>
      <w:r>
        <w:t xml:space="preserve">(the </w:t>
      </w:r>
      <w:r w:rsidR="005E6707" w:rsidRPr="00655F66">
        <w:t xml:space="preserve">GARNET </w:t>
      </w:r>
      <w:r w:rsidR="00BD5F0E" w:rsidRPr="00655F66">
        <w:t>trial</w:t>
      </w:r>
      <w:r>
        <w:t>)</w:t>
      </w:r>
      <w:r w:rsidR="005E6707" w:rsidRPr="00655F66">
        <w:t xml:space="preserve"> data are immature,</w:t>
      </w:r>
      <w:r w:rsidR="00584E39" w:rsidRPr="00655F66">
        <w:t xml:space="preserve"> for example,</w:t>
      </w:r>
      <w:r w:rsidR="005E6707" w:rsidRPr="00655F66">
        <w:t xml:space="preserve"> the median duration of response was not estimable at the interim analysis presented. There are also the limitations of single</w:t>
      </w:r>
      <w:r w:rsidR="00C45323" w:rsidRPr="00655F66">
        <w:t xml:space="preserve"> </w:t>
      </w:r>
      <w:r w:rsidR="005E6707" w:rsidRPr="00655F66">
        <w:t xml:space="preserve">arm data to consider in weighing up the efficacy evidence. It is noted the </w:t>
      </w:r>
      <w:r w:rsidR="00B81AC6" w:rsidRPr="00655F66">
        <w:t>sponsor</w:t>
      </w:r>
      <w:r w:rsidR="005E6707" w:rsidRPr="00655F66">
        <w:t xml:space="preserve"> is collecting further data from the GARNET </w:t>
      </w:r>
      <w:r w:rsidR="00BD5F0E" w:rsidRPr="00655F66">
        <w:t>trial</w:t>
      </w:r>
      <w:r w:rsidR="005E6707" w:rsidRPr="00655F66">
        <w:t xml:space="preserve"> as the patients are followed for longer periods. Further information to characterise the comparative efficacy </w:t>
      </w:r>
      <w:r w:rsidR="005E6707" w:rsidRPr="00655F66">
        <w:lastRenderedPageBreak/>
        <w:t xml:space="preserve">of dostarlimab with chemotherapy, and to further characterise the activity of dostarlimab in </w:t>
      </w:r>
      <w:r w:rsidR="00151835" w:rsidRPr="00655F66">
        <w:t>endometrial cancer</w:t>
      </w:r>
      <w:r w:rsidR="005E6707" w:rsidRPr="00655F66">
        <w:t xml:space="preserve"> are proposed for the clinical development plan supporting provisional registration. The findings of these studies may serve to reduce some of the residual uncertainty about the use of dostarlimab in the </w:t>
      </w:r>
      <w:r>
        <w:t xml:space="preserve">DNA mismatch repair deficient </w:t>
      </w:r>
      <w:r w:rsidR="00151835" w:rsidRPr="00655F66">
        <w:t>endometrial cancer</w:t>
      </w:r>
      <w:r w:rsidR="005E6707" w:rsidRPr="00655F66">
        <w:t xml:space="preserve"> population. In general, however, the efficacy data presented is supportive preliminary evidence of a meaningful clinical benefit of dostarlimab in this patient group and is sufficient to support provisional registration.</w:t>
      </w:r>
    </w:p>
    <w:p w14:paraId="202F26FF" w14:textId="3A700400" w:rsidR="005E6707" w:rsidRPr="00655F66" w:rsidRDefault="005E6707" w:rsidP="005E6707">
      <w:r w:rsidRPr="00655F66">
        <w:t xml:space="preserve">While the safety profile specific to the indicated </w:t>
      </w:r>
      <w:r w:rsidR="0065626F">
        <w:t xml:space="preserve">DNA mismatch repair deficient </w:t>
      </w:r>
      <w:r w:rsidR="00F546F6" w:rsidRPr="00655F66">
        <w:t xml:space="preserve">endometrial cancer </w:t>
      </w:r>
      <w:r w:rsidRPr="00655F66">
        <w:t>population was based on data from 126</w:t>
      </w:r>
      <w:r w:rsidR="00C45323" w:rsidRPr="00655F66">
        <w:t> </w:t>
      </w:r>
      <w:r w:rsidRPr="00655F66">
        <w:t>patients from cohort A1, 515</w:t>
      </w:r>
      <w:r w:rsidR="0065626F">
        <w:t> </w:t>
      </w:r>
      <w:r w:rsidRPr="00655F66">
        <w:t xml:space="preserve">patients have been exposed to at least one dose of dostarlimab in the clinical development program. The types of events are consistent with those seem in other drugs in the class although the proportions are higher than generally seen, particularly with </w:t>
      </w:r>
      <w:r w:rsidR="00655F66" w:rsidRPr="00655F66">
        <w:t>gastrointestinal</w:t>
      </w:r>
      <w:r w:rsidRPr="00655F66">
        <w:t xml:space="preserve"> events. This could reflect patients with a later line of therapy, and the contribution of disease to reported </w:t>
      </w:r>
      <w:r w:rsidR="0065626F">
        <w:t>adverse events</w:t>
      </w:r>
      <w:r w:rsidR="0065626F" w:rsidRPr="00655F66">
        <w:t xml:space="preserve"> </w:t>
      </w:r>
      <w:r w:rsidRPr="00655F66">
        <w:t xml:space="preserve">is difficult to ascertain from single-arm data. While strategies to monitor adverse events include dose interruption, </w:t>
      </w:r>
      <w:proofErr w:type="gramStart"/>
      <w:r w:rsidRPr="00655F66">
        <w:t>steroids</w:t>
      </w:r>
      <w:proofErr w:type="gramEnd"/>
      <w:r w:rsidRPr="00655F66">
        <w:t xml:space="preserve"> and hormone replacement, depending on the specific events, approximately </w:t>
      </w:r>
      <w:r w:rsidR="00A47B73" w:rsidRPr="00655F66">
        <w:t xml:space="preserve">one fourth </w:t>
      </w:r>
      <w:r w:rsidRPr="00655F66">
        <w:t>of the patients had a dose interruption during the study. The clinical evaluation highlighted limitations in the safety information, pointing specifically to a limited understanding of immune</w:t>
      </w:r>
      <w:r w:rsidR="00975A3C" w:rsidRPr="00655F66">
        <w:t xml:space="preserve"> </w:t>
      </w:r>
      <w:r w:rsidRPr="00655F66">
        <w:t xml:space="preserve">related cardiac events and limits to the immunogenicity data so far in the study program. The sponsor has amended the frequencies of these events in the latest safety update and further safety data are expected from an increased duration of exposure in the current study and comparative safety data are expected from </w:t>
      </w:r>
      <w:r w:rsidR="00A47B73" w:rsidRPr="00655F66">
        <w:t xml:space="preserve">Study 4010-03-001 (the </w:t>
      </w:r>
      <w:r w:rsidRPr="00655F66">
        <w:t xml:space="preserve">RUBY </w:t>
      </w:r>
      <w:r w:rsidR="00A47B73" w:rsidRPr="00655F66">
        <w:t>trial</w:t>
      </w:r>
      <w:r w:rsidR="0065626F" w:rsidRPr="00BE4C30">
        <w:t xml:space="preserve">; also discussed in section: </w:t>
      </w:r>
      <w:r w:rsidR="0065626F" w:rsidRPr="00BE4C30">
        <w:fldChar w:fldCharType="begin"/>
      </w:r>
      <w:r w:rsidR="0065626F" w:rsidRPr="00BE4C30">
        <w:instrText xml:space="preserve"> REF _Ref125402587 \h  \* MERGEFORMAT </w:instrText>
      </w:r>
      <w:r w:rsidR="0065626F" w:rsidRPr="00BE4C30">
        <w:fldChar w:fldCharType="separate"/>
      </w:r>
      <w:r w:rsidR="000A7290" w:rsidRPr="00655F66">
        <w:t>Clinical study plan</w:t>
      </w:r>
      <w:r w:rsidR="0065626F" w:rsidRPr="00BE4C30">
        <w:fldChar w:fldCharType="end"/>
      </w:r>
      <w:r w:rsidR="0065626F" w:rsidRPr="00BE4C30">
        <w:t>, below</w:t>
      </w:r>
      <w:r w:rsidR="00A47B73" w:rsidRPr="00655F66">
        <w:t>)</w:t>
      </w:r>
      <w:r w:rsidRPr="00655F66">
        <w:t>,</w:t>
      </w:r>
      <w:bookmarkStart w:id="62" w:name="_Ref125402468"/>
      <w:r w:rsidR="0065626F">
        <w:rPr>
          <w:rStyle w:val="FootnoteReference"/>
        </w:rPr>
        <w:footnoteReference w:id="19"/>
      </w:r>
      <w:bookmarkEnd w:id="62"/>
      <w:r w:rsidRPr="00655F66">
        <w:t xml:space="preserve"> each part of the clinical development plan to support provisional registration.</w:t>
      </w:r>
    </w:p>
    <w:p w14:paraId="4BF7BBC9" w14:textId="74E7EC8B" w:rsidR="005E6707" w:rsidRPr="00655F66" w:rsidRDefault="005E6707" w:rsidP="005E6707">
      <w:pPr>
        <w:pStyle w:val="Heading5"/>
        <w:rPr>
          <w:lang w:eastAsia="ja-JP"/>
        </w:rPr>
      </w:pPr>
      <w:r w:rsidRPr="00655F66">
        <w:rPr>
          <w:lang w:eastAsia="ja-JP"/>
        </w:rPr>
        <w:t>Indication</w:t>
      </w:r>
    </w:p>
    <w:p w14:paraId="79EBDBDE" w14:textId="7EB9CB1A" w:rsidR="005E6707" w:rsidRPr="00655F66" w:rsidRDefault="005E6707" w:rsidP="005E6707">
      <w:r w:rsidRPr="00655F66">
        <w:t xml:space="preserve">The indication proposed by the </w:t>
      </w:r>
      <w:r w:rsidR="00B81AC6" w:rsidRPr="00655F66">
        <w:t>sponsor</w:t>
      </w:r>
      <w:r w:rsidRPr="00655F66">
        <w:t xml:space="preserve">, below, at the end of </w:t>
      </w:r>
      <w:r w:rsidR="00A47B73" w:rsidRPr="00655F66">
        <w:t>second round of evaluation</w:t>
      </w:r>
      <w:r w:rsidRPr="00655F66">
        <w:t xml:space="preserve"> is considered acceptable.</w:t>
      </w:r>
    </w:p>
    <w:p w14:paraId="685EC949" w14:textId="77777777" w:rsidR="005E6707" w:rsidRPr="00655F66" w:rsidRDefault="005E6707" w:rsidP="005E6707">
      <w:pPr>
        <w:ind w:left="720"/>
        <w:rPr>
          <w:i/>
          <w:iCs/>
        </w:rPr>
      </w:pPr>
      <w:r w:rsidRPr="00655F66">
        <w:rPr>
          <w:i/>
          <w:iCs/>
        </w:rPr>
        <w:t>Jemperli is indicated as monotherapy for the treatment of adult patients with recurrent or advanced mismatch repair deficient (</w:t>
      </w:r>
      <w:proofErr w:type="spellStart"/>
      <w:r w:rsidRPr="00655F66">
        <w:rPr>
          <w:i/>
          <w:iCs/>
        </w:rPr>
        <w:t>dMMR</w:t>
      </w:r>
      <w:proofErr w:type="spellEnd"/>
      <w:r w:rsidRPr="00655F66">
        <w:rPr>
          <w:i/>
          <w:iCs/>
        </w:rPr>
        <w:t>) endometrial cancer (EC) that has progressed on or following prior treatment with a platinum-containing regimen.</w:t>
      </w:r>
    </w:p>
    <w:p w14:paraId="175CD641" w14:textId="77777777" w:rsidR="005E6707" w:rsidRPr="00655F66" w:rsidRDefault="005E6707" w:rsidP="005E6707">
      <w:pPr>
        <w:ind w:left="720"/>
        <w:rPr>
          <w:i/>
          <w:iCs/>
        </w:rPr>
      </w:pPr>
      <w:r w:rsidRPr="00655F66">
        <w:rPr>
          <w:i/>
          <w:iCs/>
        </w:rPr>
        <w:t>This medicine and indication have provisional approval, based on objective response rate and duration of response in a single-arm trial. Full registration for this indication depends on verification and description of clinical benefit in confirmatory trials.</w:t>
      </w:r>
    </w:p>
    <w:p w14:paraId="5F944232" w14:textId="006A7A26" w:rsidR="005E6707" w:rsidRPr="00655F66" w:rsidRDefault="005E6707" w:rsidP="005E6707">
      <w:pPr>
        <w:pStyle w:val="Heading5"/>
        <w:rPr>
          <w:lang w:eastAsia="ja-JP"/>
        </w:rPr>
      </w:pPr>
      <w:r w:rsidRPr="00655F66">
        <w:rPr>
          <w:lang w:eastAsia="ja-JP"/>
        </w:rPr>
        <w:t>Dose</w:t>
      </w:r>
    </w:p>
    <w:p w14:paraId="55BC560C" w14:textId="5C5EA2BE" w:rsidR="005E6707" w:rsidRPr="00655F66" w:rsidRDefault="005E6707" w:rsidP="005E6707">
      <w:r w:rsidRPr="00655F66">
        <w:t>The proposed dose is 500</w:t>
      </w:r>
      <w:r w:rsidR="007C4C5B">
        <w:t xml:space="preserve"> </w:t>
      </w:r>
      <w:r w:rsidRPr="00655F66">
        <w:t>mg by intravenous infusion over 30 minutes every 3 weeks for 4</w:t>
      </w:r>
      <w:r w:rsidR="00A47B73" w:rsidRPr="00655F66">
        <w:t> </w:t>
      </w:r>
      <w:r w:rsidRPr="00655F66">
        <w:t>doses followed by 1</w:t>
      </w:r>
      <w:r w:rsidR="00151835" w:rsidRPr="00655F66">
        <w:t>,</w:t>
      </w:r>
      <w:r w:rsidRPr="00655F66">
        <w:t>000 mg every 6 weeks for all cycles thereafter.</w:t>
      </w:r>
    </w:p>
    <w:p w14:paraId="353DFB0D" w14:textId="6590BE52" w:rsidR="005E6707" w:rsidRPr="00655F66" w:rsidRDefault="005E6707" w:rsidP="005E6707">
      <w:r w:rsidRPr="00655F66">
        <w:t xml:space="preserve">The proposed dose is that used in Part 2B of the GARNET </w:t>
      </w:r>
      <w:r w:rsidR="00BD5F0E" w:rsidRPr="00655F66">
        <w:t>trial</w:t>
      </w:r>
      <w:r w:rsidRPr="00655F66">
        <w:t xml:space="preserve">, and that proposed for the RUBY </w:t>
      </w:r>
      <w:r w:rsidR="00A47B73" w:rsidRPr="00655F66">
        <w:t>trial</w:t>
      </w:r>
      <w:r w:rsidRPr="00655F66">
        <w:t>.</w:t>
      </w:r>
      <w:r w:rsidR="0065626F" w:rsidRPr="00BE4C30">
        <w:rPr>
          <w:vertAlign w:val="superscript"/>
        </w:rPr>
        <w:fldChar w:fldCharType="begin"/>
      </w:r>
      <w:r w:rsidR="0065626F" w:rsidRPr="00BE4C30">
        <w:rPr>
          <w:vertAlign w:val="superscript"/>
        </w:rPr>
        <w:instrText xml:space="preserve"> NOTEREF _Ref125402468 \h </w:instrText>
      </w:r>
      <w:r w:rsidR="0065626F">
        <w:rPr>
          <w:vertAlign w:val="superscript"/>
        </w:rPr>
        <w:instrText xml:space="preserve"> \* MERGEFORMAT </w:instrText>
      </w:r>
      <w:r w:rsidR="0065626F" w:rsidRPr="00BE4C30">
        <w:rPr>
          <w:vertAlign w:val="superscript"/>
        </w:rPr>
      </w:r>
      <w:r w:rsidR="0065626F" w:rsidRPr="00BE4C30">
        <w:rPr>
          <w:vertAlign w:val="superscript"/>
        </w:rPr>
        <w:fldChar w:fldCharType="separate"/>
      </w:r>
      <w:r w:rsidR="000A7290">
        <w:rPr>
          <w:vertAlign w:val="superscript"/>
        </w:rPr>
        <w:t>18</w:t>
      </w:r>
      <w:r w:rsidR="0065626F" w:rsidRPr="00BE4C30">
        <w:rPr>
          <w:vertAlign w:val="superscript"/>
        </w:rPr>
        <w:fldChar w:fldCharType="end"/>
      </w:r>
      <w:r w:rsidRPr="00655F66">
        <w:t xml:space="preserve"> There are insufficient data to comment on the efficacy with alterative </w:t>
      </w:r>
      <w:proofErr w:type="gramStart"/>
      <w:r w:rsidRPr="00655F66">
        <w:t>weight</w:t>
      </w:r>
      <w:r w:rsidR="00A47B73" w:rsidRPr="00655F66">
        <w:t xml:space="preserve"> </w:t>
      </w:r>
      <w:r w:rsidRPr="00655F66">
        <w:t>based</w:t>
      </w:r>
      <w:proofErr w:type="gramEnd"/>
      <w:r w:rsidRPr="00655F66">
        <w:t xml:space="preserve"> dosing. There are no objections to the flat dosing approach</w:t>
      </w:r>
      <w:r w:rsidR="00A47B73" w:rsidRPr="00655F66">
        <w:t>,</w:t>
      </w:r>
      <w:r w:rsidRPr="00655F66">
        <w:t xml:space="preserve"> or the regimen proposed by the </w:t>
      </w:r>
      <w:r w:rsidR="00B81AC6" w:rsidRPr="00655F66">
        <w:t>sponsor</w:t>
      </w:r>
      <w:r w:rsidRPr="00655F66">
        <w:t>.</w:t>
      </w:r>
    </w:p>
    <w:p w14:paraId="25D502C2" w14:textId="0FDCBBC8" w:rsidR="005E6707" w:rsidRPr="00655F66" w:rsidRDefault="005E6707" w:rsidP="005E6707">
      <w:pPr>
        <w:pStyle w:val="Heading5"/>
      </w:pPr>
      <w:bookmarkStart w:id="63" w:name="_Ref125402587"/>
      <w:r w:rsidRPr="00655F66">
        <w:t>Clinical study plan</w:t>
      </w:r>
      <w:bookmarkEnd w:id="63"/>
    </w:p>
    <w:p w14:paraId="77D78891" w14:textId="2162133A" w:rsidR="005E6707" w:rsidRPr="00655F66" w:rsidRDefault="005E6707" w:rsidP="005E6707">
      <w:r w:rsidRPr="00655F66">
        <w:t>Study 4010-03-001 (</w:t>
      </w:r>
      <w:r w:rsidR="00A47B73" w:rsidRPr="00655F66">
        <w:t xml:space="preserve">the </w:t>
      </w:r>
      <w:r w:rsidRPr="00655F66">
        <w:t>RUBY</w:t>
      </w:r>
      <w:r w:rsidR="00A47B73" w:rsidRPr="00655F66">
        <w:t xml:space="preserve"> trial</w:t>
      </w:r>
      <w:r w:rsidRPr="00655F66">
        <w:t xml:space="preserve">) is a randomised, Phase </w:t>
      </w:r>
      <w:r w:rsidR="00A47B73" w:rsidRPr="00655F66">
        <w:t>III</w:t>
      </w:r>
      <w:r w:rsidRPr="00655F66">
        <w:t xml:space="preserve"> study of dostarlimab in combination with chemotherapy versus chemotherapy alone in patients with recurrent (first recurrence only) or primary advanced (Stage III or IV) </w:t>
      </w:r>
      <w:r w:rsidR="00151835" w:rsidRPr="00655F66">
        <w:t>endometrial cancer</w:t>
      </w:r>
      <w:r w:rsidRPr="00655F66">
        <w:t xml:space="preserve">. </w:t>
      </w:r>
      <w:r w:rsidR="00A47B73" w:rsidRPr="00655F66">
        <w:t xml:space="preserve">The </w:t>
      </w:r>
      <w:r w:rsidR="00A47B73" w:rsidRPr="00655F66">
        <w:lastRenderedPageBreak/>
        <w:t>RUBY trial</w:t>
      </w:r>
      <w:r w:rsidRPr="00655F66">
        <w:t xml:space="preserve"> was opened for enrolment in July 2019. Patients in the study will be stratified by </w:t>
      </w:r>
      <w:r w:rsidR="0065626F">
        <w:t>microsatellite instability</w:t>
      </w:r>
      <w:r w:rsidR="0065626F" w:rsidRPr="00655F66" w:rsidDel="0065626F">
        <w:t xml:space="preserve"> </w:t>
      </w:r>
      <w:r w:rsidR="0065626F">
        <w:t>(MSI)</w:t>
      </w:r>
      <w:r w:rsidRPr="00655F66">
        <w:t>/</w:t>
      </w:r>
      <w:r w:rsidR="0065626F">
        <w:t>DNA mismatch repair</w:t>
      </w:r>
      <w:r w:rsidRPr="00655F66">
        <w:t xml:space="preserve"> status.</w:t>
      </w:r>
    </w:p>
    <w:p w14:paraId="229F1671" w14:textId="7A04F0B5" w:rsidR="005E6707" w:rsidRPr="00655F66" w:rsidRDefault="005E6707" w:rsidP="005E6707">
      <w:r w:rsidRPr="00655F66">
        <w:t xml:space="preserve">Additional data supporting the benefit of dostarlimab will be provided via additional patients with recurrent or advanced </w:t>
      </w:r>
      <w:r w:rsidR="0065626F">
        <w:t xml:space="preserve">DNA mismatch repair deficient </w:t>
      </w:r>
      <w:r w:rsidRPr="00655F66">
        <w:t>/</w:t>
      </w:r>
      <w:r w:rsidR="0065626F" w:rsidRPr="0065626F">
        <w:t xml:space="preserve"> </w:t>
      </w:r>
      <w:r w:rsidR="0065626F">
        <w:t>microsatellite instability</w:t>
      </w:r>
      <w:r w:rsidR="0065626F" w:rsidRPr="00655F66">
        <w:t xml:space="preserve"> </w:t>
      </w:r>
      <w:r w:rsidR="0065626F">
        <w:t>‘high’ status</w:t>
      </w:r>
      <w:r w:rsidRPr="00655F66">
        <w:t xml:space="preserve"> </w:t>
      </w:r>
      <w:r w:rsidR="00151835" w:rsidRPr="00655F66">
        <w:t>endometrial cancer</w:t>
      </w:r>
      <w:r w:rsidRPr="00655F66">
        <w:t xml:space="preserve"> that have progressed following prior treatment with a platinum-containing regimen from the ongoing GARNET </w:t>
      </w:r>
      <w:r w:rsidR="00BD5F0E" w:rsidRPr="00655F66">
        <w:t>trial</w:t>
      </w:r>
      <w:r w:rsidRPr="00655F66">
        <w:t xml:space="preserve">, but there is no confirmatory study for patient who have already undergone treatment with </w:t>
      </w:r>
      <w:proofErr w:type="gramStart"/>
      <w:r w:rsidRPr="00655F66">
        <w:t>platinum</w:t>
      </w:r>
      <w:r w:rsidR="00A47B73" w:rsidRPr="00655F66">
        <w:t xml:space="preserve"> </w:t>
      </w:r>
      <w:r w:rsidRPr="00655F66">
        <w:t>based</w:t>
      </w:r>
      <w:proofErr w:type="gramEnd"/>
      <w:r w:rsidRPr="00655F66">
        <w:t xml:space="preserve"> chemotherapy. The </w:t>
      </w:r>
      <w:r w:rsidR="00B81AC6" w:rsidRPr="00655F66">
        <w:t>sponsor</w:t>
      </w:r>
      <w:r w:rsidRPr="00655F66">
        <w:t xml:space="preserve"> is asked for clarification on this point.</w:t>
      </w:r>
    </w:p>
    <w:p w14:paraId="35B74A5D" w14:textId="11F2EAFD" w:rsidR="005E6707" w:rsidRPr="00655F66" w:rsidRDefault="005E6707" w:rsidP="005E6707">
      <w:r w:rsidRPr="00655F66">
        <w:t xml:space="preserve">At this time both studies are considered part of the clinical study plan for dostarlimab. In the event of failure of the RUBY </w:t>
      </w:r>
      <w:r w:rsidR="00A47B73" w:rsidRPr="00655F66">
        <w:t>trial</w:t>
      </w:r>
      <w:r w:rsidRPr="00655F66">
        <w:t xml:space="preserve">, additional data from Cohort A1 of the GARNET </w:t>
      </w:r>
      <w:r w:rsidR="00BD5F0E" w:rsidRPr="00655F66">
        <w:t>trial</w:t>
      </w:r>
      <w:r w:rsidRPr="00655F66">
        <w:t xml:space="preserve"> is unlikely to be sufficient to support full registration.</w:t>
      </w:r>
    </w:p>
    <w:p w14:paraId="336BA748" w14:textId="221C8F12" w:rsidR="0074163C" w:rsidRPr="00655F66" w:rsidRDefault="0074163C" w:rsidP="0074163C">
      <w:pPr>
        <w:pStyle w:val="Heading4"/>
      </w:pPr>
      <w:bookmarkStart w:id="64" w:name="_Toc98931933"/>
      <w:r w:rsidRPr="00655F66">
        <w:t>Proposed action</w:t>
      </w:r>
      <w:bookmarkEnd w:id="64"/>
    </w:p>
    <w:p w14:paraId="5A0553E4" w14:textId="6D0B5C6B" w:rsidR="005E6707" w:rsidRPr="00655F66" w:rsidRDefault="00A47B73" w:rsidP="005E6707">
      <w:r w:rsidRPr="00655F66">
        <w:t>The Delegate</w:t>
      </w:r>
      <w:r w:rsidR="005E6707" w:rsidRPr="00655F66">
        <w:t xml:space="preserve"> propose</w:t>
      </w:r>
      <w:r w:rsidRPr="00655F66">
        <w:t>s</w:t>
      </w:r>
      <w:r w:rsidR="005E6707" w:rsidRPr="00655F66">
        <w:t xml:space="preserve"> to approve the registration of the product for the following indication.</w:t>
      </w:r>
    </w:p>
    <w:p w14:paraId="1970364F" w14:textId="77777777" w:rsidR="005E6707" w:rsidRPr="00655F66" w:rsidRDefault="005E6707" w:rsidP="005E6707">
      <w:pPr>
        <w:ind w:left="720"/>
        <w:rPr>
          <w:i/>
          <w:iCs/>
        </w:rPr>
      </w:pPr>
      <w:r w:rsidRPr="00655F66">
        <w:rPr>
          <w:i/>
          <w:iCs/>
        </w:rPr>
        <w:t>Jemperli is indicated as monotherapy for the treatment of adult patients with recurrent or advanced mismatch repair deficient (</w:t>
      </w:r>
      <w:proofErr w:type="spellStart"/>
      <w:r w:rsidRPr="00655F66">
        <w:rPr>
          <w:i/>
          <w:iCs/>
        </w:rPr>
        <w:t>dMMR</w:t>
      </w:r>
      <w:proofErr w:type="spellEnd"/>
      <w:r w:rsidRPr="00655F66">
        <w:rPr>
          <w:i/>
          <w:iCs/>
        </w:rPr>
        <w:t>) endometrial cancer (EC) that has progressed on or following prior treatment with a platinum-containing regimen.</w:t>
      </w:r>
    </w:p>
    <w:p w14:paraId="1B37A124" w14:textId="6B1A6EE4" w:rsidR="0065626F" w:rsidRPr="00655F66" w:rsidRDefault="005E6707" w:rsidP="005F568F">
      <w:pPr>
        <w:ind w:left="720"/>
        <w:rPr>
          <w:i/>
          <w:iCs/>
        </w:rPr>
      </w:pPr>
      <w:r w:rsidRPr="00655F66">
        <w:rPr>
          <w:i/>
          <w:iCs/>
        </w:rPr>
        <w:t>This medicine and indication have provisional approval, based on objective response rate and duration of response in a single-arm trial. Full registration for this indication depends on verification and description of clinical benefit in confirmatory trials.</w:t>
      </w:r>
    </w:p>
    <w:p w14:paraId="663430AC" w14:textId="3CA97959" w:rsidR="0074163C" w:rsidRPr="00655F66" w:rsidRDefault="0074163C" w:rsidP="0074163C">
      <w:pPr>
        <w:pStyle w:val="Heading4"/>
      </w:pPr>
      <w:bookmarkStart w:id="65" w:name="_Toc98931934"/>
      <w:r w:rsidRPr="00655F66">
        <w:t>Questions for the sponsor</w:t>
      </w:r>
      <w:bookmarkEnd w:id="65"/>
    </w:p>
    <w:p w14:paraId="7B3C199C" w14:textId="77777777" w:rsidR="0074163C" w:rsidRPr="00655F66" w:rsidRDefault="0074163C" w:rsidP="0074163C">
      <w:r w:rsidRPr="00655F66">
        <w:t>The sponsor provided the following response to questions from the Delegate.</w:t>
      </w:r>
    </w:p>
    <w:p w14:paraId="0CC9FC07" w14:textId="77777777" w:rsidR="0065626F" w:rsidRDefault="005E6707" w:rsidP="005E6707">
      <w:pPr>
        <w:pStyle w:val="Numberbullet0"/>
        <w:rPr>
          <w:b/>
          <w:bCs/>
          <w:i/>
          <w:iCs/>
        </w:rPr>
      </w:pPr>
      <w:r w:rsidRPr="00655F66">
        <w:rPr>
          <w:b/>
          <w:bCs/>
          <w:i/>
          <w:iCs/>
        </w:rPr>
        <w:t>The evaluator found the clinical immunogenicity data had limitations that precluded conclusions regarding its impact of efficacy and safety.</w:t>
      </w:r>
    </w:p>
    <w:p w14:paraId="24BF13BE" w14:textId="55266F72" w:rsidR="0065626F" w:rsidRDefault="005E6707" w:rsidP="00BE4C30">
      <w:pPr>
        <w:pStyle w:val="Numberbullet0"/>
        <w:numPr>
          <w:ilvl w:val="0"/>
          <w:numId w:val="0"/>
        </w:numPr>
        <w:ind w:left="425"/>
        <w:rPr>
          <w:b/>
          <w:bCs/>
          <w:i/>
          <w:iCs/>
        </w:rPr>
      </w:pPr>
      <w:r w:rsidRPr="00655F66">
        <w:rPr>
          <w:b/>
          <w:bCs/>
          <w:i/>
          <w:iCs/>
        </w:rPr>
        <w:t xml:space="preserve">Does the </w:t>
      </w:r>
      <w:r w:rsidR="00B81AC6" w:rsidRPr="00655F66">
        <w:rPr>
          <w:b/>
          <w:bCs/>
          <w:i/>
          <w:iCs/>
        </w:rPr>
        <w:t>sponsor</w:t>
      </w:r>
      <w:r w:rsidRPr="00655F66">
        <w:rPr>
          <w:b/>
          <w:bCs/>
          <w:i/>
          <w:iCs/>
        </w:rPr>
        <w:t xml:space="preserve"> have plans to further characterise the immunogenicity of dostarlimab in its clinical development program?</w:t>
      </w:r>
    </w:p>
    <w:p w14:paraId="7534A9EA" w14:textId="3E8E4D91" w:rsidR="005E6707" w:rsidRPr="00655F66" w:rsidRDefault="005E6707" w:rsidP="00BE4C30">
      <w:pPr>
        <w:pStyle w:val="Numberbullet0"/>
        <w:numPr>
          <w:ilvl w:val="0"/>
          <w:numId w:val="0"/>
        </w:numPr>
        <w:ind w:left="425"/>
        <w:rPr>
          <w:b/>
          <w:bCs/>
          <w:i/>
          <w:iCs/>
        </w:rPr>
      </w:pPr>
      <w:r w:rsidRPr="00655F66">
        <w:rPr>
          <w:b/>
          <w:bCs/>
          <w:i/>
          <w:iCs/>
        </w:rPr>
        <w:t>If so, how will these data be provided to the TGA?</w:t>
      </w:r>
    </w:p>
    <w:p w14:paraId="472E9B5E" w14:textId="0CBCEACD" w:rsidR="005E6707" w:rsidRPr="00655F66" w:rsidRDefault="00525CFF" w:rsidP="005E6707">
      <w:r w:rsidRPr="00655F66">
        <w:t>The sponsor</w:t>
      </w:r>
      <w:r w:rsidR="005E6707" w:rsidRPr="00655F66">
        <w:t xml:space="preserve"> can commit to monitoring and analy</w:t>
      </w:r>
      <w:r w:rsidRPr="00655F66">
        <w:t>s</w:t>
      </w:r>
      <w:r w:rsidR="005E6707" w:rsidRPr="00655F66">
        <w:t xml:space="preserve">ing immunogenicity in ongoing and relevant future </w:t>
      </w:r>
      <w:r w:rsidR="00B81AC6" w:rsidRPr="00655F66">
        <w:t>Jemperli</w:t>
      </w:r>
      <w:r w:rsidR="005E6707" w:rsidRPr="00655F66">
        <w:t xml:space="preserve"> clinical trials. An integrated analysis may be generated and will be shared with TGA as relevant ADA data from clinical trials data become available.</w:t>
      </w:r>
    </w:p>
    <w:p w14:paraId="0067679A" w14:textId="744295C1" w:rsidR="005E6707" w:rsidRPr="00655F66" w:rsidRDefault="005E6707" w:rsidP="005E6707">
      <w:pPr>
        <w:pStyle w:val="Numberbullet0"/>
        <w:rPr>
          <w:b/>
          <w:bCs/>
          <w:i/>
          <w:iCs/>
        </w:rPr>
      </w:pPr>
      <w:r w:rsidRPr="00655F66">
        <w:rPr>
          <w:b/>
          <w:bCs/>
          <w:i/>
          <w:iCs/>
        </w:rPr>
        <w:t xml:space="preserve">Please provide a copy of the protocol for </w:t>
      </w:r>
      <w:r w:rsidR="002418F2">
        <w:rPr>
          <w:b/>
          <w:bCs/>
          <w:i/>
          <w:iCs/>
        </w:rPr>
        <w:t>S</w:t>
      </w:r>
      <w:r w:rsidRPr="00655F66">
        <w:rPr>
          <w:b/>
          <w:bCs/>
          <w:i/>
          <w:iCs/>
        </w:rPr>
        <w:t xml:space="preserve">tudy 4010-03-001 </w:t>
      </w:r>
      <w:r w:rsidR="002418F2">
        <w:rPr>
          <w:b/>
          <w:bCs/>
          <w:i/>
          <w:iCs/>
        </w:rPr>
        <w:t xml:space="preserve">(the RUBY trial) </w:t>
      </w:r>
      <w:r w:rsidRPr="00655F66">
        <w:rPr>
          <w:b/>
          <w:bCs/>
          <w:i/>
          <w:iCs/>
        </w:rPr>
        <w:t>or indicate its location in the dossier.</w:t>
      </w:r>
    </w:p>
    <w:p w14:paraId="037E0E4E" w14:textId="589F957B" w:rsidR="005E6707" w:rsidRPr="00655F66" w:rsidRDefault="005E6707" w:rsidP="005E6707">
      <w:r w:rsidRPr="00655F66">
        <w:t xml:space="preserve">A copy of the protocol for </w:t>
      </w:r>
      <w:r w:rsidR="00525CFF" w:rsidRPr="00655F66">
        <w:t>S</w:t>
      </w:r>
      <w:r w:rsidRPr="00655F66">
        <w:t>tudy 4010-03</w:t>
      </w:r>
      <w:r w:rsidR="002418F2">
        <w:t>-</w:t>
      </w:r>
      <w:r w:rsidRPr="00655F66">
        <w:t xml:space="preserve">001 </w:t>
      </w:r>
      <w:r w:rsidR="002418F2">
        <w:t>(the RUBY) was</w:t>
      </w:r>
      <w:r w:rsidRPr="00655F66">
        <w:t xml:space="preserve"> provided </w:t>
      </w:r>
      <w:r w:rsidR="002418F2">
        <w:t xml:space="preserve">for evaluation by the TGA </w:t>
      </w:r>
      <w:r w:rsidRPr="00655F66">
        <w:t>with</w:t>
      </w:r>
      <w:r w:rsidR="002418F2">
        <w:t xml:space="preserve"> the sponsor’s</w:t>
      </w:r>
      <w:r w:rsidRPr="00655F66">
        <w:t xml:space="preserve"> response.</w:t>
      </w:r>
    </w:p>
    <w:p w14:paraId="4C61D23E" w14:textId="4CA11852" w:rsidR="0074163C" w:rsidRPr="00655F66" w:rsidRDefault="0074163C" w:rsidP="0074163C">
      <w:pPr>
        <w:pStyle w:val="Heading4"/>
      </w:pPr>
      <w:bookmarkStart w:id="66" w:name="_Toc98931936"/>
      <w:bookmarkStart w:id="67" w:name="_Toc247691532"/>
      <w:bookmarkStart w:id="68" w:name="_Toc314842516"/>
      <w:bookmarkEnd w:id="28"/>
      <w:bookmarkEnd w:id="56"/>
      <w:bookmarkEnd w:id="57"/>
      <w:r w:rsidRPr="00655F66">
        <w:t>Advisory Committee considerations</w:t>
      </w:r>
      <w:bookmarkEnd w:id="66"/>
    </w:p>
    <w:p w14:paraId="0268954B" w14:textId="6929BD9D" w:rsidR="0074163C" w:rsidRPr="00655F66" w:rsidRDefault="0074163C" w:rsidP="0074163C">
      <w:r w:rsidRPr="00655F66">
        <w:t xml:space="preserve">The Delegate did not refer this </w:t>
      </w:r>
      <w:r w:rsidR="00BB0B78" w:rsidRPr="00655F66">
        <w:t>submission</w:t>
      </w:r>
      <w:r w:rsidRPr="00655F66">
        <w:t xml:space="preserve"> to the </w:t>
      </w:r>
      <w:hyperlink r:id="rId32" w:history="1">
        <w:r w:rsidRPr="002418F2">
          <w:rPr>
            <w:rStyle w:val="Hyperlink"/>
          </w:rPr>
          <w:t>Advisory Committee on Medicines</w:t>
        </w:r>
      </w:hyperlink>
      <w:r w:rsidRPr="00655F66">
        <w:t xml:space="preserve"> (</w:t>
      </w:r>
      <w:hyperlink r:id="rId33" w:history="1">
        <w:r w:rsidRPr="002418F2">
          <w:rPr>
            <w:rStyle w:val="Hyperlink"/>
          </w:rPr>
          <w:t>ACM</w:t>
        </w:r>
      </w:hyperlink>
      <w:r w:rsidR="002418F2">
        <w:t>)</w:t>
      </w:r>
      <w:r w:rsidRPr="00655F66">
        <w:t xml:space="preserve"> for advice.</w:t>
      </w:r>
    </w:p>
    <w:p w14:paraId="0134060A" w14:textId="5B2EE0CC" w:rsidR="008E7846" w:rsidRPr="00655F66" w:rsidRDefault="008E7846" w:rsidP="00D212F3">
      <w:pPr>
        <w:pStyle w:val="Heading2"/>
      </w:pPr>
      <w:bookmarkStart w:id="69" w:name="_Toc126579878"/>
      <w:r w:rsidRPr="00655F66">
        <w:lastRenderedPageBreak/>
        <w:t>Outcome</w:t>
      </w:r>
      <w:bookmarkEnd w:id="67"/>
      <w:bookmarkEnd w:id="68"/>
      <w:bookmarkEnd w:id="69"/>
    </w:p>
    <w:p w14:paraId="43D84C0E" w14:textId="38A26056" w:rsidR="0074163C" w:rsidRPr="00655F66" w:rsidRDefault="0074163C" w:rsidP="0074163C">
      <w:bookmarkStart w:id="70" w:name="_Toc247691533"/>
      <w:bookmarkStart w:id="71" w:name="_Toc314842517"/>
      <w:r w:rsidRPr="00655F66">
        <w:t xml:space="preserve">Based on a review of quality, </w:t>
      </w:r>
      <w:r w:rsidR="00CC5044" w:rsidRPr="00655F66">
        <w:t>safety,</w:t>
      </w:r>
      <w:r w:rsidRPr="00655F66">
        <w:t xml:space="preserve"> and efficacy, the TGA approved the registration of </w:t>
      </w:r>
      <w:r w:rsidR="005E6707" w:rsidRPr="00655F66">
        <w:t xml:space="preserve">Jemperli </w:t>
      </w:r>
      <w:r w:rsidRPr="00655F66">
        <w:t>(</w:t>
      </w:r>
      <w:r w:rsidR="005E6707" w:rsidRPr="00655F66">
        <w:t>dostarlimab</w:t>
      </w:r>
      <w:r w:rsidRPr="00655F66">
        <w:t xml:space="preserve">) </w:t>
      </w:r>
      <w:r w:rsidR="005E6707" w:rsidRPr="00655F66">
        <w:t>500 mg/10 mL</w:t>
      </w:r>
      <w:r w:rsidRPr="00655F66">
        <w:t xml:space="preserve">, </w:t>
      </w:r>
      <w:r w:rsidR="00961B58" w:rsidRPr="00655F66">
        <w:t>solution for infusion</w:t>
      </w:r>
      <w:r w:rsidRPr="00655F66">
        <w:t xml:space="preserve">, </w:t>
      </w:r>
      <w:r w:rsidR="00961B58" w:rsidRPr="00655F66">
        <w:t>vial</w:t>
      </w:r>
      <w:r w:rsidRPr="00655F66">
        <w:t>, indicated for:</w:t>
      </w:r>
    </w:p>
    <w:p w14:paraId="07BEFA6C" w14:textId="77777777" w:rsidR="005E6707" w:rsidRPr="00655F66" w:rsidRDefault="005E6707" w:rsidP="005E6707">
      <w:pPr>
        <w:ind w:left="720"/>
        <w:rPr>
          <w:i/>
          <w:iCs/>
        </w:rPr>
      </w:pPr>
      <w:r w:rsidRPr="00655F66">
        <w:rPr>
          <w:i/>
          <w:iCs/>
        </w:rPr>
        <w:t>Jemperli is indicated as monotherapy for the treatment of adult patients with recurrent or advanced mismatch repair deficient (</w:t>
      </w:r>
      <w:proofErr w:type="spellStart"/>
      <w:r w:rsidRPr="00655F66">
        <w:rPr>
          <w:i/>
          <w:iCs/>
        </w:rPr>
        <w:t>dMMR</w:t>
      </w:r>
      <w:proofErr w:type="spellEnd"/>
      <w:r w:rsidRPr="00655F66">
        <w:rPr>
          <w:i/>
          <w:iCs/>
        </w:rPr>
        <w:t>) endometrial cancer (EC) that has progressed on or following prior treatment with a platinum-containing regimen.</w:t>
      </w:r>
    </w:p>
    <w:p w14:paraId="5BEA9C2E" w14:textId="2BE06224" w:rsidR="0074163C" w:rsidRPr="00655F66" w:rsidRDefault="005E6707" w:rsidP="005E6707">
      <w:pPr>
        <w:ind w:left="720"/>
        <w:rPr>
          <w:i/>
          <w:iCs/>
        </w:rPr>
      </w:pPr>
      <w:r w:rsidRPr="00655F66">
        <w:rPr>
          <w:i/>
          <w:iCs/>
        </w:rPr>
        <w:t>This medicine and indication have provisional approval, based on objective response rate and duration of response in a single-arm trial. Full registration for this indication depends on verification and description of clinical benefit in confirmatory trials.</w:t>
      </w:r>
    </w:p>
    <w:p w14:paraId="05F2F37E" w14:textId="3072D83D" w:rsidR="00D23139" w:rsidRPr="00655F66" w:rsidRDefault="00D23139" w:rsidP="00D212F3">
      <w:pPr>
        <w:pStyle w:val="Heading3"/>
      </w:pPr>
      <w:bookmarkStart w:id="72" w:name="_Toc126579879"/>
      <w:r w:rsidRPr="00655F66">
        <w:t>Specific conditions of registration applying to these goods</w:t>
      </w:r>
      <w:bookmarkEnd w:id="72"/>
    </w:p>
    <w:p w14:paraId="485C618F" w14:textId="794454E4" w:rsidR="00961B58" w:rsidRPr="00655F66" w:rsidRDefault="00961B58" w:rsidP="00961B58">
      <w:pPr>
        <w:pStyle w:val="ListBullet"/>
      </w:pPr>
      <w:r>
        <w:t>Jemperli (dostarlimab) is to be included in the Black Triangle Scheme. The PI and CMI</w:t>
      </w:r>
      <w:r w:rsidR="00756C1B">
        <w:t xml:space="preserve"> [Consumer Medicines Information] </w:t>
      </w:r>
      <w:r>
        <w:t>for Jemperli must include the black triangle symbol and mandatory accompanying text for the products entire period of provisional registration.</w:t>
      </w:r>
    </w:p>
    <w:p w14:paraId="2B2AF3E6" w14:textId="545950DE" w:rsidR="00961B58" w:rsidRPr="00655F66" w:rsidRDefault="00961B58" w:rsidP="00961B58">
      <w:pPr>
        <w:pStyle w:val="ListBullet"/>
      </w:pPr>
      <w:r>
        <w:t>The Jemperli EU-</w:t>
      </w:r>
      <w:r w:rsidR="00525CFF">
        <w:t>risk management plan</w:t>
      </w:r>
      <w:r>
        <w:t xml:space="preserve"> (RMP) (version 1.1, dated 12 April 2021, data lock point 1 March 2020), with Australian </w:t>
      </w:r>
      <w:r w:rsidR="00525CFF">
        <w:t xml:space="preserve">specific annex </w:t>
      </w:r>
      <w:r>
        <w:t>(version 3.0 dated October</w:t>
      </w:r>
      <w:r w:rsidR="00525CFF">
        <w:t> </w:t>
      </w:r>
      <w:r>
        <w:t xml:space="preserve">2021), included with </w:t>
      </w:r>
      <w:r w:rsidR="00525CFF">
        <w:t xml:space="preserve">Submission </w:t>
      </w:r>
      <w:r>
        <w:t>PM-2020-06455-1-4, and any subsequent revisions, as agreed with the TGA will be implemented in Australia.</w:t>
      </w:r>
    </w:p>
    <w:p w14:paraId="2F089171" w14:textId="3DA42200" w:rsidR="00961B58" w:rsidRPr="00655F66" w:rsidRDefault="00961B58" w:rsidP="00961B58">
      <w:pPr>
        <w:pStyle w:val="ListBullet"/>
        <w:numPr>
          <w:ilvl w:val="0"/>
          <w:numId w:val="0"/>
        </w:numPr>
        <w:ind w:left="360"/>
      </w:pPr>
      <w:r w:rsidRPr="00655F66">
        <w:t>An obligatory component of risk management plans is routine pharmacovigilance. Routine pharmacovigilance includes the submission of periodic safety update reports (PSURs).</w:t>
      </w:r>
    </w:p>
    <w:p w14:paraId="71CA3A00" w14:textId="405471AB" w:rsidR="00961B58" w:rsidRPr="00655F66" w:rsidRDefault="00961B58" w:rsidP="00961B58">
      <w:pPr>
        <w:pStyle w:val="ListBullet"/>
        <w:numPr>
          <w:ilvl w:val="0"/>
          <w:numId w:val="0"/>
        </w:numPr>
        <w:ind w:left="360"/>
      </w:pPr>
      <w:r w:rsidRPr="00655F66">
        <w:t xml:space="preserve">Unless agreed separately between the supplier who is the recipient of the approval and the TGA, the first report must be submitted to TGA no later than 15 calendar months after the date of </w:t>
      </w:r>
      <w:r w:rsidR="00525CFF" w:rsidRPr="00655F66">
        <w:t>the</w:t>
      </w:r>
      <w:r w:rsidRPr="00655F66">
        <w:t xml:space="preserve"> approval letter. The subsequent reports must be submitted no less frequently than annually from the date of the first submitted report until the period covered by such reports is not less than three years from the date of this approval letter, or the entire period of provisional registration, whichever is longer.</w:t>
      </w:r>
    </w:p>
    <w:p w14:paraId="7D6D3EAA" w14:textId="54B095FF" w:rsidR="00961B58" w:rsidRPr="00655F66" w:rsidRDefault="00961B58" w:rsidP="00961B58">
      <w:pPr>
        <w:pStyle w:val="ListBullet"/>
        <w:numPr>
          <w:ilvl w:val="0"/>
          <w:numId w:val="0"/>
        </w:numPr>
        <w:ind w:left="360"/>
      </w:pPr>
      <w:r w:rsidRPr="00655F66">
        <w:t xml:space="preserve">The reports are to at least meet the requirements for PSURs as described in the European Medicines Agency’s Guideline on </w:t>
      </w:r>
      <w:r w:rsidR="00525CFF" w:rsidRPr="00655F66">
        <w:t xml:space="preserve">Good Pharmacovigilance Practices </w:t>
      </w:r>
      <w:r w:rsidRPr="00655F66">
        <w:t>(GVP)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1A80192A" w14:textId="63BD0CD8" w:rsidR="00961B58" w:rsidRPr="00655F66" w:rsidRDefault="00961B58" w:rsidP="00961B58">
      <w:pPr>
        <w:pStyle w:val="ListBullet"/>
      </w:pPr>
      <w:r w:rsidRPr="00655F66">
        <w:t xml:space="preserve">Confirmatory trial data (as identified in the </w:t>
      </w:r>
      <w:r w:rsidR="00B81AC6" w:rsidRPr="00655F66">
        <w:t>sponsor</w:t>
      </w:r>
      <w:r w:rsidRPr="00655F66">
        <w:t>’s plan to submit comprehensive clinical data on the safety and efficacy of the medicine before the end of the 6 years that would start on the day that registration would commence) must be provided.</w:t>
      </w:r>
    </w:p>
    <w:p w14:paraId="469ABC7F" w14:textId="5F271A3C" w:rsidR="00961B58" w:rsidRPr="00655F66" w:rsidRDefault="00961B58" w:rsidP="00961B58">
      <w:pPr>
        <w:pStyle w:val="ListBullet"/>
        <w:numPr>
          <w:ilvl w:val="0"/>
          <w:numId w:val="0"/>
        </w:numPr>
        <w:ind w:left="360"/>
      </w:pPr>
      <w:r w:rsidRPr="00655F66">
        <w:t xml:space="preserve">Specifically, the </w:t>
      </w:r>
      <w:r w:rsidR="00B81AC6" w:rsidRPr="00655F66">
        <w:t>sponsor</w:t>
      </w:r>
      <w:r w:rsidRPr="00655F66">
        <w:t xml:space="preserve"> must conduct studies as described in the clinical study plan in version 3.0 (dated October 2021) of the Australia</w:t>
      </w:r>
      <w:r w:rsidR="00525CFF" w:rsidRPr="00655F66">
        <w:t xml:space="preserve"> specific annex</w:t>
      </w:r>
      <w:r w:rsidRPr="00655F66">
        <w:t>. The following study reports should be submitted to TGA:</w:t>
      </w:r>
    </w:p>
    <w:p w14:paraId="393E2E80" w14:textId="280A696F" w:rsidR="00961B58" w:rsidRPr="00655F66" w:rsidRDefault="00961B58" w:rsidP="00961B58">
      <w:pPr>
        <w:pStyle w:val="ListBullet2"/>
      </w:pPr>
      <w:r w:rsidRPr="00655F66">
        <w:t xml:space="preserve">Study 4010-01-001 </w:t>
      </w:r>
      <w:r w:rsidR="00BD5F0E" w:rsidRPr="00655F66">
        <w:t xml:space="preserve">[the </w:t>
      </w:r>
      <w:r w:rsidRPr="00655F66">
        <w:t>GARNET</w:t>
      </w:r>
      <w:r w:rsidR="00BD5F0E" w:rsidRPr="00655F66">
        <w:t xml:space="preserve"> trial]</w:t>
      </w:r>
      <w:r w:rsidRPr="00655F66">
        <w:t xml:space="preserve"> by date 14 January 2028, and</w:t>
      </w:r>
    </w:p>
    <w:p w14:paraId="218AC097" w14:textId="75D2E919" w:rsidR="00961B58" w:rsidRPr="00655F66" w:rsidRDefault="00961B58" w:rsidP="00961B58">
      <w:pPr>
        <w:pStyle w:val="ListBullet2"/>
      </w:pPr>
      <w:r w:rsidRPr="00655F66">
        <w:t>Study 4010-03-001</w:t>
      </w:r>
      <w:r w:rsidR="00BD5F0E" w:rsidRPr="00655F66">
        <w:t xml:space="preserve"> [the </w:t>
      </w:r>
      <w:r w:rsidRPr="00655F66">
        <w:t>RUBY</w:t>
      </w:r>
      <w:r w:rsidR="00BD5F0E" w:rsidRPr="00655F66">
        <w:t xml:space="preserve"> trial]</w:t>
      </w:r>
      <w:r w:rsidRPr="00655F66">
        <w:t xml:space="preserve"> by date 14 January 2028</w:t>
      </w:r>
    </w:p>
    <w:p w14:paraId="630B1D65" w14:textId="3C23CB22" w:rsidR="00961B58" w:rsidRPr="00655F66" w:rsidRDefault="00961B58" w:rsidP="00961B58">
      <w:pPr>
        <w:pStyle w:val="ListBullet"/>
        <w:numPr>
          <w:ilvl w:val="0"/>
          <w:numId w:val="0"/>
        </w:numPr>
        <w:ind w:left="360"/>
      </w:pPr>
      <w:r w:rsidRPr="00655F66">
        <w:t xml:space="preserve">Further guidance for </w:t>
      </w:r>
      <w:r w:rsidR="00B81AC6" w:rsidRPr="00655F66">
        <w:t>sponsor</w:t>
      </w:r>
      <w:r w:rsidRPr="00655F66">
        <w:t>s is available on the TGA website.</w:t>
      </w:r>
    </w:p>
    <w:p w14:paraId="77DEF529" w14:textId="0EB322E8" w:rsidR="00961B58" w:rsidRPr="00655F66" w:rsidRDefault="00961B58" w:rsidP="00961B58">
      <w:pPr>
        <w:pStyle w:val="ListBullet"/>
      </w:pPr>
      <w:r w:rsidRPr="00655F66">
        <w:lastRenderedPageBreak/>
        <w:t>Laboratory testing &amp; compliance with Certified Product Details (CPD)</w:t>
      </w:r>
    </w:p>
    <w:p w14:paraId="40B3E6BE" w14:textId="3DCBB122" w:rsidR="00961B58" w:rsidRPr="00655F66" w:rsidRDefault="00961B58" w:rsidP="00961B58">
      <w:pPr>
        <w:pStyle w:val="ListBullet2"/>
      </w:pPr>
      <w:r>
        <w:t xml:space="preserve">All batches of </w:t>
      </w:r>
      <w:r w:rsidR="00B81AC6">
        <w:t>Jemperli</w:t>
      </w:r>
      <w:r>
        <w:t xml:space="preserve"> dostarlimab 500 mg solution for infusion 10 mL vial supplied in Australia must comply with the product details and specifications approved during evaluation and detailed in the Certified Product Details (CPD).</w:t>
      </w:r>
    </w:p>
    <w:p w14:paraId="5D386284" w14:textId="015C1BA3" w:rsidR="00961B58" w:rsidRPr="00655F66" w:rsidRDefault="00961B58" w:rsidP="00961B58">
      <w:pPr>
        <w:pStyle w:val="ListBullet2"/>
      </w:pPr>
      <w:r w:rsidRPr="00655F66">
        <w:t xml:space="preserve">When requested by the TGA, the </w:t>
      </w:r>
      <w:r w:rsidR="00B81AC6" w:rsidRPr="00655F66">
        <w:t>sponsor</w:t>
      </w:r>
      <w:r w:rsidRPr="00655F66">
        <w:t xml:space="preserve"> should be prepared to provide product samples, specified reference materials and documentary evidence to enable the TGA to conduct laboratory testing on the Product. Outcomes of laboratory testing are published biannually in the TGA Database of Laboratory Testing Results </w:t>
      </w:r>
      <w:hyperlink r:id="rId34" w:history="1">
        <w:r w:rsidR="00525CFF" w:rsidRPr="00655F66">
          <w:rPr>
            <w:rStyle w:val="Hyperlink"/>
          </w:rPr>
          <w:t>http://www.tga.gov.au/ws-labs-index</w:t>
        </w:r>
      </w:hyperlink>
      <w:r w:rsidR="00525CFF" w:rsidRPr="00655F66">
        <w:t xml:space="preserve"> </w:t>
      </w:r>
      <w:r w:rsidRPr="00655F66">
        <w:t>and periodically in testing reports on the TGA website.</w:t>
      </w:r>
    </w:p>
    <w:p w14:paraId="572851E5" w14:textId="26993ED1" w:rsidR="00961B58" w:rsidRPr="00655F66" w:rsidRDefault="00961B58" w:rsidP="00961B58">
      <w:pPr>
        <w:pStyle w:val="ListBullet"/>
      </w:pPr>
      <w:r w:rsidRPr="00655F66">
        <w:t>Certified Product Details</w:t>
      </w:r>
    </w:p>
    <w:p w14:paraId="4D4FC1D7" w14:textId="298E74BE" w:rsidR="00961B58" w:rsidRPr="00655F66" w:rsidRDefault="00961B58" w:rsidP="00961B58">
      <w:pPr>
        <w:pStyle w:val="ListBullet"/>
        <w:numPr>
          <w:ilvl w:val="0"/>
          <w:numId w:val="0"/>
        </w:numPr>
        <w:ind w:left="360"/>
      </w:pPr>
      <w:r w:rsidRPr="00655F66">
        <w:t xml:space="preserve">The Certified Product Details (CPD), as described in Guidance 7: Certified Product Details of the Australian Regulatory Guidelines for Prescription Medicines (ARGPM) http://www.tga.gov.au/industry/pm-argpm-guidance-7.htm, in PDF format, for the above products should be provided upon registration of these therapeutic goods. In addition, an updated CPD should be provided when changes to finished product specifications and test methods are approved in a Category 3 application or notified through a self-assessable change. The CPD should be emailed to </w:t>
      </w:r>
      <w:r w:rsidR="00525CFF" w:rsidRPr="00655F66">
        <w:t>biochemistry.testing</w:t>
      </w:r>
      <w:r w:rsidRPr="00655F66">
        <w:t>@health.gov.au as a single PDF document.</w:t>
      </w:r>
    </w:p>
    <w:p w14:paraId="1932100E" w14:textId="07CC35B1" w:rsidR="0074163C" w:rsidRPr="00655F66" w:rsidRDefault="00961B58" w:rsidP="00961B58">
      <w:pPr>
        <w:pStyle w:val="ListBullet"/>
      </w:pPr>
      <w:r w:rsidRPr="00655F66">
        <w:t>For all injectable products the Product Information must be included with the product as a package insert.</w:t>
      </w:r>
    </w:p>
    <w:p w14:paraId="6E8D0791" w14:textId="40DE65BD" w:rsidR="008E7846" w:rsidRPr="00655F66" w:rsidRDefault="00A80B5B" w:rsidP="00D23139">
      <w:pPr>
        <w:pStyle w:val="Heading2"/>
      </w:pPr>
      <w:bookmarkStart w:id="73" w:name="_Toc126579880"/>
      <w:r w:rsidRPr="00655F66">
        <w:t xml:space="preserve">Attachment 1. </w:t>
      </w:r>
      <w:r w:rsidR="008E7846" w:rsidRPr="00655F66">
        <w:t xml:space="preserve">Product </w:t>
      </w:r>
      <w:r w:rsidR="00AA0ED0" w:rsidRPr="00655F66">
        <w:t>I</w:t>
      </w:r>
      <w:r w:rsidR="008E7846" w:rsidRPr="00655F66">
        <w:t>nformation</w:t>
      </w:r>
      <w:bookmarkEnd w:id="70"/>
      <w:bookmarkEnd w:id="71"/>
      <w:bookmarkEnd w:id="73"/>
    </w:p>
    <w:p w14:paraId="100771CD" w14:textId="65F332CB" w:rsidR="00744121" w:rsidRPr="00655F66" w:rsidRDefault="006136D7" w:rsidP="00744121">
      <w:pPr>
        <w:rPr>
          <w:lang w:eastAsia="ja-JP"/>
        </w:rPr>
      </w:pPr>
      <w:r w:rsidRPr="00655F66">
        <w:t xml:space="preserve">The PI for </w:t>
      </w:r>
      <w:r w:rsidR="00961B58" w:rsidRPr="00655F66">
        <w:t xml:space="preserve">Jemperli </w:t>
      </w:r>
      <w:r w:rsidRPr="00655F66">
        <w:t>approved with the submission which is described in this AusPAR is at Attachment 1.</w:t>
      </w:r>
      <w:r w:rsidR="00CC5044" w:rsidRPr="00655F66">
        <w:t xml:space="preserve"> </w:t>
      </w:r>
      <w:r w:rsidR="0074163C" w:rsidRPr="00655F66">
        <w:t xml:space="preserve">For the most recent PI, please refer to the TGA </w:t>
      </w:r>
      <w:hyperlink r:id="rId35" w:history="1">
        <w:r w:rsidR="0074163C" w:rsidRPr="00655F66">
          <w:rPr>
            <w:rStyle w:val="Hyperlink"/>
          </w:rPr>
          <w:t>PI/CMI search facility</w:t>
        </w:r>
        <w:r w:rsidR="0074163C" w:rsidRPr="00655F66">
          <w:rPr>
            <w:rStyle w:val="Hyperlink"/>
            <w:color w:val="auto"/>
            <w:u w:val="none"/>
          </w:rPr>
          <w:t>.</w:t>
        </w:r>
      </w:hyperlink>
    </w:p>
    <w:p w14:paraId="08A588EA" w14:textId="77777777" w:rsidR="00C80137" w:rsidRPr="00655F66" w:rsidRDefault="00C80137" w:rsidP="003A7F6C">
      <w:pPr>
        <w:pStyle w:val="TableTitle"/>
        <w:sectPr w:rsidR="00C80137" w:rsidRPr="00655F66" w:rsidSect="00B452CE">
          <w:headerReference w:type="even" r:id="rId36"/>
          <w:headerReference w:type="default" r:id="rId37"/>
          <w:headerReference w:type="first" r:id="rId38"/>
          <w:footerReference w:type="first" r:id="rId39"/>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655F66" w14:paraId="08A84188" w14:textId="77777777" w:rsidTr="00A05FA4">
        <w:trPr>
          <w:trHeight w:hRule="exact" w:val="704"/>
        </w:trPr>
        <w:tc>
          <w:tcPr>
            <w:tcW w:w="9175" w:type="dxa"/>
          </w:tcPr>
          <w:p w14:paraId="518223E7" w14:textId="77777777" w:rsidR="001C32CD" w:rsidRPr="00655F66" w:rsidRDefault="001C32CD" w:rsidP="00A05FA4">
            <w:pPr>
              <w:pStyle w:val="TGASignoff"/>
            </w:pPr>
            <w:r w:rsidRPr="00655F66">
              <w:lastRenderedPageBreak/>
              <w:t>Therapeutic Goods Administration</w:t>
            </w:r>
          </w:p>
        </w:tc>
      </w:tr>
      <w:tr w:rsidR="001C32CD" w:rsidRPr="004C239D" w14:paraId="006F1EEB" w14:textId="77777777" w:rsidTr="00A05FA4">
        <w:trPr>
          <w:trHeight w:val="1221"/>
        </w:trPr>
        <w:tc>
          <w:tcPr>
            <w:tcW w:w="9175" w:type="dxa"/>
            <w:tcMar>
              <w:top w:w="28" w:type="dxa"/>
            </w:tcMar>
          </w:tcPr>
          <w:p w14:paraId="39E6A9B7" w14:textId="77777777" w:rsidR="001C32CD" w:rsidRPr="00655F66" w:rsidRDefault="001C32CD" w:rsidP="00A05FA4">
            <w:pPr>
              <w:pStyle w:val="Address"/>
            </w:pPr>
            <w:r w:rsidRPr="00655F66">
              <w:t>PO Box 100 Woden ACT 2606 Australia</w:t>
            </w:r>
          </w:p>
          <w:p w14:paraId="6109AADE" w14:textId="3DF08158" w:rsidR="001C32CD" w:rsidRPr="00BE4C30" w:rsidRDefault="001C32CD" w:rsidP="00A05FA4">
            <w:pPr>
              <w:pStyle w:val="Address"/>
              <w:rPr>
                <w:lang w:val="en-US"/>
              </w:rPr>
            </w:pPr>
            <w:r w:rsidRPr="00BE4C30">
              <w:rPr>
                <w:lang w:val="en-US"/>
              </w:rPr>
              <w:t xml:space="preserve">Email: </w:t>
            </w:r>
            <w:hyperlink r:id="rId40" w:history="1">
              <w:r w:rsidRPr="00BE4C30">
                <w:rPr>
                  <w:rStyle w:val="Hyperlink"/>
                  <w:lang w:val="en-US"/>
                </w:rPr>
                <w:t>info@tga.gov.au</w:t>
              </w:r>
            </w:hyperlink>
            <w:r w:rsidRPr="00BE4C30">
              <w:rPr>
                <w:lang w:val="en-US"/>
              </w:rPr>
              <w:t xml:space="preserve">  Phone: 1800 020 </w:t>
            </w:r>
            <w:proofErr w:type="gramStart"/>
            <w:r w:rsidRPr="00BE4C30">
              <w:rPr>
                <w:lang w:val="en-US"/>
              </w:rPr>
              <w:t>653  Fax</w:t>
            </w:r>
            <w:proofErr w:type="gramEnd"/>
            <w:r w:rsidRPr="00BE4C30">
              <w:rPr>
                <w:lang w:val="en-US"/>
              </w:rPr>
              <w:t>: 02 6232 8605</w:t>
            </w:r>
          </w:p>
          <w:p w14:paraId="4AECFB3D" w14:textId="4E9EE083" w:rsidR="001C32CD" w:rsidRPr="00BE4C30" w:rsidRDefault="00B27846" w:rsidP="00A05FA4">
            <w:pPr>
              <w:pStyle w:val="Address"/>
              <w:spacing w:line="260" w:lineRule="atLeast"/>
              <w:rPr>
                <w:b/>
                <w:color w:val="0000FF"/>
                <w:u w:val="single"/>
                <w:lang w:val="en-US"/>
              </w:rPr>
            </w:pPr>
            <w:hyperlink r:id="rId41" w:history="1">
              <w:r w:rsidR="007C6B9B" w:rsidRPr="00BE4C30">
                <w:rPr>
                  <w:rStyle w:val="Hyperlink"/>
                  <w:b/>
                  <w:lang w:val="en-US"/>
                </w:rPr>
                <w:t>https://www.tga.gov.au</w:t>
              </w:r>
            </w:hyperlink>
          </w:p>
        </w:tc>
      </w:tr>
    </w:tbl>
    <w:p w14:paraId="4201C2FC" w14:textId="77777777" w:rsidR="00774E1D" w:rsidRPr="00BE4C30" w:rsidRDefault="00774E1D" w:rsidP="004C239D">
      <w:pPr>
        <w:rPr>
          <w:lang w:val="en-US"/>
        </w:rPr>
      </w:pPr>
    </w:p>
    <w:sectPr w:rsidR="00774E1D" w:rsidRPr="00BE4C30" w:rsidSect="001C32CD">
      <w:headerReference w:type="even" r:id="rId42"/>
      <w:headerReference w:type="default" r:id="rId43"/>
      <w:footerReference w:type="default" r:id="rId44"/>
      <w:headerReference w:type="first" r:id="rId45"/>
      <w:footerReference w:type="first" r:id="rId46"/>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8FA8C0" w14:textId="77777777" w:rsidR="00B135CE" w:rsidRDefault="00B135CE" w:rsidP="00C40A36">
      <w:pPr>
        <w:spacing w:after="0"/>
      </w:pPr>
      <w:r>
        <w:separator/>
      </w:r>
    </w:p>
  </w:endnote>
  <w:endnote w:type="continuationSeparator" w:id="0">
    <w:p w14:paraId="07F77CD4" w14:textId="77777777" w:rsidR="00B135CE" w:rsidRDefault="00B135CE" w:rsidP="00C40A36">
      <w:pPr>
        <w:spacing w:after="0"/>
      </w:pPr>
      <w:r>
        <w:continuationSeparator/>
      </w:r>
    </w:p>
  </w:endnote>
  <w:endnote w:type="continuationNotice" w:id="1">
    <w:p w14:paraId="0FDCA87C" w14:textId="77777777" w:rsidR="00B135CE" w:rsidRDefault="00B135C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altName w:val="Cambria"/>
    <w:panose1 w:val="02040503050406030204"/>
    <w:charset w:val="00"/>
    <w:family w:val="roman"/>
    <w:pitch w:val="variable"/>
    <w:sig w:usb0="A00002EF" w:usb1="400000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altName w:val="Arial"/>
    <w:panose1 w:val="020B0604020202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2AFF" w:usb1="4000ACF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4E1E83" w:rsidRPr="00487162" w14:paraId="3D3D8BEC" w14:textId="77777777" w:rsidTr="00DB750B">
      <w:trPr>
        <w:trHeight w:val="269"/>
      </w:trPr>
      <w:tc>
        <w:tcPr>
          <w:tcW w:w="7371" w:type="dxa"/>
          <w:tcMar>
            <w:top w:w="142" w:type="dxa"/>
            <w:bottom w:w="0" w:type="dxa"/>
          </w:tcMar>
        </w:tcPr>
        <w:p w14:paraId="6E5BEF45" w14:textId="3AC7FB40" w:rsidR="004E1E83" w:rsidRPr="00487162" w:rsidRDefault="004E1E83" w:rsidP="00460036">
          <w:pPr>
            <w:pStyle w:val="Footer"/>
          </w:pPr>
          <w:r w:rsidRPr="00487162">
            <w:t>AusPA</w:t>
          </w:r>
          <w:r>
            <w:t xml:space="preserve">R - </w:t>
          </w:r>
          <w:r w:rsidRPr="00DA75DA">
            <w:t xml:space="preserve">Jemperli </w:t>
          </w:r>
          <w:r>
            <w:t>-</w:t>
          </w:r>
          <w:r w:rsidRPr="00460036">
            <w:t xml:space="preserve"> </w:t>
          </w:r>
          <w:r w:rsidRPr="00DA75DA">
            <w:t>dostarlimab</w:t>
          </w:r>
          <w:r>
            <w:t xml:space="preserve"> - </w:t>
          </w:r>
          <w:r w:rsidRPr="00DA75DA">
            <w:t xml:space="preserve">GlaxoSmithKline Australia Pty Ltd </w:t>
          </w:r>
          <w:r>
            <w:t xml:space="preserve">- </w:t>
          </w:r>
          <w:r w:rsidRPr="00DA75DA">
            <w:t>PM-2020-06455-1-4</w:t>
          </w:r>
          <w:r>
            <w:br/>
          </w:r>
          <w:r w:rsidR="00821445">
            <w:t xml:space="preserve">Final </w:t>
          </w:r>
          <w:r w:rsidR="009E7AD3">
            <w:t>6</w:t>
          </w:r>
          <w:r w:rsidR="00821445">
            <w:t xml:space="preserve"> February 2023</w:t>
          </w:r>
        </w:p>
      </w:tc>
      <w:tc>
        <w:tcPr>
          <w:tcW w:w="1490" w:type="dxa"/>
          <w:tcMar>
            <w:top w:w="142" w:type="dxa"/>
            <w:bottom w:w="0" w:type="dxa"/>
          </w:tcMar>
        </w:tcPr>
        <w:p w14:paraId="57F71716" w14:textId="7D91FD24" w:rsidR="004E1E83" w:rsidRPr="00487162" w:rsidRDefault="004E1E83" w:rsidP="00DB750B">
          <w:pPr>
            <w:pStyle w:val="Footer"/>
            <w:jc w:val="right"/>
          </w:pPr>
          <w:r w:rsidRPr="00487162">
            <w:t xml:space="preserve">Page </w:t>
          </w:r>
          <w:r>
            <w:fldChar w:fldCharType="begin"/>
          </w:r>
          <w:r>
            <w:instrText xml:space="preserve"> PAGE  \* Arabic </w:instrText>
          </w:r>
          <w:r>
            <w:fldChar w:fldCharType="separate"/>
          </w:r>
          <w:r w:rsidR="00B9098C">
            <w:rPr>
              <w:noProof/>
            </w:rPr>
            <w:t>2</w:t>
          </w:r>
          <w:r>
            <w:fldChar w:fldCharType="end"/>
          </w:r>
          <w:r w:rsidRPr="00487162">
            <w:t xml:space="preserve"> of </w:t>
          </w:r>
          <w:r>
            <w:fldChar w:fldCharType="begin"/>
          </w:r>
          <w:r>
            <w:instrText>NUMPAGES  \* Arabic</w:instrText>
          </w:r>
          <w:r>
            <w:fldChar w:fldCharType="separate"/>
          </w:r>
          <w:r w:rsidR="00B9098C">
            <w:rPr>
              <w:noProof/>
            </w:rPr>
            <w:t>40</w:t>
          </w:r>
          <w:r>
            <w:fldChar w:fldCharType="end"/>
          </w:r>
        </w:p>
      </w:tc>
    </w:tr>
  </w:tbl>
  <w:p w14:paraId="7D2DA9E8" w14:textId="77777777" w:rsidR="004E1E83" w:rsidRDefault="004E1E83"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4E1E83" w:rsidRPr="00487162" w14:paraId="6EA75030" w14:textId="77777777" w:rsidTr="00E45619">
      <w:trPr>
        <w:trHeight w:val="269"/>
      </w:trPr>
      <w:tc>
        <w:tcPr>
          <w:tcW w:w="4519" w:type="dxa"/>
          <w:tcBorders>
            <w:top w:val="single" w:sz="4" w:space="0" w:color="auto"/>
          </w:tcBorders>
          <w:tcMar>
            <w:top w:w="142" w:type="dxa"/>
            <w:bottom w:w="0" w:type="dxa"/>
          </w:tcMar>
        </w:tcPr>
        <w:p w14:paraId="3A6B0A3F" w14:textId="77777777" w:rsidR="004E1E83" w:rsidRPr="00487162" w:rsidRDefault="004E1E83" w:rsidP="00FE1DEE">
          <w:pPr>
            <w:pStyle w:val="Footer"/>
          </w:pPr>
          <w:r w:rsidRPr="00487162">
            <w:t>Document title, Part #, Section # - Section title</w:t>
          </w:r>
        </w:p>
        <w:p w14:paraId="3774D354" w14:textId="77777777" w:rsidR="004E1E83" w:rsidRPr="00487162" w:rsidRDefault="004E1E83" w:rsidP="00FE1DEE">
          <w:pPr>
            <w:pStyle w:val="Footer"/>
          </w:pPr>
          <w:r w:rsidRPr="00487162">
            <w:t>V1.0 October 2010</w:t>
          </w:r>
        </w:p>
      </w:tc>
      <w:tc>
        <w:tcPr>
          <w:tcW w:w="4342" w:type="dxa"/>
          <w:tcBorders>
            <w:top w:val="single" w:sz="4" w:space="0" w:color="auto"/>
          </w:tcBorders>
          <w:tcMar>
            <w:top w:w="142" w:type="dxa"/>
            <w:bottom w:w="0" w:type="dxa"/>
          </w:tcMar>
        </w:tcPr>
        <w:p w14:paraId="17DC048D" w14:textId="77777777" w:rsidR="004E1E83" w:rsidRPr="00487162" w:rsidRDefault="004E1E83"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NUMPAGES</w:instrText>
          </w:r>
          <w:r>
            <w:fldChar w:fldCharType="separate"/>
          </w:r>
          <w:r>
            <w:rPr>
              <w:noProof/>
            </w:rPr>
            <w:t>21</w:t>
          </w:r>
          <w:r>
            <w:fldChar w:fldCharType="end"/>
          </w:r>
        </w:p>
      </w:tc>
    </w:tr>
  </w:tbl>
  <w:p w14:paraId="23BC3FC5" w14:textId="77777777" w:rsidR="004E1E83" w:rsidRDefault="004E1E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47336" w14:textId="77777777" w:rsidR="004E1E83" w:rsidRPr="001C32CD" w:rsidRDefault="004E1E83"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4E1E83" w14:paraId="5FC4866D" w14:textId="77777777" w:rsidTr="0010601F">
      <w:trPr>
        <w:trHeight w:val="108"/>
      </w:trPr>
      <w:tc>
        <w:tcPr>
          <w:tcW w:w="8875" w:type="dxa"/>
          <w:gridSpan w:val="2"/>
          <w:tcBorders>
            <w:bottom w:val="single" w:sz="4" w:space="0" w:color="auto"/>
          </w:tcBorders>
          <w:tcMar>
            <w:right w:w="284" w:type="dxa"/>
          </w:tcMar>
        </w:tcPr>
        <w:p w14:paraId="27CEBC14" w14:textId="77777777" w:rsidR="004E1E83" w:rsidRDefault="004E1E83" w:rsidP="006E08B3">
          <w:pPr>
            <w:pStyle w:val="Heading3"/>
          </w:pPr>
          <w:r>
            <w:t>Copyright</w:t>
          </w:r>
        </w:p>
        <w:p w14:paraId="411207BC" w14:textId="77777777" w:rsidR="004E1E83" w:rsidRDefault="004E1E83" w:rsidP="006E08B3">
          <w:r>
            <w:rPr>
              <w:rFonts w:cs="Arial"/>
            </w:rPr>
            <w:t>©</w:t>
          </w:r>
          <w:r>
            <w:t xml:space="preserve"> Commonwealth of Australia [add year]</w:t>
          </w:r>
        </w:p>
        <w:p w14:paraId="6BBF812D" w14:textId="77777777" w:rsidR="004E1E83" w:rsidRDefault="004E1E83" w:rsidP="006E08B3"/>
        <w:p w14:paraId="2CCB78EF" w14:textId="77777777" w:rsidR="004E1E83" w:rsidRDefault="004E1E83"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14EB3DB9" w14:textId="77777777" w:rsidR="004E1E83" w:rsidRDefault="004E1E83" w:rsidP="006E08B3"/>
        <w:p w14:paraId="1FAB8DF8" w14:textId="77777777" w:rsidR="004E1E83" w:rsidRDefault="004E1E83" w:rsidP="006E08B3">
          <w:pPr>
            <w:pStyle w:val="Heading3"/>
          </w:pPr>
          <w:r>
            <w:t>Confidentiality</w:t>
          </w:r>
        </w:p>
        <w:p w14:paraId="13721992" w14:textId="77777777" w:rsidR="004E1E83" w:rsidRDefault="004E1E83"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1B4BAB8A" w14:textId="77777777" w:rsidR="004E1E83" w:rsidRDefault="004E1E83" w:rsidP="006E08B3"/>
        <w:p w14:paraId="41009B22" w14:textId="77777777" w:rsidR="004E1E83" w:rsidRDefault="004E1E83" w:rsidP="006E08B3">
          <w:r>
            <w:t>For submission made by individuals, all personal details, other than your name, will be removed from your submission before it is published on the TGA’s Internet site.</w:t>
          </w:r>
        </w:p>
        <w:p w14:paraId="4F4C4490" w14:textId="77777777" w:rsidR="004E1E83" w:rsidRDefault="004E1E83" w:rsidP="006E08B3"/>
        <w:p w14:paraId="3BEF20A7" w14:textId="77777777" w:rsidR="004E1E83" w:rsidRDefault="004E1E83" w:rsidP="006E08B3">
          <w:r>
            <w:t>In addition, a list of parties making submissions will be published. If you do not wish to be identified with your submission you must specifically request this in the space provided in the submission coversheet.</w:t>
          </w:r>
        </w:p>
      </w:tc>
    </w:tr>
    <w:tr w:rsidR="004E1E83" w14:paraId="6C57FCFB" w14:textId="77777777" w:rsidTr="0010601F">
      <w:trPr>
        <w:trHeight w:val="417"/>
      </w:trPr>
      <w:tc>
        <w:tcPr>
          <w:tcW w:w="4519" w:type="dxa"/>
          <w:tcBorders>
            <w:top w:val="single" w:sz="4" w:space="0" w:color="auto"/>
          </w:tcBorders>
          <w:tcMar>
            <w:top w:w="142" w:type="dxa"/>
            <w:bottom w:w="0" w:type="dxa"/>
          </w:tcMar>
        </w:tcPr>
        <w:p w14:paraId="1165E2AF" w14:textId="77777777" w:rsidR="004E1E83" w:rsidRDefault="004E1E83" w:rsidP="006E08B3">
          <w:r>
            <w:t>Document title, Part #, Section # - Section title</w:t>
          </w:r>
        </w:p>
        <w:p w14:paraId="0CB61A4F" w14:textId="77777777" w:rsidR="004E1E83" w:rsidRDefault="004E1E83" w:rsidP="006E08B3">
          <w:r>
            <w:t>V1.0 October 2010</w:t>
          </w:r>
        </w:p>
      </w:tc>
      <w:tc>
        <w:tcPr>
          <w:tcW w:w="4356" w:type="dxa"/>
          <w:tcBorders>
            <w:top w:val="single" w:sz="4" w:space="0" w:color="auto"/>
          </w:tcBorders>
          <w:tcMar>
            <w:top w:w="142" w:type="dxa"/>
            <w:bottom w:w="0" w:type="dxa"/>
          </w:tcMar>
        </w:tcPr>
        <w:p w14:paraId="411C0E28" w14:textId="77777777" w:rsidR="004E1E83" w:rsidRDefault="004E1E83"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NUMPAGES  \* Arabic</w:instrText>
          </w:r>
          <w:r>
            <w:fldChar w:fldCharType="separate"/>
          </w:r>
          <w:r>
            <w:rPr>
              <w:noProof/>
            </w:rPr>
            <w:t>21</w:t>
          </w:r>
          <w:r>
            <w:fldChar w:fldCharType="end"/>
          </w:r>
          <w:r>
            <w:t xml:space="preserve">  </w:t>
          </w:r>
        </w:p>
      </w:tc>
    </w:tr>
  </w:tbl>
  <w:p w14:paraId="06910AF8" w14:textId="77777777" w:rsidR="004E1E83" w:rsidRDefault="004E1E8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9F487" w14:textId="77777777" w:rsidR="00B135CE" w:rsidRDefault="00B135CE" w:rsidP="00C40A36">
      <w:pPr>
        <w:spacing w:after="0"/>
      </w:pPr>
      <w:r>
        <w:separator/>
      </w:r>
    </w:p>
  </w:footnote>
  <w:footnote w:type="continuationSeparator" w:id="0">
    <w:p w14:paraId="0A1919FF" w14:textId="77777777" w:rsidR="00B135CE" w:rsidRDefault="00B135CE" w:rsidP="00C40A36">
      <w:pPr>
        <w:spacing w:after="0"/>
      </w:pPr>
      <w:r>
        <w:continuationSeparator/>
      </w:r>
    </w:p>
  </w:footnote>
  <w:footnote w:type="continuationNotice" w:id="1">
    <w:p w14:paraId="273C4FCC" w14:textId="77777777" w:rsidR="00B135CE" w:rsidRDefault="00B135CE">
      <w:pPr>
        <w:spacing w:before="0" w:after="0" w:line="240" w:lineRule="auto"/>
      </w:pPr>
    </w:p>
  </w:footnote>
  <w:footnote w:id="2">
    <w:p w14:paraId="296C17F2" w14:textId="07F9FF0B" w:rsidR="004E1E83" w:rsidRDefault="004E1E83" w:rsidP="00C44C93">
      <w:pPr>
        <w:pStyle w:val="FootnoteText"/>
      </w:pPr>
      <w:r>
        <w:rPr>
          <w:rStyle w:val="FootnoteReference"/>
        </w:rPr>
        <w:footnoteRef/>
      </w:r>
      <w:r>
        <w:t xml:space="preserve"> Lu, K.H. and Broaddus, R.R. Endometrial Cancer, </w:t>
      </w:r>
      <w:r w:rsidRPr="00C140DE">
        <w:rPr>
          <w:i/>
          <w:iCs/>
        </w:rPr>
        <w:t>N Engl J Med</w:t>
      </w:r>
      <w:r>
        <w:t>,</w:t>
      </w:r>
      <w:r w:rsidRPr="00163766">
        <w:t xml:space="preserve"> 2020; 383:</w:t>
      </w:r>
      <w:r>
        <w:t xml:space="preserve"> </w:t>
      </w:r>
      <w:r w:rsidRPr="00163766">
        <w:t>2053-2064</w:t>
      </w:r>
      <w:r>
        <w:t>.</w:t>
      </w:r>
    </w:p>
  </w:footnote>
  <w:footnote w:id="3">
    <w:p w14:paraId="3EE99B29" w14:textId="7E717834" w:rsidR="004E1E83" w:rsidRDefault="004E1E83" w:rsidP="00C44C93">
      <w:pPr>
        <w:pStyle w:val="FootnoteText"/>
      </w:pPr>
      <w:r>
        <w:rPr>
          <w:rStyle w:val="FootnoteReference"/>
        </w:rPr>
        <w:footnoteRef/>
      </w:r>
      <w:r>
        <w:t xml:space="preserve"> </w:t>
      </w:r>
      <w:r w:rsidRPr="00CA58E2">
        <w:t>Latham</w:t>
      </w:r>
      <w:r>
        <w:t>,</w:t>
      </w:r>
      <w:r w:rsidRPr="00CA58E2">
        <w:t xml:space="preserve"> A</w:t>
      </w:r>
      <w:r>
        <w:t>.</w:t>
      </w:r>
      <w:r w:rsidRPr="00CA58E2">
        <w:t xml:space="preserve"> et al. </w:t>
      </w:r>
      <w:r w:rsidRPr="00C140DE">
        <w:t xml:space="preserve">Microsatellite Instability </w:t>
      </w:r>
      <w:r>
        <w:t>i</w:t>
      </w:r>
      <w:r w:rsidRPr="00C140DE">
        <w:t xml:space="preserve">s Associated </w:t>
      </w:r>
      <w:r>
        <w:t>w</w:t>
      </w:r>
      <w:r w:rsidRPr="00C140DE">
        <w:t>ith the Presence of Lynch Syndrome Pan-Cancer</w:t>
      </w:r>
      <w:r>
        <w:t>,</w:t>
      </w:r>
      <w:r w:rsidRPr="001A4C29">
        <w:t xml:space="preserve"> </w:t>
      </w:r>
      <w:r w:rsidRPr="001A4C29">
        <w:rPr>
          <w:i/>
          <w:iCs/>
        </w:rPr>
        <w:t>J Clin Oncol</w:t>
      </w:r>
      <w:r>
        <w:t>, 2019; 37(4): 286-295.</w:t>
      </w:r>
    </w:p>
  </w:footnote>
  <w:footnote w:id="4">
    <w:p w14:paraId="22F24F02" w14:textId="2A8303AB" w:rsidR="004E1E83" w:rsidRDefault="004E1E83" w:rsidP="001A4C29">
      <w:pPr>
        <w:pStyle w:val="FootnoteText"/>
      </w:pPr>
      <w:r>
        <w:rPr>
          <w:rStyle w:val="FootnoteReference"/>
        </w:rPr>
        <w:footnoteRef/>
      </w:r>
      <w:r>
        <w:t xml:space="preserve"> Australian Product Information - Keytruda (pembrolizumab (rch)). Available at:</w:t>
      </w:r>
      <w:r>
        <w:cr/>
      </w:r>
      <w:hyperlink r:id="rId1" w:history="1">
        <w:r w:rsidRPr="008606AC">
          <w:rPr>
            <w:rStyle w:val="Hyperlink"/>
          </w:rPr>
          <w:t>https://www.ebs.tga.gov.au/ebs/picmi/picmirepository.nsf/pdf?OpenAgent&amp;id=CP-2015-PI-01639-1&amp;d=202106071016933</w:t>
        </w:r>
      </w:hyperlink>
      <w:r>
        <w:t xml:space="preserve"> (accessed 3 June 2021).</w:t>
      </w:r>
    </w:p>
  </w:footnote>
  <w:footnote w:id="5">
    <w:p w14:paraId="2FBEE16F" w14:textId="46D35D20" w:rsidR="004E1E83" w:rsidRDefault="004E1E83">
      <w:pPr>
        <w:pStyle w:val="FootnoteText"/>
      </w:pPr>
      <w:r>
        <w:rPr>
          <w:rStyle w:val="FootnoteReference"/>
        </w:rPr>
        <w:footnoteRef/>
      </w:r>
      <w:r>
        <w:t xml:space="preserve"> </w:t>
      </w:r>
      <w:r w:rsidRPr="00454A7A">
        <w:rPr>
          <w:b/>
          <w:bCs/>
        </w:rPr>
        <w:t>Good Manufacturing Practice (GMP)</w:t>
      </w:r>
      <w:r w:rsidRPr="00454A7A">
        <w:t xml:space="preserve"> describes a set of principles and procedures that when followed helps ensure that therapeutic goods are of high quality.</w:t>
      </w:r>
    </w:p>
  </w:footnote>
  <w:footnote w:id="6">
    <w:p w14:paraId="453A51A5" w14:textId="4C6170C8" w:rsidR="004E1E83" w:rsidRDefault="004E1E83">
      <w:pPr>
        <w:pStyle w:val="FootnoteText"/>
      </w:pPr>
      <w:r>
        <w:rPr>
          <w:rStyle w:val="FootnoteReference"/>
        </w:rPr>
        <w:footnoteRef/>
      </w:r>
      <w:r>
        <w:t xml:space="preserve"> </w:t>
      </w:r>
      <w:r w:rsidRPr="00ED0DA0">
        <w:t xml:space="preserve">A </w:t>
      </w:r>
      <w:r w:rsidRPr="00ED0DA0">
        <w:rPr>
          <w:b/>
          <w:bCs/>
        </w:rPr>
        <w:t>Category 3 application</w:t>
      </w:r>
      <w:r w:rsidRPr="00ED0DA0">
        <w:t xml:space="preserve"> relates to updates to the quality data of medicines already included on the Australian Register of Therapeutic Goods (ARTG) which, in the opinion of the TGA, do not need to be supported by clinical, non-clinical or bioequivalence data.</w:t>
      </w:r>
    </w:p>
  </w:footnote>
  <w:footnote w:id="7">
    <w:p w14:paraId="7C536523" w14:textId="0C54DC9A" w:rsidR="004E1E83" w:rsidRDefault="004E1E83">
      <w:pPr>
        <w:pStyle w:val="FootnoteText"/>
      </w:pPr>
      <w:r>
        <w:rPr>
          <w:rStyle w:val="FootnoteReference"/>
        </w:rPr>
        <w:footnoteRef/>
      </w:r>
      <w:r>
        <w:t xml:space="preserve"> </w:t>
      </w:r>
      <w:r w:rsidRPr="00ED0DA0">
        <w:rPr>
          <w:b/>
          <w:bCs/>
        </w:rPr>
        <w:t>Good Laboratory Practice (GLP)</w:t>
      </w:r>
      <w:r w:rsidRPr="00ED0DA0">
        <w:t xml:space="preserve"> is a code of standards following the International Council on Harmonisation (ICH) relevant to testing of medicines in laboratories during drug development.</w:t>
      </w:r>
    </w:p>
  </w:footnote>
  <w:footnote w:id="8">
    <w:p w14:paraId="41B06023" w14:textId="0A63A811" w:rsidR="004E1E83" w:rsidRDefault="004E1E83">
      <w:pPr>
        <w:pStyle w:val="FootnoteText"/>
      </w:pPr>
      <w:r>
        <w:rPr>
          <w:rStyle w:val="FootnoteReference"/>
        </w:rPr>
        <w:footnoteRef/>
      </w:r>
      <w:r>
        <w:t xml:space="preserve"> </w:t>
      </w:r>
      <w:r w:rsidRPr="00ED0DA0">
        <w:t>The </w:t>
      </w:r>
      <w:r w:rsidRPr="00ED0DA0">
        <w:rPr>
          <w:b/>
          <w:bCs/>
        </w:rPr>
        <w:t>International Council for Harmonisation of Technical Requirements for Registration of Pharmaceuticals for Human Use (ICH)</w:t>
      </w:r>
      <w:r w:rsidRPr="00ED0DA0">
        <w:t xml:space="preserve"> brings together regulatory authorities and the pharmaceutical industry. It makes recommendations towards achieving greater harmonisation in the interpretation and application of technical guidelines and requirements for pharmaceutical product registration.</w:t>
      </w:r>
    </w:p>
  </w:footnote>
  <w:footnote w:id="9">
    <w:p w14:paraId="68DA85E6" w14:textId="17F152ED" w:rsidR="004E1E83" w:rsidRDefault="004E1E83">
      <w:pPr>
        <w:pStyle w:val="FootnoteText"/>
      </w:pPr>
      <w:r>
        <w:rPr>
          <w:rStyle w:val="FootnoteReference"/>
        </w:rPr>
        <w:footnoteRef/>
      </w:r>
      <w:r>
        <w:t xml:space="preserve"> </w:t>
      </w:r>
      <w:r w:rsidRPr="001A4C29">
        <w:t>European Medicines Agency (EMA), Committee for Medicinal Products for Human Use (CHMP), ICH guideline S6 (R1) - Preclinical Safety Evaluation of Biotechnology-Derived Pharmaceuticals, EMA/CHMP/ICH/731268/1998, June 2011.</w:t>
      </w:r>
    </w:p>
  </w:footnote>
  <w:footnote w:id="10">
    <w:p w14:paraId="52F445EE" w14:textId="7E24D4E6" w:rsidR="004E1E83" w:rsidRDefault="004E1E83">
      <w:pPr>
        <w:pStyle w:val="FootnoteText"/>
      </w:pPr>
      <w:r>
        <w:rPr>
          <w:rStyle w:val="FootnoteReference"/>
        </w:rPr>
        <w:footnoteRef/>
      </w:r>
      <w:r>
        <w:t xml:space="preserve"> </w:t>
      </w:r>
      <w:r w:rsidRPr="00454A7A">
        <w:rPr>
          <w:b/>
          <w:bCs/>
        </w:rPr>
        <w:t>Pregnancy Category D</w:t>
      </w:r>
      <w:r>
        <w:t xml:space="preserve">: </w:t>
      </w:r>
      <w:r w:rsidRPr="00454A7A">
        <w:t>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footnote>
  <w:footnote w:id="11">
    <w:p w14:paraId="3FB88893" w14:textId="77777777" w:rsidR="004E1E83" w:rsidRDefault="004E1E83" w:rsidP="00DE4619">
      <w:pPr>
        <w:pStyle w:val="FootnoteText"/>
      </w:pPr>
      <w:r>
        <w:rPr>
          <w:rStyle w:val="FootnoteReference"/>
        </w:rPr>
        <w:footnoteRef/>
      </w:r>
      <w:r>
        <w:t xml:space="preserve"> The QT interval is the time from the start of the QRS wave complex to the end of the corresponding T wave. It approximates to the time taken for ventricular depolarisation and repolarisation, that is to say, the period of ventricular systole from ventricular isovolumetric contraction to isovolumetric relaxation.</w:t>
      </w:r>
    </w:p>
    <w:p w14:paraId="676E4AED" w14:textId="6197D401" w:rsidR="004E1E83" w:rsidRDefault="004E1E83" w:rsidP="00DE4619">
      <w:pPr>
        <w:pStyle w:val="FootnoteText"/>
      </w:pPr>
      <w:r>
        <w:t>The corrected QT interval (QTc) estimates the QT interval at a standard heart rate. This allows comparison of QT values over time at different heart rates and improves detection of patients at increased risk of arrhythmias. The QTcF is the QT interval corrected for heart rate according to Fridericia’s formula.</w:t>
      </w:r>
    </w:p>
  </w:footnote>
  <w:footnote w:id="12">
    <w:p w14:paraId="020E6275" w14:textId="13CDD2C7" w:rsidR="004E1E83" w:rsidRPr="00BE4C30" w:rsidRDefault="004E1E83">
      <w:pPr>
        <w:pStyle w:val="FootnoteText"/>
        <w:rPr>
          <w:lang w:val="en-GB"/>
        </w:rPr>
      </w:pPr>
      <w:r>
        <w:rPr>
          <w:rStyle w:val="FootnoteReference"/>
        </w:rPr>
        <w:footnoteRef/>
      </w:r>
      <w:r>
        <w:t xml:space="preserve"> </w:t>
      </w:r>
      <w:r>
        <w:rPr>
          <w:lang w:val="en-GB"/>
        </w:rPr>
        <w:t xml:space="preserve">Sponsor clarification: the sponsor wished to comment that the observed mean </w:t>
      </w:r>
      <w:r w:rsidRPr="00BD5F60">
        <w:rPr>
          <w:lang w:val="en-GB"/>
        </w:rPr>
        <w:t xml:space="preserve">trough concentration values for patients in Part 2B </w:t>
      </w:r>
      <w:r>
        <w:rPr>
          <w:lang w:val="en-GB"/>
        </w:rPr>
        <w:t>of this study are greater than the PK/PD model</w:t>
      </w:r>
      <w:r w:rsidRPr="00BD5F60">
        <w:rPr>
          <w:lang w:val="en-GB"/>
        </w:rPr>
        <w:t xml:space="preserve"> predicted concentrations </w:t>
      </w:r>
      <w:r>
        <w:rPr>
          <w:lang w:val="en-GB"/>
        </w:rPr>
        <w:t xml:space="preserve">that are </w:t>
      </w:r>
      <w:r w:rsidRPr="00BD5F60">
        <w:rPr>
          <w:lang w:val="en-GB"/>
        </w:rPr>
        <w:t>required f</w:t>
      </w:r>
      <w:r>
        <w:rPr>
          <w:lang w:val="en-GB"/>
        </w:rPr>
        <w:t>or full target engagement of 54 </w:t>
      </w:r>
      <w:r w:rsidRPr="00BD5F60">
        <w:rPr>
          <w:lang w:val="en-GB"/>
        </w:rPr>
        <w:t>µg/mL at the tumour site and 18 µg/mL at peripheral sites</w:t>
      </w:r>
      <w:r>
        <w:rPr>
          <w:lang w:val="en-GB"/>
        </w:rPr>
        <w:t>.</w:t>
      </w:r>
    </w:p>
  </w:footnote>
  <w:footnote w:id="13">
    <w:p w14:paraId="1E747CEA" w14:textId="2EF1EBBD" w:rsidR="004E1E83" w:rsidRDefault="004E1E83" w:rsidP="00D04EFE">
      <w:pPr>
        <w:pStyle w:val="FootnoteText"/>
      </w:pPr>
      <w:r>
        <w:rPr>
          <w:rStyle w:val="FootnoteReference"/>
        </w:rPr>
        <w:footnoteRef/>
      </w:r>
      <w:r>
        <w:t xml:space="preserve"> </w:t>
      </w:r>
      <w:r w:rsidRPr="00D04EFE">
        <w:rPr>
          <w:b/>
          <w:bCs/>
        </w:rPr>
        <w:t>ECOG Performance Status</w:t>
      </w:r>
      <w:r>
        <w:t>: The Eastern Cooperative Oncology Group (ECOG) has developed criteria used by doctors and researchers to assess how a patient's disease is progressing, assess how the disease affects the daily living abilities of the patient, and determine appropriate treatment and prognosis. The following are used:</w:t>
      </w:r>
    </w:p>
    <w:p w14:paraId="75E8DC2B" w14:textId="77777777" w:rsidR="004E1E83" w:rsidRDefault="004E1E83" w:rsidP="00D04EFE">
      <w:pPr>
        <w:pStyle w:val="FootnoteText"/>
      </w:pPr>
      <w:r>
        <w:t>0 - Fully active, able to carry on all pre-disease performance without restriction</w:t>
      </w:r>
    </w:p>
    <w:p w14:paraId="0153628C" w14:textId="77777777" w:rsidR="004E1E83" w:rsidRDefault="004E1E83" w:rsidP="00D04EFE">
      <w:pPr>
        <w:pStyle w:val="FootnoteText"/>
      </w:pPr>
      <w:r>
        <w:t>1- Restricted in physically strenuous activity but ambulatory and able to carry out work of a light or sedentary nature, for example, light house work, office work</w:t>
      </w:r>
    </w:p>
    <w:p w14:paraId="76F85153" w14:textId="07C09A6A" w:rsidR="004E1E83" w:rsidRDefault="004E1E83" w:rsidP="00D04EFE">
      <w:pPr>
        <w:pStyle w:val="FootnoteText"/>
      </w:pPr>
      <w:r>
        <w:t>2 - Ambulatory and capable of all self-care but unable to carry out any work activities. Up and about more than 50% of waking hours</w:t>
      </w:r>
    </w:p>
    <w:p w14:paraId="2F54CD66" w14:textId="38CE629F" w:rsidR="004E1E83" w:rsidRDefault="004E1E83" w:rsidP="00D04EFE">
      <w:pPr>
        <w:pStyle w:val="FootnoteText"/>
      </w:pPr>
      <w:r>
        <w:t>3 - Capable of only limited self-care, confined to bed or chair more than 50% of waking hours</w:t>
      </w:r>
    </w:p>
    <w:p w14:paraId="635884D0" w14:textId="60E8A669" w:rsidR="004E1E83" w:rsidRDefault="004E1E83" w:rsidP="00D04EFE">
      <w:pPr>
        <w:pStyle w:val="FootnoteText"/>
      </w:pPr>
      <w:r>
        <w:t>4 - Completely disabled. Cannot carry on any self-care. Totally confined to bed or chair</w:t>
      </w:r>
    </w:p>
    <w:p w14:paraId="7E664E92" w14:textId="55EC19B2" w:rsidR="004E1E83" w:rsidRDefault="004E1E83" w:rsidP="00D04EFE">
      <w:pPr>
        <w:pStyle w:val="FootnoteText"/>
      </w:pPr>
      <w:r>
        <w:t>5 – Dead</w:t>
      </w:r>
    </w:p>
  </w:footnote>
  <w:footnote w:id="14">
    <w:p w14:paraId="401BDBE6" w14:textId="58DEED9F" w:rsidR="004E1E83" w:rsidRPr="00860E0D" w:rsidRDefault="004E1E83">
      <w:pPr>
        <w:pStyle w:val="FootnoteText"/>
        <w:rPr>
          <w:lang w:val="en-GB"/>
        </w:rPr>
      </w:pPr>
      <w:r>
        <w:rPr>
          <w:rStyle w:val="FootnoteReference"/>
        </w:rPr>
        <w:footnoteRef/>
      </w:r>
      <w:r>
        <w:t xml:space="preserve"> </w:t>
      </w:r>
      <w:r w:rsidRPr="008402A5">
        <w:t xml:space="preserve">The </w:t>
      </w:r>
      <w:r w:rsidRPr="00860E0D">
        <w:rPr>
          <w:b/>
        </w:rPr>
        <w:t>Ventana MMR RxDx Panel</w:t>
      </w:r>
      <w:r w:rsidRPr="008402A5">
        <w:t xml:space="preserve"> is a laboratory test designed to detect mismatch repair (MMR) proteins (MSH6, PMS2, MSH2 and MLH1) in patients diagnosed with solid tumo</w:t>
      </w:r>
      <w:r>
        <w:t>u</w:t>
      </w:r>
      <w:r w:rsidRPr="008402A5">
        <w:t>rs that have reoccurred multiple times (recurrent) or those who have advanced solid tumo</w:t>
      </w:r>
      <w:r>
        <w:t>u</w:t>
      </w:r>
      <w:r w:rsidRPr="008402A5">
        <w:t>r growth.</w:t>
      </w:r>
    </w:p>
  </w:footnote>
  <w:footnote w:id="15">
    <w:p w14:paraId="4B563FA0" w14:textId="78D817D7" w:rsidR="004E1E83" w:rsidRDefault="004E1E83">
      <w:pPr>
        <w:pStyle w:val="FootnoteText"/>
      </w:pPr>
      <w:r>
        <w:rPr>
          <w:rStyle w:val="FootnoteReference"/>
        </w:rPr>
        <w:footnoteRef/>
      </w:r>
      <w:r>
        <w:t xml:space="preserve"> </w:t>
      </w:r>
      <w:bookmarkStart w:id="45" w:name="_Hlk126585305"/>
      <w:r w:rsidRPr="00DE4619">
        <w:t xml:space="preserve">The </w:t>
      </w:r>
      <w:r w:rsidRPr="00DE4619">
        <w:rPr>
          <w:b/>
          <w:bCs/>
        </w:rPr>
        <w:t>Response Evaluation Criteria In Solid Tumours (RECIST)</w:t>
      </w:r>
      <w:r w:rsidRPr="00DE4619">
        <w:t xml:space="preserve"> is a voluntary international standard with unified and easily applicable criteria to define when a patient's tumour has improved ('respond'), stayed the same ('stabilise'), or worsened ('progress') during treatment. </w:t>
      </w:r>
      <w:bookmarkEnd w:id="45"/>
      <w:r w:rsidRPr="00DE4619">
        <w:t>The criteria were published in February 2000 by an international collaboration including the European Organisation for Research and Treatment of Cancer (EORTC), National Cancer Institute (NCI) of the United States, and the National Cancer Institute of Canada Clinical Trials Group. Today, the majority of clinical trials evaluating cancer treatments for objective response in solid tumours use RECIST. These criteria were developed and published in February 2000, and subsequently updated in 2009.</w:t>
      </w:r>
    </w:p>
  </w:footnote>
  <w:footnote w:id="16">
    <w:p w14:paraId="2DDEA3F5" w14:textId="6FF476FC" w:rsidR="004E1E83" w:rsidRDefault="004E1E83" w:rsidP="0029368A">
      <w:pPr>
        <w:pStyle w:val="FootnoteText"/>
      </w:pPr>
      <w:r>
        <w:rPr>
          <w:rStyle w:val="FootnoteReference"/>
        </w:rPr>
        <w:footnoteRef/>
      </w:r>
      <w:r>
        <w:t xml:space="preserve"> </w:t>
      </w:r>
      <w:r w:rsidRPr="0029368A">
        <w:t>Brookmeyer</w:t>
      </w:r>
      <w:r>
        <w:t>, R.</w:t>
      </w:r>
      <w:r w:rsidRPr="0029368A">
        <w:t xml:space="preserve"> and Crowley</w:t>
      </w:r>
      <w:r>
        <w:t xml:space="preserve">, J. </w:t>
      </w:r>
      <w:r w:rsidRPr="0029368A">
        <w:t>A Confidence Interval for the Median Survival Time</w:t>
      </w:r>
      <w:r>
        <w:t>, Biometrics, 1982; 38(1): 29-41.</w:t>
      </w:r>
    </w:p>
  </w:footnote>
  <w:footnote w:id="17">
    <w:p w14:paraId="1582E9EF" w14:textId="5AB4899F" w:rsidR="004E1E83" w:rsidRDefault="004E1E83" w:rsidP="005E6707">
      <w:pPr>
        <w:pStyle w:val="FootnoteText"/>
      </w:pPr>
      <w:r w:rsidRPr="004F7FF1">
        <w:rPr>
          <w:rStyle w:val="FootnoteReference"/>
        </w:rPr>
        <w:footnoteRef/>
      </w:r>
      <w:r w:rsidRPr="004F7FF1">
        <w:t xml:space="preserve"> </w:t>
      </w:r>
      <w:r>
        <w:t>European Union</w:t>
      </w:r>
      <w:r w:rsidRPr="00655F66">
        <w:t xml:space="preserve">-risk management plan </w:t>
      </w:r>
      <w:r w:rsidRPr="004F7FF1">
        <w:t xml:space="preserve">version 1.1 (dated 12 April 2021; </w:t>
      </w:r>
      <w:r>
        <w:t>data lock point</w:t>
      </w:r>
      <w:r w:rsidRPr="004F7FF1">
        <w:t xml:space="preserve"> 1</w:t>
      </w:r>
      <w:r>
        <w:t> </w:t>
      </w:r>
      <w:r w:rsidRPr="004F7FF1">
        <w:t>March 2020).</w:t>
      </w:r>
    </w:p>
  </w:footnote>
  <w:footnote w:id="18">
    <w:p w14:paraId="56390316" w14:textId="7B2F9368" w:rsidR="004E1E83" w:rsidRPr="00E164CB" w:rsidRDefault="004E1E83">
      <w:pPr>
        <w:pStyle w:val="FootnoteText"/>
        <w:rPr>
          <w:lang w:val="en-GB"/>
        </w:rPr>
      </w:pPr>
      <w:r>
        <w:rPr>
          <w:rStyle w:val="FootnoteReference"/>
        </w:rPr>
        <w:footnoteRef/>
      </w:r>
      <w:r>
        <w:t xml:space="preserve"> </w:t>
      </w:r>
      <w:r>
        <w:rPr>
          <w:lang w:val="en-GB"/>
        </w:rPr>
        <w:t>Sponsor clarification: the sponsor wished to state that the duration of response for these 78.3% of responders was for at least 6 months.</w:t>
      </w:r>
    </w:p>
  </w:footnote>
  <w:footnote w:id="19">
    <w:p w14:paraId="0CD60F19" w14:textId="7DC85BC1" w:rsidR="0065626F" w:rsidRPr="00860E0D" w:rsidRDefault="0065626F" w:rsidP="0065626F">
      <w:pPr>
        <w:pStyle w:val="FootnoteText"/>
        <w:rPr>
          <w:lang w:val="en-GB"/>
        </w:rPr>
      </w:pPr>
      <w:r>
        <w:rPr>
          <w:rStyle w:val="FootnoteReference"/>
        </w:rPr>
        <w:footnoteRef/>
      </w:r>
      <w:r>
        <w:t xml:space="preserve"> </w:t>
      </w:r>
      <w:r>
        <w:rPr>
          <w:lang w:val="en-GB"/>
        </w:rPr>
        <w:t>Study 4010-03-001: A Phase III</w:t>
      </w:r>
      <w:r w:rsidRPr="0065626F">
        <w:rPr>
          <w:lang w:val="en-GB"/>
        </w:rPr>
        <w:t xml:space="preserve">, </w:t>
      </w:r>
      <w:r>
        <w:rPr>
          <w:lang w:val="en-GB"/>
        </w:rPr>
        <w:t>randomis</w:t>
      </w:r>
      <w:r w:rsidRPr="0065626F">
        <w:rPr>
          <w:lang w:val="en-GB"/>
        </w:rPr>
        <w:t>ed, double-blind, multicentre study of dostarlimab (TSR-042) plus carboplatin-paclitaxel versus placebo plus carboplatin-paclitaxel in patients with recurrent or primary advanced endometrial cancer (</w:t>
      </w:r>
      <w:r>
        <w:rPr>
          <w:lang w:val="en-GB"/>
        </w:rPr>
        <w:t xml:space="preserve">the </w:t>
      </w:r>
      <w:r w:rsidRPr="0065626F">
        <w:rPr>
          <w:lang w:val="en-GB"/>
        </w:rPr>
        <w:t>RUBY</w:t>
      </w:r>
      <w:r>
        <w:rPr>
          <w:lang w:val="en-GB"/>
        </w:rPr>
        <w:t xml:space="preserve"> trial</w:t>
      </w:r>
      <w:r w:rsidRPr="0065626F">
        <w:rPr>
          <w:lang w:val="en-GB"/>
        </w:rPr>
        <w:t>)</w:t>
      </w:r>
      <w:r>
        <w:rPr>
          <w:lang w:val="en-GB"/>
        </w:rPr>
        <w:t xml:space="preserve">. </w:t>
      </w:r>
      <w:r w:rsidRPr="0065626F">
        <w:rPr>
          <w:lang w:val="en-GB"/>
        </w:rPr>
        <w:t>ClinicalTrials.gov Identifier: NCT03981796</w:t>
      </w:r>
      <w:r>
        <w:rPr>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BCAFA" w14:textId="77777777" w:rsidR="004E1E83" w:rsidRDefault="004E1E83"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485D9" w14:textId="5CEA76CB" w:rsidR="004E1E83" w:rsidRDefault="00641B86">
    <w:pPr>
      <w:rPr>
        <w:noProof/>
        <w:lang w:eastAsia="en-AU"/>
      </w:rPr>
    </w:pPr>
    <w:r>
      <w:rPr>
        <w:noProof/>
        <w:lang w:eastAsia="en-AU"/>
      </w:rPr>
      <w:drawing>
        <wp:anchor distT="0" distB="0" distL="114300" distR="114300" simplePos="0" relativeHeight="251661312" behindDoc="0" locked="0" layoutInCell="1" allowOverlap="1" wp14:anchorId="29DC2D41" wp14:editId="6046077E">
          <wp:simplePos x="0" y="0"/>
          <wp:positionH relativeFrom="column">
            <wp:posOffset>-399415</wp:posOffset>
          </wp:positionH>
          <wp:positionV relativeFrom="paragraph">
            <wp:posOffset>-114935</wp:posOffset>
          </wp:positionV>
          <wp:extent cx="2678400" cy="622800"/>
          <wp:effectExtent l="0" t="0" r="0" b="6350"/>
          <wp:wrapTopAndBottom/>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678400" cy="622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eastAsia="en-AU"/>
      </w:rPr>
      <w:drawing>
        <wp:anchor distT="0" distB="0" distL="114300" distR="114300" simplePos="0" relativeHeight="251659264" behindDoc="0" locked="0" layoutInCell="0" allowOverlap="1" wp14:anchorId="48A193B9" wp14:editId="488EFB98">
          <wp:simplePos x="0" y="0"/>
          <wp:positionH relativeFrom="page">
            <wp:align>left</wp:align>
          </wp:positionH>
          <wp:positionV relativeFrom="page">
            <wp:posOffset>3240405</wp:posOffset>
          </wp:positionV>
          <wp:extent cx="7664400" cy="4323600"/>
          <wp:effectExtent l="0" t="0" r="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664400" cy="4323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E49DE" w14:textId="77777777" w:rsidR="004E1E83" w:rsidRDefault="004E1E8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58B10" w14:textId="77777777" w:rsidR="004E1E83" w:rsidRDefault="004E1E83">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C2A17" w14:textId="77777777" w:rsidR="004E1E83" w:rsidRDefault="004E1E83">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B931D" w14:textId="77777777" w:rsidR="004E1E83" w:rsidRDefault="004E1E8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279C5" w14:textId="77777777" w:rsidR="004E1E83" w:rsidRDefault="004E1E83"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91549" w14:textId="77777777" w:rsidR="004E1E83" w:rsidRDefault="004E1E83" w:rsidP="006E08B3">
    <w:r>
      <w:t>Therapeutic Goods Administration</w:t>
    </w:r>
  </w:p>
  <w:p w14:paraId="05E2491F" w14:textId="77777777" w:rsidR="004E1E83" w:rsidRDefault="004E1E83"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449ED35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885EDB"/>
    <w:multiLevelType w:val="hybridMultilevel"/>
    <w:tmpl w:val="E0C8ED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E9108CD"/>
    <w:multiLevelType w:val="hybridMultilevel"/>
    <w:tmpl w:val="F07C7BCA"/>
    <w:lvl w:ilvl="0" w:tplc="7E7496A6">
      <w:start w:val="1"/>
      <w:numFmt w:val="bullet"/>
      <w:pStyle w:val="Bulletlist"/>
      <w:lvlText w:val=""/>
      <w:lvlJc w:val="left"/>
      <w:pPr>
        <w:ind w:left="3763"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194226C0"/>
    <w:multiLevelType w:val="hybridMultilevel"/>
    <w:tmpl w:val="A31AA7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DF971D9"/>
    <w:multiLevelType w:val="hybridMultilevel"/>
    <w:tmpl w:val="B1BADFD2"/>
    <w:lvl w:ilvl="0" w:tplc="E95E81F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8292AD4"/>
    <w:multiLevelType w:val="multilevel"/>
    <w:tmpl w:val="7110D424"/>
    <w:styleLink w:val="Headings"/>
    <w:lvl w:ilvl="0">
      <w:start w:val="1"/>
      <w:numFmt w:val="decimal"/>
      <w:suff w:val="space"/>
      <w:lvlText w:val="%1."/>
      <w:lvlJc w:val="left"/>
      <w:pPr>
        <w:ind w:left="357" w:hanging="357"/>
      </w:pPr>
      <w:rPr>
        <w:rFonts w:asciiTheme="majorHAnsi" w:hAnsiTheme="majorHAnsi" w:hint="default"/>
      </w:rPr>
    </w:lvl>
    <w:lvl w:ilvl="1">
      <w:start w:val="1"/>
      <w:numFmt w:val="decimal"/>
      <w:suff w:val="space"/>
      <w:lvlText w:val="%1.%2."/>
      <w:lvlJc w:val="left"/>
      <w:pPr>
        <w:ind w:left="357" w:hanging="357"/>
      </w:pPr>
      <w:rPr>
        <w:rFonts w:asciiTheme="majorHAnsi" w:hAnsiTheme="majorHAnsi" w:hint="default"/>
      </w:rPr>
    </w:lvl>
    <w:lvl w:ilvl="2">
      <w:start w:val="1"/>
      <w:numFmt w:val="decimal"/>
      <w:suff w:val="space"/>
      <w:lvlText w:val="%1.%2.%3."/>
      <w:lvlJc w:val="left"/>
      <w:pPr>
        <w:ind w:left="357" w:hanging="357"/>
      </w:pPr>
      <w:rPr>
        <w:rFonts w:asciiTheme="majorHAnsi" w:hAnsiTheme="majorHAnsi" w:hint="default"/>
      </w:rPr>
    </w:lvl>
    <w:lvl w:ilvl="3">
      <w:start w:val="1"/>
      <w:numFmt w:val="decimal"/>
      <w:suff w:val="space"/>
      <w:lvlText w:val="%1.%2.%3.%4."/>
      <w:lvlJc w:val="left"/>
      <w:pPr>
        <w:ind w:left="357" w:hanging="357"/>
      </w:pPr>
      <w:rPr>
        <w:rFonts w:asciiTheme="majorHAnsi" w:hAnsiTheme="majorHAnsi"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3"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1DA0565"/>
    <w:multiLevelType w:val="hybridMultilevel"/>
    <w:tmpl w:val="224C0ED4"/>
    <w:lvl w:ilvl="0" w:tplc="0C090001">
      <w:start w:val="1"/>
      <w:numFmt w:val="bullet"/>
      <w:lvlText w:val=""/>
      <w:lvlJc w:val="left"/>
      <w:pPr>
        <w:ind w:left="1287" w:hanging="360"/>
      </w:pPr>
      <w:rPr>
        <w:rFonts w:ascii="Symbol" w:hAnsi="Symbol" w:hint="default"/>
      </w:rPr>
    </w:lvl>
    <w:lvl w:ilvl="1" w:tplc="0C090003">
      <w:start w:val="1"/>
      <w:numFmt w:val="bullet"/>
      <w:lvlText w:val="o"/>
      <w:lvlJc w:val="left"/>
      <w:pPr>
        <w:ind w:left="2007" w:hanging="360"/>
      </w:pPr>
      <w:rPr>
        <w:rFonts w:ascii="Courier New" w:hAnsi="Courier New" w:cs="Courier New" w:hint="default"/>
      </w:rPr>
    </w:lvl>
    <w:lvl w:ilvl="2" w:tplc="0C090005">
      <w:start w:val="1"/>
      <w:numFmt w:val="bullet"/>
      <w:lvlText w:val=""/>
      <w:lvlJc w:val="left"/>
      <w:pPr>
        <w:ind w:left="2727" w:hanging="360"/>
      </w:pPr>
      <w:rPr>
        <w:rFonts w:ascii="Wingdings" w:hAnsi="Wingdings" w:hint="default"/>
      </w:rPr>
    </w:lvl>
    <w:lvl w:ilvl="3" w:tplc="0C090001">
      <w:start w:val="1"/>
      <w:numFmt w:val="bullet"/>
      <w:lvlText w:val=""/>
      <w:lvlJc w:val="left"/>
      <w:pPr>
        <w:ind w:left="3447" w:hanging="360"/>
      </w:pPr>
      <w:rPr>
        <w:rFonts w:ascii="Symbol" w:hAnsi="Symbol" w:hint="default"/>
      </w:rPr>
    </w:lvl>
    <w:lvl w:ilvl="4" w:tplc="0C090003">
      <w:start w:val="1"/>
      <w:numFmt w:val="bullet"/>
      <w:lvlText w:val="o"/>
      <w:lvlJc w:val="left"/>
      <w:pPr>
        <w:ind w:left="4167" w:hanging="360"/>
      </w:pPr>
      <w:rPr>
        <w:rFonts w:ascii="Courier New" w:hAnsi="Courier New" w:cs="Courier New" w:hint="default"/>
      </w:rPr>
    </w:lvl>
    <w:lvl w:ilvl="5" w:tplc="0C090005">
      <w:start w:val="1"/>
      <w:numFmt w:val="bullet"/>
      <w:lvlText w:val=""/>
      <w:lvlJc w:val="left"/>
      <w:pPr>
        <w:ind w:left="4887" w:hanging="360"/>
      </w:pPr>
      <w:rPr>
        <w:rFonts w:ascii="Wingdings" w:hAnsi="Wingdings" w:hint="default"/>
      </w:rPr>
    </w:lvl>
    <w:lvl w:ilvl="6" w:tplc="0C090001">
      <w:start w:val="1"/>
      <w:numFmt w:val="bullet"/>
      <w:lvlText w:val=""/>
      <w:lvlJc w:val="left"/>
      <w:pPr>
        <w:ind w:left="5607" w:hanging="360"/>
      </w:pPr>
      <w:rPr>
        <w:rFonts w:ascii="Symbol" w:hAnsi="Symbol" w:hint="default"/>
      </w:rPr>
    </w:lvl>
    <w:lvl w:ilvl="7" w:tplc="0C090003">
      <w:start w:val="1"/>
      <w:numFmt w:val="bullet"/>
      <w:lvlText w:val="o"/>
      <w:lvlJc w:val="left"/>
      <w:pPr>
        <w:ind w:left="6327" w:hanging="360"/>
      </w:pPr>
      <w:rPr>
        <w:rFonts w:ascii="Courier New" w:hAnsi="Courier New" w:cs="Courier New" w:hint="default"/>
      </w:rPr>
    </w:lvl>
    <w:lvl w:ilvl="8" w:tplc="0C090005">
      <w:start w:val="1"/>
      <w:numFmt w:val="bullet"/>
      <w:lvlText w:val=""/>
      <w:lvlJc w:val="left"/>
      <w:pPr>
        <w:ind w:left="7047" w:hanging="360"/>
      </w:pPr>
      <w:rPr>
        <w:rFonts w:ascii="Wingdings" w:hAnsi="Wingdings" w:hint="default"/>
      </w:rPr>
    </w:lvl>
  </w:abstractNum>
  <w:abstractNum w:abstractNumId="15" w15:restartNumberingAfterBreak="0">
    <w:nsid w:val="48227E3D"/>
    <w:multiLevelType w:val="hybridMultilevel"/>
    <w:tmpl w:val="9B1E7B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2856139"/>
    <w:multiLevelType w:val="hybridMultilevel"/>
    <w:tmpl w:val="C8701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2E1248D"/>
    <w:multiLevelType w:val="hybridMultilevel"/>
    <w:tmpl w:val="EA322D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7381F4D"/>
    <w:multiLevelType w:val="hybridMultilevel"/>
    <w:tmpl w:val="6AB4E120"/>
    <w:lvl w:ilvl="0" w:tplc="4BC8A140">
      <w:numFmt w:val="none"/>
      <w:pStyle w:val="ListNumber"/>
      <w:lvlText w:val=""/>
      <w:lvlJc w:val="left"/>
      <w:pPr>
        <w:tabs>
          <w:tab w:val="num" w:pos="360"/>
        </w:tabs>
      </w:pPr>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rPr>
        <w:rFonts w:ascii="Courier New" w:hAnsi="Courier New" w:cs="Courier New" w:hint="default"/>
        <w14:glow w14:rad="0">
          <w14:srgbClr w14:val="000000"/>
        </w14:glow>
        <w14:scene3d>
          <w14:camera w14:prst="orthographicFront"/>
          <w14:lightRig w14:rig="threePt" w14:dir="t">
            <w14:rot w14:lat="0" w14:lon="0" w14:rev="0"/>
          </w14:lightRig>
        </w14:scene3d>
      </w:rPr>
    </w:lvl>
    <w:lvl w:ilvl="8" w:tplc="0C09001B">
      <w:numFmt w:val="decimal"/>
      <w:lvlText w:val=""/>
      <w:lvlJc w:val="left"/>
    </w:lvl>
  </w:abstractNum>
  <w:abstractNum w:abstractNumId="21" w15:restartNumberingAfterBreak="0">
    <w:nsid w:val="6E200BC8"/>
    <w:multiLevelType w:val="hybridMultilevel"/>
    <w:tmpl w:val="5AF6235E"/>
    <w:lvl w:ilvl="0" w:tplc="0C090001">
      <w:numFmt w:val="decimal"/>
      <w:lvlText w:val=""/>
      <w:lvlJc w:val="left"/>
    </w:lvl>
    <w:lvl w:ilvl="1" w:tplc="0C090003">
      <w:numFmt w:val="none"/>
      <w:lvlText w:val=""/>
      <w:lvlJc w:val="left"/>
      <w:pPr>
        <w:tabs>
          <w:tab w:val="num" w:pos="360"/>
        </w:tabs>
      </w:pPr>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none"/>
      <w:lvlText w:val=""/>
      <w:lvlJc w:val="left"/>
      <w:pPr>
        <w:tabs>
          <w:tab w:val="num" w:pos="360"/>
        </w:tabs>
      </w:pPr>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22" w15:restartNumberingAfterBreak="0">
    <w:nsid w:val="77606DC0"/>
    <w:multiLevelType w:val="hybridMultilevel"/>
    <w:tmpl w:val="8780E0A6"/>
    <w:lvl w:ilvl="0" w:tplc="4224B92E">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num w:numId="1">
    <w:abstractNumId w:val="2"/>
  </w:num>
  <w:num w:numId="2">
    <w:abstractNumId w:val="1"/>
  </w:num>
  <w:num w:numId="3">
    <w:abstractNumId w:val="9"/>
  </w:num>
  <w:num w:numId="4">
    <w:abstractNumId w:val="9"/>
  </w:num>
  <w:num w:numId="5">
    <w:abstractNumId w:val="0"/>
  </w:num>
  <w:num w:numId="6">
    <w:abstractNumId w:val="9"/>
  </w:num>
  <w:num w:numId="7">
    <w:abstractNumId w:val="9"/>
  </w:num>
  <w:num w:numId="8">
    <w:abstractNumId w:val="7"/>
  </w:num>
  <w:num w:numId="9">
    <w:abstractNumId w:val="7"/>
  </w:num>
  <w:num w:numId="10">
    <w:abstractNumId w:val="7"/>
  </w:num>
  <w:num w:numId="11">
    <w:abstractNumId w:val="7"/>
  </w:num>
  <w:num w:numId="12">
    <w:abstractNumId w:val="3"/>
    <w:lvlOverride w:ilvl="0">
      <w:lvl w:ilvl="0">
        <w:numFmt w:val="bullet"/>
        <w:lvlText w:val="•"/>
        <w:legacy w:legacy="1" w:legacySpace="0" w:legacyIndent="0"/>
        <w:lvlJc w:val="left"/>
        <w:rPr>
          <w:rFonts w:ascii="Helv" w:hAnsi="Helv" w:hint="default"/>
        </w:rPr>
      </w:lvl>
    </w:lvlOverride>
  </w:num>
  <w:num w:numId="13">
    <w:abstractNumId w:val="9"/>
  </w:num>
  <w:num w:numId="14">
    <w:abstractNumId w:val="9"/>
  </w:num>
  <w:num w:numId="15">
    <w:abstractNumId w:val="9"/>
  </w:num>
  <w:num w:numId="16">
    <w:abstractNumId w:val="7"/>
  </w:num>
  <w:num w:numId="17">
    <w:abstractNumId w:val="7"/>
  </w:num>
  <w:num w:numId="18">
    <w:abstractNumId w:val="7"/>
  </w:num>
  <w:num w:numId="19">
    <w:abstractNumId w:val="9"/>
  </w:num>
  <w:num w:numId="20">
    <w:abstractNumId w:val="9"/>
  </w:num>
  <w:num w:numId="21">
    <w:abstractNumId w:val="9"/>
  </w:num>
  <w:num w:numId="22">
    <w:abstractNumId w:val="7"/>
  </w:num>
  <w:num w:numId="23">
    <w:abstractNumId w:val="7"/>
  </w:num>
  <w:num w:numId="24">
    <w:abstractNumId w:val="7"/>
  </w:num>
  <w:num w:numId="25">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6"/>
  </w:num>
  <w:num w:numId="28">
    <w:abstractNumId w:val="22"/>
  </w:num>
  <w:num w:numId="29">
    <w:abstractNumId w:val="8"/>
  </w:num>
  <w:num w:numId="30">
    <w:abstractNumId w:val="13"/>
  </w:num>
  <w:num w:numId="31">
    <w:abstractNumId w:val="4"/>
  </w:num>
  <w:num w:numId="32">
    <w:abstractNumId w:val="17"/>
  </w:num>
  <w:num w:numId="33">
    <w:abstractNumId w:val="15"/>
  </w:num>
  <w:num w:numId="34">
    <w:abstractNumId w:val="19"/>
  </w:num>
  <w:num w:numId="35">
    <w:abstractNumId w:val="20"/>
  </w:num>
  <w:num w:numId="36">
    <w:abstractNumId w:val="11"/>
  </w:num>
  <w:num w:numId="37">
    <w:abstractNumId w:val="21"/>
  </w:num>
  <w:num w:numId="38">
    <w:abstractNumId w:val="18"/>
  </w:num>
  <w:num w:numId="39">
    <w:abstractNumId w:val="5"/>
  </w:num>
  <w:num w:numId="40">
    <w:abstractNumId w:val="6"/>
  </w:num>
  <w:num w:numId="41">
    <w:abstractNumId w:val="12"/>
  </w:num>
  <w:num w:numId="42">
    <w:abstractNumId w:val="14"/>
  </w:num>
  <w:num w:numId="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num>
  <w:num w:numId="45">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isplayHorizont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ault_nd_05a70cf9-cd2c-496d-a52b-60dac8009316" w:val=" "/>
    <w:docVar w:name="vault_nd_0b1a82c4-4e69-4ed7-b33f-4212bcd16145" w:val=" "/>
    <w:docVar w:name="vault_nd_0f00b501-77d5-4896-8b42-0479bcb6e751" w:val=" "/>
    <w:docVar w:name="vault_nd_0fcbe8e5-c676-4218-af7f-1d7ff6459de9" w:val=" "/>
    <w:docVar w:name="vault_nd_12509c4b-9f93-4579-bc39-0b247716f04b" w:val=" "/>
    <w:docVar w:name="vault_nd_2017f700-ac58-475e-a5fc-957c9c236072" w:val=" "/>
    <w:docVar w:name="vault_nd_335d332a-f041-41a0-8497-b1c66b81508b" w:val=" "/>
    <w:docVar w:name="vault_nd_35c62f72-c5e5-421c-873a-6af336cd8abb" w:val=" "/>
    <w:docVar w:name="vault_nd_35ef93b2-3969-45f3-9d66-87825282d231" w:val=" "/>
    <w:docVar w:name="vault_nd_37b9d523-3187-457a-89fa-42c4004188a9" w:val=" "/>
    <w:docVar w:name="vault_nd_3fe7ffce-a826-4333-82f5-919c13a7cb9b" w:val=" "/>
    <w:docVar w:name="vault_nd_490b8ead-377b-4ae4-bf18-88e8f332641b" w:val=" "/>
    <w:docVar w:name="vault_nd_4972232d-eea3-45d4-8797-a6fc7a15cd85" w:val=" "/>
    <w:docVar w:name="vault_nd_49ac840b-1a15-480a-b4a5-2d95c11ad631" w:val=" "/>
    <w:docVar w:name="vault_nd_4e956fba-1b2b-4f5e-8e80-c6ebcbeaff3b" w:val=" "/>
    <w:docVar w:name="vault_nd_691c5c56-04b7-4173-95bc-0c38c6a5627b" w:val=" "/>
    <w:docVar w:name="vault_nd_69f0c858-1f77-4e3d-b76e-3ae55a113577" w:val=" "/>
    <w:docVar w:name="vault_nd_6a05c88c-2da3-4745-b261-1dd75e392c8e" w:val=" "/>
    <w:docVar w:name="vault_nd_6c288cf4-c337-4fcf-818c-27400b0d7c8d" w:val=" "/>
    <w:docVar w:name="vault_nd_6f825b31-59b5-458a-a12c-fd8737c43760" w:val=" "/>
    <w:docVar w:name="vault_nd_720f719f-9ca5-4920-abb9-5f19354f0797" w:val=" "/>
    <w:docVar w:name="vault_nd_7be9b2d6-c209-4cc4-a342-29c3e7ea073d" w:val=" "/>
    <w:docVar w:name="vault_nd_7c3dc3a2-e58a-4a6a-8666-85e5cd883c36" w:val=" "/>
    <w:docVar w:name="vault_nd_7e13de12-54a3-4247-a07c-d525da00d4e3" w:val=" "/>
    <w:docVar w:name="vault_nd_83ccdedf-2056-463a-81dd-e7adc15ce527" w:val=" "/>
    <w:docVar w:name="vault_nd_8a039919-f7db-48a4-b95d-7ccc27d33319" w:val=" "/>
    <w:docVar w:name="vault_nd_8ae74714-b1d6-4164-bcd0-75a6b6903a3b" w:val=" "/>
    <w:docVar w:name="vault_nd_909b4424-c533-479d-88c6-f1729ddc8ab7" w:val=" "/>
    <w:docVar w:name="vault_nd_91ac2109-f5c3-4696-9478-2def0fde559f" w:val=" "/>
    <w:docVar w:name="vault_nd_9af11993-b8b1-40bb-a280-09bf7835ab2d" w:val=" "/>
    <w:docVar w:name="vault_nd_acdc5552-dd00-4955-a774-42368c71a202" w:val=" "/>
    <w:docVar w:name="vault_nd_b4d09483-c6cd-400a-a39c-d1d20c2eb672" w:val=" "/>
    <w:docVar w:name="vault_nd_b568cc7c-e8e1-43e0-b70a-1d767958e685" w:val=" "/>
    <w:docVar w:name="vault_nd_c0a90c43-6039-44c4-aa9e-43ac139704d8" w:val=" "/>
    <w:docVar w:name="vault_nd_cf8e9a1f-b9bd-4d17-b116-06a59d9731a8" w:val=" "/>
    <w:docVar w:name="vault_nd_d13a30ad-4adb-4de9-8df3-e0e94d1faa88" w:val=" "/>
    <w:docVar w:name="vault_nd_d6259593-ac3e-43ed-8f02-e3ff03cb823f" w:val=" "/>
    <w:docVar w:name="vault_nd_d7b149a7-e160-4235-a7b7-321860507b0c" w:val=" "/>
    <w:docVar w:name="vault_nd_efe318cf-9676-41c3-9d92-efa9d1df7141" w:val=" "/>
    <w:docVar w:name="vault_nd_f079ddf6-54f7-4827-88a1-80bba59729f3" w:val=" "/>
    <w:docVar w:name="vault_nd_f0c0fbcb-861b-4dd2-b0d9-83e99f789e29" w:val=" "/>
    <w:docVar w:name="vault_nd_f43edbd9-b16f-49b8-8bed-81f5eb1c01c4" w:val=" "/>
    <w:docVar w:name="vault_nd_f7c4d492-39fc-455f-9209-3558b77af5f7" w:val=" "/>
    <w:docVar w:name="vault_nd_fc6c88aa-6317-47cf-852b-5c3deb214201" w:val=" "/>
  </w:docVars>
  <w:rsids>
    <w:rsidRoot w:val="00DA75DA"/>
    <w:rsid w:val="00000FBE"/>
    <w:rsid w:val="00002031"/>
    <w:rsid w:val="0000393E"/>
    <w:rsid w:val="000040ED"/>
    <w:rsid w:val="00004734"/>
    <w:rsid w:val="0000573C"/>
    <w:rsid w:val="00006739"/>
    <w:rsid w:val="00006B22"/>
    <w:rsid w:val="00006FAB"/>
    <w:rsid w:val="000112A6"/>
    <w:rsid w:val="00011697"/>
    <w:rsid w:val="000123F5"/>
    <w:rsid w:val="00012708"/>
    <w:rsid w:val="0001276A"/>
    <w:rsid w:val="0001307F"/>
    <w:rsid w:val="00015DA6"/>
    <w:rsid w:val="0001725C"/>
    <w:rsid w:val="00017940"/>
    <w:rsid w:val="00017BBE"/>
    <w:rsid w:val="00020071"/>
    <w:rsid w:val="00021742"/>
    <w:rsid w:val="000240F7"/>
    <w:rsid w:val="000246AE"/>
    <w:rsid w:val="00024FDB"/>
    <w:rsid w:val="00025C67"/>
    <w:rsid w:val="00027B22"/>
    <w:rsid w:val="00030D6D"/>
    <w:rsid w:val="0003120B"/>
    <w:rsid w:val="00034593"/>
    <w:rsid w:val="00034C8B"/>
    <w:rsid w:val="00034CF6"/>
    <w:rsid w:val="000364FA"/>
    <w:rsid w:val="00040832"/>
    <w:rsid w:val="00040F97"/>
    <w:rsid w:val="00044772"/>
    <w:rsid w:val="0004541C"/>
    <w:rsid w:val="000476B3"/>
    <w:rsid w:val="0005559E"/>
    <w:rsid w:val="00056F4C"/>
    <w:rsid w:val="000570CA"/>
    <w:rsid w:val="000604D6"/>
    <w:rsid w:val="00062725"/>
    <w:rsid w:val="00064852"/>
    <w:rsid w:val="000675B5"/>
    <w:rsid w:val="000703C2"/>
    <w:rsid w:val="00070AF4"/>
    <w:rsid w:val="0007176B"/>
    <w:rsid w:val="00071D92"/>
    <w:rsid w:val="00072119"/>
    <w:rsid w:val="000734D8"/>
    <w:rsid w:val="00074895"/>
    <w:rsid w:val="000749BF"/>
    <w:rsid w:val="00075892"/>
    <w:rsid w:val="00077775"/>
    <w:rsid w:val="00083122"/>
    <w:rsid w:val="00083208"/>
    <w:rsid w:val="000845EE"/>
    <w:rsid w:val="00085834"/>
    <w:rsid w:val="000860DF"/>
    <w:rsid w:val="00090471"/>
    <w:rsid w:val="0009090E"/>
    <w:rsid w:val="000919EE"/>
    <w:rsid w:val="00092DB7"/>
    <w:rsid w:val="00096926"/>
    <w:rsid w:val="00096AA7"/>
    <w:rsid w:val="000A0A35"/>
    <w:rsid w:val="000A12ED"/>
    <w:rsid w:val="000A1AE5"/>
    <w:rsid w:val="000A3AED"/>
    <w:rsid w:val="000A3B06"/>
    <w:rsid w:val="000A4395"/>
    <w:rsid w:val="000A4727"/>
    <w:rsid w:val="000A5B74"/>
    <w:rsid w:val="000A6255"/>
    <w:rsid w:val="000A6533"/>
    <w:rsid w:val="000A6560"/>
    <w:rsid w:val="000A68B3"/>
    <w:rsid w:val="000A7290"/>
    <w:rsid w:val="000B09D0"/>
    <w:rsid w:val="000B0A81"/>
    <w:rsid w:val="000B0B31"/>
    <w:rsid w:val="000B3532"/>
    <w:rsid w:val="000B3A75"/>
    <w:rsid w:val="000B674B"/>
    <w:rsid w:val="000B6B80"/>
    <w:rsid w:val="000B6C3B"/>
    <w:rsid w:val="000B6E59"/>
    <w:rsid w:val="000C00C2"/>
    <w:rsid w:val="000C05E9"/>
    <w:rsid w:val="000C0C74"/>
    <w:rsid w:val="000C0DC3"/>
    <w:rsid w:val="000C1C14"/>
    <w:rsid w:val="000C2B6C"/>
    <w:rsid w:val="000C4007"/>
    <w:rsid w:val="000C690F"/>
    <w:rsid w:val="000D1295"/>
    <w:rsid w:val="000D391B"/>
    <w:rsid w:val="000D3D6D"/>
    <w:rsid w:val="000D3EB9"/>
    <w:rsid w:val="000D40C6"/>
    <w:rsid w:val="000D4FC7"/>
    <w:rsid w:val="000D57A1"/>
    <w:rsid w:val="000D5DB5"/>
    <w:rsid w:val="000D634D"/>
    <w:rsid w:val="000D6982"/>
    <w:rsid w:val="000D7E6E"/>
    <w:rsid w:val="000E05ED"/>
    <w:rsid w:val="000E0713"/>
    <w:rsid w:val="000E18E6"/>
    <w:rsid w:val="000E1A75"/>
    <w:rsid w:val="000E30BD"/>
    <w:rsid w:val="000E4722"/>
    <w:rsid w:val="000E4A4F"/>
    <w:rsid w:val="000E6196"/>
    <w:rsid w:val="000E66E4"/>
    <w:rsid w:val="000E7243"/>
    <w:rsid w:val="000F0A52"/>
    <w:rsid w:val="000F4869"/>
    <w:rsid w:val="000F5201"/>
    <w:rsid w:val="000F5B42"/>
    <w:rsid w:val="000F6E6F"/>
    <w:rsid w:val="000F7491"/>
    <w:rsid w:val="000F7C84"/>
    <w:rsid w:val="0010293E"/>
    <w:rsid w:val="001045CC"/>
    <w:rsid w:val="0010601F"/>
    <w:rsid w:val="001064D9"/>
    <w:rsid w:val="0010788A"/>
    <w:rsid w:val="00107A31"/>
    <w:rsid w:val="00107BD7"/>
    <w:rsid w:val="00107F27"/>
    <w:rsid w:val="00110EA5"/>
    <w:rsid w:val="00112381"/>
    <w:rsid w:val="00112F56"/>
    <w:rsid w:val="001151FD"/>
    <w:rsid w:val="001151FE"/>
    <w:rsid w:val="001163D1"/>
    <w:rsid w:val="001168CB"/>
    <w:rsid w:val="00117AEB"/>
    <w:rsid w:val="00117C1F"/>
    <w:rsid w:val="00120BA9"/>
    <w:rsid w:val="0012110B"/>
    <w:rsid w:val="00122C2E"/>
    <w:rsid w:val="00122CF5"/>
    <w:rsid w:val="00124ACD"/>
    <w:rsid w:val="00125318"/>
    <w:rsid w:val="00126F96"/>
    <w:rsid w:val="001305A2"/>
    <w:rsid w:val="001320E2"/>
    <w:rsid w:val="00133238"/>
    <w:rsid w:val="00133A1B"/>
    <w:rsid w:val="00133E09"/>
    <w:rsid w:val="001378DD"/>
    <w:rsid w:val="0014197B"/>
    <w:rsid w:val="00142FED"/>
    <w:rsid w:val="00143232"/>
    <w:rsid w:val="00144530"/>
    <w:rsid w:val="001447CD"/>
    <w:rsid w:val="001448E8"/>
    <w:rsid w:val="00144BCC"/>
    <w:rsid w:val="0015050C"/>
    <w:rsid w:val="0015137E"/>
    <w:rsid w:val="001516B1"/>
    <w:rsid w:val="00151835"/>
    <w:rsid w:val="00151A90"/>
    <w:rsid w:val="00151C7F"/>
    <w:rsid w:val="00153506"/>
    <w:rsid w:val="00154B2D"/>
    <w:rsid w:val="00154EBB"/>
    <w:rsid w:val="00156316"/>
    <w:rsid w:val="00160558"/>
    <w:rsid w:val="00160EB4"/>
    <w:rsid w:val="00161181"/>
    <w:rsid w:val="00161A99"/>
    <w:rsid w:val="00161D56"/>
    <w:rsid w:val="00162D14"/>
    <w:rsid w:val="00163780"/>
    <w:rsid w:val="00163C3C"/>
    <w:rsid w:val="00165389"/>
    <w:rsid w:val="00166B5A"/>
    <w:rsid w:val="00166F42"/>
    <w:rsid w:val="00167331"/>
    <w:rsid w:val="00167D7C"/>
    <w:rsid w:val="0017693F"/>
    <w:rsid w:val="00176E30"/>
    <w:rsid w:val="00177988"/>
    <w:rsid w:val="0018110E"/>
    <w:rsid w:val="00181684"/>
    <w:rsid w:val="0018182E"/>
    <w:rsid w:val="001843C6"/>
    <w:rsid w:val="001850E0"/>
    <w:rsid w:val="00185407"/>
    <w:rsid w:val="0018671D"/>
    <w:rsid w:val="00186EDF"/>
    <w:rsid w:val="00190A51"/>
    <w:rsid w:val="001924DC"/>
    <w:rsid w:val="00193626"/>
    <w:rsid w:val="00193635"/>
    <w:rsid w:val="001A03AF"/>
    <w:rsid w:val="001A059F"/>
    <w:rsid w:val="001A14F8"/>
    <w:rsid w:val="001A2158"/>
    <w:rsid w:val="001A2586"/>
    <w:rsid w:val="001A262A"/>
    <w:rsid w:val="001A2747"/>
    <w:rsid w:val="001A4C29"/>
    <w:rsid w:val="001A525F"/>
    <w:rsid w:val="001A5A00"/>
    <w:rsid w:val="001A659D"/>
    <w:rsid w:val="001A66B8"/>
    <w:rsid w:val="001A693E"/>
    <w:rsid w:val="001B09F9"/>
    <w:rsid w:val="001B1DA4"/>
    <w:rsid w:val="001B2361"/>
    <w:rsid w:val="001B2882"/>
    <w:rsid w:val="001B3410"/>
    <w:rsid w:val="001B493A"/>
    <w:rsid w:val="001B4DE1"/>
    <w:rsid w:val="001B5C90"/>
    <w:rsid w:val="001B5EEB"/>
    <w:rsid w:val="001B6448"/>
    <w:rsid w:val="001B698B"/>
    <w:rsid w:val="001C00C3"/>
    <w:rsid w:val="001C020A"/>
    <w:rsid w:val="001C1B12"/>
    <w:rsid w:val="001C266E"/>
    <w:rsid w:val="001C2879"/>
    <w:rsid w:val="001C31C7"/>
    <w:rsid w:val="001C32CD"/>
    <w:rsid w:val="001C3C33"/>
    <w:rsid w:val="001C5FE6"/>
    <w:rsid w:val="001C7FBD"/>
    <w:rsid w:val="001D0B18"/>
    <w:rsid w:val="001D0E3D"/>
    <w:rsid w:val="001D2984"/>
    <w:rsid w:val="001D29BA"/>
    <w:rsid w:val="001D4419"/>
    <w:rsid w:val="001D56A9"/>
    <w:rsid w:val="001D5AC7"/>
    <w:rsid w:val="001D652F"/>
    <w:rsid w:val="001D67A8"/>
    <w:rsid w:val="001D775F"/>
    <w:rsid w:val="001E03DC"/>
    <w:rsid w:val="001E07CF"/>
    <w:rsid w:val="001E19A9"/>
    <w:rsid w:val="001E2300"/>
    <w:rsid w:val="001E2B7C"/>
    <w:rsid w:val="001E359E"/>
    <w:rsid w:val="001E35DE"/>
    <w:rsid w:val="001E3A04"/>
    <w:rsid w:val="001E59F1"/>
    <w:rsid w:val="001E6247"/>
    <w:rsid w:val="001E6FAF"/>
    <w:rsid w:val="001E7029"/>
    <w:rsid w:val="001F051B"/>
    <w:rsid w:val="001F2614"/>
    <w:rsid w:val="001F2CEE"/>
    <w:rsid w:val="001F49EB"/>
    <w:rsid w:val="001F6CBA"/>
    <w:rsid w:val="00201172"/>
    <w:rsid w:val="00201D4E"/>
    <w:rsid w:val="00202BD1"/>
    <w:rsid w:val="00203341"/>
    <w:rsid w:val="002038FD"/>
    <w:rsid w:val="0020657B"/>
    <w:rsid w:val="002076C9"/>
    <w:rsid w:val="00207851"/>
    <w:rsid w:val="00210A3E"/>
    <w:rsid w:val="00213CF1"/>
    <w:rsid w:val="00213D70"/>
    <w:rsid w:val="00216973"/>
    <w:rsid w:val="00220321"/>
    <w:rsid w:val="00220B8A"/>
    <w:rsid w:val="00222478"/>
    <w:rsid w:val="00225385"/>
    <w:rsid w:val="002257F3"/>
    <w:rsid w:val="002260AF"/>
    <w:rsid w:val="00230BDE"/>
    <w:rsid w:val="002314EA"/>
    <w:rsid w:val="0023312F"/>
    <w:rsid w:val="00233456"/>
    <w:rsid w:val="00233917"/>
    <w:rsid w:val="002339A5"/>
    <w:rsid w:val="00234270"/>
    <w:rsid w:val="0023522E"/>
    <w:rsid w:val="00240103"/>
    <w:rsid w:val="00240743"/>
    <w:rsid w:val="002418F2"/>
    <w:rsid w:val="002444AB"/>
    <w:rsid w:val="00245F8C"/>
    <w:rsid w:val="00250271"/>
    <w:rsid w:val="00250F35"/>
    <w:rsid w:val="002521DA"/>
    <w:rsid w:val="002529E7"/>
    <w:rsid w:val="00253CF4"/>
    <w:rsid w:val="00257848"/>
    <w:rsid w:val="002578E8"/>
    <w:rsid w:val="00261BC8"/>
    <w:rsid w:val="00261DC6"/>
    <w:rsid w:val="00261F88"/>
    <w:rsid w:val="002620DB"/>
    <w:rsid w:val="00265B3C"/>
    <w:rsid w:val="0027084A"/>
    <w:rsid w:val="002716E1"/>
    <w:rsid w:val="00271E85"/>
    <w:rsid w:val="002727E8"/>
    <w:rsid w:val="00273471"/>
    <w:rsid w:val="002741F8"/>
    <w:rsid w:val="00276A1A"/>
    <w:rsid w:val="00277682"/>
    <w:rsid w:val="00280265"/>
    <w:rsid w:val="0028074F"/>
    <w:rsid w:val="00281CB8"/>
    <w:rsid w:val="0028222E"/>
    <w:rsid w:val="002825CC"/>
    <w:rsid w:val="00285764"/>
    <w:rsid w:val="00286434"/>
    <w:rsid w:val="00286C59"/>
    <w:rsid w:val="0029018C"/>
    <w:rsid w:val="00291447"/>
    <w:rsid w:val="00291957"/>
    <w:rsid w:val="0029198B"/>
    <w:rsid w:val="002921E4"/>
    <w:rsid w:val="00292B55"/>
    <w:rsid w:val="002935F5"/>
    <w:rsid w:val="0029368A"/>
    <w:rsid w:val="002942D1"/>
    <w:rsid w:val="0029501A"/>
    <w:rsid w:val="00295CFB"/>
    <w:rsid w:val="002977A1"/>
    <w:rsid w:val="002A038C"/>
    <w:rsid w:val="002A03C6"/>
    <w:rsid w:val="002A2A0A"/>
    <w:rsid w:val="002A3146"/>
    <w:rsid w:val="002A3721"/>
    <w:rsid w:val="002A3E86"/>
    <w:rsid w:val="002A5FA9"/>
    <w:rsid w:val="002A7C98"/>
    <w:rsid w:val="002B1638"/>
    <w:rsid w:val="002B185F"/>
    <w:rsid w:val="002B1BC6"/>
    <w:rsid w:val="002B2255"/>
    <w:rsid w:val="002B3624"/>
    <w:rsid w:val="002B5656"/>
    <w:rsid w:val="002B6565"/>
    <w:rsid w:val="002C07CE"/>
    <w:rsid w:val="002C0E1E"/>
    <w:rsid w:val="002C1AFA"/>
    <w:rsid w:val="002C2388"/>
    <w:rsid w:val="002C3669"/>
    <w:rsid w:val="002C47E6"/>
    <w:rsid w:val="002D0468"/>
    <w:rsid w:val="002D079A"/>
    <w:rsid w:val="002D0952"/>
    <w:rsid w:val="002D130E"/>
    <w:rsid w:val="002D33D7"/>
    <w:rsid w:val="002D5A8E"/>
    <w:rsid w:val="002D7BA5"/>
    <w:rsid w:val="002E03D2"/>
    <w:rsid w:val="002E23CB"/>
    <w:rsid w:val="002E40B3"/>
    <w:rsid w:val="002E4C9A"/>
    <w:rsid w:val="002E6139"/>
    <w:rsid w:val="002E6D2C"/>
    <w:rsid w:val="002F022B"/>
    <w:rsid w:val="002F08DF"/>
    <w:rsid w:val="002F11F8"/>
    <w:rsid w:val="002F1BE9"/>
    <w:rsid w:val="002F32C2"/>
    <w:rsid w:val="002F3F56"/>
    <w:rsid w:val="002F44B5"/>
    <w:rsid w:val="002F5122"/>
    <w:rsid w:val="002F551A"/>
    <w:rsid w:val="002F73AC"/>
    <w:rsid w:val="002F7963"/>
    <w:rsid w:val="002F7CA5"/>
    <w:rsid w:val="0030219E"/>
    <w:rsid w:val="003023A3"/>
    <w:rsid w:val="003023BE"/>
    <w:rsid w:val="0030270F"/>
    <w:rsid w:val="00304216"/>
    <w:rsid w:val="003046FC"/>
    <w:rsid w:val="00304C6E"/>
    <w:rsid w:val="00304CE0"/>
    <w:rsid w:val="00306462"/>
    <w:rsid w:val="00306D7C"/>
    <w:rsid w:val="00307899"/>
    <w:rsid w:val="003102D5"/>
    <w:rsid w:val="00310D41"/>
    <w:rsid w:val="00311AC0"/>
    <w:rsid w:val="003120A7"/>
    <w:rsid w:val="003141BC"/>
    <w:rsid w:val="003176FC"/>
    <w:rsid w:val="00317925"/>
    <w:rsid w:val="0032271E"/>
    <w:rsid w:val="00323FBE"/>
    <w:rsid w:val="00324042"/>
    <w:rsid w:val="00324E45"/>
    <w:rsid w:val="0032583B"/>
    <w:rsid w:val="00327883"/>
    <w:rsid w:val="00327C08"/>
    <w:rsid w:val="00332715"/>
    <w:rsid w:val="00332925"/>
    <w:rsid w:val="00333FBD"/>
    <w:rsid w:val="00334EC5"/>
    <w:rsid w:val="00335504"/>
    <w:rsid w:val="003371AF"/>
    <w:rsid w:val="003372B6"/>
    <w:rsid w:val="0033734B"/>
    <w:rsid w:val="00337924"/>
    <w:rsid w:val="00340C18"/>
    <w:rsid w:val="0034190B"/>
    <w:rsid w:val="00342775"/>
    <w:rsid w:val="00342EAA"/>
    <w:rsid w:val="00343EF8"/>
    <w:rsid w:val="003442FD"/>
    <w:rsid w:val="00345C07"/>
    <w:rsid w:val="00347824"/>
    <w:rsid w:val="00350567"/>
    <w:rsid w:val="00351163"/>
    <w:rsid w:val="003521E8"/>
    <w:rsid w:val="00352761"/>
    <w:rsid w:val="003535F7"/>
    <w:rsid w:val="00357716"/>
    <w:rsid w:val="00357C39"/>
    <w:rsid w:val="00361918"/>
    <w:rsid w:val="003628EE"/>
    <w:rsid w:val="00364D1D"/>
    <w:rsid w:val="00370CE3"/>
    <w:rsid w:val="003728F3"/>
    <w:rsid w:val="003735BC"/>
    <w:rsid w:val="00373E43"/>
    <w:rsid w:val="0037496E"/>
    <w:rsid w:val="0037653E"/>
    <w:rsid w:val="00377C90"/>
    <w:rsid w:val="003821B1"/>
    <w:rsid w:val="00383221"/>
    <w:rsid w:val="00383B96"/>
    <w:rsid w:val="00383D16"/>
    <w:rsid w:val="00386150"/>
    <w:rsid w:val="003874CE"/>
    <w:rsid w:val="00387C7E"/>
    <w:rsid w:val="0038AE83"/>
    <w:rsid w:val="00390900"/>
    <w:rsid w:val="0039166B"/>
    <w:rsid w:val="003A0789"/>
    <w:rsid w:val="003A1D87"/>
    <w:rsid w:val="003A1E62"/>
    <w:rsid w:val="003A7F6C"/>
    <w:rsid w:val="003B233F"/>
    <w:rsid w:val="003B343E"/>
    <w:rsid w:val="003B4D0B"/>
    <w:rsid w:val="003B4D60"/>
    <w:rsid w:val="003B7E39"/>
    <w:rsid w:val="003C1613"/>
    <w:rsid w:val="003C1AE3"/>
    <w:rsid w:val="003C2EE3"/>
    <w:rsid w:val="003C58DC"/>
    <w:rsid w:val="003C7794"/>
    <w:rsid w:val="003D02C1"/>
    <w:rsid w:val="003D1E62"/>
    <w:rsid w:val="003D331A"/>
    <w:rsid w:val="003D435F"/>
    <w:rsid w:val="003D4B8E"/>
    <w:rsid w:val="003D5274"/>
    <w:rsid w:val="003E0B99"/>
    <w:rsid w:val="003E2486"/>
    <w:rsid w:val="003E2569"/>
    <w:rsid w:val="003E3208"/>
    <w:rsid w:val="003E5463"/>
    <w:rsid w:val="003E5939"/>
    <w:rsid w:val="003E73E7"/>
    <w:rsid w:val="003F0B04"/>
    <w:rsid w:val="003F240D"/>
    <w:rsid w:val="003F3825"/>
    <w:rsid w:val="003F4C00"/>
    <w:rsid w:val="0040134E"/>
    <w:rsid w:val="00401A13"/>
    <w:rsid w:val="00402529"/>
    <w:rsid w:val="00403FBB"/>
    <w:rsid w:val="004045F3"/>
    <w:rsid w:val="004063D6"/>
    <w:rsid w:val="00411D91"/>
    <w:rsid w:val="004120A5"/>
    <w:rsid w:val="004123ED"/>
    <w:rsid w:val="00413316"/>
    <w:rsid w:val="004152E0"/>
    <w:rsid w:val="00415FF7"/>
    <w:rsid w:val="004177C3"/>
    <w:rsid w:val="004218A2"/>
    <w:rsid w:val="00422925"/>
    <w:rsid w:val="00423759"/>
    <w:rsid w:val="00423E88"/>
    <w:rsid w:val="0042663A"/>
    <w:rsid w:val="00427D17"/>
    <w:rsid w:val="00432BCD"/>
    <w:rsid w:val="00432F19"/>
    <w:rsid w:val="004334C7"/>
    <w:rsid w:val="0043560E"/>
    <w:rsid w:val="00437499"/>
    <w:rsid w:val="00440A2D"/>
    <w:rsid w:val="00441701"/>
    <w:rsid w:val="00441C3F"/>
    <w:rsid w:val="004421A4"/>
    <w:rsid w:val="00443E81"/>
    <w:rsid w:val="00444D1A"/>
    <w:rsid w:val="004473BE"/>
    <w:rsid w:val="00450D00"/>
    <w:rsid w:val="00451046"/>
    <w:rsid w:val="00451315"/>
    <w:rsid w:val="0045186A"/>
    <w:rsid w:val="00454A7A"/>
    <w:rsid w:val="00454BDC"/>
    <w:rsid w:val="0045527F"/>
    <w:rsid w:val="00455424"/>
    <w:rsid w:val="004559F5"/>
    <w:rsid w:val="004564A7"/>
    <w:rsid w:val="00456570"/>
    <w:rsid w:val="00456765"/>
    <w:rsid w:val="00460036"/>
    <w:rsid w:val="00460856"/>
    <w:rsid w:val="00460E5A"/>
    <w:rsid w:val="004617BF"/>
    <w:rsid w:val="00462091"/>
    <w:rsid w:val="0046325C"/>
    <w:rsid w:val="00463658"/>
    <w:rsid w:val="004637A0"/>
    <w:rsid w:val="00464F09"/>
    <w:rsid w:val="00465589"/>
    <w:rsid w:val="00465F07"/>
    <w:rsid w:val="00466CAC"/>
    <w:rsid w:val="00467095"/>
    <w:rsid w:val="004712EC"/>
    <w:rsid w:val="0047206D"/>
    <w:rsid w:val="004722CC"/>
    <w:rsid w:val="004727C6"/>
    <w:rsid w:val="0047284E"/>
    <w:rsid w:val="004774CB"/>
    <w:rsid w:val="00477719"/>
    <w:rsid w:val="0047E7B3"/>
    <w:rsid w:val="00482E49"/>
    <w:rsid w:val="004831E2"/>
    <w:rsid w:val="00483D97"/>
    <w:rsid w:val="004859AC"/>
    <w:rsid w:val="00486414"/>
    <w:rsid w:val="0048765A"/>
    <w:rsid w:val="00490483"/>
    <w:rsid w:val="004907AB"/>
    <w:rsid w:val="00492755"/>
    <w:rsid w:val="004936E4"/>
    <w:rsid w:val="00494E60"/>
    <w:rsid w:val="00494F72"/>
    <w:rsid w:val="0049664B"/>
    <w:rsid w:val="00497487"/>
    <w:rsid w:val="00497BC5"/>
    <w:rsid w:val="004A0CE4"/>
    <w:rsid w:val="004A1BA8"/>
    <w:rsid w:val="004A2688"/>
    <w:rsid w:val="004A2771"/>
    <w:rsid w:val="004A2D5C"/>
    <w:rsid w:val="004A36DA"/>
    <w:rsid w:val="004A3B0E"/>
    <w:rsid w:val="004A4BDC"/>
    <w:rsid w:val="004A597A"/>
    <w:rsid w:val="004A6189"/>
    <w:rsid w:val="004A63C5"/>
    <w:rsid w:val="004A7390"/>
    <w:rsid w:val="004B39DD"/>
    <w:rsid w:val="004B69FB"/>
    <w:rsid w:val="004B7B76"/>
    <w:rsid w:val="004C239D"/>
    <w:rsid w:val="004C2B1B"/>
    <w:rsid w:val="004C2DCA"/>
    <w:rsid w:val="004C3C4D"/>
    <w:rsid w:val="004C4B84"/>
    <w:rsid w:val="004C4FBE"/>
    <w:rsid w:val="004C6065"/>
    <w:rsid w:val="004C61D2"/>
    <w:rsid w:val="004C645F"/>
    <w:rsid w:val="004C6599"/>
    <w:rsid w:val="004C732C"/>
    <w:rsid w:val="004D0366"/>
    <w:rsid w:val="004D2A1A"/>
    <w:rsid w:val="004D5764"/>
    <w:rsid w:val="004D579E"/>
    <w:rsid w:val="004D58E7"/>
    <w:rsid w:val="004D700C"/>
    <w:rsid w:val="004D7C1D"/>
    <w:rsid w:val="004E1E83"/>
    <w:rsid w:val="004E1F1E"/>
    <w:rsid w:val="004E2B83"/>
    <w:rsid w:val="004E533B"/>
    <w:rsid w:val="004E5F2B"/>
    <w:rsid w:val="004F0261"/>
    <w:rsid w:val="004F0C4A"/>
    <w:rsid w:val="004F0F38"/>
    <w:rsid w:val="004F1707"/>
    <w:rsid w:val="004F2AF8"/>
    <w:rsid w:val="004F47D6"/>
    <w:rsid w:val="004F6BFC"/>
    <w:rsid w:val="004F7CAB"/>
    <w:rsid w:val="004F7E85"/>
    <w:rsid w:val="00500337"/>
    <w:rsid w:val="00501414"/>
    <w:rsid w:val="00501794"/>
    <w:rsid w:val="00501921"/>
    <w:rsid w:val="00502701"/>
    <w:rsid w:val="005044DA"/>
    <w:rsid w:val="00504776"/>
    <w:rsid w:val="00505417"/>
    <w:rsid w:val="005058DF"/>
    <w:rsid w:val="00505A55"/>
    <w:rsid w:val="00505C10"/>
    <w:rsid w:val="005157CC"/>
    <w:rsid w:val="00516F8B"/>
    <w:rsid w:val="0052046B"/>
    <w:rsid w:val="00521212"/>
    <w:rsid w:val="0052149B"/>
    <w:rsid w:val="00522A13"/>
    <w:rsid w:val="00523A21"/>
    <w:rsid w:val="005254AF"/>
    <w:rsid w:val="00525CFF"/>
    <w:rsid w:val="0052687A"/>
    <w:rsid w:val="005271CD"/>
    <w:rsid w:val="00527785"/>
    <w:rsid w:val="00530354"/>
    <w:rsid w:val="0053074D"/>
    <w:rsid w:val="00531EF7"/>
    <w:rsid w:val="00534750"/>
    <w:rsid w:val="00535784"/>
    <w:rsid w:val="00535916"/>
    <w:rsid w:val="0053625B"/>
    <w:rsid w:val="00537432"/>
    <w:rsid w:val="005402CE"/>
    <w:rsid w:val="005434C6"/>
    <w:rsid w:val="00543599"/>
    <w:rsid w:val="005436E4"/>
    <w:rsid w:val="00543B39"/>
    <w:rsid w:val="00544C6E"/>
    <w:rsid w:val="00545CA0"/>
    <w:rsid w:val="00545CDB"/>
    <w:rsid w:val="00545EF6"/>
    <w:rsid w:val="00546154"/>
    <w:rsid w:val="005475C9"/>
    <w:rsid w:val="0054CB6D"/>
    <w:rsid w:val="00550096"/>
    <w:rsid w:val="00554A91"/>
    <w:rsid w:val="00555280"/>
    <w:rsid w:val="00556119"/>
    <w:rsid w:val="00557256"/>
    <w:rsid w:val="005579EC"/>
    <w:rsid w:val="00557FF9"/>
    <w:rsid w:val="00560279"/>
    <w:rsid w:val="005604B2"/>
    <w:rsid w:val="00562327"/>
    <w:rsid w:val="0056313E"/>
    <w:rsid w:val="00565895"/>
    <w:rsid w:val="00567A93"/>
    <w:rsid w:val="005711D5"/>
    <w:rsid w:val="00571C49"/>
    <w:rsid w:val="00574D65"/>
    <w:rsid w:val="00574EA5"/>
    <w:rsid w:val="00576378"/>
    <w:rsid w:val="00577130"/>
    <w:rsid w:val="00577945"/>
    <w:rsid w:val="00577DA6"/>
    <w:rsid w:val="00577DBF"/>
    <w:rsid w:val="00577E38"/>
    <w:rsid w:val="00580403"/>
    <w:rsid w:val="005807B4"/>
    <w:rsid w:val="00580F93"/>
    <w:rsid w:val="0058251E"/>
    <w:rsid w:val="00583AE7"/>
    <w:rsid w:val="00583CAF"/>
    <w:rsid w:val="00584E39"/>
    <w:rsid w:val="00584FF9"/>
    <w:rsid w:val="00585322"/>
    <w:rsid w:val="005857C6"/>
    <w:rsid w:val="00590B07"/>
    <w:rsid w:val="005916D8"/>
    <w:rsid w:val="00592F6E"/>
    <w:rsid w:val="005935C4"/>
    <w:rsid w:val="00593AD1"/>
    <w:rsid w:val="00595E9C"/>
    <w:rsid w:val="00597228"/>
    <w:rsid w:val="00597B45"/>
    <w:rsid w:val="005A1338"/>
    <w:rsid w:val="005A2272"/>
    <w:rsid w:val="005A250A"/>
    <w:rsid w:val="005A409A"/>
    <w:rsid w:val="005A57AD"/>
    <w:rsid w:val="005A68B6"/>
    <w:rsid w:val="005A6A85"/>
    <w:rsid w:val="005A70E9"/>
    <w:rsid w:val="005A79F5"/>
    <w:rsid w:val="005B06C9"/>
    <w:rsid w:val="005B1D45"/>
    <w:rsid w:val="005B62B6"/>
    <w:rsid w:val="005B7D67"/>
    <w:rsid w:val="005C1715"/>
    <w:rsid w:val="005C26B7"/>
    <w:rsid w:val="005C3CE4"/>
    <w:rsid w:val="005C3D76"/>
    <w:rsid w:val="005C494B"/>
    <w:rsid w:val="005C5570"/>
    <w:rsid w:val="005C5B66"/>
    <w:rsid w:val="005C66B2"/>
    <w:rsid w:val="005C7082"/>
    <w:rsid w:val="005C786E"/>
    <w:rsid w:val="005C79A4"/>
    <w:rsid w:val="005D1609"/>
    <w:rsid w:val="005D3384"/>
    <w:rsid w:val="005D39AC"/>
    <w:rsid w:val="005D4414"/>
    <w:rsid w:val="005D46BF"/>
    <w:rsid w:val="005D538C"/>
    <w:rsid w:val="005D5442"/>
    <w:rsid w:val="005D76F4"/>
    <w:rsid w:val="005E2942"/>
    <w:rsid w:val="005E2ADD"/>
    <w:rsid w:val="005E3924"/>
    <w:rsid w:val="005E454A"/>
    <w:rsid w:val="005E52D1"/>
    <w:rsid w:val="005E5D2D"/>
    <w:rsid w:val="005E6707"/>
    <w:rsid w:val="005E72D2"/>
    <w:rsid w:val="005F1016"/>
    <w:rsid w:val="005F568F"/>
    <w:rsid w:val="005F5DAB"/>
    <w:rsid w:val="00601477"/>
    <w:rsid w:val="0060163C"/>
    <w:rsid w:val="00601A6B"/>
    <w:rsid w:val="00602583"/>
    <w:rsid w:val="00603096"/>
    <w:rsid w:val="00603373"/>
    <w:rsid w:val="006038CB"/>
    <w:rsid w:val="00603BD2"/>
    <w:rsid w:val="00603F32"/>
    <w:rsid w:val="00605343"/>
    <w:rsid w:val="00605AD4"/>
    <w:rsid w:val="00606718"/>
    <w:rsid w:val="00612E60"/>
    <w:rsid w:val="006136D7"/>
    <w:rsid w:val="006173FC"/>
    <w:rsid w:val="00617F75"/>
    <w:rsid w:val="006200C3"/>
    <w:rsid w:val="00621BF1"/>
    <w:rsid w:val="00624425"/>
    <w:rsid w:val="00625180"/>
    <w:rsid w:val="00625A6E"/>
    <w:rsid w:val="00627E2F"/>
    <w:rsid w:val="0063043D"/>
    <w:rsid w:val="00631504"/>
    <w:rsid w:val="00632398"/>
    <w:rsid w:val="00634581"/>
    <w:rsid w:val="00634836"/>
    <w:rsid w:val="0063493C"/>
    <w:rsid w:val="00635121"/>
    <w:rsid w:val="006363FB"/>
    <w:rsid w:val="006365F2"/>
    <w:rsid w:val="006370C4"/>
    <w:rsid w:val="006374B4"/>
    <w:rsid w:val="00637723"/>
    <w:rsid w:val="00637FE2"/>
    <w:rsid w:val="006405D2"/>
    <w:rsid w:val="00640FC3"/>
    <w:rsid w:val="006417E0"/>
    <w:rsid w:val="00641B86"/>
    <w:rsid w:val="00642020"/>
    <w:rsid w:val="006430EE"/>
    <w:rsid w:val="00643CE5"/>
    <w:rsid w:val="00644391"/>
    <w:rsid w:val="00646CC8"/>
    <w:rsid w:val="00647E06"/>
    <w:rsid w:val="0065301D"/>
    <w:rsid w:val="0065337B"/>
    <w:rsid w:val="00653461"/>
    <w:rsid w:val="00653AEF"/>
    <w:rsid w:val="0065419D"/>
    <w:rsid w:val="0065468D"/>
    <w:rsid w:val="00654835"/>
    <w:rsid w:val="00655F66"/>
    <w:rsid w:val="0065626F"/>
    <w:rsid w:val="006603BC"/>
    <w:rsid w:val="006604D8"/>
    <w:rsid w:val="006606B2"/>
    <w:rsid w:val="00660E64"/>
    <w:rsid w:val="00661EAA"/>
    <w:rsid w:val="006624F5"/>
    <w:rsid w:val="00664A5B"/>
    <w:rsid w:val="00664B70"/>
    <w:rsid w:val="00665B79"/>
    <w:rsid w:val="0066735C"/>
    <w:rsid w:val="006702BD"/>
    <w:rsid w:val="006713EF"/>
    <w:rsid w:val="006751B4"/>
    <w:rsid w:val="006752D2"/>
    <w:rsid w:val="00675D76"/>
    <w:rsid w:val="00675F8E"/>
    <w:rsid w:val="006763D2"/>
    <w:rsid w:val="0067689B"/>
    <w:rsid w:val="00680C08"/>
    <w:rsid w:val="00681B77"/>
    <w:rsid w:val="00682C8B"/>
    <w:rsid w:val="00684598"/>
    <w:rsid w:val="00684CFF"/>
    <w:rsid w:val="00686E5F"/>
    <w:rsid w:val="006879E2"/>
    <w:rsid w:val="006901BA"/>
    <w:rsid w:val="006916A0"/>
    <w:rsid w:val="006931B1"/>
    <w:rsid w:val="00693842"/>
    <w:rsid w:val="006949F0"/>
    <w:rsid w:val="00695339"/>
    <w:rsid w:val="00697902"/>
    <w:rsid w:val="006A04D7"/>
    <w:rsid w:val="006A0EF3"/>
    <w:rsid w:val="006A15C0"/>
    <w:rsid w:val="006A37FD"/>
    <w:rsid w:val="006A3D69"/>
    <w:rsid w:val="006A4652"/>
    <w:rsid w:val="006A58A8"/>
    <w:rsid w:val="006A648C"/>
    <w:rsid w:val="006B01E5"/>
    <w:rsid w:val="006B3C3B"/>
    <w:rsid w:val="006B7B5B"/>
    <w:rsid w:val="006C0457"/>
    <w:rsid w:val="006C0BD0"/>
    <w:rsid w:val="006C3E2A"/>
    <w:rsid w:val="006C4BAD"/>
    <w:rsid w:val="006C642F"/>
    <w:rsid w:val="006C6578"/>
    <w:rsid w:val="006C6744"/>
    <w:rsid w:val="006D039D"/>
    <w:rsid w:val="006D03E5"/>
    <w:rsid w:val="006D20CF"/>
    <w:rsid w:val="006D3D4D"/>
    <w:rsid w:val="006D5034"/>
    <w:rsid w:val="006D5424"/>
    <w:rsid w:val="006D5755"/>
    <w:rsid w:val="006D5D3E"/>
    <w:rsid w:val="006E08B3"/>
    <w:rsid w:val="006E3CF9"/>
    <w:rsid w:val="006E52A0"/>
    <w:rsid w:val="006E75CE"/>
    <w:rsid w:val="006E7D4A"/>
    <w:rsid w:val="006F09DF"/>
    <w:rsid w:val="006F17AC"/>
    <w:rsid w:val="006F25B8"/>
    <w:rsid w:val="006F483B"/>
    <w:rsid w:val="006F572E"/>
    <w:rsid w:val="00703930"/>
    <w:rsid w:val="00703D84"/>
    <w:rsid w:val="007046D6"/>
    <w:rsid w:val="00705DB0"/>
    <w:rsid w:val="007065F2"/>
    <w:rsid w:val="007105C2"/>
    <w:rsid w:val="007106B6"/>
    <w:rsid w:val="00710B79"/>
    <w:rsid w:val="00711AD8"/>
    <w:rsid w:val="0071704A"/>
    <w:rsid w:val="007218E3"/>
    <w:rsid w:val="00721E89"/>
    <w:rsid w:val="00722089"/>
    <w:rsid w:val="0072292E"/>
    <w:rsid w:val="00722B57"/>
    <w:rsid w:val="00722DA2"/>
    <w:rsid w:val="00723A99"/>
    <w:rsid w:val="0072439B"/>
    <w:rsid w:val="007244D4"/>
    <w:rsid w:val="0072571F"/>
    <w:rsid w:val="00726BB6"/>
    <w:rsid w:val="00730F8A"/>
    <w:rsid w:val="00731CB9"/>
    <w:rsid w:val="00732526"/>
    <w:rsid w:val="0073314F"/>
    <w:rsid w:val="00734F78"/>
    <w:rsid w:val="00735A8C"/>
    <w:rsid w:val="0074163C"/>
    <w:rsid w:val="00741E12"/>
    <w:rsid w:val="0074253D"/>
    <w:rsid w:val="007429E1"/>
    <w:rsid w:val="00744121"/>
    <w:rsid w:val="0074429B"/>
    <w:rsid w:val="007446C6"/>
    <w:rsid w:val="00744CAC"/>
    <w:rsid w:val="00745818"/>
    <w:rsid w:val="0074600D"/>
    <w:rsid w:val="007475C7"/>
    <w:rsid w:val="00751B16"/>
    <w:rsid w:val="007569CB"/>
    <w:rsid w:val="00756BB7"/>
    <w:rsid w:val="00756C1B"/>
    <w:rsid w:val="0075717F"/>
    <w:rsid w:val="00757BA3"/>
    <w:rsid w:val="007615BC"/>
    <w:rsid w:val="00762F05"/>
    <w:rsid w:val="007652FF"/>
    <w:rsid w:val="007658AF"/>
    <w:rsid w:val="00765B44"/>
    <w:rsid w:val="00766DE1"/>
    <w:rsid w:val="007703EF"/>
    <w:rsid w:val="00770CAC"/>
    <w:rsid w:val="00770EF1"/>
    <w:rsid w:val="0077131A"/>
    <w:rsid w:val="00771C8D"/>
    <w:rsid w:val="00773EF7"/>
    <w:rsid w:val="00774DA8"/>
    <w:rsid w:val="00774E1D"/>
    <w:rsid w:val="00775380"/>
    <w:rsid w:val="00775600"/>
    <w:rsid w:val="00775BAE"/>
    <w:rsid w:val="007765D8"/>
    <w:rsid w:val="007766B6"/>
    <w:rsid w:val="0077675A"/>
    <w:rsid w:val="00777E67"/>
    <w:rsid w:val="00780341"/>
    <w:rsid w:val="00780355"/>
    <w:rsid w:val="0078130D"/>
    <w:rsid w:val="007819FD"/>
    <w:rsid w:val="00784C44"/>
    <w:rsid w:val="00784DE0"/>
    <w:rsid w:val="00785717"/>
    <w:rsid w:val="00785721"/>
    <w:rsid w:val="00786258"/>
    <w:rsid w:val="00787A97"/>
    <w:rsid w:val="00790827"/>
    <w:rsid w:val="00790E11"/>
    <w:rsid w:val="007932DA"/>
    <w:rsid w:val="00793A59"/>
    <w:rsid w:val="007957FE"/>
    <w:rsid w:val="00796505"/>
    <w:rsid w:val="0079710C"/>
    <w:rsid w:val="007A0306"/>
    <w:rsid w:val="007A0B61"/>
    <w:rsid w:val="007A1FAE"/>
    <w:rsid w:val="007A2093"/>
    <w:rsid w:val="007A2FD3"/>
    <w:rsid w:val="007A46F5"/>
    <w:rsid w:val="007A4AF3"/>
    <w:rsid w:val="007A59D3"/>
    <w:rsid w:val="007A62E6"/>
    <w:rsid w:val="007A6505"/>
    <w:rsid w:val="007A738E"/>
    <w:rsid w:val="007B06B0"/>
    <w:rsid w:val="007B1353"/>
    <w:rsid w:val="007B18F3"/>
    <w:rsid w:val="007B1A82"/>
    <w:rsid w:val="007B1AA1"/>
    <w:rsid w:val="007B3AEA"/>
    <w:rsid w:val="007B4094"/>
    <w:rsid w:val="007B4777"/>
    <w:rsid w:val="007B4C3A"/>
    <w:rsid w:val="007B6132"/>
    <w:rsid w:val="007B64DC"/>
    <w:rsid w:val="007B6E9F"/>
    <w:rsid w:val="007C1216"/>
    <w:rsid w:val="007C1683"/>
    <w:rsid w:val="007C1AF7"/>
    <w:rsid w:val="007C4538"/>
    <w:rsid w:val="007C4A26"/>
    <w:rsid w:val="007C4C5B"/>
    <w:rsid w:val="007C58F6"/>
    <w:rsid w:val="007C6B9B"/>
    <w:rsid w:val="007D1864"/>
    <w:rsid w:val="007D4663"/>
    <w:rsid w:val="007D53B6"/>
    <w:rsid w:val="007D56D6"/>
    <w:rsid w:val="007D775C"/>
    <w:rsid w:val="007E160E"/>
    <w:rsid w:val="007E5C11"/>
    <w:rsid w:val="007E6BF8"/>
    <w:rsid w:val="007F60E2"/>
    <w:rsid w:val="007F687E"/>
    <w:rsid w:val="00801232"/>
    <w:rsid w:val="00801E33"/>
    <w:rsid w:val="00802FC9"/>
    <w:rsid w:val="00804304"/>
    <w:rsid w:val="0080488B"/>
    <w:rsid w:val="00804D99"/>
    <w:rsid w:val="00805912"/>
    <w:rsid w:val="00805D27"/>
    <w:rsid w:val="00806DCB"/>
    <w:rsid w:val="00810813"/>
    <w:rsid w:val="00810DC6"/>
    <w:rsid w:val="008110BC"/>
    <w:rsid w:val="00811CB6"/>
    <w:rsid w:val="00812B89"/>
    <w:rsid w:val="0082057C"/>
    <w:rsid w:val="00821445"/>
    <w:rsid w:val="00821776"/>
    <w:rsid w:val="00821FF3"/>
    <w:rsid w:val="00822A34"/>
    <w:rsid w:val="00823270"/>
    <w:rsid w:val="00823CDE"/>
    <w:rsid w:val="00825325"/>
    <w:rsid w:val="00831932"/>
    <w:rsid w:val="008321F5"/>
    <w:rsid w:val="00832369"/>
    <w:rsid w:val="00833237"/>
    <w:rsid w:val="00833ED8"/>
    <w:rsid w:val="00834660"/>
    <w:rsid w:val="00834C30"/>
    <w:rsid w:val="0083687A"/>
    <w:rsid w:val="00836BC2"/>
    <w:rsid w:val="008402A5"/>
    <w:rsid w:val="00840E4E"/>
    <w:rsid w:val="00841AD5"/>
    <w:rsid w:val="0084267A"/>
    <w:rsid w:val="00844D7D"/>
    <w:rsid w:val="0085156D"/>
    <w:rsid w:val="00851DA6"/>
    <w:rsid w:val="0085220C"/>
    <w:rsid w:val="00852754"/>
    <w:rsid w:val="00852B28"/>
    <w:rsid w:val="00855E7D"/>
    <w:rsid w:val="0085641B"/>
    <w:rsid w:val="0085650A"/>
    <w:rsid w:val="00857136"/>
    <w:rsid w:val="00860200"/>
    <w:rsid w:val="00860E0D"/>
    <w:rsid w:val="00861FFE"/>
    <w:rsid w:val="00863AA6"/>
    <w:rsid w:val="00865076"/>
    <w:rsid w:val="00865B03"/>
    <w:rsid w:val="0087104E"/>
    <w:rsid w:val="008732F8"/>
    <w:rsid w:val="00873E19"/>
    <w:rsid w:val="00874521"/>
    <w:rsid w:val="0087595F"/>
    <w:rsid w:val="00875A6B"/>
    <w:rsid w:val="00876E8D"/>
    <w:rsid w:val="00876FE4"/>
    <w:rsid w:val="00880570"/>
    <w:rsid w:val="00882110"/>
    <w:rsid w:val="00883B87"/>
    <w:rsid w:val="00885B11"/>
    <w:rsid w:val="00886D15"/>
    <w:rsid w:val="00887DD8"/>
    <w:rsid w:val="00887E7D"/>
    <w:rsid w:val="008905C5"/>
    <w:rsid w:val="00891BA9"/>
    <w:rsid w:val="00896018"/>
    <w:rsid w:val="008960DD"/>
    <w:rsid w:val="0089635C"/>
    <w:rsid w:val="008A115F"/>
    <w:rsid w:val="008A2B9D"/>
    <w:rsid w:val="008A321B"/>
    <w:rsid w:val="008A3228"/>
    <w:rsid w:val="008A36A9"/>
    <w:rsid w:val="008A37F0"/>
    <w:rsid w:val="008A3D9F"/>
    <w:rsid w:val="008A5E0B"/>
    <w:rsid w:val="008A5FB7"/>
    <w:rsid w:val="008A66D2"/>
    <w:rsid w:val="008A6B22"/>
    <w:rsid w:val="008A6D59"/>
    <w:rsid w:val="008A73DB"/>
    <w:rsid w:val="008A7537"/>
    <w:rsid w:val="008A759C"/>
    <w:rsid w:val="008A7F4C"/>
    <w:rsid w:val="008B0D43"/>
    <w:rsid w:val="008B3718"/>
    <w:rsid w:val="008B38CD"/>
    <w:rsid w:val="008B4B03"/>
    <w:rsid w:val="008B596F"/>
    <w:rsid w:val="008B647F"/>
    <w:rsid w:val="008C06AC"/>
    <w:rsid w:val="008C144D"/>
    <w:rsid w:val="008C159F"/>
    <w:rsid w:val="008C1623"/>
    <w:rsid w:val="008C1850"/>
    <w:rsid w:val="008C1ED3"/>
    <w:rsid w:val="008C51A9"/>
    <w:rsid w:val="008C6055"/>
    <w:rsid w:val="008C7473"/>
    <w:rsid w:val="008C78D5"/>
    <w:rsid w:val="008D4EAD"/>
    <w:rsid w:val="008D69F5"/>
    <w:rsid w:val="008D7E1F"/>
    <w:rsid w:val="008E1398"/>
    <w:rsid w:val="008E1546"/>
    <w:rsid w:val="008E18E1"/>
    <w:rsid w:val="008E3056"/>
    <w:rsid w:val="008E3150"/>
    <w:rsid w:val="008E4E13"/>
    <w:rsid w:val="008E5095"/>
    <w:rsid w:val="008E5279"/>
    <w:rsid w:val="008E55D9"/>
    <w:rsid w:val="008E7846"/>
    <w:rsid w:val="008E7CF2"/>
    <w:rsid w:val="008F02E5"/>
    <w:rsid w:val="008F050D"/>
    <w:rsid w:val="008F1CCC"/>
    <w:rsid w:val="008F2935"/>
    <w:rsid w:val="008F2967"/>
    <w:rsid w:val="008F3EEF"/>
    <w:rsid w:val="008F6943"/>
    <w:rsid w:val="008F7B87"/>
    <w:rsid w:val="008F7DBC"/>
    <w:rsid w:val="00900029"/>
    <w:rsid w:val="00900081"/>
    <w:rsid w:val="00900EE0"/>
    <w:rsid w:val="00901F83"/>
    <w:rsid w:val="00902A21"/>
    <w:rsid w:val="00903A01"/>
    <w:rsid w:val="0090432B"/>
    <w:rsid w:val="009049C2"/>
    <w:rsid w:val="00905C78"/>
    <w:rsid w:val="009063CA"/>
    <w:rsid w:val="0090747C"/>
    <w:rsid w:val="0091074B"/>
    <w:rsid w:val="00910C1F"/>
    <w:rsid w:val="00911046"/>
    <w:rsid w:val="00912163"/>
    <w:rsid w:val="009133E1"/>
    <w:rsid w:val="0091349A"/>
    <w:rsid w:val="00913BCC"/>
    <w:rsid w:val="00913EAF"/>
    <w:rsid w:val="0091523F"/>
    <w:rsid w:val="009160CF"/>
    <w:rsid w:val="0091671B"/>
    <w:rsid w:val="009167EF"/>
    <w:rsid w:val="00917807"/>
    <w:rsid w:val="00917CAB"/>
    <w:rsid w:val="00920330"/>
    <w:rsid w:val="009205A1"/>
    <w:rsid w:val="0092060B"/>
    <w:rsid w:val="00920B65"/>
    <w:rsid w:val="009219D7"/>
    <w:rsid w:val="00922D53"/>
    <w:rsid w:val="00923933"/>
    <w:rsid w:val="00923B70"/>
    <w:rsid w:val="00924482"/>
    <w:rsid w:val="00924A90"/>
    <w:rsid w:val="00924E63"/>
    <w:rsid w:val="0092571E"/>
    <w:rsid w:val="0092635C"/>
    <w:rsid w:val="00927EE3"/>
    <w:rsid w:val="00930237"/>
    <w:rsid w:val="009310D4"/>
    <w:rsid w:val="00931942"/>
    <w:rsid w:val="00931CE9"/>
    <w:rsid w:val="00934DC3"/>
    <w:rsid w:val="009354CD"/>
    <w:rsid w:val="00935E7C"/>
    <w:rsid w:val="00937935"/>
    <w:rsid w:val="00937A3B"/>
    <w:rsid w:val="00937B7C"/>
    <w:rsid w:val="00937C17"/>
    <w:rsid w:val="00940A89"/>
    <w:rsid w:val="00941439"/>
    <w:rsid w:val="00941F77"/>
    <w:rsid w:val="00941FB9"/>
    <w:rsid w:val="009469A9"/>
    <w:rsid w:val="00946BD7"/>
    <w:rsid w:val="00946EA5"/>
    <w:rsid w:val="009505F3"/>
    <w:rsid w:val="009507F3"/>
    <w:rsid w:val="00951E8C"/>
    <w:rsid w:val="009524B6"/>
    <w:rsid w:val="009530C3"/>
    <w:rsid w:val="0095451A"/>
    <w:rsid w:val="009556D7"/>
    <w:rsid w:val="009556E2"/>
    <w:rsid w:val="00956806"/>
    <w:rsid w:val="00956FC7"/>
    <w:rsid w:val="00957654"/>
    <w:rsid w:val="00960520"/>
    <w:rsid w:val="00960962"/>
    <w:rsid w:val="00961A16"/>
    <w:rsid w:val="00961B58"/>
    <w:rsid w:val="0096397C"/>
    <w:rsid w:val="00963C08"/>
    <w:rsid w:val="00964000"/>
    <w:rsid w:val="00964170"/>
    <w:rsid w:val="00966C76"/>
    <w:rsid w:val="00967945"/>
    <w:rsid w:val="00967D8D"/>
    <w:rsid w:val="00970BE5"/>
    <w:rsid w:val="009742E0"/>
    <w:rsid w:val="009752A5"/>
    <w:rsid w:val="00975A3C"/>
    <w:rsid w:val="009800A1"/>
    <w:rsid w:val="00980229"/>
    <w:rsid w:val="00981572"/>
    <w:rsid w:val="0098461F"/>
    <w:rsid w:val="00984EDE"/>
    <w:rsid w:val="0098585A"/>
    <w:rsid w:val="00986094"/>
    <w:rsid w:val="00986C1F"/>
    <w:rsid w:val="00987AB4"/>
    <w:rsid w:val="009927D0"/>
    <w:rsid w:val="00994A0B"/>
    <w:rsid w:val="00995098"/>
    <w:rsid w:val="009A2123"/>
    <w:rsid w:val="009A22AB"/>
    <w:rsid w:val="009A4CED"/>
    <w:rsid w:val="009A6173"/>
    <w:rsid w:val="009A690D"/>
    <w:rsid w:val="009B1D12"/>
    <w:rsid w:val="009B397C"/>
    <w:rsid w:val="009B416B"/>
    <w:rsid w:val="009B4CB3"/>
    <w:rsid w:val="009C02AD"/>
    <w:rsid w:val="009C2720"/>
    <w:rsid w:val="009C303B"/>
    <w:rsid w:val="009C49B5"/>
    <w:rsid w:val="009C4BD5"/>
    <w:rsid w:val="009C5CB6"/>
    <w:rsid w:val="009C6CD8"/>
    <w:rsid w:val="009C7B8A"/>
    <w:rsid w:val="009D062F"/>
    <w:rsid w:val="009D22D2"/>
    <w:rsid w:val="009D33BD"/>
    <w:rsid w:val="009D3538"/>
    <w:rsid w:val="009D5AEE"/>
    <w:rsid w:val="009D64B5"/>
    <w:rsid w:val="009D6BE3"/>
    <w:rsid w:val="009D6EB4"/>
    <w:rsid w:val="009D7B77"/>
    <w:rsid w:val="009E0ABA"/>
    <w:rsid w:val="009E0BB0"/>
    <w:rsid w:val="009E18C1"/>
    <w:rsid w:val="009E1FC8"/>
    <w:rsid w:val="009E1FF3"/>
    <w:rsid w:val="009E21E2"/>
    <w:rsid w:val="009E2878"/>
    <w:rsid w:val="009E2951"/>
    <w:rsid w:val="009E3FBB"/>
    <w:rsid w:val="009E4B38"/>
    <w:rsid w:val="009E5A87"/>
    <w:rsid w:val="009E5F0C"/>
    <w:rsid w:val="009E6E61"/>
    <w:rsid w:val="009E7AD3"/>
    <w:rsid w:val="009F084B"/>
    <w:rsid w:val="009F0C17"/>
    <w:rsid w:val="009F2673"/>
    <w:rsid w:val="009F2ADB"/>
    <w:rsid w:val="009F5095"/>
    <w:rsid w:val="009F5289"/>
    <w:rsid w:val="009F69FA"/>
    <w:rsid w:val="009F7353"/>
    <w:rsid w:val="009F7A05"/>
    <w:rsid w:val="00A02FFB"/>
    <w:rsid w:val="00A037FD"/>
    <w:rsid w:val="00A0408C"/>
    <w:rsid w:val="00A0412F"/>
    <w:rsid w:val="00A047B8"/>
    <w:rsid w:val="00A04F85"/>
    <w:rsid w:val="00A05C6D"/>
    <w:rsid w:val="00A05FA4"/>
    <w:rsid w:val="00A102E4"/>
    <w:rsid w:val="00A117D8"/>
    <w:rsid w:val="00A11EF4"/>
    <w:rsid w:val="00A1219C"/>
    <w:rsid w:val="00A12C42"/>
    <w:rsid w:val="00A14DF7"/>
    <w:rsid w:val="00A150B3"/>
    <w:rsid w:val="00A1542D"/>
    <w:rsid w:val="00A1744C"/>
    <w:rsid w:val="00A20988"/>
    <w:rsid w:val="00A220EE"/>
    <w:rsid w:val="00A225F2"/>
    <w:rsid w:val="00A22D57"/>
    <w:rsid w:val="00A31A49"/>
    <w:rsid w:val="00A3246D"/>
    <w:rsid w:val="00A32604"/>
    <w:rsid w:val="00A327A2"/>
    <w:rsid w:val="00A32D18"/>
    <w:rsid w:val="00A32D2B"/>
    <w:rsid w:val="00A33E25"/>
    <w:rsid w:val="00A35420"/>
    <w:rsid w:val="00A35583"/>
    <w:rsid w:val="00A35959"/>
    <w:rsid w:val="00A35A45"/>
    <w:rsid w:val="00A36FA7"/>
    <w:rsid w:val="00A376A6"/>
    <w:rsid w:val="00A4070F"/>
    <w:rsid w:val="00A4077E"/>
    <w:rsid w:val="00A425FD"/>
    <w:rsid w:val="00A43685"/>
    <w:rsid w:val="00A44341"/>
    <w:rsid w:val="00A44DD1"/>
    <w:rsid w:val="00A44DDB"/>
    <w:rsid w:val="00A45843"/>
    <w:rsid w:val="00A45FFE"/>
    <w:rsid w:val="00A475B7"/>
    <w:rsid w:val="00A47AF7"/>
    <w:rsid w:val="00A47B73"/>
    <w:rsid w:val="00A47C3E"/>
    <w:rsid w:val="00A50226"/>
    <w:rsid w:val="00A51754"/>
    <w:rsid w:val="00A57403"/>
    <w:rsid w:val="00A60BAD"/>
    <w:rsid w:val="00A629CD"/>
    <w:rsid w:val="00A631D4"/>
    <w:rsid w:val="00A63733"/>
    <w:rsid w:val="00A651D5"/>
    <w:rsid w:val="00A657FA"/>
    <w:rsid w:val="00A658BF"/>
    <w:rsid w:val="00A67196"/>
    <w:rsid w:val="00A67BF0"/>
    <w:rsid w:val="00A703CD"/>
    <w:rsid w:val="00A74525"/>
    <w:rsid w:val="00A74981"/>
    <w:rsid w:val="00A75C53"/>
    <w:rsid w:val="00A75EC4"/>
    <w:rsid w:val="00A76EDC"/>
    <w:rsid w:val="00A77F87"/>
    <w:rsid w:val="00A80B5B"/>
    <w:rsid w:val="00A81A7F"/>
    <w:rsid w:val="00A82020"/>
    <w:rsid w:val="00A83177"/>
    <w:rsid w:val="00A83D23"/>
    <w:rsid w:val="00A8419A"/>
    <w:rsid w:val="00A844B9"/>
    <w:rsid w:val="00A84C13"/>
    <w:rsid w:val="00A84E36"/>
    <w:rsid w:val="00A8649B"/>
    <w:rsid w:val="00A879F1"/>
    <w:rsid w:val="00A87CFF"/>
    <w:rsid w:val="00A87F8A"/>
    <w:rsid w:val="00A9115F"/>
    <w:rsid w:val="00A92790"/>
    <w:rsid w:val="00A93773"/>
    <w:rsid w:val="00A95652"/>
    <w:rsid w:val="00A95735"/>
    <w:rsid w:val="00A964D1"/>
    <w:rsid w:val="00A96ADB"/>
    <w:rsid w:val="00A970CC"/>
    <w:rsid w:val="00AA0ED0"/>
    <w:rsid w:val="00AA1571"/>
    <w:rsid w:val="00AA3758"/>
    <w:rsid w:val="00AA54BA"/>
    <w:rsid w:val="00AA618B"/>
    <w:rsid w:val="00AB2897"/>
    <w:rsid w:val="00AB65B0"/>
    <w:rsid w:val="00AB689B"/>
    <w:rsid w:val="00AB6A26"/>
    <w:rsid w:val="00AC2B40"/>
    <w:rsid w:val="00AC2BB2"/>
    <w:rsid w:val="00AC2C3C"/>
    <w:rsid w:val="00AC45FF"/>
    <w:rsid w:val="00AC4E7E"/>
    <w:rsid w:val="00AC512D"/>
    <w:rsid w:val="00AC65DB"/>
    <w:rsid w:val="00AC75FB"/>
    <w:rsid w:val="00AD0083"/>
    <w:rsid w:val="00AD0B71"/>
    <w:rsid w:val="00AD2C1C"/>
    <w:rsid w:val="00AD3935"/>
    <w:rsid w:val="00AD40FB"/>
    <w:rsid w:val="00AD54DD"/>
    <w:rsid w:val="00AE1339"/>
    <w:rsid w:val="00AE1B16"/>
    <w:rsid w:val="00AE3617"/>
    <w:rsid w:val="00AE65EB"/>
    <w:rsid w:val="00AE67A7"/>
    <w:rsid w:val="00AE7399"/>
    <w:rsid w:val="00AF063F"/>
    <w:rsid w:val="00AF1D94"/>
    <w:rsid w:val="00AF1F2F"/>
    <w:rsid w:val="00AF2313"/>
    <w:rsid w:val="00AF60C5"/>
    <w:rsid w:val="00AF628F"/>
    <w:rsid w:val="00AF62E8"/>
    <w:rsid w:val="00AF68BE"/>
    <w:rsid w:val="00AF7AC7"/>
    <w:rsid w:val="00B008E1"/>
    <w:rsid w:val="00B009C6"/>
    <w:rsid w:val="00B01548"/>
    <w:rsid w:val="00B018F1"/>
    <w:rsid w:val="00B01FE2"/>
    <w:rsid w:val="00B05006"/>
    <w:rsid w:val="00B05453"/>
    <w:rsid w:val="00B05DCC"/>
    <w:rsid w:val="00B06F26"/>
    <w:rsid w:val="00B071E3"/>
    <w:rsid w:val="00B073AC"/>
    <w:rsid w:val="00B07668"/>
    <w:rsid w:val="00B10A10"/>
    <w:rsid w:val="00B12B0E"/>
    <w:rsid w:val="00B12FCF"/>
    <w:rsid w:val="00B130C5"/>
    <w:rsid w:val="00B135CE"/>
    <w:rsid w:val="00B13EBD"/>
    <w:rsid w:val="00B14050"/>
    <w:rsid w:val="00B1406F"/>
    <w:rsid w:val="00B168BE"/>
    <w:rsid w:val="00B20176"/>
    <w:rsid w:val="00B20A21"/>
    <w:rsid w:val="00B21D29"/>
    <w:rsid w:val="00B21E27"/>
    <w:rsid w:val="00B22B6B"/>
    <w:rsid w:val="00B24511"/>
    <w:rsid w:val="00B24A50"/>
    <w:rsid w:val="00B25034"/>
    <w:rsid w:val="00B251B4"/>
    <w:rsid w:val="00B31475"/>
    <w:rsid w:val="00B31D59"/>
    <w:rsid w:val="00B33588"/>
    <w:rsid w:val="00B33863"/>
    <w:rsid w:val="00B353A7"/>
    <w:rsid w:val="00B355F7"/>
    <w:rsid w:val="00B37D17"/>
    <w:rsid w:val="00B4175E"/>
    <w:rsid w:val="00B41C85"/>
    <w:rsid w:val="00B42DA2"/>
    <w:rsid w:val="00B430F6"/>
    <w:rsid w:val="00B43760"/>
    <w:rsid w:val="00B4512C"/>
    <w:rsid w:val="00B452CE"/>
    <w:rsid w:val="00B45CE2"/>
    <w:rsid w:val="00B45FE8"/>
    <w:rsid w:val="00B5006C"/>
    <w:rsid w:val="00B51F1E"/>
    <w:rsid w:val="00B5203D"/>
    <w:rsid w:val="00B53856"/>
    <w:rsid w:val="00B53C45"/>
    <w:rsid w:val="00B54C25"/>
    <w:rsid w:val="00B5771D"/>
    <w:rsid w:val="00B57AB5"/>
    <w:rsid w:val="00B57C36"/>
    <w:rsid w:val="00B62712"/>
    <w:rsid w:val="00B668F3"/>
    <w:rsid w:val="00B67C0A"/>
    <w:rsid w:val="00B71A12"/>
    <w:rsid w:val="00B71A32"/>
    <w:rsid w:val="00B724E3"/>
    <w:rsid w:val="00B727E3"/>
    <w:rsid w:val="00B730C2"/>
    <w:rsid w:val="00B743CA"/>
    <w:rsid w:val="00B74B39"/>
    <w:rsid w:val="00B75251"/>
    <w:rsid w:val="00B75E4C"/>
    <w:rsid w:val="00B76B91"/>
    <w:rsid w:val="00B77EB1"/>
    <w:rsid w:val="00B800D9"/>
    <w:rsid w:val="00B811C6"/>
    <w:rsid w:val="00B81AC6"/>
    <w:rsid w:val="00B8240A"/>
    <w:rsid w:val="00B834CE"/>
    <w:rsid w:val="00B855B0"/>
    <w:rsid w:val="00B86762"/>
    <w:rsid w:val="00B8755D"/>
    <w:rsid w:val="00B9098C"/>
    <w:rsid w:val="00B911F3"/>
    <w:rsid w:val="00B914F6"/>
    <w:rsid w:val="00B92210"/>
    <w:rsid w:val="00B92E08"/>
    <w:rsid w:val="00B951F0"/>
    <w:rsid w:val="00B9535E"/>
    <w:rsid w:val="00B960ED"/>
    <w:rsid w:val="00B96B6A"/>
    <w:rsid w:val="00B97B6C"/>
    <w:rsid w:val="00BA0A4E"/>
    <w:rsid w:val="00BA17CA"/>
    <w:rsid w:val="00BA2072"/>
    <w:rsid w:val="00BA215C"/>
    <w:rsid w:val="00BA4FDB"/>
    <w:rsid w:val="00BA54F0"/>
    <w:rsid w:val="00BA5965"/>
    <w:rsid w:val="00BA5E8C"/>
    <w:rsid w:val="00BA6C14"/>
    <w:rsid w:val="00BA73ED"/>
    <w:rsid w:val="00BB0B78"/>
    <w:rsid w:val="00BB2745"/>
    <w:rsid w:val="00BB2D67"/>
    <w:rsid w:val="00BB2E21"/>
    <w:rsid w:val="00BB473A"/>
    <w:rsid w:val="00BB4C8D"/>
    <w:rsid w:val="00BB6D35"/>
    <w:rsid w:val="00BB75D6"/>
    <w:rsid w:val="00BB7AED"/>
    <w:rsid w:val="00BC0F3A"/>
    <w:rsid w:val="00BC1039"/>
    <w:rsid w:val="00BC2A9D"/>
    <w:rsid w:val="00BC622A"/>
    <w:rsid w:val="00BD09A5"/>
    <w:rsid w:val="00BD4A58"/>
    <w:rsid w:val="00BD4C1C"/>
    <w:rsid w:val="00BD5F0E"/>
    <w:rsid w:val="00BD5F60"/>
    <w:rsid w:val="00BD7042"/>
    <w:rsid w:val="00BE0A78"/>
    <w:rsid w:val="00BE0D32"/>
    <w:rsid w:val="00BE1725"/>
    <w:rsid w:val="00BE2E24"/>
    <w:rsid w:val="00BE3B82"/>
    <w:rsid w:val="00BE4C30"/>
    <w:rsid w:val="00BE6542"/>
    <w:rsid w:val="00BE79F0"/>
    <w:rsid w:val="00BE7B79"/>
    <w:rsid w:val="00BE7BBF"/>
    <w:rsid w:val="00BE7EA6"/>
    <w:rsid w:val="00BF046D"/>
    <w:rsid w:val="00BF0F3D"/>
    <w:rsid w:val="00BF1178"/>
    <w:rsid w:val="00BF1190"/>
    <w:rsid w:val="00BF14C8"/>
    <w:rsid w:val="00BF16E8"/>
    <w:rsid w:val="00BF2C6C"/>
    <w:rsid w:val="00BF3774"/>
    <w:rsid w:val="00BF4CB0"/>
    <w:rsid w:val="00BF59EA"/>
    <w:rsid w:val="00BF5D04"/>
    <w:rsid w:val="00BF7063"/>
    <w:rsid w:val="00C002AA"/>
    <w:rsid w:val="00C009AA"/>
    <w:rsid w:val="00C00D45"/>
    <w:rsid w:val="00C015DA"/>
    <w:rsid w:val="00C0184A"/>
    <w:rsid w:val="00C01B7A"/>
    <w:rsid w:val="00C02D9E"/>
    <w:rsid w:val="00C07B01"/>
    <w:rsid w:val="00C1164D"/>
    <w:rsid w:val="00C118F0"/>
    <w:rsid w:val="00C1233E"/>
    <w:rsid w:val="00C134EA"/>
    <w:rsid w:val="00C140DE"/>
    <w:rsid w:val="00C15856"/>
    <w:rsid w:val="00C16861"/>
    <w:rsid w:val="00C27C8D"/>
    <w:rsid w:val="00C303D1"/>
    <w:rsid w:val="00C30B6F"/>
    <w:rsid w:val="00C34133"/>
    <w:rsid w:val="00C346AB"/>
    <w:rsid w:val="00C34C20"/>
    <w:rsid w:val="00C37369"/>
    <w:rsid w:val="00C3783B"/>
    <w:rsid w:val="00C404A6"/>
    <w:rsid w:val="00C4077A"/>
    <w:rsid w:val="00C40A36"/>
    <w:rsid w:val="00C412F3"/>
    <w:rsid w:val="00C414B1"/>
    <w:rsid w:val="00C41B4D"/>
    <w:rsid w:val="00C44419"/>
    <w:rsid w:val="00C44C93"/>
    <w:rsid w:val="00C45323"/>
    <w:rsid w:val="00C45510"/>
    <w:rsid w:val="00C45E7B"/>
    <w:rsid w:val="00C46810"/>
    <w:rsid w:val="00C471B1"/>
    <w:rsid w:val="00C4775A"/>
    <w:rsid w:val="00C525A2"/>
    <w:rsid w:val="00C52E24"/>
    <w:rsid w:val="00C55236"/>
    <w:rsid w:val="00C56526"/>
    <w:rsid w:val="00C57559"/>
    <w:rsid w:val="00C57612"/>
    <w:rsid w:val="00C57B16"/>
    <w:rsid w:val="00C60A87"/>
    <w:rsid w:val="00C60C4D"/>
    <w:rsid w:val="00C60D1C"/>
    <w:rsid w:val="00C61D69"/>
    <w:rsid w:val="00C6316B"/>
    <w:rsid w:val="00C634A9"/>
    <w:rsid w:val="00C6404D"/>
    <w:rsid w:val="00C640D2"/>
    <w:rsid w:val="00C64586"/>
    <w:rsid w:val="00C64830"/>
    <w:rsid w:val="00C66AA2"/>
    <w:rsid w:val="00C67140"/>
    <w:rsid w:val="00C70A36"/>
    <w:rsid w:val="00C70D53"/>
    <w:rsid w:val="00C71C6C"/>
    <w:rsid w:val="00C73B0F"/>
    <w:rsid w:val="00C73D0B"/>
    <w:rsid w:val="00C74E84"/>
    <w:rsid w:val="00C74F5C"/>
    <w:rsid w:val="00C75671"/>
    <w:rsid w:val="00C767E7"/>
    <w:rsid w:val="00C767EF"/>
    <w:rsid w:val="00C772FF"/>
    <w:rsid w:val="00C80137"/>
    <w:rsid w:val="00C801AF"/>
    <w:rsid w:val="00C80256"/>
    <w:rsid w:val="00C81609"/>
    <w:rsid w:val="00C85AC4"/>
    <w:rsid w:val="00C85F6E"/>
    <w:rsid w:val="00C86E68"/>
    <w:rsid w:val="00C87541"/>
    <w:rsid w:val="00C906EB"/>
    <w:rsid w:val="00C94CD4"/>
    <w:rsid w:val="00C95028"/>
    <w:rsid w:val="00C9566F"/>
    <w:rsid w:val="00C95703"/>
    <w:rsid w:val="00C95DB2"/>
    <w:rsid w:val="00C9747E"/>
    <w:rsid w:val="00CA1954"/>
    <w:rsid w:val="00CA34EB"/>
    <w:rsid w:val="00CA5013"/>
    <w:rsid w:val="00CA7873"/>
    <w:rsid w:val="00CB1AEE"/>
    <w:rsid w:val="00CB314C"/>
    <w:rsid w:val="00CB3E1F"/>
    <w:rsid w:val="00CB4632"/>
    <w:rsid w:val="00CB6BC0"/>
    <w:rsid w:val="00CC1B7C"/>
    <w:rsid w:val="00CC35CA"/>
    <w:rsid w:val="00CC3D9B"/>
    <w:rsid w:val="00CC5044"/>
    <w:rsid w:val="00CC711D"/>
    <w:rsid w:val="00CC727F"/>
    <w:rsid w:val="00CD063D"/>
    <w:rsid w:val="00CD386E"/>
    <w:rsid w:val="00CD49CB"/>
    <w:rsid w:val="00CD551E"/>
    <w:rsid w:val="00CD7E08"/>
    <w:rsid w:val="00CE0BBC"/>
    <w:rsid w:val="00CE11D0"/>
    <w:rsid w:val="00CE17D5"/>
    <w:rsid w:val="00CE18D2"/>
    <w:rsid w:val="00CE4EA4"/>
    <w:rsid w:val="00CE613D"/>
    <w:rsid w:val="00CF0E25"/>
    <w:rsid w:val="00CF13C1"/>
    <w:rsid w:val="00CF15C3"/>
    <w:rsid w:val="00CF2707"/>
    <w:rsid w:val="00CF2B6F"/>
    <w:rsid w:val="00CF2F3E"/>
    <w:rsid w:val="00CF39DD"/>
    <w:rsid w:val="00CF4488"/>
    <w:rsid w:val="00CF55A1"/>
    <w:rsid w:val="00CF58B6"/>
    <w:rsid w:val="00CF5DAD"/>
    <w:rsid w:val="00CF6017"/>
    <w:rsid w:val="00CF74CE"/>
    <w:rsid w:val="00CF7F33"/>
    <w:rsid w:val="00D0062D"/>
    <w:rsid w:val="00D017ED"/>
    <w:rsid w:val="00D04083"/>
    <w:rsid w:val="00D040D3"/>
    <w:rsid w:val="00D040FC"/>
    <w:rsid w:val="00D045B3"/>
    <w:rsid w:val="00D045EE"/>
    <w:rsid w:val="00D046D7"/>
    <w:rsid w:val="00D04C65"/>
    <w:rsid w:val="00D04EFE"/>
    <w:rsid w:val="00D0533B"/>
    <w:rsid w:val="00D11B27"/>
    <w:rsid w:val="00D132B8"/>
    <w:rsid w:val="00D1439B"/>
    <w:rsid w:val="00D153D8"/>
    <w:rsid w:val="00D201D2"/>
    <w:rsid w:val="00D212F3"/>
    <w:rsid w:val="00D2174A"/>
    <w:rsid w:val="00D2217E"/>
    <w:rsid w:val="00D224FE"/>
    <w:rsid w:val="00D23139"/>
    <w:rsid w:val="00D254DC"/>
    <w:rsid w:val="00D2622F"/>
    <w:rsid w:val="00D2705A"/>
    <w:rsid w:val="00D30994"/>
    <w:rsid w:val="00D30D6D"/>
    <w:rsid w:val="00D32153"/>
    <w:rsid w:val="00D3331F"/>
    <w:rsid w:val="00D33DBE"/>
    <w:rsid w:val="00D35149"/>
    <w:rsid w:val="00D37E4C"/>
    <w:rsid w:val="00D40A3A"/>
    <w:rsid w:val="00D40B7C"/>
    <w:rsid w:val="00D413B1"/>
    <w:rsid w:val="00D415C9"/>
    <w:rsid w:val="00D424D1"/>
    <w:rsid w:val="00D425BB"/>
    <w:rsid w:val="00D453FA"/>
    <w:rsid w:val="00D54334"/>
    <w:rsid w:val="00D56348"/>
    <w:rsid w:val="00D56BFF"/>
    <w:rsid w:val="00D5711E"/>
    <w:rsid w:val="00D57F2D"/>
    <w:rsid w:val="00D61762"/>
    <w:rsid w:val="00D6493E"/>
    <w:rsid w:val="00D66F1D"/>
    <w:rsid w:val="00D7195D"/>
    <w:rsid w:val="00D72CBA"/>
    <w:rsid w:val="00D7301E"/>
    <w:rsid w:val="00D74D86"/>
    <w:rsid w:val="00D75292"/>
    <w:rsid w:val="00D76035"/>
    <w:rsid w:val="00D76E66"/>
    <w:rsid w:val="00D800C8"/>
    <w:rsid w:val="00D80C8D"/>
    <w:rsid w:val="00D80DD5"/>
    <w:rsid w:val="00D813EF"/>
    <w:rsid w:val="00D83AE1"/>
    <w:rsid w:val="00D83D33"/>
    <w:rsid w:val="00D85006"/>
    <w:rsid w:val="00D85049"/>
    <w:rsid w:val="00D854AC"/>
    <w:rsid w:val="00D855D4"/>
    <w:rsid w:val="00D902C9"/>
    <w:rsid w:val="00D90DBC"/>
    <w:rsid w:val="00D93466"/>
    <w:rsid w:val="00D94A8A"/>
    <w:rsid w:val="00D977F1"/>
    <w:rsid w:val="00DA1124"/>
    <w:rsid w:val="00DA205B"/>
    <w:rsid w:val="00DA2C29"/>
    <w:rsid w:val="00DA598E"/>
    <w:rsid w:val="00DA64CB"/>
    <w:rsid w:val="00DA75DA"/>
    <w:rsid w:val="00DB06B8"/>
    <w:rsid w:val="00DB15D4"/>
    <w:rsid w:val="00DB2528"/>
    <w:rsid w:val="00DB4F30"/>
    <w:rsid w:val="00DB6124"/>
    <w:rsid w:val="00DB750B"/>
    <w:rsid w:val="00DB75B7"/>
    <w:rsid w:val="00DB7EDA"/>
    <w:rsid w:val="00DC0A2F"/>
    <w:rsid w:val="00DC14EB"/>
    <w:rsid w:val="00DC1948"/>
    <w:rsid w:val="00DC304E"/>
    <w:rsid w:val="00DC638D"/>
    <w:rsid w:val="00DC65F2"/>
    <w:rsid w:val="00DC6A38"/>
    <w:rsid w:val="00DC6E02"/>
    <w:rsid w:val="00DD0E1F"/>
    <w:rsid w:val="00DD168E"/>
    <w:rsid w:val="00DD28CD"/>
    <w:rsid w:val="00DD449D"/>
    <w:rsid w:val="00DD4A1B"/>
    <w:rsid w:val="00DD501C"/>
    <w:rsid w:val="00DD5154"/>
    <w:rsid w:val="00DD6CD8"/>
    <w:rsid w:val="00DD75D6"/>
    <w:rsid w:val="00DE02AE"/>
    <w:rsid w:val="00DE122A"/>
    <w:rsid w:val="00DE137E"/>
    <w:rsid w:val="00DE15C1"/>
    <w:rsid w:val="00DE3451"/>
    <w:rsid w:val="00DE3904"/>
    <w:rsid w:val="00DE39D1"/>
    <w:rsid w:val="00DE407F"/>
    <w:rsid w:val="00DE4619"/>
    <w:rsid w:val="00DE704E"/>
    <w:rsid w:val="00DE763E"/>
    <w:rsid w:val="00DF1D7F"/>
    <w:rsid w:val="00DF1F33"/>
    <w:rsid w:val="00DF30A5"/>
    <w:rsid w:val="00DF4BE4"/>
    <w:rsid w:val="00DF7C6F"/>
    <w:rsid w:val="00E01039"/>
    <w:rsid w:val="00E02382"/>
    <w:rsid w:val="00E02872"/>
    <w:rsid w:val="00E02894"/>
    <w:rsid w:val="00E02917"/>
    <w:rsid w:val="00E02FB4"/>
    <w:rsid w:val="00E03B96"/>
    <w:rsid w:val="00E0748C"/>
    <w:rsid w:val="00E100D8"/>
    <w:rsid w:val="00E13FC7"/>
    <w:rsid w:val="00E14153"/>
    <w:rsid w:val="00E159A0"/>
    <w:rsid w:val="00E1622A"/>
    <w:rsid w:val="00E164CB"/>
    <w:rsid w:val="00E17299"/>
    <w:rsid w:val="00E20571"/>
    <w:rsid w:val="00E214B1"/>
    <w:rsid w:val="00E216FE"/>
    <w:rsid w:val="00E21BAB"/>
    <w:rsid w:val="00E22588"/>
    <w:rsid w:val="00E235F7"/>
    <w:rsid w:val="00E23659"/>
    <w:rsid w:val="00E239D4"/>
    <w:rsid w:val="00E243E3"/>
    <w:rsid w:val="00E26130"/>
    <w:rsid w:val="00E266A6"/>
    <w:rsid w:val="00E27E85"/>
    <w:rsid w:val="00E324D1"/>
    <w:rsid w:val="00E337FE"/>
    <w:rsid w:val="00E33D42"/>
    <w:rsid w:val="00E33E23"/>
    <w:rsid w:val="00E34D4C"/>
    <w:rsid w:val="00E357D9"/>
    <w:rsid w:val="00E3607E"/>
    <w:rsid w:val="00E37224"/>
    <w:rsid w:val="00E406BF"/>
    <w:rsid w:val="00E40B22"/>
    <w:rsid w:val="00E41AC2"/>
    <w:rsid w:val="00E41EA6"/>
    <w:rsid w:val="00E4298F"/>
    <w:rsid w:val="00E43791"/>
    <w:rsid w:val="00E44ED1"/>
    <w:rsid w:val="00E45093"/>
    <w:rsid w:val="00E45619"/>
    <w:rsid w:val="00E4588F"/>
    <w:rsid w:val="00E45AE6"/>
    <w:rsid w:val="00E46656"/>
    <w:rsid w:val="00E46DA3"/>
    <w:rsid w:val="00E51BB1"/>
    <w:rsid w:val="00E546B7"/>
    <w:rsid w:val="00E54B33"/>
    <w:rsid w:val="00E54B94"/>
    <w:rsid w:val="00E5593A"/>
    <w:rsid w:val="00E55CB0"/>
    <w:rsid w:val="00E579AC"/>
    <w:rsid w:val="00E57A5A"/>
    <w:rsid w:val="00E600B1"/>
    <w:rsid w:val="00E60DF3"/>
    <w:rsid w:val="00E61D9B"/>
    <w:rsid w:val="00E624A5"/>
    <w:rsid w:val="00E6257F"/>
    <w:rsid w:val="00E64BA4"/>
    <w:rsid w:val="00E65401"/>
    <w:rsid w:val="00E65556"/>
    <w:rsid w:val="00E67468"/>
    <w:rsid w:val="00E67FC4"/>
    <w:rsid w:val="00E706F1"/>
    <w:rsid w:val="00E7073C"/>
    <w:rsid w:val="00E7344E"/>
    <w:rsid w:val="00E73B61"/>
    <w:rsid w:val="00E77010"/>
    <w:rsid w:val="00E77971"/>
    <w:rsid w:val="00E82665"/>
    <w:rsid w:val="00E8461D"/>
    <w:rsid w:val="00E85A35"/>
    <w:rsid w:val="00E86F3B"/>
    <w:rsid w:val="00E87023"/>
    <w:rsid w:val="00E876D0"/>
    <w:rsid w:val="00E9234C"/>
    <w:rsid w:val="00E92E64"/>
    <w:rsid w:val="00E95DDC"/>
    <w:rsid w:val="00E97415"/>
    <w:rsid w:val="00EA0014"/>
    <w:rsid w:val="00EA013F"/>
    <w:rsid w:val="00EA042E"/>
    <w:rsid w:val="00EA09FE"/>
    <w:rsid w:val="00EA1573"/>
    <w:rsid w:val="00EA157F"/>
    <w:rsid w:val="00EA1FF0"/>
    <w:rsid w:val="00EA2384"/>
    <w:rsid w:val="00EA5E68"/>
    <w:rsid w:val="00EB05BB"/>
    <w:rsid w:val="00EB0798"/>
    <w:rsid w:val="00EB22A6"/>
    <w:rsid w:val="00EB36D6"/>
    <w:rsid w:val="00EB40AD"/>
    <w:rsid w:val="00EB5720"/>
    <w:rsid w:val="00EB586E"/>
    <w:rsid w:val="00EB5FC8"/>
    <w:rsid w:val="00EC0298"/>
    <w:rsid w:val="00EC30A5"/>
    <w:rsid w:val="00EC463D"/>
    <w:rsid w:val="00EC466F"/>
    <w:rsid w:val="00EC5196"/>
    <w:rsid w:val="00EC5729"/>
    <w:rsid w:val="00EC5DA6"/>
    <w:rsid w:val="00EC6AE3"/>
    <w:rsid w:val="00EC77D9"/>
    <w:rsid w:val="00EC7990"/>
    <w:rsid w:val="00EC7A85"/>
    <w:rsid w:val="00ED0371"/>
    <w:rsid w:val="00ED0DA0"/>
    <w:rsid w:val="00ED1965"/>
    <w:rsid w:val="00ED20A4"/>
    <w:rsid w:val="00ED2922"/>
    <w:rsid w:val="00ED3CAD"/>
    <w:rsid w:val="00ED51B1"/>
    <w:rsid w:val="00ED59FC"/>
    <w:rsid w:val="00ED5A41"/>
    <w:rsid w:val="00ED6587"/>
    <w:rsid w:val="00ED7122"/>
    <w:rsid w:val="00ED75E7"/>
    <w:rsid w:val="00EE01E7"/>
    <w:rsid w:val="00EE0219"/>
    <w:rsid w:val="00EE0D38"/>
    <w:rsid w:val="00EE1DE8"/>
    <w:rsid w:val="00EE25D0"/>
    <w:rsid w:val="00EE27C2"/>
    <w:rsid w:val="00EE3FC3"/>
    <w:rsid w:val="00EE471F"/>
    <w:rsid w:val="00EE4C77"/>
    <w:rsid w:val="00EE63DB"/>
    <w:rsid w:val="00EE7D3C"/>
    <w:rsid w:val="00EF3164"/>
    <w:rsid w:val="00EF409B"/>
    <w:rsid w:val="00EF4BAD"/>
    <w:rsid w:val="00EF4C2D"/>
    <w:rsid w:val="00EF59DC"/>
    <w:rsid w:val="00EF602A"/>
    <w:rsid w:val="00EF76C2"/>
    <w:rsid w:val="00EF79D8"/>
    <w:rsid w:val="00F02F6B"/>
    <w:rsid w:val="00F033EC"/>
    <w:rsid w:val="00F035BB"/>
    <w:rsid w:val="00F0365E"/>
    <w:rsid w:val="00F0372C"/>
    <w:rsid w:val="00F04F68"/>
    <w:rsid w:val="00F055D4"/>
    <w:rsid w:val="00F070BC"/>
    <w:rsid w:val="00F111F7"/>
    <w:rsid w:val="00F12670"/>
    <w:rsid w:val="00F128E0"/>
    <w:rsid w:val="00F13A51"/>
    <w:rsid w:val="00F14852"/>
    <w:rsid w:val="00F14B27"/>
    <w:rsid w:val="00F220E5"/>
    <w:rsid w:val="00F24447"/>
    <w:rsid w:val="00F2715F"/>
    <w:rsid w:val="00F303BC"/>
    <w:rsid w:val="00F3148D"/>
    <w:rsid w:val="00F325C5"/>
    <w:rsid w:val="00F32AA0"/>
    <w:rsid w:val="00F32FE0"/>
    <w:rsid w:val="00F34001"/>
    <w:rsid w:val="00F35298"/>
    <w:rsid w:val="00F35CB8"/>
    <w:rsid w:val="00F36A11"/>
    <w:rsid w:val="00F370DD"/>
    <w:rsid w:val="00F40018"/>
    <w:rsid w:val="00F404CC"/>
    <w:rsid w:val="00F40711"/>
    <w:rsid w:val="00F416DE"/>
    <w:rsid w:val="00F465F2"/>
    <w:rsid w:val="00F4713F"/>
    <w:rsid w:val="00F47333"/>
    <w:rsid w:val="00F47E37"/>
    <w:rsid w:val="00F51FF7"/>
    <w:rsid w:val="00F53C07"/>
    <w:rsid w:val="00F5435C"/>
    <w:rsid w:val="00F546F6"/>
    <w:rsid w:val="00F547E0"/>
    <w:rsid w:val="00F54B65"/>
    <w:rsid w:val="00F63200"/>
    <w:rsid w:val="00F632D7"/>
    <w:rsid w:val="00F634C3"/>
    <w:rsid w:val="00F63A6E"/>
    <w:rsid w:val="00F63DBF"/>
    <w:rsid w:val="00F640B6"/>
    <w:rsid w:val="00F6419B"/>
    <w:rsid w:val="00F64684"/>
    <w:rsid w:val="00F66DF2"/>
    <w:rsid w:val="00F67F93"/>
    <w:rsid w:val="00F712F6"/>
    <w:rsid w:val="00F72390"/>
    <w:rsid w:val="00F726AD"/>
    <w:rsid w:val="00F74BAD"/>
    <w:rsid w:val="00F7664B"/>
    <w:rsid w:val="00F80181"/>
    <w:rsid w:val="00F80629"/>
    <w:rsid w:val="00F80E40"/>
    <w:rsid w:val="00F81726"/>
    <w:rsid w:val="00F82499"/>
    <w:rsid w:val="00F841F2"/>
    <w:rsid w:val="00F848D9"/>
    <w:rsid w:val="00F84B10"/>
    <w:rsid w:val="00F925D4"/>
    <w:rsid w:val="00F931CE"/>
    <w:rsid w:val="00F95F69"/>
    <w:rsid w:val="00FA3394"/>
    <w:rsid w:val="00FA3CEE"/>
    <w:rsid w:val="00FA48F8"/>
    <w:rsid w:val="00FA4A93"/>
    <w:rsid w:val="00FA4B82"/>
    <w:rsid w:val="00FA4BBA"/>
    <w:rsid w:val="00FA5069"/>
    <w:rsid w:val="00FA5B82"/>
    <w:rsid w:val="00FA639E"/>
    <w:rsid w:val="00FA67BB"/>
    <w:rsid w:val="00FA7E28"/>
    <w:rsid w:val="00FB0BA2"/>
    <w:rsid w:val="00FB0BFE"/>
    <w:rsid w:val="00FB3404"/>
    <w:rsid w:val="00FB50AE"/>
    <w:rsid w:val="00FC0D15"/>
    <w:rsid w:val="00FC179A"/>
    <w:rsid w:val="00FC1FCA"/>
    <w:rsid w:val="00FC25E4"/>
    <w:rsid w:val="00FC2C0B"/>
    <w:rsid w:val="00FC3565"/>
    <w:rsid w:val="00FC4915"/>
    <w:rsid w:val="00FC4EF7"/>
    <w:rsid w:val="00FD0824"/>
    <w:rsid w:val="00FD0E97"/>
    <w:rsid w:val="00FD119B"/>
    <w:rsid w:val="00FD1EDC"/>
    <w:rsid w:val="00FD2869"/>
    <w:rsid w:val="00FD3A45"/>
    <w:rsid w:val="00FD3BDB"/>
    <w:rsid w:val="00FD60E9"/>
    <w:rsid w:val="00FD7B90"/>
    <w:rsid w:val="00FE039A"/>
    <w:rsid w:val="00FE1863"/>
    <w:rsid w:val="00FE1DEE"/>
    <w:rsid w:val="00FE23F2"/>
    <w:rsid w:val="00FE26D3"/>
    <w:rsid w:val="00FE6EA7"/>
    <w:rsid w:val="00FE71DF"/>
    <w:rsid w:val="00FE7DCA"/>
    <w:rsid w:val="00FF2126"/>
    <w:rsid w:val="00FF2362"/>
    <w:rsid w:val="00FF3CC0"/>
    <w:rsid w:val="00FF4CF7"/>
    <w:rsid w:val="00FF4F55"/>
    <w:rsid w:val="00FF5755"/>
    <w:rsid w:val="00FF69BE"/>
    <w:rsid w:val="00FF7B93"/>
    <w:rsid w:val="01A261FE"/>
    <w:rsid w:val="01C2D8BB"/>
    <w:rsid w:val="01F84157"/>
    <w:rsid w:val="01FEC9B8"/>
    <w:rsid w:val="023D0FF5"/>
    <w:rsid w:val="023E3860"/>
    <w:rsid w:val="0244E8D4"/>
    <w:rsid w:val="0272D90A"/>
    <w:rsid w:val="02CC4518"/>
    <w:rsid w:val="02D088ED"/>
    <w:rsid w:val="035A0C1F"/>
    <w:rsid w:val="03A8FADB"/>
    <w:rsid w:val="03DDDC51"/>
    <w:rsid w:val="04348662"/>
    <w:rsid w:val="04388A70"/>
    <w:rsid w:val="047525D9"/>
    <w:rsid w:val="04A74BA4"/>
    <w:rsid w:val="04DA204A"/>
    <w:rsid w:val="05230F95"/>
    <w:rsid w:val="05746C3F"/>
    <w:rsid w:val="058CCB42"/>
    <w:rsid w:val="05E0CE03"/>
    <w:rsid w:val="05F15D20"/>
    <w:rsid w:val="061FE1CE"/>
    <w:rsid w:val="0635066E"/>
    <w:rsid w:val="0648E6D8"/>
    <w:rsid w:val="064E3963"/>
    <w:rsid w:val="066656E1"/>
    <w:rsid w:val="0682D901"/>
    <w:rsid w:val="07186270"/>
    <w:rsid w:val="0772B783"/>
    <w:rsid w:val="07C97850"/>
    <w:rsid w:val="07DD930D"/>
    <w:rsid w:val="081180E8"/>
    <w:rsid w:val="08127E50"/>
    <w:rsid w:val="0817391C"/>
    <w:rsid w:val="083962C6"/>
    <w:rsid w:val="0840D66F"/>
    <w:rsid w:val="087F2967"/>
    <w:rsid w:val="090E3051"/>
    <w:rsid w:val="09869ECA"/>
    <w:rsid w:val="09CE10DF"/>
    <w:rsid w:val="0AC7ED9E"/>
    <w:rsid w:val="0B066A9D"/>
    <w:rsid w:val="0B425F49"/>
    <w:rsid w:val="0B57BF4C"/>
    <w:rsid w:val="0B64D8A3"/>
    <w:rsid w:val="0B782D10"/>
    <w:rsid w:val="0B9BCE53"/>
    <w:rsid w:val="0BA0B8CF"/>
    <w:rsid w:val="0BD20F26"/>
    <w:rsid w:val="0BF08B4B"/>
    <w:rsid w:val="0C24FF09"/>
    <w:rsid w:val="0C51BA5E"/>
    <w:rsid w:val="0C958C71"/>
    <w:rsid w:val="0CA43DBE"/>
    <w:rsid w:val="0D055222"/>
    <w:rsid w:val="0D780351"/>
    <w:rsid w:val="0E43A0D1"/>
    <w:rsid w:val="0E6DF54A"/>
    <w:rsid w:val="0E8D9F0A"/>
    <w:rsid w:val="0E8E6826"/>
    <w:rsid w:val="0EB09FCC"/>
    <w:rsid w:val="0EC7E5BA"/>
    <w:rsid w:val="0F4CEF20"/>
    <w:rsid w:val="0F707822"/>
    <w:rsid w:val="10055077"/>
    <w:rsid w:val="10145535"/>
    <w:rsid w:val="10705F19"/>
    <w:rsid w:val="1085305D"/>
    <w:rsid w:val="10907B41"/>
    <w:rsid w:val="1160F9E3"/>
    <w:rsid w:val="117386D5"/>
    <w:rsid w:val="1175FEF3"/>
    <w:rsid w:val="121F22FA"/>
    <w:rsid w:val="12A537B8"/>
    <w:rsid w:val="12B10B5E"/>
    <w:rsid w:val="12C6AC00"/>
    <w:rsid w:val="12D7711F"/>
    <w:rsid w:val="12F88632"/>
    <w:rsid w:val="1316BFAE"/>
    <w:rsid w:val="133194E0"/>
    <w:rsid w:val="13A65B1F"/>
    <w:rsid w:val="143FCDDE"/>
    <w:rsid w:val="146AC8DF"/>
    <w:rsid w:val="14788C33"/>
    <w:rsid w:val="1495CFAA"/>
    <w:rsid w:val="149A06FE"/>
    <w:rsid w:val="14A263C3"/>
    <w:rsid w:val="14BFA3DA"/>
    <w:rsid w:val="14E9A62A"/>
    <w:rsid w:val="150507A6"/>
    <w:rsid w:val="15A68214"/>
    <w:rsid w:val="15CB6B27"/>
    <w:rsid w:val="15E11B67"/>
    <w:rsid w:val="1619CDD2"/>
    <w:rsid w:val="162CD0F2"/>
    <w:rsid w:val="16476192"/>
    <w:rsid w:val="1681CE8A"/>
    <w:rsid w:val="168D0D34"/>
    <w:rsid w:val="16A7F30E"/>
    <w:rsid w:val="16BF2983"/>
    <w:rsid w:val="16CA40CB"/>
    <w:rsid w:val="1708E407"/>
    <w:rsid w:val="1714C813"/>
    <w:rsid w:val="17207F3E"/>
    <w:rsid w:val="175D593D"/>
    <w:rsid w:val="177E2E4E"/>
    <w:rsid w:val="179F011B"/>
    <w:rsid w:val="17D6DD76"/>
    <w:rsid w:val="180B06BE"/>
    <w:rsid w:val="181253CC"/>
    <w:rsid w:val="181B7FFF"/>
    <w:rsid w:val="18238EFB"/>
    <w:rsid w:val="1893017D"/>
    <w:rsid w:val="18985653"/>
    <w:rsid w:val="19125D9E"/>
    <w:rsid w:val="1913800B"/>
    <w:rsid w:val="1948D90E"/>
    <w:rsid w:val="195CCEA5"/>
    <w:rsid w:val="196F40CD"/>
    <w:rsid w:val="1AB23E19"/>
    <w:rsid w:val="1AC75891"/>
    <w:rsid w:val="1B0CB94C"/>
    <w:rsid w:val="1B35DD40"/>
    <w:rsid w:val="1BC1358A"/>
    <w:rsid w:val="1C2482AD"/>
    <w:rsid w:val="1C5CBF00"/>
    <w:rsid w:val="1C99C613"/>
    <w:rsid w:val="1CD14B69"/>
    <w:rsid w:val="1CE4B0EC"/>
    <w:rsid w:val="1D05878E"/>
    <w:rsid w:val="1D38535F"/>
    <w:rsid w:val="1D385E69"/>
    <w:rsid w:val="1D9292B6"/>
    <w:rsid w:val="1DE0A8B8"/>
    <w:rsid w:val="1E339C3A"/>
    <w:rsid w:val="1E3B9528"/>
    <w:rsid w:val="1E4D89DE"/>
    <w:rsid w:val="1F120C0F"/>
    <w:rsid w:val="1F1E5AD9"/>
    <w:rsid w:val="1F2510E6"/>
    <w:rsid w:val="1FA4FA65"/>
    <w:rsid w:val="1FCA8D10"/>
    <w:rsid w:val="2072401A"/>
    <w:rsid w:val="208481EA"/>
    <w:rsid w:val="21A3CFDE"/>
    <w:rsid w:val="21D011FA"/>
    <w:rsid w:val="21E9B37B"/>
    <w:rsid w:val="2232A72C"/>
    <w:rsid w:val="235BCF87"/>
    <w:rsid w:val="237F1646"/>
    <w:rsid w:val="23E30C63"/>
    <w:rsid w:val="23FC34C0"/>
    <w:rsid w:val="241F89E7"/>
    <w:rsid w:val="242456E1"/>
    <w:rsid w:val="246B18BA"/>
    <w:rsid w:val="24AA1E09"/>
    <w:rsid w:val="24AD5311"/>
    <w:rsid w:val="24F5D385"/>
    <w:rsid w:val="2553C031"/>
    <w:rsid w:val="25B1CC8E"/>
    <w:rsid w:val="25C90042"/>
    <w:rsid w:val="2622928B"/>
    <w:rsid w:val="267C6E93"/>
    <w:rsid w:val="268042C4"/>
    <w:rsid w:val="26AB9916"/>
    <w:rsid w:val="272769ED"/>
    <w:rsid w:val="273DB998"/>
    <w:rsid w:val="2798C912"/>
    <w:rsid w:val="27A060D8"/>
    <w:rsid w:val="28007B04"/>
    <w:rsid w:val="280B66C3"/>
    <w:rsid w:val="285E75F2"/>
    <w:rsid w:val="28621228"/>
    <w:rsid w:val="28777B3B"/>
    <w:rsid w:val="28E8704E"/>
    <w:rsid w:val="2934B4A0"/>
    <w:rsid w:val="29A24A29"/>
    <w:rsid w:val="29DA07AF"/>
    <w:rsid w:val="2A49C931"/>
    <w:rsid w:val="2AA1C064"/>
    <w:rsid w:val="2ABFDABC"/>
    <w:rsid w:val="2B2AC4D7"/>
    <w:rsid w:val="2BE18698"/>
    <w:rsid w:val="2BE5FEEC"/>
    <w:rsid w:val="2C05AB4A"/>
    <w:rsid w:val="2C4A1285"/>
    <w:rsid w:val="2C6A065B"/>
    <w:rsid w:val="2D04D635"/>
    <w:rsid w:val="2D110B6D"/>
    <w:rsid w:val="2D683A0D"/>
    <w:rsid w:val="2D78E6DE"/>
    <w:rsid w:val="2E1649FF"/>
    <w:rsid w:val="2E2A53DA"/>
    <w:rsid w:val="2EFC5F17"/>
    <w:rsid w:val="2EFD2039"/>
    <w:rsid w:val="2F55283F"/>
    <w:rsid w:val="2F6A8FF9"/>
    <w:rsid w:val="2F991E98"/>
    <w:rsid w:val="2FAFACE8"/>
    <w:rsid w:val="2FC08318"/>
    <w:rsid w:val="2FEAED05"/>
    <w:rsid w:val="2FEB22BA"/>
    <w:rsid w:val="302475ED"/>
    <w:rsid w:val="3057A3FE"/>
    <w:rsid w:val="31AF849C"/>
    <w:rsid w:val="31C46821"/>
    <w:rsid w:val="31F97FA8"/>
    <w:rsid w:val="32A51A13"/>
    <w:rsid w:val="3308D46C"/>
    <w:rsid w:val="330A00C1"/>
    <w:rsid w:val="332AE06C"/>
    <w:rsid w:val="3356E44C"/>
    <w:rsid w:val="336C7F15"/>
    <w:rsid w:val="3374A54A"/>
    <w:rsid w:val="33921CEC"/>
    <w:rsid w:val="33BC26C2"/>
    <w:rsid w:val="33CB066D"/>
    <w:rsid w:val="34652798"/>
    <w:rsid w:val="34F83FA9"/>
    <w:rsid w:val="357D39F2"/>
    <w:rsid w:val="36182F23"/>
    <w:rsid w:val="3667A401"/>
    <w:rsid w:val="36B60993"/>
    <w:rsid w:val="36CDEB93"/>
    <w:rsid w:val="36F0AA39"/>
    <w:rsid w:val="3709472E"/>
    <w:rsid w:val="377C51C1"/>
    <w:rsid w:val="37983D8C"/>
    <w:rsid w:val="37FAC22A"/>
    <w:rsid w:val="38041672"/>
    <w:rsid w:val="3806D74B"/>
    <w:rsid w:val="3862CB88"/>
    <w:rsid w:val="3894EA24"/>
    <w:rsid w:val="38A7C277"/>
    <w:rsid w:val="38F69E2F"/>
    <w:rsid w:val="390052D0"/>
    <w:rsid w:val="390D596A"/>
    <w:rsid w:val="391F8F42"/>
    <w:rsid w:val="394F6A57"/>
    <w:rsid w:val="395D1E66"/>
    <w:rsid w:val="399A42BB"/>
    <w:rsid w:val="399A9083"/>
    <w:rsid w:val="39AD64C3"/>
    <w:rsid w:val="39BC0A08"/>
    <w:rsid w:val="3A68BC77"/>
    <w:rsid w:val="3A806FC8"/>
    <w:rsid w:val="3A90553B"/>
    <w:rsid w:val="3B45A47A"/>
    <w:rsid w:val="3B4873FC"/>
    <w:rsid w:val="3B6FB8F3"/>
    <w:rsid w:val="3BAAE157"/>
    <w:rsid w:val="3BE9AEF9"/>
    <w:rsid w:val="3BF30218"/>
    <w:rsid w:val="3C18D635"/>
    <w:rsid w:val="3C30D289"/>
    <w:rsid w:val="3C876B70"/>
    <w:rsid w:val="3CA26AB7"/>
    <w:rsid w:val="3CE89DB3"/>
    <w:rsid w:val="3D0AD2C0"/>
    <w:rsid w:val="3D13D679"/>
    <w:rsid w:val="3D30BCD8"/>
    <w:rsid w:val="3D3B1A00"/>
    <w:rsid w:val="3DB64F82"/>
    <w:rsid w:val="3DF5645E"/>
    <w:rsid w:val="3E249C35"/>
    <w:rsid w:val="3E4FF0C1"/>
    <w:rsid w:val="3E7F82B4"/>
    <w:rsid w:val="3E81DBB5"/>
    <w:rsid w:val="3E956F4C"/>
    <w:rsid w:val="3F0054CF"/>
    <w:rsid w:val="3FA8D2D1"/>
    <w:rsid w:val="3FFDEBD2"/>
    <w:rsid w:val="408B52D6"/>
    <w:rsid w:val="416BF616"/>
    <w:rsid w:val="4170B028"/>
    <w:rsid w:val="41794DEA"/>
    <w:rsid w:val="41BD3F38"/>
    <w:rsid w:val="420BBF4F"/>
    <w:rsid w:val="427CF2AA"/>
    <w:rsid w:val="4282D163"/>
    <w:rsid w:val="4290B6E9"/>
    <w:rsid w:val="42B266FB"/>
    <w:rsid w:val="42CAB5C6"/>
    <w:rsid w:val="42E972B9"/>
    <w:rsid w:val="430B66F9"/>
    <w:rsid w:val="43E2BA32"/>
    <w:rsid w:val="43EEE8D3"/>
    <w:rsid w:val="449A3D41"/>
    <w:rsid w:val="44B503CD"/>
    <w:rsid w:val="44DA3CB5"/>
    <w:rsid w:val="44E98933"/>
    <w:rsid w:val="44F015B5"/>
    <w:rsid w:val="450E0C29"/>
    <w:rsid w:val="450EA575"/>
    <w:rsid w:val="452EB3A6"/>
    <w:rsid w:val="453FD35A"/>
    <w:rsid w:val="456ECD99"/>
    <w:rsid w:val="4571933D"/>
    <w:rsid w:val="45CBEAC4"/>
    <w:rsid w:val="45D7FC84"/>
    <w:rsid w:val="46A46287"/>
    <w:rsid w:val="47065E80"/>
    <w:rsid w:val="470AA6AC"/>
    <w:rsid w:val="4750F5EB"/>
    <w:rsid w:val="477E4B32"/>
    <w:rsid w:val="47950670"/>
    <w:rsid w:val="47A0FDC2"/>
    <w:rsid w:val="47C3336B"/>
    <w:rsid w:val="47CCFC8D"/>
    <w:rsid w:val="47FBF7E7"/>
    <w:rsid w:val="4828B28C"/>
    <w:rsid w:val="48388BEA"/>
    <w:rsid w:val="4843E952"/>
    <w:rsid w:val="485155D3"/>
    <w:rsid w:val="48738F47"/>
    <w:rsid w:val="48B1A179"/>
    <w:rsid w:val="48E0F2ED"/>
    <w:rsid w:val="4914AF7F"/>
    <w:rsid w:val="49482BA5"/>
    <w:rsid w:val="4A149EEF"/>
    <w:rsid w:val="4A9A5925"/>
    <w:rsid w:val="4AC8BB95"/>
    <w:rsid w:val="4B031759"/>
    <w:rsid w:val="4B1E8AD1"/>
    <w:rsid w:val="4B47BD6B"/>
    <w:rsid w:val="4BB1086D"/>
    <w:rsid w:val="4BE6446A"/>
    <w:rsid w:val="4C5E8369"/>
    <w:rsid w:val="4CA32417"/>
    <w:rsid w:val="4CB10FF9"/>
    <w:rsid w:val="4CCC63A6"/>
    <w:rsid w:val="4D12BC56"/>
    <w:rsid w:val="4D21B9B4"/>
    <w:rsid w:val="4D8E872A"/>
    <w:rsid w:val="4E248171"/>
    <w:rsid w:val="4E7C9559"/>
    <w:rsid w:val="4EAA0F5B"/>
    <w:rsid w:val="4EBE6D4D"/>
    <w:rsid w:val="4F860DD4"/>
    <w:rsid w:val="4FB97ECE"/>
    <w:rsid w:val="500528C0"/>
    <w:rsid w:val="500FB094"/>
    <w:rsid w:val="50350C3A"/>
    <w:rsid w:val="5084FE07"/>
    <w:rsid w:val="50E80A87"/>
    <w:rsid w:val="516A8ED5"/>
    <w:rsid w:val="516D79BF"/>
    <w:rsid w:val="5176F70C"/>
    <w:rsid w:val="51C6BC65"/>
    <w:rsid w:val="5213E540"/>
    <w:rsid w:val="5278F017"/>
    <w:rsid w:val="52883835"/>
    <w:rsid w:val="52DFC71F"/>
    <w:rsid w:val="52EEE0BE"/>
    <w:rsid w:val="5307BAED"/>
    <w:rsid w:val="53224BE2"/>
    <w:rsid w:val="535C2BFB"/>
    <w:rsid w:val="5371B4CA"/>
    <w:rsid w:val="53842068"/>
    <w:rsid w:val="53855705"/>
    <w:rsid w:val="548E5732"/>
    <w:rsid w:val="549902B0"/>
    <w:rsid w:val="549A4231"/>
    <w:rsid w:val="550EBECF"/>
    <w:rsid w:val="552743A8"/>
    <w:rsid w:val="556F55F9"/>
    <w:rsid w:val="5593BAD0"/>
    <w:rsid w:val="559417CF"/>
    <w:rsid w:val="55A71679"/>
    <w:rsid w:val="55AF4E26"/>
    <w:rsid w:val="55EDD4B7"/>
    <w:rsid w:val="5604F977"/>
    <w:rsid w:val="56083EBD"/>
    <w:rsid w:val="56688A96"/>
    <w:rsid w:val="56AC5441"/>
    <w:rsid w:val="570F0906"/>
    <w:rsid w:val="57105C47"/>
    <w:rsid w:val="573D30DC"/>
    <w:rsid w:val="5754C5A3"/>
    <w:rsid w:val="5760E816"/>
    <w:rsid w:val="5795CCC9"/>
    <w:rsid w:val="57B266C6"/>
    <w:rsid w:val="58016846"/>
    <w:rsid w:val="5868D796"/>
    <w:rsid w:val="5874AA3B"/>
    <w:rsid w:val="58816BB1"/>
    <w:rsid w:val="58B705AD"/>
    <w:rsid w:val="591A4AC0"/>
    <w:rsid w:val="591AD93F"/>
    <w:rsid w:val="5944CF8C"/>
    <w:rsid w:val="59A9A2BA"/>
    <w:rsid w:val="59B60377"/>
    <w:rsid w:val="59FDF605"/>
    <w:rsid w:val="5A5FB292"/>
    <w:rsid w:val="5AC592E6"/>
    <w:rsid w:val="5AE5A461"/>
    <w:rsid w:val="5B72849D"/>
    <w:rsid w:val="5B98BB26"/>
    <w:rsid w:val="5BF6F8E1"/>
    <w:rsid w:val="5C0DE411"/>
    <w:rsid w:val="5C45C923"/>
    <w:rsid w:val="5C52F00F"/>
    <w:rsid w:val="5C6AA1FD"/>
    <w:rsid w:val="5C8C48A7"/>
    <w:rsid w:val="5CF59D0C"/>
    <w:rsid w:val="5D3C8268"/>
    <w:rsid w:val="5D5808B1"/>
    <w:rsid w:val="5DA97E4F"/>
    <w:rsid w:val="5DCA2336"/>
    <w:rsid w:val="5E356FFF"/>
    <w:rsid w:val="5E3E7B30"/>
    <w:rsid w:val="5E9A9A8E"/>
    <w:rsid w:val="5EB2BEA9"/>
    <w:rsid w:val="5EBFAC0D"/>
    <w:rsid w:val="5EEA421A"/>
    <w:rsid w:val="5F1DD06F"/>
    <w:rsid w:val="5FDC8751"/>
    <w:rsid w:val="6064B3BC"/>
    <w:rsid w:val="60A99F18"/>
    <w:rsid w:val="60CD8754"/>
    <w:rsid w:val="614695C9"/>
    <w:rsid w:val="61692F20"/>
    <w:rsid w:val="6192B97C"/>
    <w:rsid w:val="61CD6127"/>
    <w:rsid w:val="622AC5AA"/>
    <w:rsid w:val="6233EA75"/>
    <w:rsid w:val="62B2BA8F"/>
    <w:rsid w:val="62B4A443"/>
    <w:rsid w:val="6306E039"/>
    <w:rsid w:val="631DE06A"/>
    <w:rsid w:val="632B2DAE"/>
    <w:rsid w:val="63451718"/>
    <w:rsid w:val="635D8CC7"/>
    <w:rsid w:val="6382CFCC"/>
    <w:rsid w:val="638A60D4"/>
    <w:rsid w:val="63C0A99C"/>
    <w:rsid w:val="645E960D"/>
    <w:rsid w:val="64ABA46C"/>
    <w:rsid w:val="64C2E2F2"/>
    <w:rsid w:val="657186D4"/>
    <w:rsid w:val="663C75C9"/>
    <w:rsid w:val="664D54F1"/>
    <w:rsid w:val="6664AC53"/>
    <w:rsid w:val="66C594C8"/>
    <w:rsid w:val="66CD3250"/>
    <w:rsid w:val="6765123B"/>
    <w:rsid w:val="67742EBC"/>
    <w:rsid w:val="67AED1BF"/>
    <w:rsid w:val="6853521A"/>
    <w:rsid w:val="68B02414"/>
    <w:rsid w:val="691B741B"/>
    <w:rsid w:val="698BB012"/>
    <w:rsid w:val="69950660"/>
    <w:rsid w:val="69AF9238"/>
    <w:rsid w:val="69E28354"/>
    <w:rsid w:val="69FFFD76"/>
    <w:rsid w:val="6A1C1B14"/>
    <w:rsid w:val="6A610F08"/>
    <w:rsid w:val="6AB2B384"/>
    <w:rsid w:val="6B0AB5D0"/>
    <w:rsid w:val="6B2923E7"/>
    <w:rsid w:val="6B440D86"/>
    <w:rsid w:val="6B5502DF"/>
    <w:rsid w:val="6B860E6A"/>
    <w:rsid w:val="6B881979"/>
    <w:rsid w:val="6B922A88"/>
    <w:rsid w:val="6BAC347C"/>
    <w:rsid w:val="6C13144A"/>
    <w:rsid w:val="6C3B3510"/>
    <w:rsid w:val="6C95CCC3"/>
    <w:rsid w:val="6CE7F3CD"/>
    <w:rsid w:val="6CF0AD8B"/>
    <w:rsid w:val="6D06D79F"/>
    <w:rsid w:val="6DF3F329"/>
    <w:rsid w:val="6E196BAF"/>
    <w:rsid w:val="6E67E20D"/>
    <w:rsid w:val="6E820FCF"/>
    <w:rsid w:val="6EA94BD5"/>
    <w:rsid w:val="6EC8F850"/>
    <w:rsid w:val="6ED1B3F8"/>
    <w:rsid w:val="6EDF1B0A"/>
    <w:rsid w:val="6EE63F24"/>
    <w:rsid w:val="6F5E38D3"/>
    <w:rsid w:val="6F70A613"/>
    <w:rsid w:val="6F91CC42"/>
    <w:rsid w:val="6F9D8490"/>
    <w:rsid w:val="6FA01B55"/>
    <w:rsid w:val="6FA65F19"/>
    <w:rsid w:val="6FC2F326"/>
    <w:rsid w:val="6FFEBFD6"/>
    <w:rsid w:val="701DB2BA"/>
    <w:rsid w:val="704B29E1"/>
    <w:rsid w:val="7127C221"/>
    <w:rsid w:val="71C9D266"/>
    <w:rsid w:val="71E6D79E"/>
    <w:rsid w:val="7223E107"/>
    <w:rsid w:val="72667A82"/>
    <w:rsid w:val="73492528"/>
    <w:rsid w:val="73537F6E"/>
    <w:rsid w:val="735B2905"/>
    <w:rsid w:val="7361F43B"/>
    <w:rsid w:val="73C2D105"/>
    <w:rsid w:val="741A1E88"/>
    <w:rsid w:val="74B510B8"/>
    <w:rsid w:val="75408248"/>
    <w:rsid w:val="7548A32B"/>
    <w:rsid w:val="7582FBEB"/>
    <w:rsid w:val="759690AF"/>
    <w:rsid w:val="75B2247C"/>
    <w:rsid w:val="75CA81DD"/>
    <w:rsid w:val="75E63AA3"/>
    <w:rsid w:val="7602B74F"/>
    <w:rsid w:val="760B7502"/>
    <w:rsid w:val="76116E6A"/>
    <w:rsid w:val="767927AA"/>
    <w:rsid w:val="77971152"/>
    <w:rsid w:val="77D25238"/>
    <w:rsid w:val="77DF40D9"/>
    <w:rsid w:val="77F94A5B"/>
    <w:rsid w:val="78190F71"/>
    <w:rsid w:val="78B3C898"/>
    <w:rsid w:val="791ADD4D"/>
    <w:rsid w:val="79281999"/>
    <w:rsid w:val="7975D3E1"/>
    <w:rsid w:val="798FA980"/>
    <w:rsid w:val="7990257A"/>
    <w:rsid w:val="79931A05"/>
    <w:rsid w:val="79F218BF"/>
    <w:rsid w:val="7A0205BD"/>
    <w:rsid w:val="7AD0DAEA"/>
    <w:rsid w:val="7AF82188"/>
    <w:rsid w:val="7AFABEDC"/>
    <w:rsid w:val="7B06A0A7"/>
    <w:rsid w:val="7B0CF8AE"/>
    <w:rsid w:val="7B1A21B3"/>
    <w:rsid w:val="7BB3D53D"/>
    <w:rsid w:val="7BD6F87D"/>
    <w:rsid w:val="7BEC81D6"/>
    <w:rsid w:val="7C0DC92C"/>
    <w:rsid w:val="7C30BD78"/>
    <w:rsid w:val="7CAA2152"/>
    <w:rsid w:val="7D0C7CB7"/>
    <w:rsid w:val="7D0F5BE7"/>
    <w:rsid w:val="7D128F95"/>
    <w:rsid w:val="7D4636F0"/>
    <w:rsid w:val="7D7F0291"/>
    <w:rsid w:val="7DEB2A7A"/>
    <w:rsid w:val="7F22E2BD"/>
    <w:rsid w:val="7F762FC0"/>
    <w:rsid w:val="7F7FF37D"/>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3B8D0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uiPriority w:val="9"/>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uiPriority w:val="9"/>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uiPriority w:val="9"/>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uiPriority w:val="9"/>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9556D7"/>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9556D7"/>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6"/>
      </w:numPr>
    </w:pPr>
  </w:style>
  <w:style w:type="paragraph" w:customStyle="1" w:styleId="Numberbullet2">
    <w:name w:val="Number bullet 2"/>
    <w:basedOn w:val="ListBullet2"/>
    <w:uiPriority w:val="2"/>
    <w:qFormat/>
    <w:rsid w:val="004C2DCA"/>
    <w:pPr>
      <w:numPr>
        <w:numId w:val="26"/>
      </w:numPr>
    </w:pPr>
  </w:style>
  <w:style w:type="paragraph" w:customStyle="1" w:styleId="Numberbullet3">
    <w:name w:val="Number bullet 3"/>
    <w:basedOn w:val="ListBullet3"/>
    <w:uiPriority w:val="2"/>
    <w:qFormat/>
    <w:rsid w:val="004C2DCA"/>
    <w:pPr>
      <w:numPr>
        <w:numId w:val="26"/>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9556D7"/>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9556D7"/>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9556D7"/>
    <w:pPr>
      <w:framePr w:hSpace="180" w:wrap="around" w:vAnchor="page" w:hAnchor="text" w:y="3316"/>
      <w:spacing w:after="480" w:line="240" w:lineRule="auto"/>
      <w:contextualSpacing/>
      <w:outlineLvl w:val="0"/>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9556D7"/>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Tabletitle0">
    <w:name w:val="Table title"/>
    <w:basedOn w:val="Normal"/>
    <w:next w:val="Normal"/>
    <w:rsid w:val="009F2673"/>
    <w:pPr>
      <w:keepNext/>
      <w:spacing w:after="180"/>
    </w:pPr>
    <w:rPr>
      <w:b/>
      <w:szCs w:val="20"/>
    </w:rPr>
  </w:style>
  <w:style w:type="character" w:customStyle="1" w:styleId="UnresolvedMention1">
    <w:name w:val="Unresolved Mention1"/>
    <w:basedOn w:val="DefaultParagraphFont"/>
    <w:uiPriority w:val="99"/>
    <w:unhideWhenUsed/>
    <w:rsid w:val="009F2673"/>
    <w:rPr>
      <w:color w:val="605E5C"/>
      <w:shd w:val="clear" w:color="auto" w:fill="E1DFDD"/>
    </w:rPr>
  </w:style>
  <w:style w:type="paragraph" w:styleId="NormalWeb">
    <w:name w:val="Normal (Web)"/>
    <w:basedOn w:val="Normal"/>
    <w:uiPriority w:val="99"/>
    <w:unhideWhenUsed/>
    <w:rsid w:val="00C44C93"/>
    <w:pPr>
      <w:spacing w:before="100" w:beforeAutospacing="1" w:after="100" w:afterAutospacing="1" w:line="240" w:lineRule="auto"/>
    </w:pPr>
    <w:rPr>
      <w:rFonts w:ascii="Times New Roman" w:eastAsia="Times New Roman" w:hAnsi="Times New Roman"/>
      <w:sz w:val="24"/>
      <w:szCs w:val="24"/>
      <w:lang w:eastAsia="en-GB"/>
    </w:rPr>
  </w:style>
  <w:style w:type="paragraph" w:styleId="ListParagraph">
    <w:name w:val="List Paragraph"/>
    <w:basedOn w:val="Normal"/>
    <w:uiPriority w:val="34"/>
    <w:qFormat/>
    <w:rsid w:val="00C44C93"/>
    <w:pPr>
      <w:spacing w:before="0" w:after="0" w:line="240" w:lineRule="auto"/>
      <w:ind w:left="720"/>
      <w:contextualSpacing/>
    </w:pPr>
    <w:rPr>
      <w:rFonts w:ascii="Times New Roman" w:eastAsia="Times New Roman" w:hAnsi="Times New Roman"/>
      <w:sz w:val="24"/>
      <w:szCs w:val="24"/>
      <w:lang w:eastAsia="en-GB"/>
    </w:rPr>
  </w:style>
  <w:style w:type="paragraph" w:customStyle="1" w:styleId="Default">
    <w:name w:val="Default"/>
    <w:rsid w:val="006365F2"/>
    <w:pPr>
      <w:autoSpaceDE w:val="0"/>
      <w:autoSpaceDN w:val="0"/>
      <w:adjustRightInd w:val="0"/>
      <w:spacing w:after="0" w:line="240" w:lineRule="auto"/>
    </w:pPr>
    <w:rPr>
      <w:rFonts w:ascii="Cambria" w:hAnsi="Cambria" w:cs="Cambria"/>
      <w:color w:val="000000"/>
      <w:sz w:val="24"/>
      <w:szCs w:val="24"/>
    </w:rPr>
  </w:style>
  <w:style w:type="paragraph" w:styleId="ListNumber">
    <w:name w:val="List Number"/>
    <w:basedOn w:val="ListParagraph"/>
    <w:uiPriority w:val="99"/>
    <w:unhideWhenUsed/>
    <w:rsid w:val="006365F2"/>
    <w:pPr>
      <w:numPr>
        <w:numId w:val="35"/>
      </w:numPr>
      <w:spacing w:after="120"/>
    </w:pPr>
    <w:rPr>
      <w:rFonts w:asciiTheme="minorHAnsi" w:hAnsiTheme="minorHAnsi"/>
      <w:b/>
      <w:sz w:val="22"/>
      <w:szCs w:val="22"/>
      <w:lang w:eastAsia="en-AU"/>
    </w:rPr>
  </w:style>
  <w:style w:type="character" w:customStyle="1" w:styleId="TabletextChar">
    <w:name w:val="Table text Char"/>
    <w:basedOn w:val="DefaultParagraphFont"/>
    <w:link w:val="Tabletext"/>
    <w:rsid w:val="006365F2"/>
    <w:rPr>
      <w:rFonts w:ascii="Cambria" w:eastAsia="Cambria" w:hAnsi="Cambria" w:cs="Times New Roman"/>
      <w:sz w:val="19"/>
    </w:rPr>
  </w:style>
  <w:style w:type="paragraph" w:customStyle="1" w:styleId="CM70">
    <w:name w:val="CM70"/>
    <w:basedOn w:val="Default"/>
    <w:next w:val="Default"/>
    <w:uiPriority w:val="99"/>
    <w:rsid w:val="006365F2"/>
    <w:rPr>
      <w:rFonts w:ascii="Times New Roman" w:hAnsi="Times New Roman" w:cs="Times New Roman"/>
      <w:color w:val="auto"/>
    </w:rPr>
  </w:style>
  <w:style w:type="table" w:customStyle="1" w:styleId="TableTGAblue2">
    <w:name w:val="Table TGA blue2"/>
    <w:basedOn w:val="TableNormal"/>
    <w:uiPriority w:val="99"/>
    <w:qFormat/>
    <w:rsid w:val="006365F2"/>
    <w:pPr>
      <w:spacing w:after="0" w:line="240" w:lineRule="auto"/>
      <w:ind w:left="170" w:right="170"/>
    </w:pPr>
    <w:rPr>
      <w:rFonts w:ascii="Cambria" w:hAnsi="Cambria" w:cs="Times New Roman"/>
      <w:color w:val="000000"/>
      <w:szCs w:val="21"/>
      <w:lang w:eastAsia="en-AU"/>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auto"/>
    </w:tcPr>
    <w:tblStylePr w:type="firstRow">
      <w:pPr>
        <w:keepNext/>
        <w:wordWrap/>
      </w:pPr>
      <w:rPr>
        <w:rFonts w:ascii="Cambria" w:hAnsi="Cambria"/>
        <w:b/>
        <w:color w:val="FFFFFF"/>
        <w:sz w:val="22"/>
      </w:rPr>
      <w:tblPr/>
      <w:trPr>
        <w:tblHeader/>
      </w:tr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paragraph" w:customStyle="1" w:styleId="Bulletlist">
    <w:name w:val="Bullet list"/>
    <w:basedOn w:val="Normal"/>
    <w:link w:val="BulletlistChar"/>
    <w:qFormat/>
    <w:rsid w:val="005E6707"/>
    <w:pPr>
      <w:numPr>
        <w:numId w:val="40"/>
      </w:numPr>
      <w:spacing w:before="0" w:after="180" w:line="252" w:lineRule="auto"/>
    </w:pPr>
    <w:rPr>
      <w:rFonts w:eastAsia="Times New Roman"/>
      <w:snapToGrid w:val="0"/>
      <w:kern w:val="2"/>
      <w:sz w:val="23"/>
    </w:rPr>
  </w:style>
  <w:style w:type="character" w:customStyle="1" w:styleId="BulletlistChar">
    <w:name w:val="Bullet list Char"/>
    <w:basedOn w:val="DefaultParagraphFont"/>
    <w:link w:val="Bulletlist"/>
    <w:rsid w:val="005E6707"/>
    <w:rPr>
      <w:rFonts w:ascii="Cambria" w:eastAsia="Times New Roman" w:hAnsi="Cambria" w:cs="Times New Roman"/>
      <w:snapToGrid w:val="0"/>
      <w:kern w:val="2"/>
      <w:sz w:val="23"/>
    </w:rPr>
  </w:style>
  <w:style w:type="paragraph" w:customStyle="1" w:styleId="Standard">
    <w:name w:val="Standard"/>
    <w:basedOn w:val="Normal"/>
    <w:link w:val="StandardChar"/>
    <w:qFormat/>
    <w:rsid w:val="005E6707"/>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5E6707"/>
    <w:rPr>
      <w:rFonts w:ascii="Cambria" w:eastAsia="Times New Roman" w:hAnsi="Cambria" w:cs="Times New Roman"/>
      <w:snapToGrid w:val="0"/>
      <w:kern w:val="16"/>
      <w:sz w:val="23"/>
      <w:szCs w:val="24"/>
    </w:rPr>
  </w:style>
  <w:style w:type="numbering" w:customStyle="1" w:styleId="Headings">
    <w:name w:val="Headings"/>
    <w:uiPriority w:val="99"/>
    <w:rsid w:val="005E6707"/>
    <w:pPr>
      <w:numPr>
        <w:numId w:val="41"/>
      </w:numPr>
    </w:pPr>
  </w:style>
  <w:style w:type="character" w:customStyle="1" w:styleId="Mention1">
    <w:name w:val="Mention1"/>
    <w:basedOn w:val="DefaultParagraphFont"/>
    <w:uiPriority w:val="99"/>
    <w:unhideWhenUsed/>
    <w:rsid w:val="00E46656"/>
    <w:rPr>
      <w:color w:val="2B579A"/>
      <w:shd w:val="clear" w:color="auto" w:fill="E1DFDD"/>
    </w:rPr>
  </w:style>
  <w:style w:type="paragraph" w:styleId="BodyText">
    <w:name w:val="Body Text"/>
    <w:basedOn w:val="Normal"/>
    <w:link w:val="BodyTextChar"/>
    <w:uiPriority w:val="99"/>
    <w:semiHidden/>
    <w:unhideWhenUsed/>
    <w:rsid w:val="00777E67"/>
  </w:style>
  <w:style w:type="character" w:customStyle="1" w:styleId="BodyTextChar">
    <w:name w:val="Body Text Char"/>
    <w:basedOn w:val="DefaultParagraphFont"/>
    <w:link w:val="BodyText"/>
    <w:uiPriority w:val="99"/>
    <w:semiHidden/>
    <w:rsid w:val="00777E67"/>
    <w:rPr>
      <w:rFonts w:ascii="Cambria" w:eastAsia="Cambria" w:hAnsi="Cambria" w:cs="Times New Roman"/>
    </w:rPr>
  </w:style>
  <w:style w:type="paragraph" w:styleId="BodyTextFirstIndent">
    <w:name w:val="Body Text First Indent"/>
    <w:basedOn w:val="BodyText"/>
    <w:link w:val="BodyTextFirstIndentChar"/>
    <w:uiPriority w:val="99"/>
    <w:semiHidden/>
    <w:unhideWhenUsed/>
    <w:rsid w:val="00777E67"/>
    <w:pPr>
      <w:ind w:firstLine="360"/>
    </w:pPr>
  </w:style>
  <w:style w:type="character" w:customStyle="1" w:styleId="BodyTextFirstIndentChar">
    <w:name w:val="Body Text First Indent Char"/>
    <w:basedOn w:val="BodyTextChar"/>
    <w:link w:val="BodyTextFirstIndent"/>
    <w:uiPriority w:val="99"/>
    <w:semiHidden/>
    <w:rsid w:val="00777E67"/>
    <w:rPr>
      <w:rFonts w:ascii="Cambria" w:eastAsia="Cambria" w:hAnsi="Cambr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317942">
      <w:bodyDiv w:val="1"/>
      <w:marLeft w:val="0"/>
      <w:marRight w:val="0"/>
      <w:marTop w:val="0"/>
      <w:marBottom w:val="0"/>
      <w:divBdr>
        <w:top w:val="none" w:sz="0" w:space="0" w:color="auto"/>
        <w:left w:val="none" w:sz="0" w:space="0" w:color="auto"/>
        <w:bottom w:val="none" w:sz="0" w:space="0" w:color="auto"/>
        <w:right w:val="none" w:sz="0" w:space="0" w:color="auto"/>
      </w:divBdr>
    </w:div>
    <w:div w:id="274289732">
      <w:bodyDiv w:val="1"/>
      <w:marLeft w:val="0"/>
      <w:marRight w:val="0"/>
      <w:marTop w:val="0"/>
      <w:marBottom w:val="0"/>
      <w:divBdr>
        <w:top w:val="none" w:sz="0" w:space="0" w:color="auto"/>
        <w:left w:val="none" w:sz="0" w:space="0" w:color="auto"/>
        <w:bottom w:val="none" w:sz="0" w:space="0" w:color="auto"/>
        <w:right w:val="none" w:sz="0" w:space="0" w:color="auto"/>
      </w:divBdr>
    </w:div>
    <w:div w:id="723330986">
      <w:bodyDiv w:val="1"/>
      <w:marLeft w:val="0"/>
      <w:marRight w:val="0"/>
      <w:marTop w:val="0"/>
      <w:marBottom w:val="0"/>
      <w:divBdr>
        <w:top w:val="none" w:sz="0" w:space="0" w:color="auto"/>
        <w:left w:val="none" w:sz="0" w:space="0" w:color="auto"/>
        <w:bottom w:val="none" w:sz="0" w:space="0" w:color="auto"/>
        <w:right w:val="none" w:sz="0" w:space="0" w:color="auto"/>
      </w:divBdr>
    </w:div>
    <w:div w:id="806164830">
      <w:bodyDiv w:val="1"/>
      <w:marLeft w:val="0"/>
      <w:marRight w:val="0"/>
      <w:marTop w:val="0"/>
      <w:marBottom w:val="0"/>
      <w:divBdr>
        <w:top w:val="none" w:sz="0" w:space="0" w:color="auto"/>
        <w:left w:val="none" w:sz="0" w:space="0" w:color="auto"/>
        <w:bottom w:val="none" w:sz="0" w:space="0" w:color="auto"/>
        <w:right w:val="none" w:sz="0" w:space="0" w:color="auto"/>
      </w:divBdr>
    </w:div>
    <w:div w:id="896016743">
      <w:bodyDiv w:val="1"/>
      <w:marLeft w:val="0"/>
      <w:marRight w:val="0"/>
      <w:marTop w:val="0"/>
      <w:marBottom w:val="0"/>
      <w:divBdr>
        <w:top w:val="none" w:sz="0" w:space="0" w:color="auto"/>
        <w:left w:val="none" w:sz="0" w:space="0" w:color="auto"/>
        <w:bottom w:val="none" w:sz="0" w:space="0" w:color="auto"/>
        <w:right w:val="none" w:sz="0" w:space="0" w:color="auto"/>
      </w:divBdr>
      <w:divsChild>
        <w:div w:id="2065399663">
          <w:marLeft w:val="0"/>
          <w:marRight w:val="0"/>
          <w:marTop w:val="0"/>
          <w:marBottom w:val="0"/>
          <w:divBdr>
            <w:top w:val="none" w:sz="0" w:space="0" w:color="auto"/>
            <w:left w:val="none" w:sz="0" w:space="0" w:color="auto"/>
            <w:bottom w:val="none" w:sz="0" w:space="0" w:color="auto"/>
            <w:right w:val="none" w:sz="0" w:space="0" w:color="auto"/>
          </w:divBdr>
        </w:div>
        <w:div w:id="635719834">
          <w:marLeft w:val="0"/>
          <w:marRight w:val="0"/>
          <w:marTop w:val="0"/>
          <w:marBottom w:val="0"/>
          <w:divBdr>
            <w:top w:val="none" w:sz="0" w:space="0" w:color="auto"/>
            <w:left w:val="none" w:sz="0" w:space="0" w:color="auto"/>
            <w:bottom w:val="none" w:sz="0" w:space="0" w:color="auto"/>
            <w:right w:val="none" w:sz="0" w:space="0" w:color="auto"/>
          </w:divBdr>
          <w:divsChild>
            <w:div w:id="196176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619215">
      <w:bodyDiv w:val="1"/>
      <w:marLeft w:val="0"/>
      <w:marRight w:val="0"/>
      <w:marTop w:val="0"/>
      <w:marBottom w:val="0"/>
      <w:divBdr>
        <w:top w:val="none" w:sz="0" w:space="0" w:color="auto"/>
        <w:left w:val="none" w:sz="0" w:space="0" w:color="auto"/>
        <w:bottom w:val="none" w:sz="0" w:space="0" w:color="auto"/>
        <w:right w:val="none" w:sz="0" w:space="0" w:color="auto"/>
      </w:divBdr>
    </w:div>
    <w:div w:id="1463158335">
      <w:bodyDiv w:val="1"/>
      <w:marLeft w:val="0"/>
      <w:marRight w:val="0"/>
      <w:marTop w:val="0"/>
      <w:marBottom w:val="0"/>
      <w:divBdr>
        <w:top w:val="none" w:sz="0" w:space="0" w:color="auto"/>
        <w:left w:val="none" w:sz="0" w:space="0" w:color="auto"/>
        <w:bottom w:val="none" w:sz="0" w:space="0" w:color="auto"/>
        <w:right w:val="none" w:sz="0" w:space="0" w:color="auto"/>
      </w:divBdr>
    </w:div>
    <w:div w:id="1878739786">
      <w:bodyDiv w:val="1"/>
      <w:marLeft w:val="0"/>
      <w:marRight w:val="0"/>
      <w:marTop w:val="0"/>
      <w:marBottom w:val="0"/>
      <w:divBdr>
        <w:top w:val="none" w:sz="0" w:space="0" w:color="auto"/>
        <w:left w:val="none" w:sz="0" w:space="0" w:color="auto"/>
        <w:bottom w:val="none" w:sz="0" w:space="0" w:color="auto"/>
        <w:right w:val="none" w:sz="0" w:space="0" w:color="auto"/>
      </w:divBdr>
    </w:div>
    <w:div w:id="1954628594">
      <w:bodyDiv w:val="1"/>
      <w:marLeft w:val="0"/>
      <w:marRight w:val="0"/>
      <w:marTop w:val="0"/>
      <w:marBottom w:val="0"/>
      <w:divBdr>
        <w:top w:val="none" w:sz="0" w:space="0" w:color="auto"/>
        <w:left w:val="none" w:sz="0" w:space="0" w:color="auto"/>
        <w:bottom w:val="none" w:sz="0" w:space="0" w:color="auto"/>
        <w:right w:val="none" w:sz="0" w:space="0" w:color="auto"/>
      </w:divBdr>
    </w:div>
    <w:div w:id="2059670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ga.copyright@tga.gov.au" TargetMode="External"/><Relationship Id="rId18" Type="http://schemas.openxmlformats.org/officeDocument/2006/relationships/hyperlink" Target="https://www.tga.gov.au/provisional-approval-pathway-prescription-medicines" TargetMode="External"/><Relationship Id="rId26" Type="http://schemas.openxmlformats.org/officeDocument/2006/relationships/image" Target="media/image5.pn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tga.gov.au/ws-labs-index" TargetMode="External"/><Relationship Id="rId34" Type="http://schemas.openxmlformats.org/officeDocument/2006/relationships/hyperlink" Target="http://www.tga.gov.au/ws-labs-index" TargetMode="External"/><Relationship Id="rId42" Type="http://schemas.openxmlformats.org/officeDocument/2006/relationships/header" Target="header6.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tga.gov.au/australian-public-assessment-report-auspar-guidance" TargetMode="External"/><Relationship Id="rId17" Type="http://schemas.openxmlformats.org/officeDocument/2006/relationships/hyperlink" Target="https://www.tga.gov.au/black-triangle-scheme" TargetMode="External"/><Relationship Id="rId25" Type="http://schemas.openxmlformats.org/officeDocument/2006/relationships/image" Target="media/image4.png"/><Relationship Id="rId33" Type="http://schemas.openxmlformats.org/officeDocument/2006/relationships/hyperlink" Target="https://www.tga.gov.au/about-tga/advisory-bodies-and-committees/advisory-committee-medicines-acm" TargetMode="External"/><Relationship Id="rId38" Type="http://schemas.openxmlformats.org/officeDocument/2006/relationships/header" Target="header5.xml"/><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tga.gov.au/provisional-approval-pathway-prescription-medicines" TargetMode="External"/><Relationship Id="rId29" Type="http://schemas.openxmlformats.org/officeDocument/2006/relationships/image" Target="media/image8.png"/><Relationship Id="rId41" Type="http://schemas.openxmlformats.org/officeDocument/2006/relationships/hyperlink" Target="https://www.tga.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ga.gov.au" TargetMode="External"/><Relationship Id="rId24" Type="http://schemas.openxmlformats.org/officeDocument/2006/relationships/image" Target="media/image3.emf"/><Relationship Id="rId32" Type="http://schemas.openxmlformats.org/officeDocument/2006/relationships/hyperlink" Target="https://www.tga.gov.au/about-tga/advisory-bodies-and-committees/advisory-committee-medicines-acm" TargetMode="External"/><Relationship Id="rId37" Type="http://schemas.openxmlformats.org/officeDocument/2006/relationships/header" Target="header4.xml"/><Relationship Id="rId40" Type="http://schemas.openxmlformats.org/officeDocument/2006/relationships/hyperlink" Target="mailto:info@tga.gov.au" TargetMode="External"/><Relationship Id="rId45"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mailto:Biochemistry.Testing@health.gov.au" TargetMode="External"/><Relationship Id="rId28" Type="http://schemas.openxmlformats.org/officeDocument/2006/relationships/image" Target="media/image7.pn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tga.gov.au/picmi-search-facility" TargetMode="External"/><Relationship Id="rId31" Type="http://schemas.openxmlformats.org/officeDocument/2006/relationships/hyperlink" Target="https://www.tga.gov.au/tgas-risk-management-approach"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www.tga.gov.au/industry/pm-argpm-guidance-7.htm" TargetMode="External"/><Relationship Id="rId27" Type="http://schemas.openxmlformats.org/officeDocument/2006/relationships/image" Target="media/image6.png"/><Relationship Id="rId30" Type="http://schemas.openxmlformats.org/officeDocument/2006/relationships/hyperlink" Target="https://www.tga.gov.au/publication/risk-management-plans-medicines-and-biologicals" TargetMode="External"/><Relationship Id="rId35" Type="http://schemas.openxmlformats.org/officeDocument/2006/relationships/hyperlink" Target="https://www.tga.gov.au/picmi-search-facility" TargetMode="External"/><Relationship Id="rId43" Type="http://schemas.openxmlformats.org/officeDocument/2006/relationships/header" Target="header7.xm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ebs.tga.gov.au/ebs/picmi/picmirepository.nsf/pdf?OpenAgent&amp;id=CP-2015-PI-01639-1&amp;d=202106071016933"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ab13f10-ea91-4ae4-b716-2fc6226f5bbf">
      <UserInfo>
        <DisplayName>Ajay Krishnamoorthy</DisplayName>
        <AccountId>26</AccountId>
        <AccountType/>
      </UserInfo>
      <UserInfo>
        <DisplayName>Jillian Campbell</DisplayName>
        <AccountId>135</AccountId>
        <AccountType/>
      </UserInfo>
      <UserInfo>
        <DisplayName>Marcelo Stefano</DisplayName>
        <AccountId>371</AccountId>
        <AccountType/>
      </UserInfo>
      <UserInfo>
        <DisplayName>Jens Näth</DisplayName>
        <AccountId>461</AccountId>
        <AccountType/>
      </UserInfo>
      <UserInfo>
        <DisplayName>Adrien Chevalier</DisplayName>
        <AccountId>232</AccountId>
        <AccountType/>
      </UserInfo>
      <UserInfo>
        <DisplayName>Ahmed El Zayat</DisplayName>
        <AccountId>310</AccountId>
        <AccountType/>
      </UserInfo>
      <UserInfo>
        <DisplayName>Deborah Zuber</DisplayName>
        <AccountId>395</AccountId>
        <AccountType/>
      </UserInfo>
      <UserInfo>
        <DisplayName>Indre Cizaite</DisplayName>
        <AccountId>420</AccountId>
        <AccountType/>
      </UserInfo>
      <UserInfo>
        <DisplayName>Olga Cieslak</DisplayName>
        <AccountId>935</AccountId>
        <AccountType/>
      </UserInfo>
      <UserInfo>
        <DisplayName>Zenit Ahmed</DisplayName>
        <AccountId>466</AccountId>
        <AccountType/>
      </UserInfo>
      <UserInfo>
        <DisplayName>Aurélie Olivier</DisplayName>
        <AccountId>602</AccountId>
        <AccountType/>
      </UserInfo>
      <UserInfo>
        <DisplayName>Marie-Noëlle Marenne</DisplayName>
        <AccountId>196</AccountId>
        <AccountType/>
      </UserInfo>
      <UserInfo>
        <DisplayName>Ravichand Kondabolu</DisplayName>
        <AccountId>621</AccountId>
        <AccountType/>
      </UserInfo>
      <UserInfo>
        <DisplayName>Sandra McPhail</DisplayName>
        <AccountId>899</AccountId>
        <AccountType/>
      </UserInfo>
      <UserInfo>
        <DisplayName>Andreas Försch</DisplayName>
        <AccountId>554</AccountId>
        <AccountType/>
      </UserInfo>
      <UserInfo>
        <DisplayName>Marianna Pizzetti</DisplayName>
        <AccountId>779</AccountId>
        <AccountType/>
      </UserInfo>
      <UserInfo>
        <DisplayName>Erica Sarchione</DisplayName>
        <AccountId>532</AccountId>
        <AccountType/>
      </UserInfo>
      <UserInfo>
        <DisplayName>Neha Joshi</DisplayName>
        <AccountId>37</AccountId>
        <AccountType/>
      </UserInfo>
      <UserInfo>
        <DisplayName>Simao Paiva</DisplayName>
        <AccountId>2276</AccountId>
        <AccountType/>
      </UserInfo>
      <UserInfo>
        <DisplayName>Murad Melhem</DisplayName>
        <AccountId>4229</AccountId>
        <AccountType/>
      </UserInfo>
      <UserInfo>
        <DisplayName>Zsolt Szijgyarto</DisplayName>
        <AccountId>5855</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80F9BCA22A44543A836D48EB5D07BAB" ma:contentTypeVersion="6" ma:contentTypeDescription="Create a new document." ma:contentTypeScope="" ma:versionID="56978c654d62564549e0822c8d661991">
  <xsd:schema xmlns:xsd="http://www.w3.org/2001/XMLSchema" xmlns:xs="http://www.w3.org/2001/XMLSchema" xmlns:p="http://schemas.microsoft.com/office/2006/metadata/properties" xmlns:ns2="9ab13f10-ea91-4ae4-b716-2fc6226f5bbf" xmlns:ns3="53bfddcd-ed87-4e2f-848a-2186ccceec32" targetNamespace="http://schemas.microsoft.com/office/2006/metadata/properties" ma:root="true" ma:fieldsID="81795db273f20e320021e9782f386117" ns2:_="" ns3:_="">
    <xsd:import namespace="9ab13f10-ea91-4ae4-b716-2fc6226f5bbf"/>
    <xsd:import namespace="53bfddcd-ed87-4e2f-848a-2186ccceec3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b13f10-ea91-4ae4-b716-2fc6226f5bb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bfddcd-ed87-4e2f-848a-2186ccceec3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8A8092-CDC5-479C-8D46-584DEAC955CF}">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53bfddcd-ed87-4e2f-848a-2186ccceec32"/>
    <ds:schemaRef ds:uri="9ab13f10-ea91-4ae4-b716-2fc6226f5bbf"/>
    <ds:schemaRef ds:uri="http://www.w3.org/XML/1998/namespace"/>
    <ds:schemaRef ds:uri="http://purl.org/dc/dcmitype/"/>
  </ds:schemaRefs>
</ds:datastoreItem>
</file>

<file path=customXml/itemProps2.xml><?xml version="1.0" encoding="utf-8"?>
<ds:datastoreItem xmlns:ds="http://schemas.openxmlformats.org/officeDocument/2006/customXml" ds:itemID="{8BDB1870-480B-4006-BBDE-71290D7A9FCB}">
  <ds:schemaRefs>
    <ds:schemaRef ds:uri="http://schemas.openxmlformats.org/officeDocument/2006/bibliography"/>
  </ds:schemaRefs>
</ds:datastoreItem>
</file>

<file path=customXml/itemProps3.xml><?xml version="1.0" encoding="utf-8"?>
<ds:datastoreItem xmlns:ds="http://schemas.openxmlformats.org/officeDocument/2006/customXml" ds:itemID="{74FF27DA-3E30-4D26-B2EA-11EB02AF04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b13f10-ea91-4ae4-b716-2fc6226f5bbf"/>
    <ds:schemaRef ds:uri="53bfddcd-ed87-4e2f-848a-2186ccceec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918A2F-508C-425D-81C0-AAAE736A20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10806</Words>
  <Characters>64847</Characters>
  <Application>Microsoft Office Word</Application>
  <DocSecurity>0</DocSecurity>
  <Lines>1752</Lines>
  <Paragraphs>1129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Jemperli</dc:title>
  <dc:subject>Prescription medicines regulation</dc:subject>
  <dc:creator/>
  <cp:keywords/>
  <cp:lastModifiedBy/>
  <cp:revision>1</cp:revision>
  <cp:lastPrinted>2019-08-14T18:30:00Z</cp:lastPrinted>
  <dcterms:created xsi:type="dcterms:W3CDTF">2023-01-19T03:33:00Z</dcterms:created>
  <dcterms:modified xsi:type="dcterms:W3CDTF">2023-02-10T03:02:00Z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0x010100A80F9BCA22A44543A836D48EB5D07BAB</vt:lpwstr>
  </property>
</Properties>
</file>