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D44064" w14:paraId="79AF08E2" w14:textId="77777777" w:rsidTr="00203A30">
        <w:trPr>
          <w:trHeight w:val="1560"/>
        </w:trPr>
        <w:tc>
          <w:tcPr>
            <w:tcW w:w="9079" w:type="dxa"/>
          </w:tcPr>
          <w:p w14:paraId="669EEB20" w14:textId="7E78F550" w:rsidR="0032583B" w:rsidRPr="00D44064" w:rsidRDefault="0032583B" w:rsidP="00203A30">
            <w:pPr>
              <w:pStyle w:val="Title"/>
              <w:framePr w:hSpace="0" w:wrap="auto" w:vAnchor="margin" w:yAlign="inline"/>
              <w:spacing w:after="0"/>
            </w:pPr>
            <w:r w:rsidRPr="00203A30">
              <w:rPr>
                <w:color w:val="001871"/>
                <w:lang w:eastAsia="en-AU"/>
              </w:rPr>
              <w:t>Australian</w:t>
            </w:r>
            <w:r w:rsidRPr="00D44064">
              <w:t xml:space="preserve"> </w:t>
            </w:r>
            <w:r w:rsidRPr="00203A30">
              <w:rPr>
                <w:color w:val="001871"/>
                <w:lang w:eastAsia="en-AU"/>
              </w:rPr>
              <w:t>Public Assessment Report for</w:t>
            </w:r>
            <w:r w:rsidR="00AF2313" w:rsidRPr="00203A30">
              <w:rPr>
                <w:color w:val="001871"/>
                <w:lang w:eastAsia="en-AU"/>
              </w:rPr>
              <w:t xml:space="preserve"> </w:t>
            </w:r>
            <w:r w:rsidR="000E2A3D" w:rsidRPr="00203A30">
              <w:rPr>
                <w:color w:val="001871"/>
                <w:lang w:eastAsia="en-AU"/>
              </w:rPr>
              <w:t>Vyxeos</w:t>
            </w:r>
          </w:p>
        </w:tc>
      </w:tr>
      <w:tr w:rsidR="0032583B" w:rsidRPr="00D44064" w14:paraId="288E50EF" w14:textId="77777777" w:rsidTr="00203A30">
        <w:trPr>
          <w:trHeight w:val="984"/>
        </w:trPr>
        <w:tc>
          <w:tcPr>
            <w:tcW w:w="9079" w:type="dxa"/>
          </w:tcPr>
          <w:p w14:paraId="4AF4B346" w14:textId="488BE03D" w:rsidR="0032583B" w:rsidRPr="00203A30" w:rsidRDefault="00BB75D6" w:rsidP="00203A30">
            <w:pPr>
              <w:pStyle w:val="Subtitle"/>
              <w:framePr w:hSpace="0" w:wrap="auto" w:vAnchor="margin" w:yAlign="inline"/>
              <w:numPr>
                <w:ilvl w:val="0"/>
                <w:numId w:val="0"/>
              </w:numPr>
              <w:spacing w:before="0" w:after="0"/>
              <w:rPr>
                <w:color w:val="006BA6"/>
                <w:lang w:eastAsia="en-AU"/>
              </w:rPr>
            </w:pPr>
            <w:r w:rsidRPr="00203A30">
              <w:rPr>
                <w:color w:val="006BA6"/>
                <w:lang w:eastAsia="en-AU"/>
              </w:rPr>
              <w:t>Active ingredients</w:t>
            </w:r>
            <w:r w:rsidR="0032583B" w:rsidRPr="00203A30">
              <w:rPr>
                <w:color w:val="006BA6"/>
                <w:lang w:eastAsia="en-AU"/>
              </w:rPr>
              <w:t xml:space="preserve">: </w:t>
            </w:r>
            <w:r w:rsidR="000E2A3D" w:rsidRPr="00203A30">
              <w:rPr>
                <w:color w:val="006BA6"/>
                <w:lang w:eastAsia="en-AU"/>
              </w:rPr>
              <w:t>Daunorubicin/cytarabine</w:t>
            </w:r>
          </w:p>
        </w:tc>
      </w:tr>
      <w:tr w:rsidR="0032583B" w:rsidRPr="00D44064" w14:paraId="4ABAE183" w14:textId="77777777" w:rsidTr="00203A30">
        <w:trPr>
          <w:trHeight w:val="1282"/>
        </w:trPr>
        <w:tc>
          <w:tcPr>
            <w:tcW w:w="9079" w:type="dxa"/>
          </w:tcPr>
          <w:p w14:paraId="76C3A5C1" w14:textId="69A65BF4" w:rsidR="0032583B" w:rsidRPr="00203A30" w:rsidRDefault="00460036" w:rsidP="00203A30">
            <w:pPr>
              <w:pStyle w:val="Subtitle"/>
              <w:framePr w:hSpace="0" w:wrap="auto" w:vAnchor="margin" w:yAlign="inline"/>
              <w:numPr>
                <w:ilvl w:val="0"/>
                <w:numId w:val="0"/>
              </w:numPr>
              <w:spacing w:before="0" w:after="0"/>
              <w:rPr>
                <w:color w:val="006BA6"/>
                <w:lang w:eastAsia="en-AU"/>
              </w:rPr>
            </w:pPr>
            <w:r w:rsidRPr="00203A30">
              <w:rPr>
                <w:color w:val="006BA6"/>
                <w:lang w:eastAsia="en-AU"/>
              </w:rPr>
              <w:t xml:space="preserve">Sponsor: </w:t>
            </w:r>
            <w:r w:rsidR="00461D89" w:rsidRPr="00203A30">
              <w:rPr>
                <w:color w:val="006BA6"/>
                <w:lang w:eastAsia="en-AU"/>
              </w:rPr>
              <w:t>Jazz Pharmaceuticals ANZ Pty Ltd</w:t>
            </w:r>
          </w:p>
        </w:tc>
      </w:tr>
      <w:tr w:rsidR="00203A30" w:rsidRPr="00D44064" w14:paraId="1190C259" w14:textId="77777777" w:rsidTr="0032583B">
        <w:trPr>
          <w:trHeight w:val="486"/>
        </w:trPr>
        <w:tc>
          <w:tcPr>
            <w:tcW w:w="9079" w:type="dxa"/>
          </w:tcPr>
          <w:p w14:paraId="252B84C2" w14:textId="37E8C987" w:rsidR="00203A30" w:rsidRPr="00203A30" w:rsidRDefault="00203A30" w:rsidP="00203A30">
            <w:pPr>
              <w:pStyle w:val="Date"/>
              <w:framePr w:hSpace="0" w:wrap="auto" w:vAnchor="margin" w:hAnchor="text" w:yAlign="inline"/>
              <w:spacing w:after="0"/>
              <w:suppressOverlap w:val="0"/>
              <w:rPr>
                <w:color w:val="006BA6"/>
                <w:lang w:eastAsia="en-AU"/>
              </w:rPr>
            </w:pPr>
            <w:r w:rsidRPr="00203A30">
              <w:rPr>
                <w:rFonts w:cs="Times New Roman"/>
                <w:b w:val="0"/>
                <w:color w:val="333F4A"/>
                <w:sz w:val="28"/>
                <w:szCs w:val="21"/>
                <w:lang w:eastAsia="en-AU"/>
              </w:rPr>
              <w:t>February 2023</w:t>
            </w:r>
          </w:p>
        </w:tc>
      </w:tr>
    </w:tbl>
    <w:p w14:paraId="7E6A36ED" w14:textId="77777777" w:rsidR="008E7846" w:rsidRPr="00D44064" w:rsidRDefault="008E7846" w:rsidP="0085156D">
      <w:r w:rsidRPr="00D44064">
        <w:br w:type="page"/>
      </w:r>
    </w:p>
    <w:p w14:paraId="4BCA2838" w14:textId="77777777" w:rsidR="008E7846" w:rsidRPr="00D44064" w:rsidRDefault="008E7846" w:rsidP="008E7846">
      <w:pPr>
        <w:pStyle w:val="NonTOCHeading2"/>
      </w:pPr>
      <w:r w:rsidRPr="00D44064">
        <w:lastRenderedPageBreak/>
        <w:t>About the Therapeutic Goods Administration (TGA)</w:t>
      </w:r>
    </w:p>
    <w:p w14:paraId="2575CB94" w14:textId="77777777" w:rsidR="00AF2313" w:rsidRPr="00D44064" w:rsidRDefault="00AF2313" w:rsidP="00AF2313">
      <w:pPr>
        <w:pStyle w:val="ListBullet"/>
      </w:pPr>
      <w:r w:rsidRPr="00D44064">
        <w:t>The Therapeutic Goods Administration (TGA) is part of the Australian Government Department of Health and is responsible for regulating therapeutic goods, including medicines, medical devices, and biologicals.</w:t>
      </w:r>
    </w:p>
    <w:p w14:paraId="330FC170" w14:textId="77777777" w:rsidR="00AF2313" w:rsidRPr="00D44064" w:rsidRDefault="00AF2313" w:rsidP="00AF2313">
      <w:pPr>
        <w:pStyle w:val="ListBullet"/>
      </w:pPr>
      <w:r w:rsidRPr="00D44064">
        <w:t xml:space="preserve">The TGA administers the </w:t>
      </w:r>
      <w:r w:rsidRPr="00D44064">
        <w:rPr>
          <w:i/>
          <w:iCs/>
        </w:rPr>
        <w:t>Therapeutic Goods Act 1989</w:t>
      </w:r>
      <w:r w:rsidRPr="00D44064">
        <w:t xml:space="preserve"> (the Act), applying a risk management approach designed to ensure therapeutic goods supplied in Australia meet acceptable standards of quality, </w:t>
      </w:r>
      <w:r w:rsidR="00CC5044" w:rsidRPr="00D44064">
        <w:t>safety,</w:t>
      </w:r>
      <w:r w:rsidRPr="00D44064">
        <w:t xml:space="preserve"> and efficacy.</w:t>
      </w:r>
    </w:p>
    <w:p w14:paraId="7E7CA2E7" w14:textId="77777777" w:rsidR="00AF2313" w:rsidRPr="00D44064" w:rsidRDefault="00AF2313" w:rsidP="00AF2313">
      <w:pPr>
        <w:pStyle w:val="ListBullet"/>
      </w:pPr>
      <w:r w:rsidRPr="00D44064">
        <w:t>The work of the TGA is based on applying scientific and clinical expertise to decision-making, to ensure that the benefits to the Australian public outweigh any risks associated with the use of therapeutic goods.</w:t>
      </w:r>
    </w:p>
    <w:p w14:paraId="0E82611F" w14:textId="77777777" w:rsidR="00AF2313" w:rsidRPr="00D44064" w:rsidRDefault="00AF2313" w:rsidP="00AF2313">
      <w:pPr>
        <w:pStyle w:val="ListBullet"/>
      </w:pPr>
      <w:r w:rsidRPr="00D44064">
        <w:t>The TGA relies on the public, healthcare professionals and industry to report problems with therapeutic goods. The TGA investigates reports received to determine any necessary regulatory action.</w:t>
      </w:r>
    </w:p>
    <w:p w14:paraId="3AD496A3" w14:textId="31677FEB" w:rsidR="00AF2313" w:rsidRPr="00D44064" w:rsidRDefault="00AF2313" w:rsidP="00AF2313">
      <w:pPr>
        <w:pStyle w:val="ListBullet"/>
      </w:pPr>
      <w:r w:rsidRPr="00D44064">
        <w:t xml:space="preserve">To report a problem with a therapeutic good, please see the information on the </w:t>
      </w:r>
      <w:hyperlink r:id="rId8" w:history="1">
        <w:r w:rsidRPr="00D44064">
          <w:rPr>
            <w:rStyle w:val="Hyperlink"/>
          </w:rPr>
          <w:t>TGA website</w:t>
        </w:r>
      </w:hyperlink>
      <w:r w:rsidRPr="00D44064">
        <w:t>.</w:t>
      </w:r>
    </w:p>
    <w:p w14:paraId="08A3C3C9" w14:textId="77777777" w:rsidR="008E7846" w:rsidRPr="00D44064" w:rsidRDefault="008E7846" w:rsidP="00875A6B">
      <w:pPr>
        <w:pStyle w:val="NonTOCHeading2"/>
      </w:pPr>
      <w:r w:rsidRPr="00D44064">
        <w:t xml:space="preserve">About </w:t>
      </w:r>
      <w:proofErr w:type="spellStart"/>
      <w:r w:rsidRPr="00D44064">
        <w:t>AusPARs</w:t>
      </w:r>
      <w:proofErr w:type="spellEnd"/>
    </w:p>
    <w:p w14:paraId="0D9A9DF6" w14:textId="6AA3351B" w:rsidR="00AF2313" w:rsidRPr="00D44064" w:rsidRDefault="00AF2313" w:rsidP="00AF2313">
      <w:pPr>
        <w:pStyle w:val="ListBullet"/>
      </w:pPr>
      <w:r w:rsidRPr="00D44064">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9" w:history="1">
        <w:r w:rsidRPr="00D44064">
          <w:rPr>
            <w:rStyle w:val="Hyperlink"/>
          </w:rPr>
          <w:t>Australian Public Assessment Report (AusPAR) guidance</w:t>
        </w:r>
      </w:hyperlink>
      <w:r w:rsidRPr="00D44064">
        <w:t>.</w:t>
      </w:r>
    </w:p>
    <w:p w14:paraId="7FAA92B9" w14:textId="77777777" w:rsidR="00AF2313" w:rsidRPr="00D44064" w:rsidRDefault="00AF2313" w:rsidP="00AF2313">
      <w:pPr>
        <w:pStyle w:val="ListBullet"/>
      </w:pPr>
      <w:proofErr w:type="spellStart"/>
      <w:r w:rsidRPr="00D44064">
        <w:t>AusPARs</w:t>
      </w:r>
      <w:proofErr w:type="spellEnd"/>
      <w:r w:rsidRPr="00D44064">
        <w:t xml:space="preserve"> are prepared and published by the TGA.</w:t>
      </w:r>
    </w:p>
    <w:p w14:paraId="4DCBB16D" w14:textId="77777777" w:rsidR="00AF2313" w:rsidRPr="00D44064" w:rsidRDefault="00AF2313" w:rsidP="00AF2313">
      <w:pPr>
        <w:pStyle w:val="ListBullet"/>
      </w:pPr>
      <w:proofErr w:type="spellStart"/>
      <w:r w:rsidRPr="00D44064">
        <w:t>AusPARs</w:t>
      </w:r>
      <w:proofErr w:type="spellEnd"/>
      <w:r w:rsidRPr="00D44064">
        <w:t xml:space="preserve"> are static documents that provide information that relates to a submission at a particular point in time.</w:t>
      </w:r>
      <w:r w:rsidR="008110BC" w:rsidRPr="00D44064">
        <w:t xml:space="preserve"> The publication of an AusPAR is an important part of the transparency of the TGA’s decision-making process.</w:t>
      </w:r>
    </w:p>
    <w:p w14:paraId="1A6283EF" w14:textId="77777777" w:rsidR="00AF2313" w:rsidRPr="00D44064" w:rsidRDefault="00AF2313" w:rsidP="00AF2313">
      <w:pPr>
        <w:pStyle w:val="ListBullet"/>
      </w:pPr>
      <w:r w:rsidRPr="00D44064">
        <w:t>A new AusPAR may be provided to reflect changes to indications or major variations to a prescription medicine subject to evaluation by the TGA.</w:t>
      </w:r>
    </w:p>
    <w:p w14:paraId="506C196D" w14:textId="77777777" w:rsidR="00924482" w:rsidRPr="00D44064" w:rsidRDefault="00924482" w:rsidP="00F54B65">
      <w:pPr>
        <w:pStyle w:val="LegalSubheading"/>
        <w:spacing w:before="3120"/>
      </w:pPr>
      <w:r w:rsidRPr="00D44064">
        <w:t>Copyright</w:t>
      </w:r>
    </w:p>
    <w:p w14:paraId="5E184DE0" w14:textId="12394BBE" w:rsidR="00924482" w:rsidRPr="00D44064" w:rsidRDefault="00924482" w:rsidP="00924482">
      <w:pPr>
        <w:pStyle w:val="LegalCopy"/>
      </w:pPr>
      <w:r w:rsidRPr="00D44064">
        <w:rPr>
          <w:rFonts w:cs="Arial"/>
          <w:lang w:val="en-GB"/>
        </w:rPr>
        <w:t>© Commonwealth of Australia 20</w:t>
      </w:r>
      <w:r w:rsidR="00460036" w:rsidRPr="00D44064">
        <w:rPr>
          <w:rFonts w:cs="Arial"/>
          <w:lang w:val="en-GB"/>
        </w:rPr>
        <w:t>2</w:t>
      </w:r>
      <w:r w:rsidR="00A464E8">
        <w:rPr>
          <w:rFonts w:cs="Arial"/>
          <w:lang w:val="en-GB"/>
        </w:rPr>
        <w:t>3</w:t>
      </w:r>
      <w:r w:rsidRPr="00D44064">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D44064">
        <w:rPr>
          <w:rFonts w:cs="Arial"/>
          <w:i/>
          <w:lang w:val="en-GB"/>
        </w:rPr>
        <w:t>Copyright Act 1968</w:t>
      </w:r>
      <w:r w:rsidRPr="00D44064">
        <w:rPr>
          <w:rFonts w:cs="Arial"/>
          <w:lang w:val="en-GB"/>
        </w:rPr>
        <w:t xml:space="preserve"> or allowed by this copyright notice, all other rights are </w:t>
      </w:r>
      <w:r w:rsidR="00EB36D6" w:rsidRPr="00D44064">
        <w:rPr>
          <w:rFonts w:cs="Arial"/>
          <w:lang w:val="en-GB"/>
        </w:rPr>
        <w:t>reserved,</w:t>
      </w:r>
      <w:r w:rsidRPr="00D44064">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D44064">
        <w:rPr>
          <w:rFonts w:cs="Arial"/>
          <w:lang w:val="en-GB"/>
        </w:rPr>
        <w:t>Woden</w:t>
      </w:r>
      <w:proofErr w:type="spellEnd"/>
      <w:r w:rsidRPr="00D44064">
        <w:rPr>
          <w:rFonts w:cs="Arial"/>
          <w:lang w:val="en-GB"/>
        </w:rPr>
        <w:t xml:space="preserve"> ACT 2606 or emailed to &lt;</w:t>
      </w:r>
      <w:hyperlink r:id="rId10" w:history="1">
        <w:r w:rsidRPr="00D44064">
          <w:rPr>
            <w:rStyle w:val="Hyperlink"/>
            <w:rFonts w:cs="Arial"/>
            <w:lang w:val="en-GB"/>
          </w:rPr>
          <w:t>tga.copyright@tga.gov.au</w:t>
        </w:r>
      </w:hyperlink>
      <w:r w:rsidRPr="00D44064">
        <w:rPr>
          <w:rFonts w:cs="Arial"/>
        </w:rPr>
        <w:t>&gt;.</w:t>
      </w:r>
    </w:p>
    <w:p w14:paraId="65707E10" w14:textId="77777777" w:rsidR="00924482" w:rsidRPr="00D44064" w:rsidRDefault="00924482" w:rsidP="00924482">
      <w:pPr>
        <w:pStyle w:val="LegalCopy"/>
        <w:sectPr w:rsidR="00924482" w:rsidRPr="00D44064"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27A11709" w14:textId="77777777" w:rsidR="0089635C" w:rsidRPr="00D44064" w:rsidRDefault="0089635C" w:rsidP="0010788A">
          <w:pPr>
            <w:pStyle w:val="Contents"/>
          </w:pPr>
          <w:r w:rsidRPr="00D44064">
            <w:t>Contents</w:t>
          </w:r>
        </w:p>
        <w:p w14:paraId="009EB72F" w14:textId="2A00C0DB" w:rsidR="00A464E8" w:rsidRDefault="00C525A2">
          <w:pPr>
            <w:pStyle w:val="TOC1"/>
            <w:rPr>
              <w:rFonts w:asciiTheme="minorHAnsi" w:eastAsiaTheme="minorEastAsia" w:hAnsiTheme="minorHAnsi" w:cstheme="minorBidi"/>
              <w:b w:val="0"/>
              <w:noProof/>
              <w:sz w:val="22"/>
              <w:lang w:eastAsia="en-AU"/>
            </w:rPr>
          </w:pPr>
          <w:r w:rsidRPr="00D44064">
            <w:fldChar w:fldCharType="begin"/>
          </w:r>
          <w:r w:rsidRPr="00D44064">
            <w:instrText xml:space="preserve"> TOC \h \z \t "Heading 2,1,Heading 3,2" </w:instrText>
          </w:r>
          <w:r w:rsidRPr="00D44064">
            <w:fldChar w:fldCharType="separate"/>
          </w:r>
          <w:hyperlink w:anchor="_Toc126589455" w:history="1">
            <w:r w:rsidR="00A464E8" w:rsidRPr="00A95CFF">
              <w:rPr>
                <w:rStyle w:val="Hyperlink"/>
                <w:noProof/>
              </w:rPr>
              <w:t>List of abbreviations</w:t>
            </w:r>
            <w:r w:rsidR="00A464E8">
              <w:rPr>
                <w:noProof/>
                <w:webHidden/>
              </w:rPr>
              <w:tab/>
            </w:r>
            <w:r w:rsidR="00A464E8">
              <w:rPr>
                <w:noProof/>
                <w:webHidden/>
              </w:rPr>
              <w:fldChar w:fldCharType="begin"/>
            </w:r>
            <w:r w:rsidR="00A464E8">
              <w:rPr>
                <w:noProof/>
                <w:webHidden/>
              </w:rPr>
              <w:instrText xml:space="preserve"> PAGEREF _Toc126589455 \h </w:instrText>
            </w:r>
            <w:r w:rsidR="00A464E8">
              <w:rPr>
                <w:noProof/>
                <w:webHidden/>
              </w:rPr>
            </w:r>
            <w:r w:rsidR="00A464E8">
              <w:rPr>
                <w:noProof/>
                <w:webHidden/>
              </w:rPr>
              <w:fldChar w:fldCharType="separate"/>
            </w:r>
            <w:r w:rsidR="00A464E8">
              <w:rPr>
                <w:noProof/>
                <w:webHidden/>
              </w:rPr>
              <w:t>4</w:t>
            </w:r>
            <w:r w:rsidR="00A464E8">
              <w:rPr>
                <w:noProof/>
                <w:webHidden/>
              </w:rPr>
              <w:fldChar w:fldCharType="end"/>
            </w:r>
          </w:hyperlink>
        </w:p>
        <w:p w14:paraId="63E63906" w14:textId="732E36CB" w:rsidR="00A464E8" w:rsidRDefault="00B403C7">
          <w:pPr>
            <w:pStyle w:val="TOC1"/>
            <w:rPr>
              <w:rFonts w:asciiTheme="minorHAnsi" w:eastAsiaTheme="minorEastAsia" w:hAnsiTheme="minorHAnsi" w:cstheme="minorBidi"/>
              <w:b w:val="0"/>
              <w:noProof/>
              <w:sz w:val="22"/>
              <w:lang w:eastAsia="en-AU"/>
            </w:rPr>
          </w:pPr>
          <w:hyperlink w:anchor="_Toc126589456" w:history="1">
            <w:r w:rsidR="00A464E8" w:rsidRPr="00A95CFF">
              <w:rPr>
                <w:rStyle w:val="Hyperlink"/>
                <w:noProof/>
              </w:rPr>
              <w:t>Product submission</w:t>
            </w:r>
            <w:r w:rsidR="00A464E8">
              <w:rPr>
                <w:noProof/>
                <w:webHidden/>
              </w:rPr>
              <w:tab/>
            </w:r>
            <w:r w:rsidR="00A464E8">
              <w:rPr>
                <w:noProof/>
                <w:webHidden/>
              </w:rPr>
              <w:fldChar w:fldCharType="begin"/>
            </w:r>
            <w:r w:rsidR="00A464E8">
              <w:rPr>
                <w:noProof/>
                <w:webHidden/>
              </w:rPr>
              <w:instrText xml:space="preserve"> PAGEREF _Toc126589456 \h </w:instrText>
            </w:r>
            <w:r w:rsidR="00A464E8">
              <w:rPr>
                <w:noProof/>
                <w:webHidden/>
              </w:rPr>
            </w:r>
            <w:r w:rsidR="00A464E8">
              <w:rPr>
                <w:noProof/>
                <w:webHidden/>
              </w:rPr>
              <w:fldChar w:fldCharType="separate"/>
            </w:r>
            <w:r w:rsidR="00A464E8">
              <w:rPr>
                <w:noProof/>
                <w:webHidden/>
              </w:rPr>
              <w:t>5</w:t>
            </w:r>
            <w:r w:rsidR="00A464E8">
              <w:rPr>
                <w:noProof/>
                <w:webHidden/>
              </w:rPr>
              <w:fldChar w:fldCharType="end"/>
            </w:r>
          </w:hyperlink>
        </w:p>
        <w:p w14:paraId="122688CE" w14:textId="49D937B6" w:rsidR="00A464E8" w:rsidRDefault="00B403C7">
          <w:pPr>
            <w:pStyle w:val="TOC2"/>
            <w:rPr>
              <w:rFonts w:asciiTheme="minorHAnsi" w:eastAsiaTheme="minorEastAsia" w:hAnsiTheme="minorHAnsi" w:cstheme="minorBidi"/>
              <w:b w:val="0"/>
              <w:noProof/>
              <w:sz w:val="22"/>
              <w:lang w:eastAsia="en-AU"/>
            </w:rPr>
          </w:pPr>
          <w:hyperlink w:anchor="_Toc126589457" w:history="1">
            <w:r w:rsidR="00A464E8" w:rsidRPr="00A95CFF">
              <w:rPr>
                <w:rStyle w:val="Hyperlink"/>
                <w:noProof/>
                <w:lang w:eastAsia="en-AU"/>
              </w:rPr>
              <w:t>Submission details</w:t>
            </w:r>
            <w:r w:rsidR="00A464E8">
              <w:rPr>
                <w:noProof/>
                <w:webHidden/>
              </w:rPr>
              <w:tab/>
            </w:r>
            <w:r w:rsidR="00A464E8">
              <w:rPr>
                <w:noProof/>
                <w:webHidden/>
              </w:rPr>
              <w:fldChar w:fldCharType="begin"/>
            </w:r>
            <w:r w:rsidR="00A464E8">
              <w:rPr>
                <w:noProof/>
                <w:webHidden/>
              </w:rPr>
              <w:instrText xml:space="preserve"> PAGEREF _Toc126589457 \h </w:instrText>
            </w:r>
            <w:r w:rsidR="00A464E8">
              <w:rPr>
                <w:noProof/>
                <w:webHidden/>
              </w:rPr>
            </w:r>
            <w:r w:rsidR="00A464E8">
              <w:rPr>
                <w:noProof/>
                <w:webHidden/>
              </w:rPr>
              <w:fldChar w:fldCharType="separate"/>
            </w:r>
            <w:r w:rsidR="00A464E8">
              <w:rPr>
                <w:noProof/>
                <w:webHidden/>
              </w:rPr>
              <w:t>5</w:t>
            </w:r>
            <w:r w:rsidR="00A464E8">
              <w:rPr>
                <w:noProof/>
                <w:webHidden/>
              </w:rPr>
              <w:fldChar w:fldCharType="end"/>
            </w:r>
          </w:hyperlink>
        </w:p>
        <w:p w14:paraId="6B5AFBCF" w14:textId="68658201" w:rsidR="00A464E8" w:rsidRDefault="00B403C7">
          <w:pPr>
            <w:pStyle w:val="TOC2"/>
            <w:rPr>
              <w:rFonts w:asciiTheme="minorHAnsi" w:eastAsiaTheme="minorEastAsia" w:hAnsiTheme="minorHAnsi" w:cstheme="minorBidi"/>
              <w:b w:val="0"/>
              <w:noProof/>
              <w:sz w:val="22"/>
              <w:lang w:eastAsia="en-AU"/>
            </w:rPr>
          </w:pPr>
          <w:hyperlink w:anchor="_Toc126589458" w:history="1">
            <w:r w:rsidR="00A464E8" w:rsidRPr="00A95CFF">
              <w:rPr>
                <w:rStyle w:val="Hyperlink"/>
                <w:noProof/>
              </w:rPr>
              <w:t>Product background</w:t>
            </w:r>
            <w:r w:rsidR="00A464E8">
              <w:rPr>
                <w:noProof/>
                <w:webHidden/>
              </w:rPr>
              <w:tab/>
            </w:r>
            <w:r w:rsidR="00A464E8">
              <w:rPr>
                <w:noProof/>
                <w:webHidden/>
              </w:rPr>
              <w:fldChar w:fldCharType="begin"/>
            </w:r>
            <w:r w:rsidR="00A464E8">
              <w:rPr>
                <w:noProof/>
                <w:webHidden/>
              </w:rPr>
              <w:instrText xml:space="preserve"> PAGEREF _Toc126589458 \h </w:instrText>
            </w:r>
            <w:r w:rsidR="00A464E8">
              <w:rPr>
                <w:noProof/>
                <w:webHidden/>
              </w:rPr>
            </w:r>
            <w:r w:rsidR="00A464E8">
              <w:rPr>
                <w:noProof/>
                <w:webHidden/>
              </w:rPr>
              <w:fldChar w:fldCharType="separate"/>
            </w:r>
            <w:r w:rsidR="00A464E8">
              <w:rPr>
                <w:noProof/>
                <w:webHidden/>
              </w:rPr>
              <w:t>6</w:t>
            </w:r>
            <w:r w:rsidR="00A464E8">
              <w:rPr>
                <w:noProof/>
                <w:webHidden/>
              </w:rPr>
              <w:fldChar w:fldCharType="end"/>
            </w:r>
          </w:hyperlink>
        </w:p>
        <w:p w14:paraId="1C7B1E26" w14:textId="16AD76DB" w:rsidR="00A464E8" w:rsidRDefault="00B403C7">
          <w:pPr>
            <w:pStyle w:val="TOC2"/>
            <w:rPr>
              <w:rFonts w:asciiTheme="minorHAnsi" w:eastAsiaTheme="minorEastAsia" w:hAnsiTheme="minorHAnsi" w:cstheme="minorBidi"/>
              <w:b w:val="0"/>
              <w:noProof/>
              <w:sz w:val="22"/>
              <w:lang w:eastAsia="en-AU"/>
            </w:rPr>
          </w:pPr>
          <w:hyperlink w:anchor="_Toc126589459" w:history="1">
            <w:r w:rsidR="00A464E8" w:rsidRPr="00A95CFF">
              <w:rPr>
                <w:rStyle w:val="Hyperlink"/>
                <w:noProof/>
              </w:rPr>
              <w:t>Regulatory status</w:t>
            </w:r>
            <w:r w:rsidR="00A464E8">
              <w:rPr>
                <w:noProof/>
                <w:webHidden/>
              </w:rPr>
              <w:tab/>
            </w:r>
            <w:r w:rsidR="00A464E8">
              <w:rPr>
                <w:noProof/>
                <w:webHidden/>
              </w:rPr>
              <w:fldChar w:fldCharType="begin"/>
            </w:r>
            <w:r w:rsidR="00A464E8">
              <w:rPr>
                <w:noProof/>
                <w:webHidden/>
              </w:rPr>
              <w:instrText xml:space="preserve"> PAGEREF _Toc126589459 \h </w:instrText>
            </w:r>
            <w:r w:rsidR="00A464E8">
              <w:rPr>
                <w:noProof/>
                <w:webHidden/>
              </w:rPr>
            </w:r>
            <w:r w:rsidR="00A464E8">
              <w:rPr>
                <w:noProof/>
                <w:webHidden/>
              </w:rPr>
              <w:fldChar w:fldCharType="separate"/>
            </w:r>
            <w:r w:rsidR="00A464E8">
              <w:rPr>
                <w:noProof/>
                <w:webHidden/>
              </w:rPr>
              <w:t>8</w:t>
            </w:r>
            <w:r w:rsidR="00A464E8">
              <w:rPr>
                <w:noProof/>
                <w:webHidden/>
              </w:rPr>
              <w:fldChar w:fldCharType="end"/>
            </w:r>
          </w:hyperlink>
        </w:p>
        <w:p w14:paraId="3A406BA6" w14:textId="764F26C1" w:rsidR="00A464E8" w:rsidRDefault="00B403C7">
          <w:pPr>
            <w:pStyle w:val="TOC2"/>
            <w:rPr>
              <w:rFonts w:asciiTheme="minorHAnsi" w:eastAsiaTheme="minorEastAsia" w:hAnsiTheme="minorHAnsi" w:cstheme="minorBidi"/>
              <w:b w:val="0"/>
              <w:noProof/>
              <w:sz w:val="22"/>
              <w:lang w:eastAsia="en-AU"/>
            </w:rPr>
          </w:pPr>
          <w:hyperlink w:anchor="_Toc126589460" w:history="1">
            <w:r w:rsidR="00A464E8" w:rsidRPr="00A95CFF">
              <w:rPr>
                <w:rStyle w:val="Hyperlink"/>
                <w:noProof/>
              </w:rPr>
              <w:t>Product Information</w:t>
            </w:r>
            <w:r w:rsidR="00A464E8">
              <w:rPr>
                <w:noProof/>
                <w:webHidden/>
              </w:rPr>
              <w:tab/>
            </w:r>
            <w:r w:rsidR="00A464E8">
              <w:rPr>
                <w:noProof/>
                <w:webHidden/>
              </w:rPr>
              <w:fldChar w:fldCharType="begin"/>
            </w:r>
            <w:r w:rsidR="00A464E8">
              <w:rPr>
                <w:noProof/>
                <w:webHidden/>
              </w:rPr>
              <w:instrText xml:space="preserve"> PAGEREF _Toc126589460 \h </w:instrText>
            </w:r>
            <w:r w:rsidR="00A464E8">
              <w:rPr>
                <w:noProof/>
                <w:webHidden/>
              </w:rPr>
            </w:r>
            <w:r w:rsidR="00A464E8">
              <w:rPr>
                <w:noProof/>
                <w:webHidden/>
              </w:rPr>
              <w:fldChar w:fldCharType="separate"/>
            </w:r>
            <w:r w:rsidR="00A464E8">
              <w:rPr>
                <w:noProof/>
                <w:webHidden/>
              </w:rPr>
              <w:t>9</w:t>
            </w:r>
            <w:r w:rsidR="00A464E8">
              <w:rPr>
                <w:noProof/>
                <w:webHidden/>
              </w:rPr>
              <w:fldChar w:fldCharType="end"/>
            </w:r>
          </w:hyperlink>
        </w:p>
        <w:p w14:paraId="546EA2F5" w14:textId="2FD023EE" w:rsidR="00A464E8" w:rsidRDefault="00B403C7">
          <w:pPr>
            <w:pStyle w:val="TOC1"/>
            <w:rPr>
              <w:rFonts w:asciiTheme="minorHAnsi" w:eastAsiaTheme="minorEastAsia" w:hAnsiTheme="minorHAnsi" w:cstheme="minorBidi"/>
              <w:b w:val="0"/>
              <w:noProof/>
              <w:sz w:val="22"/>
              <w:lang w:eastAsia="en-AU"/>
            </w:rPr>
          </w:pPr>
          <w:hyperlink w:anchor="_Toc126589461" w:history="1">
            <w:r w:rsidR="00A464E8" w:rsidRPr="00A95CFF">
              <w:rPr>
                <w:rStyle w:val="Hyperlink"/>
                <w:noProof/>
              </w:rPr>
              <w:t>Registration timeline</w:t>
            </w:r>
            <w:r w:rsidR="00A464E8">
              <w:rPr>
                <w:noProof/>
                <w:webHidden/>
              </w:rPr>
              <w:tab/>
            </w:r>
            <w:r w:rsidR="00A464E8">
              <w:rPr>
                <w:noProof/>
                <w:webHidden/>
              </w:rPr>
              <w:fldChar w:fldCharType="begin"/>
            </w:r>
            <w:r w:rsidR="00A464E8">
              <w:rPr>
                <w:noProof/>
                <w:webHidden/>
              </w:rPr>
              <w:instrText xml:space="preserve"> PAGEREF _Toc126589461 \h </w:instrText>
            </w:r>
            <w:r w:rsidR="00A464E8">
              <w:rPr>
                <w:noProof/>
                <w:webHidden/>
              </w:rPr>
            </w:r>
            <w:r w:rsidR="00A464E8">
              <w:rPr>
                <w:noProof/>
                <w:webHidden/>
              </w:rPr>
              <w:fldChar w:fldCharType="separate"/>
            </w:r>
            <w:r w:rsidR="00A464E8">
              <w:rPr>
                <w:noProof/>
                <w:webHidden/>
              </w:rPr>
              <w:t>9</w:t>
            </w:r>
            <w:r w:rsidR="00A464E8">
              <w:rPr>
                <w:noProof/>
                <w:webHidden/>
              </w:rPr>
              <w:fldChar w:fldCharType="end"/>
            </w:r>
          </w:hyperlink>
        </w:p>
        <w:p w14:paraId="336E812C" w14:textId="6DAA39B2" w:rsidR="00A464E8" w:rsidRDefault="00B403C7">
          <w:pPr>
            <w:pStyle w:val="TOC1"/>
            <w:rPr>
              <w:rFonts w:asciiTheme="minorHAnsi" w:eastAsiaTheme="minorEastAsia" w:hAnsiTheme="minorHAnsi" w:cstheme="minorBidi"/>
              <w:b w:val="0"/>
              <w:noProof/>
              <w:sz w:val="22"/>
              <w:lang w:eastAsia="en-AU"/>
            </w:rPr>
          </w:pPr>
          <w:hyperlink w:anchor="_Toc126589462" w:history="1">
            <w:r w:rsidR="00A464E8" w:rsidRPr="00A95CFF">
              <w:rPr>
                <w:rStyle w:val="Hyperlink"/>
                <w:noProof/>
              </w:rPr>
              <w:t>Submission overview and risk/benefit assessment</w:t>
            </w:r>
            <w:r w:rsidR="00A464E8">
              <w:rPr>
                <w:noProof/>
                <w:webHidden/>
              </w:rPr>
              <w:tab/>
            </w:r>
            <w:r w:rsidR="00A464E8">
              <w:rPr>
                <w:noProof/>
                <w:webHidden/>
              </w:rPr>
              <w:fldChar w:fldCharType="begin"/>
            </w:r>
            <w:r w:rsidR="00A464E8">
              <w:rPr>
                <w:noProof/>
                <w:webHidden/>
              </w:rPr>
              <w:instrText xml:space="preserve"> PAGEREF _Toc126589462 \h </w:instrText>
            </w:r>
            <w:r w:rsidR="00A464E8">
              <w:rPr>
                <w:noProof/>
                <w:webHidden/>
              </w:rPr>
            </w:r>
            <w:r w:rsidR="00A464E8">
              <w:rPr>
                <w:noProof/>
                <w:webHidden/>
              </w:rPr>
              <w:fldChar w:fldCharType="separate"/>
            </w:r>
            <w:r w:rsidR="00A464E8">
              <w:rPr>
                <w:noProof/>
                <w:webHidden/>
              </w:rPr>
              <w:t>9</w:t>
            </w:r>
            <w:r w:rsidR="00A464E8">
              <w:rPr>
                <w:noProof/>
                <w:webHidden/>
              </w:rPr>
              <w:fldChar w:fldCharType="end"/>
            </w:r>
          </w:hyperlink>
        </w:p>
        <w:p w14:paraId="315E4B9A" w14:textId="46CF0F7C" w:rsidR="00A464E8" w:rsidRDefault="00B403C7">
          <w:pPr>
            <w:pStyle w:val="TOC2"/>
            <w:rPr>
              <w:rFonts w:asciiTheme="minorHAnsi" w:eastAsiaTheme="minorEastAsia" w:hAnsiTheme="minorHAnsi" w:cstheme="minorBidi"/>
              <w:b w:val="0"/>
              <w:noProof/>
              <w:sz w:val="22"/>
              <w:lang w:eastAsia="en-AU"/>
            </w:rPr>
          </w:pPr>
          <w:hyperlink w:anchor="_Toc126589463" w:history="1">
            <w:r w:rsidR="00A464E8" w:rsidRPr="00A95CFF">
              <w:rPr>
                <w:rStyle w:val="Hyperlink"/>
                <w:noProof/>
              </w:rPr>
              <w:t>Quality</w:t>
            </w:r>
            <w:r w:rsidR="00A464E8">
              <w:rPr>
                <w:noProof/>
                <w:webHidden/>
              </w:rPr>
              <w:tab/>
            </w:r>
            <w:r w:rsidR="00A464E8">
              <w:rPr>
                <w:noProof/>
                <w:webHidden/>
              </w:rPr>
              <w:fldChar w:fldCharType="begin"/>
            </w:r>
            <w:r w:rsidR="00A464E8">
              <w:rPr>
                <w:noProof/>
                <w:webHidden/>
              </w:rPr>
              <w:instrText xml:space="preserve"> PAGEREF _Toc126589463 \h </w:instrText>
            </w:r>
            <w:r w:rsidR="00A464E8">
              <w:rPr>
                <w:noProof/>
                <w:webHidden/>
              </w:rPr>
            </w:r>
            <w:r w:rsidR="00A464E8">
              <w:rPr>
                <w:noProof/>
                <w:webHidden/>
              </w:rPr>
              <w:fldChar w:fldCharType="separate"/>
            </w:r>
            <w:r w:rsidR="00A464E8">
              <w:rPr>
                <w:noProof/>
                <w:webHidden/>
              </w:rPr>
              <w:t>10</w:t>
            </w:r>
            <w:r w:rsidR="00A464E8">
              <w:rPr>
                <w:noProof/>
                <w:webHidden/>
              </w:rPr>
              <w:fldChar w:fldCharType="end"/>
            </w:r>
          </w:hyperlink>
        </w:p>
        <w:p w14:paraId="09872BE4" w14:textId="64410150" w:rsidR="00A464E8" w:rsidRDefault="00B403C7">
          <w:pPr>
            <w:pStyle w:val="TOC2"/>
            <w:rPr>
              <w:rFonts w:asciiTheme="minorHAnsi" w:eastAsiaTheme="minorEastAsia" w:hAnsiTheme="minorHAnsi" w:cstheme="minorBidi"/>
              <w:b w:val="0"/>
              <w:noProof/>
              <w:sz w:val="22"/>
              <w:lang w:eastAsia="en-AU"/>
            </w:rPr>
          </w:pPr>
          <w:hyperlink w:anchor="_Toc126589464" w:history="1">
            <w:r w:rsidR="00A464E8" w:rsidRPr="00A95CFF">
              <w:rPr>
                <w:rStyle w:val="Hyperlink"/>
                <w:noProof/>
              </w:rPr>
              <w:t>Nonclinical</w:t>
            </w:r>
            <w:r w:rsidR="00A464E8">
              <w:rPr>
                <w:noProof/>
                <w:webHidden/>
              </w:rPr>
              <w:tab/>
            </w:r>
            <w:r w:rsidR="00A464E8">
              <w:rPr>
                <w:noProof/>
                <w:webHidden/>
              </w:rPr>
              <w:fldChar w:fldCharType="begin"/>
            </w:r>
            <w:r w:rsidR="00A464E8">
              <w:rPr>
                <w:noProof/>
                <w:webHidden/>
              </w:rPr>
              <w:instrText xml:space="preserve"> PAGEREF _Toc126589464 \h </w:instrText>
            </w:r>
            <w:r w:rsidR="00A464E8">
              <w:rPr>
                <w:noProof/>
                <w:webHidden/>
              </w:rPr>
            </w:r>
            <w:r w:rsidR="00A464E8">
              <w:rPr>
                <w:noProof/>
                <w:webHidden/>
              </w:rPr>
              <w:fldChar w:fldCharType="separate"/>
            </w:r>
            <w:r w:rsidR="00A464E8">
              <w:rPr>
                <w:noProof/>
                <w:webHidden/>
              </w:rPr>
              <w:t>11</w:t>
            </w:r>
            <w:r w:rsidR="00A464E8">
              <w:rPr>
                <w:noProof/>
                <w:webHidden/>
              </w:rPr>
              <w:fldChar w:fldCharType="end"/>
            </w:r>
          </w:hyperlink>
        </w:p>
        <w:p w14:paraId="21AB6E3F" w14:textId="1023F9C4" w:rsidR="00A464E8" w:rsidRDefault="00B403C7">
          <w:pPr>
            <w:pStyle w:val="TOC2"/>
            <w:rPr>
              <w:rFonts w:asciiTheme="minorHAnsi" w:eastAsiaTheme="minorEastAsia" w:hAnsiTheme="minorHAnsi" w:cstheme="minorBidi"/>
              <w:b w:val="0"/>
              <w:noProof/>
              <w:sz w:val="22"/>
              <w:lang w:eastAsia="en-AU"/>
            </w:rPr>
          </w:pPr>
          <w:hyperlink w:anchor="_Toc126589465" w:history="1">
            <w:r w:rsidR="00A464E8" w:rsidRPr="00A95CFF">
              <w:rPr>
                <w:rStyle w:val="Hyperlink"/>
                <w:noProof/>
              </w:rPr>
              <w:t>Clinical</w:t>
            </w:r>
            <w:r w:rsidR="00A464E8">
              <w:rPr>
                <w:noProof/>
                <w:webHidden/>
              </w:rPr>
              <w:tab/>
            </w:r>
            <w:r w:rsidR="00A464E8">
              <w:rPr>
                <w:noProof/>
                <w:webHidden/>
              </w:rPr>
              <w:fldChar w:fldCharType="begin"/>
            </w:r>
            <w:r w:rsidR="00A464E8">
              <w:rPr>
                <w:noProof/>
                <w:webHidden/>
              </w:rPr>
              <w:instrText xml:space="preserve"> PAGEREF _Toc126589465 \h </w:instrText>
            </w:r>
            <w:r w:rsidR="00A464E8">
              <w:rPr>
                <w:noProof/>
                <w:webHidden/>
              </w:rPr>
            </w:r>
            <w:r w:rsidR="00A464E8">
              <w:rPr>
                <w:noProof/>
                <w:webHidden/>
              </w:rPr>
              <w:fldChar w:fldCharType="separate"/>
            </w:r>
            <w:r w:rsidR="00A464E8">
              <w:rPr>
                <w:noProof/>
                <w:webHidden/>
              </w:rPr>
              <w:t>13</w:t>
            </w:r>
            <w:r w:rsidR="00A464E8">
              <w:rPr>
                <w:noProof/>
                <w:webHidden/>
              </w:rPr>
              <w:fldChar w:fldCharType="end"/>
            </w:r>
          </w:hyperlink>
        </w:p>
        <w:p w14:paraId="48B12501" w14:textId="70BE7B34" w:rsidR="00A464E8" w:rsidRDefault="00B403C7">
          <w:pPr>
            <w:pStyle w:val="TOC2"/>
            <w:rPr>
              <w:rFonts w:asciiTheme="minorHAnsi" w:eastAsiaTheme="minorEastAsia" w:hAnsiTheme="minorHAnsi" w:cstheme="minorBidi"/>
              <w:b w:val="0"/>
              <w:noProof/>
              <w:sz w:val="22"/>
              <w:lang w:eastAsia="en-AU"/>
            </w:rPr>
          </w:pPr>
          <w:hyperlink w:anchor="_Toc126589466" w:history="1">
            <w:r w:rsidR="00A464E8" w:rsidRPr="00A95CFF">
              <w:rPr>
                <w:rStyle w:val="Hyperlink"/>
                <w:noProof/>
                <w:lang w:eastAsia="en-AU"/>
              </w:rPr>
              <w:t>Risk management plan</w:t>
            </w:r>
            <w:r w:rsidR="00A464E8">
              <w:rPr>
                <w:noProof/>
                <w:webHidden/>
              </w:rPr>
              <w:tab/>
            </w:r>
            <w:r w:rsidR="00A464E8">
              <w:rPr>
                <w:noProof/>
                <w:webHidden/>
              </w:rPr>
              <w:fldChar w:fldCharType="begin"/>
            </w:r>
            <w:r w:rsidR="00A464E8">
              <w:rPr>
                <w:noProof/>
                <w:webHidden/>
              </w:rPr>
              <w:instrText xml:space="preserve"> PAGEREF _Toc126589466 \h </w:instrText>
            </w:r>
            <w:r w:rsidR="00A464E8">
              <w:rPr>
                <w:noProof/>
                <w:webHidden/>
              </w:rPr>
            </w:r>
            <w:r w:rsidR="00A464E8">
              <w:rPr>
                <w:noProof/>
                <w:webHidden/>
              </w:rPr>
              <w:fldChar w:fldCharType="separate"/>
            </w:r>
            <w:r w:rsidR="00A464E8">
              <w:rPr>
                <w:noProof/>
                <w:webHidden/>
              </w:rPr>
              <w:t>19</w:t>
            </w:r>
            <w:r w:rsidR="00A464E8">
              <w:rPr>
                <w:noProof/>
                <w:webHidden/>
              </w:rPr>
              <w:fldChar w:fldCharType="end"/>
            </w:r>
          </w:hyperlink>
        </w:p>
        <w:p w14:paraId="4EE56118" w14:textId="53AB7C37" w:rsidR="00A464E8" w:rsidRDefault="00B403C7">
          <w:pPr>
            <w:pStyle w:val="TOC2"/>
            <w:rPr>
              <w:rFonts w:asciiTheme="minorHAnsi" w:eastAsiaTheme="minorEastAsia" w:hAnsiTheme="minorHAnsi" w:cstheme="minorBidi"/>
              <w:b w:val="0"/>
              <w:noProof/>
              <w:sz w:val="22"/>
              <w:lang w:eastAsia="en-AU"/>
            </w:rPr>
          </w:pPr>
          <w:hyperlink w:anchor="_Toc126589467" w:history="1">
            <w:r w:rsidR="00A464E8" w:rsidRPr="00A95CFF">
              <w:rPr>
                <w:rStyle w:val="Hyperlink"/>
                <w:noProof/>
              </w:rPr>
              <w:t>Risk-benefit analysis</w:t>
            </w:r>
            <w:r w:rsidR="00A464E8">
              <w:rPr>
                <w:noProof/>
                <w:webHidden/>
              </w:rPr>
              <w:tab/>
            </w:r>
            <w:r w:rsidR="00A464E8">
              <w:rPr>
                <w:noProof/>
                <w:webHidden/>
              </w:rPr>
              <w:fldChar w:fldCharType="begin"/>
            </w:r>
            <w:r w:rsidR="00A464E8">
              <w:rPr>
                <w:noProof/>
                <w:webHidden/>
              </w:rPr>
              <w:instrText xml:space="preserve"> PAGEREF _Toc126589467 \h </w:instrText>
            </w:r>
            <w:r w:rsidR="00A464E8">
              <w:rPr>
                <w:noProof/>
                <w:webHidden/>
              </w:rPr>
            </w:r>
            <w:r w:rsidR="00A464E8">
              <w:rPr>
                <w:noProof/>
                <w:webHidden/>
              </w:rPr>
              <w:fldChar w:fldCharType="separate"/>
            </w:r>
            <w:r w:rsidR="00A464E8">
              <w:rPr>
                <w:noProof/>
                <w:webHidden/>
              </w:rPr>
              <w:t>19</w:t>
            </w:r>
            <w:r w:rsidR="00A464E8">
              <w:rPr>
                <w:noProof/>
                <w:webHidden/>
              </w:rPr>
              <w:fldChar w:fldCharType="end"/>
            </w:r>
          </w:hyperlink>
        </w:p>
        <w:p w14:paraId="50CAA55E" w14:textId="0A24F676" w:rsidR="00A464E8" w:rsidRDefault="00B403C7">
          <w:pPr>
            <w:pStyle w:val="TOC1"/>
            <w:rPr>
              <w:rFonts w:asciiTheme="minorHAnsi" w:eastAsiaTheme="minorEastAsia" w:hAnsiTheme="minorHAnsi" w:cstheme="minorBidi"/>
              <w:b w:val="0"/>
              <w:noProof/>
              <w:sz w:val="22"/>
              <w:lang w:eastAsia="en-AU"/>
            </w:rPr>
          </w:pPr>
          <w:hyperlink w:anchor="_Toc126589468" w:history="1">
            <w:r w:rsidR="00A464E8" w:rsidRPr="00A95CFF">
              <w:rPr>
                <w:rStyle w:val="Hyperlink"/>
                <w:noProof/>
              </w:rPr>
              <w:t>Outcome</w:t>
            </w:r>
            <w:r w:rsidR="00A464E8">
              <w:rPr>
                <w:noProof/>
                <w:webHidden/>
              </w:rPr>
              <w:tab/>
            </w:r>
            <w:r w:rsidR="00A464E8">
              <w:rPr>
                <w:noProof/>
                <w:webHidden/>
              </w:rPr>
              <w:fldChar w:fldCharType="begin"/>
            </w:r>
            <w:r w:rsidR="00A464E8">
              <w:rPr>
                <w:noProof/>
                <w:webHidden/>
              </w:rPr>
              <w:instrText xml:space="preserve"> PAGEREF _Toc126589468 \h </w:instrText>
            </w:r>
            <w:r w:rsidR="00A464E8">
              <w:rPr>
                <w:noProof/>
                <w:webHidden/>
              </w:rPr>
            </w:r>
            <w:r w:rsidR="00A464E8">
              <w:rPr>
                <w:noProof/>
                <w:webHidden/>
              </w:rPr>
              <w:fldChar w:fldCharType="separate"/>
            </w:r>
            <w:r w:rsidR="00A464E8">
              <w:rPr>
                <w:noProof/>
                <w:webHidden/>
              </w:rPr>
              <w:t>20</w:t>
            </w:r>
            <w:r w:rsidR="00A464E8">
              <w:rPr>
                <w:noProof/>
                <w:webHidden/>
              </w:rPr>
              <w:fldChar w:fldCharType="end"/>
            </w:r>
          </w:hyperlink>
        </w:p>
        <w:p w14:paraId="0936E437" w14:textId="206A6D9A" w:rsidR="00A464E8" w:rsidRDefault="00B403C7">
          <w:pPr>
            <w:pStyle w:val="TOC2"/>
            <w:rPr>
              <w:rFonts w:asciiTheme="minorHAnsi" w:eastAsiaTheme="minorEastAsia" w:hAnsiTheme="minorHAnsi" w:cstheme="minorBidi"/>
              <w:b w:val="0"/>
              <w:noProof/>
              <w:sz w:val="22"/>
              <w:lang w:eastAsia="en-AU"/>
            </w:rPr>
          </w:pPr>
          <w:hyperlink w:anchor="_Toc126589469" w:history="1">
            <w:r w:rsidR="00A464E8" w:rsidRPr="00A95CFF">
              <w:rPr>
                <w:rStyle w:val="Hyperlink"/>
                <w:noProof/>
              </w:rPr>
              <w:t>Specific conditions of registration applying to these goods</w:t>
            </w:r>
            <w:r w:rsidR="00A464E8">
              <w:rPr>
                <w:noProof/>
                <w:webHidden/>
              </w:rPr>
              <w:tab/>
            </w:r>
            <w:r w:rsidR="00A464E8">
              <w:rPr>
                <w:noProof/>
                <w:webHidden/>
              </w:rPr>
              <w:fldChar w:fldCharType="begin"/>
            </w:r>
            <w:r w:rsidR="00A464E8">
              <w:rPr>
                <w:noProof/>
                <w:webHidden/>
              </w:rPr>
              <w:instrText xml:space="preserve"> PAGEREF _Toc126589469 \h </w:instrText>
            </w:r>
            <w:r w:rsidR="00A464E8">
              <w:rPr>
                <w:noProof/>
                <w:webHidden/>
              </w:rPr>
            </w:r>
            <w:r w:rsidR="00A464E8">
              <w:rPr>
                <w:noProof/>
                <w:webHidden/>
              </w:rPr>
              <w:fldChar w:fldCharType="separate"/>
            </w:r>
            <w:r w:rsidR="00A464E8">
              <w:rPr>
                <w:noProof/>
                <w:webHidden/>
              </w:rPr>
              <w:t>21</w:t>
            </w:r>
            <w:r w:rsidR="00A464E8">
              <w:rPr>
                <w:noProof/>
                <w:webHidden/>
              </w:rPr>
              <w:fldChar w:fldCharType="end"/>
            </w:r>
          </w:hyperlink>
        </w:p>
        <w:p w14:paraId="19DDB606" w14:textId="3C00AD74" w:rsidR="00A464E8" w:rsidRDefault="00B403C7">
          <w:pPr>
            <w:pStyle w:val="TOC1"/>
            <w:rPr>
              <w:rFonts w:asciiTheme="minorHAnsi" w:eastAsiaTheme="minorEastAsia" w:hAnsiTheme="minorHAnsi" w:cstheme="minorBidi"/>
              <w:b w:val="0"/>
              <w:noProof/>
              <w:sz w:val="22"/>
              <w:lang w:eastAsia="en-AU"/>
            </w:rPr>
          </w:pPr>
          <w:hyperlink w:anchor="_Toc126589470" w:history="1">
            <w:r w:rsidR="00A464E8" w:rsidRPr="00A95CFF">
              <w:rPr>
                <w:rStyle w:val="Hyperlink"/>
                <w:noProof/>
              </w:rPr>
              <w:t>Attachment 1. Product Information</w:t>
            </w:r>
            <w:r w:rsidR="00A464E8">
              <w:rPr>
                <w:noProof/>
                <w:webHidden/>
              </w:rPr>
              <w:tab/>
            </w:r>
            <w:r w:rsidR="00A464E8">
              <w:rPr>
                <w:noProof/>
                <w:webHidden/>
              </w:rPr>
              <w:fldChar w:fldCharType="begin"/>
            </w:r>
            <w:r w:rsidR="00A464E8">
              <w:rPr>
                <w:noProof/>
                <w:webHidden/>
              </w:rPr>
              <w:instrText xml:space="preserve"> PAGEREF _Toc126589470 \h </w:instrText>
            </w:r>
            <w:r w:rsidR="00A464E8">
              <w:rPr>
                <w:noProof/>
                <w:webHidden/>
              </w:rPr>
            </w:r>
            <w:r w:rsidR="00A464E8">
              <w:rPr>
                <w:noProof/>
                <w:webHidden/>
              </w:rPr>
              <w:fldChar w:fldCharType="separate"/>
            </w:r>
            <w:r w:rsidR="00A464E8">
              <w:rPr>
                <w:noProof/>
                <w:webHidden/>
              </w:rPr>
              <w:t>21</w:t>
            </w:r>
            <w:r w:rsidR="00A464E8">
              <w:rPr>
                <w:noProof/>
                <w:webHidden/>
              </w:rPr>
              <w:fldChar w:fldCharType="end"/>
            </w:r>
          </w:hyperlink>
        </w:p>
        <w:p w14:paraId="64C873BC" w14:textId="699CC5D1" w:rsidR="003A7F6C" w:rsidRPr="00D44064" w:rsidRDefault="00C525A2" w:rsidP="00EB36D6">
          <w:r w:rsidRPr="00D44064">
            <w:fldChar w:fldCharType="end"/>
          </w:r>
        </w:p>
      </w:sdtContent>
    </w:sdt>
    <w:bookmarkStart w:id="2" w:name="_Toc314842482" w:displacedByCustomXml="prev"/>
    <w:p w14:paraId="790CE170" w14:textId="77777777" w:rsidR="00FD119B" w:rsidRPr="00D44064" w:rsidRDefault="00FD119B">
      <w:pPr>
        <w:spacing w:before="0" w:after="200" w:line="0" w:lineRule="auto"/>
      </w:pPr>
      <w:r w:rsidRPr="00D44064">
        <w:br w:type="page"/>
      </w:r>
    </w:p>
    <w:p w14:paraId="7E318656" w14:textId="77777777" w:rsidR="00AF2313" w:rsidRPr="00D44064" w:rsidRDefault="00AF2313" w:rsidP="00AF2313">
      <w:pPr>
        <w:pStyle w:val="Heading2"/>
      </w:pPr>
      <w:bookmarkStart w:id="3" w:name="_Toc98931917"/>
      <w:bookmarkStart w:id="4" w:name="_Toc126589455"/>
      <w:r w:rsidRPr="00D44064">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AF2313" w:rsidRPr="00D44064" w14:paraId="5E2B72A7" w14:textId="77777777" w:rsidTr="00AF2313">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782A95B5" w14:textId="77777777" w:rsidR="00AF2313" w:rsidRPr="00D44064" w:rsidRDefault="00AF2313">
            <w:pPr>
              <w:rPr>
                <w:color w:val="FFFFFF"/>
              </w:rPr>
            </w:pPr>
            <w:bookmarkStart w:id="5" w:name="_Hlk113648172"/>
            <w:r w:rsidRPr="00D44064">
              <w:t>Abbreviation</w:t>
            </w:r>
          </w:p>
        </w:tc>
        <w:tc>
          <w:tcPr>
            <w:tcW w:w="3282" w:type="pct"/>
            <w:hideMark/>
          </w:tcPr>
          <w:p w14:paraId="14BE28AF" w14:textId="77777777" w:rsidR="00AF2313" w:rsidRPr="00D44064" w:rsidRDefault="00AF2313">
            <w:r w:rsidRPr="00D44064">
              <w:t>Meaning</w:t>
            </w:r>
          </w:p>
        </w:tc>
      </w:tr>
      <w:tr w:rsidR="00825E68" w:rsidRPr="00D44064" w14:paraId="3F04002F"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6CD7F4C" w14:textId="6251B20C" w:rsidR="00825E68" w:rsidRPr="00D44064" w:rsidRDefault="00825E68" w:rsidP="00825E68">
            <w:r w:rsidRPr="00D44064">
              <w:t>7 + 3</w:t>
            </w:r>
          </w:p>
        </w:tc>
        <w:tc>
          <w:tcPr>
            <w:tcW w:w="3987" w:type="pct"/>
            <w:gridSpan w:val="2"/>
            <w:tcBorders>
              <w:top w:val="single" w:sz="8" w:space="0" w:color="002C47"/>
              <w:left w:val="single" w:sz="8" w:space="0" w:color="002C47"/>
              <w:bottom w:val="single" w:sz="8" w:space="0" w:color="002C47"/>
              <w:right w:val="single" w:sz="8" w:space="0" w:color="002C47"/>
            </w:tcBorders>
          </w:tcPr>
          <w:p w14:paraId="74997AAC" w14:textId="32F40E5A" w:rsidR="00825E68" w:rsidRPr="00D44064" w:rsidRDefault="009A00D6">
            <w:r w:rsidRPr="00D44064">
              <w:t xml:space="preserve">Chemotherapy regimen of cytarabine </w:t>
            </w:r>
            <w:r w:rsidR="00625E22" w:rsidRPr="00D44064">
              <w:t xml:space="preserve">(Days 1 to 7) </w:t>
            </w:r>
            <w:r w:rsidRPr="00D44064">
              <w:t xml:space="preserve">plus </w:t>
            </w:r>
            <w:r w:rsidR="00625E22" w:rsidRPr="00D44064">
              <w:t>an a</w:t>
            </w:r>
            <w:r w:rsidRPr="00D44064">
              <w:t>nthracycline</w:t>
            </w:r>
            <w:r w:rsidR="00625E22" w:rsidRPr="00D44064">
              <w:t xml:space="preserve"> (Days 1 to 3)</w:t>
            </w:r>
          </w:p>
        </w:tc>
      </w:tr>
      <w:tr w:rsidR="00825E68" w:rsidRPr="00D44064" w14:paraId="4CA5A65D" w14:textId="77777777" w:rsidTr="00825E68">
        <w:trPr>
          <w:cantSplit/>
        </w:trPr>
        <w:tc>
          <w:tcPr>
            <w:tcW w:w="1013" w:type="pct"/>
            <w:tcBorders>
              <w:top w:val="single" w:sz="8" w:space="0" w:color="002C47"/>
              <w:left w:val="single" w:sz="8" w:space="0" w:color="002C47"/>
              <w:bottom w:val="single" w:sz="8" w:space="0" w:color="002C47"/>
              <w:right w:val="single" w:sz="8" w:space="0" w:color="002C47"/>
            </w:tcBorders>
          </w:tcPr>
          <w:p w14:paraId="43DA4988" w14:textId="6E121541" w:rsidR="00825E68" w:rsidRPr="00D44064" w:rsidRDefault="00825E68" w:rsidP="00825E68">
            <w:r w:rsidRPr="00D44064">
              <w:t>ACM</w:t>
            </w:r>
          </w:p>
        </w:tc>
        <w:tc>
          <w:tcPr>
            <w:tcW w:w="3987" w:type="pct"/>
            <w:gridSpan w:val="2"/>
            <w:tcBorders>
              <w:top w:val="single" w:sz="8" w:space="0" w:color="002C47"/>
              <w:left w:val="single" w:sz="8" w:space="0" w:color="002C47"/>
              <w:bottom w:val="single" w:sz="8" w:space="0" w:color="002C47"/>
              <w:right w:val="single" w:sz="8" w:space="0" w:color="002C47"/>
            </w:tcBorders>
          </w:tcPr>
          <w:p w14:paraId="2843D095" w14:textId="46C65BAB" w:rsidR="00825E68" w:rsidRPr="00D44064" w:rsidRDefault="00825E68" w:rsidP="00825E68">
            <w:r w:rsidRPr="00D44064">
              <w:t>Advisory Committee on Medicines</w:t>
            </w:r>
          </w:p>
        </w:tc>
      </w:tr>
      <w:tr w:rsidR="0036088D" w:rsidRPr="00D44064" w14:paraId="4265165C" w14:textId="77777777" w:rsidTr="00825E68">
        <w:trPr>
          <w:cantSplit/>
        </w:trPr>
        <w:tc>
          <w:tcPr>
            <w:tcW w:w="1013" w:type="pct"/>
            <w:tcBorders>
              <w:top w:val="single" w:sz="8" w:space="0" w:color="002C47"/>
              <w:left w:val="single" w:sz="8" w:space="0" w:color="002C47"/>
              <w:bottom w:val="single" w:sz="8" w:space="0" w:color="002C47"/>
              <w:right w:val="single" w:sz="8" w:space="0" w:color="002C47"/>
            </w:tcBorders>
          </w:tcPr>
          <w:p w14:paraId="6DA84D05" w14:textId="6B4E0DD7" w:rsidR="0036088D" w:rsidRPr="00D44064" w:rsidRDefault="0036088D" w:rsidP="00825E68">
            <w:proofErr w:type="spellStart"/>
            <w:r w:rsidRPr="00D44064">
              <w:t>ara</w:t>
            </w:r>
            <w:proofErr w:type="spellEnd"/>
            <w:r w:rsidRPr="00D44064">
              <w:t>-CTP</w:t>
            </w:r>
          </w:p>
        </w:tc>
        <w:tc>
          <w:tcPr>
            <w:tcW w:w="3987" w:type="pct"/>
            <w:gridSpan w:val="2"/>
            <w:tcBorders>
              <w:top w:val="single" w:sz="8" w:space="0" w:color="002C47"/>
              <w:left w:val="single" w:sz="8" w:space="0" w:color="002C47"/>
              <w:bottom w:val="single" w:sz="8" w:space="0" w:color="002C47"/>
              <w:right w:val="single" w:sz="8" w:space="0" w:color="002C47"/>
            </w:tcBorders>
          </w:tcPr>
          <w:p w14:paraId="6C9F9D5E" w14:textId="36EA5862" w:rsidR="0036088D" w:rsidRPr="00D44064" w:rsidRDefault="0036088D" w:rsidP="00825E68">
            <w:r w:rsidRPr="00D44064">
              <w:t>Cytarabine-5-triphosphate</w:t>
            </w:r>
          </w:p>
        </w:tc>
      </w:tr>
      <w:tr w:rsidR="00825E68" w:rsidRPr="00D44064" w14:paraId="31ABA4D0" w14:textId="77777777" w:rsidTr="00825E68">
        <w:trPr>
          <w:cantSplit/>
        </w:trPr>
        <w:tc>
          <w:tcPr>
            <w:tcW w:w="1013" w:type="pct"/>
            <w:tcBorders>
              <w:top w:val="single" w:sz="8" w:space="0" w:color="002C47"/>
              <w:left w:val="single" w:sz="8" w:space="0" w:color="002C47"/>
              <w:bottom w:val="single" w:sz="8" w:space="0" w:color="002C47"/>
              <w:right w:val="single" w:sz="8" w:space="0" w:color="002C47"/>
            </w:tcBorders>
          </w:tcPr>
          <w:p w14:paraId="362A2CEF" w14:textId="08249F0F" w:rsidR="00825E68" w:rsidRPr="00D44064" w:rsidRDefault="00825E68" w:rsidP="00825E68">
            <w:r w:rsidRPr="00D44064">
              <w:t>ARTG</w:t>
            </w:r>
          </w:p>
        </w:tc>
        <w:tc>
          <w:tcPr>
            <w:tcW w:w="3987" w:type="pct"/>
            <w:gridSpan w:val="2"/>
            <w:tcBorders>
              <w:top w:val="single" w:sz="8" w:space="0" w:color="002C47"/>
              <w:left w:val="single" w:sz="8" w:space="0" w:color="002C47"/>
              <w:bottom w:val="single" w:sz="8" w:space="0" w:color="002C47"/>
              <w:right w:val="single" w:sz="8" w:space="0" w:color="002C47"/>
            </w:tcBorders>
          </w:tcPr>
          <w:p w14:paraId="0B0AA013" w14:textId="7FF6C907" w:rsidR="00825E68" w:rsidRPr="00D44064" w:rsidRDefault="00825E68" w:rsidP="00825E68">
            <w:r w:rsidRPr="00D44064">
              <w:t>Australian Register of Therapeutic Goods</w:t>
            </w:r>
          </w:p>
        </w:tc>
      </w:tr>
      <w:tr w:rsidR="00825E68" w:rsidRPr="00D44064" w14:paraId="400ABD04" w14:textId="77777777" w:rsidTr="00825E68">
        <w:trPr>
          <w:cantSplit/>
        </w:trPr>
        <w:tc>
          <w:tcPr>
            <w:tcW w:w="1013" w:type="pct"/>
            <w:tcBorders>
              <w:top w:val="single" w:sz="8" w:space="0" w:color="002C47"/>
              <w:left w:val="single" w:sz="8" w:space="0" w:color="002C47"/>
              <w:bottom w:val="single" w:sz="8" w:space="0" w:color="002C47"/>
              <w:right w:val="single" w:sz="8" w:space="0" w:color="002C47"/>
            </w:tcBorders>
          </w:tcPr>
          <w:p w14:paraId="20DE83F9" w14:textId="398B15CB" w:rsidR="00825E68" w:rsidRPr="00D44064" w:rsidRDefault="00825E68" w:rsidP="00825E68">
            <w:r w:rsidRPr="00D44064">
              <w:t>ASA</w:t>
            </w:r>
          </w:p>
        </w:tc>
        <w:tc>
          <w:tcPr>
            <w:tcW w:w="3987" w:type="pct"/>
            <w:gridSpan w:val="2"/>
            <w:tcBorders>
              <w:top w:val="single" w:sz="8" w:space="0" w:color="002C47"/>
              <w:left w:val="single" w:sz="8" w:space="0" w:color="002C47"/>
              <w:bottom w:val="single" w:sz="8" w:space="0" w:color="002C47"/>
              <w:right w:val="single" w:sz="8" w:space="0" w:color="002C47"/>
            </w:tcBorders>
          </w:tcPr>
          <w:p w14:paraId="1379BB14" w14:textId="27CFD727" w:rsidR="00825E68" w:rsidRPr="00D44064" w:rsidRDefault="00825E68" w:rsidP="00825E68">
            <w:r w:rsidRPr="00D44064">
              <w:t>Australia specific annex</w:t>
            </w:r>
          </w:p>
        </w:tc>
      </w:tr>
      <w:tr w:rsidR="00825E68" w:rsidRPr="00D44064" w14:paraId="4CDADE31" w14:textId="77777777" w:rsidTr="00825E68">
        <w:trPr>
          <w:cantSplit/>
        </w:trPr>
        <w:tc>
          <w:tcPr>
            <w:tcW w:w="1013" w:type="pct"/>
            <w:tcBorders>
              <w:top w:val="single" w:sz="8" w:space="0" w:color="002C47"/>
              <w:left w:val="single" w:sz="8" w:space="0" w:color="002C47"/>
              <w:bottom w:val="single" w:sz="8" w:space="0" w:color="002C47"/>
              <w:right w:val="single" w:sz="8" w:space="0" w:color="002C47"/>
            </w:tcBorders>
          </w:tcPr>
          <w:p w14:paraId="7702189E" w14:textId="6B7DB4CE" w:rsidR="00825E68" w:rsidRPr="00D44064" w:rsidRDefault="00825E68" w:rsidP="00825E68">
            <w:r w:rsidRPr="00D44064">
              <w:t>CI</w:t>
            </w:r>
          </w:p>
        </w:tc>
        <w:tc>
          <w:tcPr>
            <w:tcW w:w="3987" w:type="pct"/>
            <w:gridSpan w:val="2"/>
            <w:tcBorders>
              <w:top w:val="single" w:sz="8" w:space="0" w:color="002C47"/>
              <w:left w:val="single" w:sz="8" w:space="0" w:color="002C47"/>
              <w:bottom w:val="single" w:sz="8" w:space="0" w:color="002C47"/>
              <w:right w:val="single" w:sz="8" w:space="0" w:color="002C47"/>
            </w:tcBorders>
          </w:tcPr>
          <w:p w14:paraId="26776142" w14:textId="627C7BD5" w:rsidR="00825E68" w:rsidRPr="00D44064" w:rsidRDefault="00825E68" w:rsidP="00825E68">
            <w:r w:rsidRPr="00D44064">
              <w:t>Confidence interval</w:t>
            </w:r>
          </w:p>
        </w:tc>
      </w:tr>
      <w:tr w:rsidR="00825E68" w:rsidRPr="00D44064" w14:paraId="04CABC3B" w14:textId="77777777" w:rsidTr="00825E68">
        <w:trPr>
          <w:cantSplit/>
        </w:trPr>
        <w:tc>
          <w:tcPr>
            <w:tcW w:w="1013" w:type="pct"/>
            <w:tcBorders>
              <w:top w:val="single" w:sz="8" w:space="0" w:color="002C47"/>
              <w:left w:val="single" w:sz="8" w:space="0" w:color="002C47"/>
              <w:bottom w:val="single" w:sz="8" w:space="0" w:color="002C47"/>
              <w:right w:val="single" w:sz="8" w:space="0" w:color="002C47"/>
            </w:tcBorders>
          </w:tcPr>
          <w:p w14:paraId="038AE701" w14:textId="779B62D5" w:rsidR="00825E68" w:rsidRPr="00D44064" w:rsidRDefault="00825E68" w:rsidP="00825E68">
            <w:r w:rsidRPr="00D44064">
              <w:t>COVID-19</w:t>
            </w:r>
          </w:p>
        </w:tc>
        <w:tc>
          <w:tcPr>
            <w:tcW w:w="3987" w:type="pct"/>
            <w:gridSpan w:val="2"/>
            <w:tcBorders>
              <w:top w:val="single" w:sz="8" w:space="0" w:color="002C47"/>
              <w:left w:val="single" w:sz="8" w:space="0" w:color="002C47"/>
              <w:bottom w:val="single" w:sz="8" w:space="0" w:color="002C47"/>
              <w:right w:val="single" w:sz="8" w:space="0" w:color="002C47"/>
            </w:tcBorders>
          </w:tcPr>
          <w:p w14:paraId="02CCC5BE" w14:textId="23AE85A4" w:rsidR="00825E68" w:rsidRPr="00D44064" w:rsidRDefault="00825E68" w:rsidP="00825E68">
            <w:r w:rsidRPr="00D44064">
              <w:t>Coronavirus disease 2019</w:t>
            </w:r>
          </w:p>
        </w:tc>
      </w:tr>
      <w:tr w:rsidR="00825E68" w:rsidRPr="00D44064" w14:paraId="4E0FB803" w14:textId="77777777" w:rsidTr="00825E68">
        <w:trPr>
          <w:cantSplit/>
        </w:trPr>
        <w:tc>
          <w:tcPr>
            <w:tcW w:w="1013" w:type="pct"/>
            <w:tcBorders>
              <w:top w:val="single" w:sz="8" w:space="0" w:color="002C47"/>
              <w:left w:val="single" w:sz="8" w:space="0" w:color="002C47"/>
              <w:bottom w:val="single" w:sz="8" w:space="0" w:color="002C47"/>
              <w:right w:val="single" w:sz="8" w:space="0" w:color="002C47"/>
            </w:tcBorders>
          </w:tcPr>
          <w:p w14:paraId="70A3CB5F" w14:textId="621B292F" w:rsidR="00825E68" w:rsidRPr="00D44064" w:rsidRDefault="00825E68" w:rsidP="00825E68">
            <w:r w:rsidRPr="00D44064">
              <w:t>CPX-351</w:t>
            </w:r>
          </w:p>
        </w:tc>
        <w:tc>
          <w:tcPr>
            <w:tcW w:w="3987" w:type="pct"/>
            <w:gridSpan w:val="2"/>
            <w:tcBorders>
              <w:top w:val="single" w:sz="8" w:space="0" w:color="002C47"/>
              <w:left w:val="single" w:sz="8" w:space="0" w:color="002C47"/>
              <w:bottom w:val="single" w:sz="8" w:space="0" w:color="002C47"/>
              <w:right w:val="single" w:sz="8" w:space="0" w:color="002C47"/>
            </w:tcBorders>
          </w:tcPr>
          <w:p w14:paraId="56BDE53A" w14:textId="1A2122D1" w:rsidR="00825E68" w:rsidRPr="00D44064" w:rsidRDefault="00825E68" w:rsidP="00825E68">
            <w:r w:rsidRPr="00D44064">
              <w:t>Sponsor’s drug development code for Vyxeos</w:t>
            </w:r>
          </w:p>
        </w:tc>
      </w:tr>
      <w:tr w:rsidR="00825E68" w:rsidRPr="00D44064" w14:paraId="48D4A49B"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C13320A" w14:textId="13B6E6B4" w:rsidR="00825E68" w:rsidRPr="00D44064" w:rsidRDefault="00825E68" w:rsidP="00825E68">
            <w:r w:rsidRPr="00D44064">
              <w:t>DLP</w:t>
            </w:r>
          </w:p>
        </w:tc>
        <w:tc>
          <w:tcPr>
            <w:tcW w:w="3987" w:type="pct"/>
            <w:gridSpan w:val="2"/>
            <w:tcBorders>
              <w:top w:val="single" w:sz="8" w:space="0" w:color="002C47"/>
              <w:left w:val="single" w:sz="8" w:space="0" w:color="002C47"/>
              <w:bottom w:val="single" w:sz="8" w:space="0" w:color="002C47"/>
              <w:right w:val="single" w:sz="8" w:space="0" w:color="002C47"/>
            </w:tcBorders>
          </w:tcPr>
          <w:p w14:paraId="17739981" w14:textId="6ABD51B8" w:rsidR="00825E68" w:rsidRPr="00D44064" w:rsidRDefault="00825E68" w:rsidP="00825E68">
            <w:r w:rsidRPr="00D44064">
              <w:t>Data lock point</w:t>
            </w:r>
          </w:p>
        </w:tc>
      </w:tr>
      <w:tr w:rsidR="00825E68" w:rsidRPr="00D44064" w14:paraId="5FDFA9F7" w14:textId="77777777" w:rsidTr="000E2A3D">
        <w:trPr>
          <w:cantSplit/>
        </w:trPr>
        <w:tc>
          <w:tcPr>
            <w:tcW w:w="1013" w:type="pct"/>
            <w:tcBorders>
              <w:top w:val="single" w:sz="8" w:space="0" w:color="002C47"/>
              <w:left w:val="single" w:sz="8" w:space="0" w:color="002C47"/>
              <w:bottom w:val="single" w:sz="8" w:space="0" w:color="002C47"/>
              <w:right w:val="single" w:sz="8" w:space="0" w:color="002C47"/>
            </w:tcBorders>
          </w:tcPr>
          <w:p w14:paraId="20BBB7BC" w14:textId="7BF4E0DF" w:rsidR="00825E68" w:rsidRPr="00D44064" w:rsidRDefault="00825E68" w:rsidP="00825E68">
            <w:r w:rsidRPr="00D44064">
              <w:t>EMA</w:t>
            </w:r>
          </w:p>
        </w:tc>
        <w:tc>
          <w:tcPr>
            <w:tcW w:w="3987" w:type="pct"/>
            <w:gridSpan w:val="2"/>
            <w:tcBorders>
              <w:top w:val="single" w:sz="8" w:space="0" w:color="002C47"/>
              <w:left w:val="single" w:sz="8" w:space="0" w:color="002C47"/>
              <w:bottom w:val="single" w:sz="8" w:space="0" w:color="002C47"/>
              <w:right w:val="single" w:sz="8" w:space="0" w:color="002C47"/>
            </w:tcBorders>
          </w:tcPr>
          <w:p w14:paraId="5C847093" w14:textId="7C63D3D4" w:rsidR="00825E68" w:rsidRPr="00D44064" w:rsidRDefault="00825E68" w:rsidP="00825E68">
            <w:r w:rsidRPr="00D44064">
              <w:t>European Medicines Agency (European union)</w:t>
            </w:r>
          </w:p>
        </w:tc>
      </w:tr>
      <w:tr w:rsidR="00825E68" w:rsidRPr="00D44064" w14:paraId="3D7CE4B9" w14:textId="77777777" w:rsidTr="000E2A3D">
        <w:trPr>
          <w:cantSplit/>
        </w:trPr>
        <w:tc>
          <w:tcPr>
            <w:tcW w:w="1013" w:type="pct"/>
            <w:tcBorders>
              <w:top w:val="single" w:sz="8" w:space="0" w:color="002C47"/>
              <w:left w:val="single" w:sz="8" w:space="0" w:color="002C47"/>
              <w:bottom w:val="single" w:sz="8" w:space="0" w:color="002C47"/>
              <w:right w:val="single" w:sz="8" w:space="0" w:color="002C47"/>
            </w:tcBorders>
          </w:tcPr>
          <w:p w14:paraId="22885E85" w14:textId="1CC25FEF" w:rsidR="00825E68" w:rsidRPr="00D44064" w:rsidRDefault="00825E68" w:rsidP="00825E68">
            <w:r w:rsidRPr="00D44064">
              <w:t>GMP</w:t>
            </w:r>
          </w:p>
        </w:tc>
        <w:tc>
          <w:tcPr>
            <w:tcW w:w="3987" w:type="pct"/>
            <w:gridSpan w:val="2"/>
            <w:tcBorders>
              <w:top w:val="single" w:sz="8" w:space="0" w:color="002C47"/>
              <w:left w:val="single" w:sz="8" w:space="0" w:color="002C47"/>
              <w:bottom w:val="single" w:sz="8" w:space="0" w:color="002C47"/>
              <w:right w:val="single" w:sz="8" w:space="0" w:color="002C47"/>
            </w:tcBorders>
          </w:tcPr>
          <w:p w14:paraId="649EDC78" w14:textId="21F2B039" w:rsidR="00825E68" w:rsidRPr="00D44064" w:rsidRDefault="00825E68" w:rsidP="00825E68">
            <w:r w:rsidRPr="00D44064">
              <w:t>Good Manufacturing Practice</w:t>
            </w:r>
          </w:p>
        </w:tc>
      </w:tr>
      <w:tr w:rsidR="00825E68" w:rsidRPr="00D44064" w14:paraId="3AF0435E" w14:textId="77777777" w:rsidTr="000E2A3D">
        <w:trPr>
          <w:cantSplit/>
        </w:trPr>
        <w:tc>
          <w:tcPr>
            <w:tcW w:w="1013" w:type="pct"/>
            <w:tcBorders>
              <w:top w:val="single" w:sz="8" w:space="0" w:color="002C47"/>
              <w:left w:val="single" w:sz="8" w:space="0" w:color="002C47"/>
              <w:bottom w:val="single" w:sz="8" w:space="0" w:color="002C47"/>
              <w:right w:val="single" w:sz="8" w:space="0" w:color="002C47"/>
            </w:tcBorders>
          </w:tcPr>
          <w:p w14:paraId="7BDB881A" w14:textId="2E552EA3" w:rsidR="00825E68" w:rsidRPr="00D44064" w:rsidRDefault="00825E68" w:rsidP="00825E68">
            <w:r w:rsidRPr="00D44064">
              <w:t>ICH</w:t>
            </w:r>
          </w:p>
        </w:tc>
        <w:tc>
          <w:tcPr>
            <w:tcW w:w="3987" w:type="pct"/>
            <w:gridSpan w:val="2"/>
            <w:tcBorders>
              <w:top w:val="single" w:sz="8" w:space="0" w:color="002C47"/>
              <w:left w:val="single" w:sz="8" w:space="0" w:color="002C47"/>
              <w:bottom w:val="single" w:sz="8" w:space="0" w:color="002C47"/>
              <w:right w:val="single" w:sz="8" w:space="0" w:color="002C47"/>
            </w:tcBorders>
          </w:tcPr>
          <w:p w14:paraId="30013F90" w14:textId="08264749" w:rsidR="00825E68" w:rsidRPr="00D44064" w:rsidRDefault="00825E68" w:rsidP="00825E68">
            <w:r w:rsidRPr="00D44064">
              <w:t>International Council for Harmonisation</w:t>
            </w:r>
          </w:p>
        </w:tc>
      </w:tr>
      <w:tr w:rsidR="00825E68" w:rsidRPr="00D44064" w14:paraId="37ED94D4" w14:textId="77777777" w:rsidTr="000E2A3D">
        <w:trPr>
          <w:cantSplit/>
        </w:trPr>
        <w:tc>
          <w:tcPr>
            <w:tcW w:w="1013" w:type="pct"/>
            <w:tcBorders>
              <w:top w:val="single" w:sz="8" w:space="0" w:color="002C47"/>
              <w:left w:val="single" w:sz="8" w:space="0" w:color="002C47"/>
              <w:bottom w:val="single" w:sz="8" w:space="0" w:color="002C47"/>
              <w:right w:val="single" w:sz="8" w:space="0" w:color="002C47"/>
            </w:tcBorders>
          </w:tcPr>
          <w:p w14:paraId="6F71A353" w14:textId="30736B19" w:rsidR="00825E68" w:rsidRPr="00D44064" w:rsidRDefault="00825E68" w:rsidP="00825E68">
            <w:r w:rsidRPr="00D44064">
              <w:t>MRC</w:t>
            </w:r>
          </w:p>
        </w:tc>
        <w:tc>
          <w:tcPr>
            <w:tcW w:w="3987" w:type="pct"/>
            <w:gridSpan w:val="2"/>
            <w:tcBorders>
              <w:top w:val="single" w:sz="8" w:space="0" w:color="002C47"/>
              <w:left w:val="single" w:sz="8" w:space="0" w:color="002C47"/>
              <w:bottom w:val="single" w:sz="8" w:space="0" w:color="002C47"/>
              <w:right w:val="single" w:sz="8" w:space="0" w:color="002C47"/>
            </w:tcBorders>
          </w:tcPr>
          <w:p w14:paraId="759388A2" w14:textId="5D9665D3" w:rsidR="00825E68" w:rsidRPr="00D44064" w:rsidRDefault="00825E68" w:rsidP="00825E68">
            <w:r w:rsidRPr="00D44064">
              <w:t>Myelodysplasia-related changes</w:t>
            </w:r>
          </w:p>
        </w:tc>
      </w:tr>
      <w:tr w:rsidR="00825E68" w:rsidRPr="00D44064" w14:paraId="46A80467" w14:textId="77777777" w:rsidTr="000E2A3D">
        <w:trPr>
          <w:cantSplit/>
        </w:trPr>
        <w:tc>
          <w:tcPr>
            <w:tcW w:w="1013" w:type="pct"/>
            <w:tcBorders>
              <w:top w:val="single" w:sz="8" w:space="0" w:color="002C47"/>
              <w:left w:val="single" w:sz="8" w:space="0" w:color="002C47"/>
              <w:bottom w:val="single" w:sz="8" w:space="0" w:color="002C47"/>
              <w:right w:val="single" w:sz="8" w:space="0" w:color="002C47"/>
            </w:tcBorders>
          </w:tcPr>
          <w:p w14:paraId="454AAB3B" w14:textId="36BDCC52" w:rsidR="00825E68" w:rsidRPr="00D44064" w:rsidRDefault="00825E68" w:rsidP="00825E68">
            <w:r w:rsidRPr="00D44064">
              <w:t>PI</w:t>
            </w:r>
          </w:p>
        </w:tc>
        <w:tc>
          <w:tcPr>
            <w:tcW w:w="3987" w:type="pct"/>
            <w:gridSpan w:val="2"/>
            <w:tcBorders>
              <w:top w:val="single" w:sz="8" w:space="0" w:color="002C47"/>
              <w:left w:val="single" w:sz="8" w:space="0" w:color="002C47"/>
              <w:bottom w:val="single" w:sz="8" w:space="0" w:color="002C47"/>
              <w:right w:val="single" w:sz="8" w:space="0" w:color="002C47"/>
            </w:tcBorders>
          </w:tcPr>
          <w:p w14:paraId="5C97CD33" w14:textId="0F894898" w:rsidR="00825E68" w:rsidRPr="00D44064" w:rsidRDefault="00825E68" w:rsidP="00825E68">
            <w:r w:rsidRPr="00D44064">
              <w:t>Product Information</w:t>
            </w:r>
          </w:p>
        </w:tc>
      </w:tr>
      <w:tr w:rsidR="00825E68" w:rsidRPr="00D44064" w14:paraId="2AFB6CA1" w14:textId="77777777" w:rsidTr="000E2A3D">
        <w:trPr>
          <w:cantSplit/>
        </w:trPr>
        <w:tc>
          <w:tcPr>
            <w:tcW w:w="1013" w:type="pct"/>
            <w:tcBorders>
              <w:top w:val="single" w:sz="8" w:space="0" w:color="002C47"/>
              <w:left w:val="single" w:sz="8" w:space="0" w:color="002C47"/>
              <w:bottom w:val="single" w:sz="8" w:space="0" w:color="002C47"/>
              <w:right w:val="single" w:sz="8" w:space="0" w:color="002C47"/>
            </w:tcBorders>
          </w:tcPr>
          <w:p w14:paraId="55EA78D3" w14:textId="0A832792" w:rsidR="00825E68" w:rsidRPr="00D44064" w:rsidRDefault="00825E68" w:rsidP="00825E68">
            <w:r w:rsidRPr="00D44064">
              <w:t>PK</w:t>
            </w:r>
          </w:p>
        </w:tc>
        <w:tc>
          <w:tcPr>
            <w:tcW w:w="3987" w:type="pct"/>
            <w:gridSpan w:val="2"/>
            <w:tcBorders>
              <w:top w:val="single" w:sz="8" w:space="0" w:color="002C47"/>
              <w:left w:val="single" w:sz="8" w:space="0" w:color="002C47"/>
              <w:bottom w:val="single" w:sz="8" w:space="0" w:color="002C47"/>
              <w:right w:val="single" w:sz="8" w:space="0" w:color="002C47"/>
            </w:tcBorders>
          </w:tcPr>
          <w:p w14:paraId="1F2A0B2C" w14:textId="77A2E00E" w:rsidR="00825E68" w:rsidRPr="00D44064" w:rsidRDefault="00825E68" w:rsidP="00825E68">
            <w:r w:rsidRPr="00D44064">
              <w:t>Pharmacodynamic(s)</w:t>
            </w:r>
          </w:p>
        </w:tc>
      </w:tr>
      <w:tr w:rsidR="00825E68" w:rsidRPr="00D44064" w14:paraId="4173B805" w14:textId="77777777" w:rsidTr="000E2A3D">
        <w:trPr>
          <w:cantSplit/>
        </w:trPr>
        <w:tc>
          <w:tcPr>
            <w:tcW w:w="1013" w:type="pct"/>
            <w:tcBorders>
              <w:top w:val="single" w:sz="8" w:space="0" w:color="002C47"/>
              <w:left w:val="single" w:sz="8" w:space="0" w:color="002C47"/>
              <w:bottom w:val="single" w:sz="8" w:space="0" w:color="002C47"/>
              <w:right w:val="single" w:sz="8" w:space="0" w:color="002C47"/>
            </w:tcBorders>
          </w:tcPr>
          <w:p w14:paraId="3B09B996" w14:textId="0F677C73" w:rsidR="00825E68" w:rsidRPr="00D44064" w:rsidRDefault="00825E68" w:rsidP="00825E68">
            <w:r w:rsidRPr="00D44064">
              <w:t>RMP</w:t>
            </w:r>
          </w:p>
        </w:tc>
        <w:tc>
          <w:tcPr>
            <w:tcW w:w="3987" w:type="pct"/>
            <w:gridSpan w:val="2"/>
            <w:tcBorders>
              <w:top w:val="single" w:sz="8" w:space="0" w:color="002C47"/>
              <w:left w:val="single" w:sz="8" w:space="0" w:color="002C47"/>
              <w:bottom w:val="single" w:sz="8" w:space="0" w:color="002C47"/>
              <w:right w:val="single" w:sz="8" w:space="0" w:color="002C47"/>
            </w:tcBorders>
          </w:tcPr>
          <w:p w14:paraId="7F217433" w14:textId="101DF915" w:rsidR="00825E68" w:rsidRPr="00D44064" w:rsidRDefault="00825E68" w:rsidP="00825E68">
            <w:r w:rsidRPr="00D44064">
              <w:t>Risk management plan</w:t>
            </w:r>
          </w:p>
        </w:tc>
      </w:tr>
      <w:tr w:rsidR="0036088D" w:rsidRPr="00D44064" w14:paraId="2F69370D" w14:textId="77777777" w:rsidTr="000E2A3D">
        <w:trPr>
          <w:cantSplit/>
        </w:trPr>
        <w:tc>
          <w:tcPr>
            <w:tcW w:w="1013" w:type="pct"/>
            <w:tcBorders>
              <w:top w:val="single" w:sz="8" w:space="0" w:color="002C47"/>
              <w:left w:val="single" w:sz="8" w:space="0" w:color="002C47"/>
              <w:bottom w:val="single" w:sz="8" w:space="0" w:color="002C47"/>
              <w:right w:val="single" w:sz="8" w:space="0" w:color="002C47"/>
            </w:tcBorders>
          </w:tcPr>
          <w:p w14:paraId="750E2FC3" w14:textId="20317819" w:rsidR="0036088D" w:rsidRPr="00D44064" w:rsidRDefault="0036088D" w:rsidP="00825E68">
            <w:r w:rsidRPr="00D44064">
              <w:t>RNA</w:t>
            </w:r>
          </w:p>
        </w:tc>
        <w:tc>
          <w:tcPr>
            <w:tcW w:w="3987" w:type="pct"/>
            <w:gridSpan w:val="2"/>
            <w:tcBorders>
              <w:top w:val="single" w:sz="8" w:space="0" w:color="002C47"/>
              <w:left w:val="single" w:sz="8" w:space="0" w:color="002C47"/>
              <w:bottom w:val="single" w:sz="8" w:space="0" w:color="002C47"/>
              <w:right w:val="single" w:sz="8" w:space="0" w:color="002C47"/>
            </w:tcBorders>
          </w:tcPr>
          <w:p w14:paraId="3C4B4A2B" w14:textId="0EC0607E" w:rsidR="0036088D" w:rsidRPr="00D44064" w:rsidRDefault="0036088D" w:rsidP="00825E68">
            <w:r w:rsidRPr="00D44064">
              <w:t>Ribonucleic acid</w:t>
            </w:r>
          </w:p>
        </w:tc>
      </w:tr>
      <w:tr w:rsidR="00825E68" w:rsidRPr="00D44064" w14:paraId="6139B7E4" w14:textId="77777777" w:rsidTr="000E2A3D">
        <w:trPr>
          <w:cantSplit/>
        </w:trPr>
        <w:tc>
          <w:tcPr>
            <w:tcW w:w="1013" w:type="pct"/>
            <w:tcBorders>
              <w:top w:val="single" w:sz="8" w:space="0" w:color="002C47"/>
              <w:left w:val="single" w:sz="8" w:space="0" w:color="002C47"/>
              <w:bottom w:val="single" w:sz="8" w:space="0" w:color="002C47"/>
              <w:right w:val="single" w:sz="8" w:space="0" w:color="002C47"/>
            </w:tcBorders>
          </w:tcPr>
          <w:p w14:paraId="55FBD5FD" w14:textId="7E509D1C" w:rsidR="00825E68" w:rsidRPr="00D44064" w:rsidRDefault="00825E68" w:rsidP="00825E68">
            <w:r w:rsidRPr="00D44064">
              <w:t>SAE</w:t>
            </w:r>
          </w:p>
        </w:tc>
        <w:tc>
          <w:tcPr>
            <w:tcW w:w="3987" w:type="pct"/>
            <w:gridSpan w:val="2"/>
            <w:tcBorders>
              <w:top w:val="single" w:sz="8" w:space="0" w:color="002C47"/>
              <w:left w:val="single" w:sz="8" w:space="0" w:color="002C47"/>
              <w:bottom w:val="single" w:sz="8" w:space="0" w:color="002C47"/>
              <w:right w:val="single" w:sz="8" w:space="0" w:color="002C47"/>
            </w:tcBorders>
          </w:tcPr>
          <w:p w14:paraId="394D3010" w14:textId="7C71D348" w:rsidR="00825E68" w:rsidRPr="00D44064" w:rsidRDefault="00825E68" w:rsidP="00825E68">
            <w:r w:rsidRPr="00D44064">
              <w:t>Serious adverse event</w:t>
            </w:r>
          </w:p>
        </w:tc>
      </w:tr>
      <w:tr w:rsidR="00825E68" w:rsidRPr="00D44064" w14:paraId="7E0F53F5" w14:textId="77777777" w:rsidTr="000E2A3D">
        <w:trPr>
          <w:cantSplit/>
        </w:trPr>
        <w:tc>
          <w:tcPr>
            <w:tcW w:w="1013" w:type="pct"/>
            <w:tcBorders>
              <w:top w:val="single" w:sz="8" w:space="0" w:color="002C47"/>
              <w:left w:val="single" w:sz="8" w:space="0" w:color="002C47"/>
              <w:bottom w:val="single" w:sz="8" w:space="0" w:color="002C47"/>
              <w:right w:val="single" w:sz="8" w:space="0" w:color="002C47"/>
            </w:tcBorders>
          </w:tcPr>
          <w:p w14:paraId="117E4015" w14:textId="2D14D045" w:rsidR="00825E68" w:rsidRPr="00D44064" w:rsidRDefault="00825E68" w:rsidP="00825E68">
            <w:r w:rsidRPr="00D44064">
              <w:t>TGA</w:t>
            </w:r>
          </w:p>
        </w:tc>
        <w:tc>
          <w:tcPr>
            <w:tcW w:w="3987" w:type="pct"/>
            <w:gridSpan w:val="2"/>
            <w:tcBorders>
              <w:top w:val="single" w:sz="8" w:space="0" w:color="002C47"/>
              <w:left w:val="single" w:sz="8" w:space="0" w:color="002C47"/>
              <w:bottom w:val="single" w:sz="8" w:space="0" w:color="002C47"/>
              <w:right w:val="single" w:sz="8" w:space="0" w:color="002C47"/>
            </w:tcBorders>
          </w:tcPr>
          <w:p w14:paraId="336D2ACA" w14:textId="1286C10F" w:rsidR="00825E68" w:rsidRPr="00D44064" w:rsidRDefault="00825E68" w:rsidP="00825E68">
            <w:r w:rsidRPr="00D44064">
              <w:t>Therapeutic Goods Administration</w:t>
            </w:r>
          </w:p>
        </w:tc>
      </w:tr>
      <w:tr w:rsidR="00825E68" w:rsidRPr="00D44064" w14:paraId="1043719A" w14:textId="77777777" w:rsidTr="000E2A3D">
        <w:trPr>
          <w:cantSplit/>
        </w:trPr>
        <w:tc>
          <w:tcPr>
            <w:tcW w:w="1013" w:type="pct"/>
            <w:tcBorders>
              <w:top w:val="single" w:sz="8" w:space="0" w:color="002C47"/>
              <w:left w:val="single" w:sz="8" w:space="0" w:color="002C47"/>
              <w:bottom w:val="single" w:sz="8" w:space="0" w:color="002C47"/>
              <w:right w:val="single" w:sz="8" w:space="0" w:color="002C47"/>
            </w:tcBorders>
          </w:tcPr>
          <w:p w14:paraId="5F54E089" w14:textId="0669DF37" w:rsidR="00825E68" w:rsidRPr="00D44064" w:rsidRDefault="00825E68" w:rsidP="00825E68">
            <w:r w:rsidRPr="00D44064">
              <w:t>t-AML</w:t>
            </w:r>
          </w:p>
        </w:tc>
        <w:tc>
          <w:tcPr>
            <w:tcW w:w="3987" w:type="pct"/>
            <w:gridSpan w:val="2"/>
            <w:tcBorders>
              <w:top w:val="single" w:sz="8" w:space="0" w:color="002C47"/>
              <w:left w:val="single" w:sz="8" w:space="0" w:color="002C47"/>
              <w:bottom w:val="single" w:sz="8" w:space="0" w:color="002C47"/>
              <w:right w:val="single" w:sz="8" w:space="0" w:color="002C47"/>
            </w:tcBorders>
          </w:tcPr>
          <w:p w14:paraId="5636D2D7" w14:textId="2370E44F" w:rsidR="00825E68" w:rsidRPr="00D44064" w:rsidRDefault="00825E68" w:rsidP="00825E68">
            <w:r w:rsidRPr="00D44064">
              <w:t>Therapy-related acute myeloid leukaemia</w:t>
            </w:r>
          </w:p>
        </w:tc>
      </w:tr>
      <w:tr w:rsidR="00825E68" w:rsidRPr="00D44064" w14:paraId="70889D08" w14:textId="77777777" w:rsidTr="000E2A3D">
        <w:trPr>
          <w:cantSplit/>
        </w:trPr>
        <w:tc>
          <w:tcPr>
            <w:tcW w:w="1013" w:type="pct"/>
            <w:tcBorders>
              <w:top w:val="single" w:sz="8" w:space="0" w:color="002C47"/>
              <w:left w:val="single" w:sz="8" w:space="0" w:color="002C47"/>
              <w:bottom w:val="single" w:sz="8" w:space="0" w:color="002C47"/>
              <w:right w:val="single" w:sz="8" w:space="0" w:color="002C47"/>
            </w:tcBorders>
          </w:tcPr>
          <w:p w14:paraId="0F2B5402" w14:textId="43FD3331" w:rsidR="00825E68" w:rsidRPr="00D44064" w:rsidRDefault="00825E68" w:rsidP="00825E68">
            <w:r w:rsidRPr="00D44064">
              <w:t>US(A)</w:t>
            </w:r>
          </w:p>
        </w:tc>
        <w:tc>
          <w:tcPr>
            <w:tcW w:w="3987" w:type="pct"/>
            <w:gridSpan w:val="2"/>
            <w:tcBorders>
              <w:top w:val="single" w:sz="8" w:space="0" w:color="002C47"/>
              <w:left w:val="single" w:sz="8" w:space="0" w:color="002C47"/>
              <w:bottom w:val="single" w:sz="8" w:space="0" w:color="002C47"/>
              <w:right w:val="single" w:sz="8" w:space="0" w:color="002C47"/>
            </w:tcBorders>
          </w:tcPr>
          <w:p w14:paraId="0C428F85" w14:textId="63A1BF3B" w:rsidR="00825E68" w:rsidRPr="00D44064" w:rsidRDefault="00825E68" w:rsidP="00825E68">
            <w:r w:rsidRPr="00D44064">
              <w:t>United States (of America)</w:t>
            </w:r>
          </w:p>
        </w:tc>
      </w:tr>
      <w:bookmarkEnd w:id="5"/>
    </w:tbl>
    <w:p w14:paraId="7B5F7415" w14:textId="77777777" w:rsidR="00FD119B" w:rsidRPr="00D44064" w:rsidRDefault="00FD119B" w:rsidP="00FD119B">
      <w:pPr>
        <w:spacing w:before="0" w:after="200" w:line="0" w:lineRule="auto"/>
        <w:rPr>
          <w:b/>
          <w:i/>
          <w:sz w:val="24"/>
          <w:szCs w:val="24"/>
        </w:rPr>
      </w:pPr>
      <w:r w:rsidRPr="00D44064">
        <w:rPr>
          <w:b/>
          <w:i/>
          <w:sz w:val="24"/>
          <w:szCs w:val="24"/>
        </w:rPr>
        <w:br w:type="page"/>
      </w:r>
    </w:p>
    <w:p w14:paraId="044E221F" w14:textId="77777777" w:rsidR="008E7846" w:rsidRPr="00D44064" w:rsidRDefault="009F2673" w:rsidP="008E7846">
      <w:pPr>
        <w:pStyle w:val="Heading2"/>
      </w:pPr>
      <w:bookmarkStart w:id="6" w:name="_Toc126589456"/>
      <w:r w:rsidRPr="00D44064">
        <w:lastRenderedPageBreak/>
        <w:t>Pr</w:t>
      </w:r>
      <w:r w:rsidR="008E7846" w:rsidRPr="00D44064">
        <w:t>oduct submission</w:t>
      </w:r>
      <w:bookmarkEnd w:id="6"/>
      <w:bookmarkEnd w:id="0"/>
      <w:bookmarkEnd w:id="2"/>
    </w:p>
    <w:p w14:paraId="7004A4D5" w14:textId="77777777" w:rsidR="008E7846" w:rsidRPr="00D44064" w:rsidRDefault="008E7846" w:rsidP="009E5A87">
      <w:pPr>
        <w:pStyle w:val="Heading3"/>
        <w:rPr>
          <w:lang w:eastAsia="en-AU"/>
        </w:rPr>
      </w:pPr>
      <w:bookmarkStart w:id="7" w:name="_Toc247691502"/>
      <w:bookmarkStart w:id="8" w:name="_Toc314842483"/>
      <w:bookmarkStart w:id="9" w:name="_Toc126589457"/>
      <w:r w:rsidRPr="00D44064">
        <w:rPr>
          <w:lang w:eastAsia="en-AU"/>
        </w:rPr>
        <w:t>Submission details</w:t>
      </w:r>
      <w:bookmarkEnd w:id="7"/>
      <w:bookmarkEnd w:id="8"/>
      <w:bookmarkEnd w:id="9"/>
    </w:p>
    <w:tbl>
      <w:tblPr>
        <w:tblW w:w="5000" w:type="pct"/>
        <w:tblLook w:val="01E0" w:firstRow="1" w:lastRow="1" w:firstColumn="1" w:lastColumn="1" w:noHBand="0" w:noVBand="0"/>
      </w:tblPr>
      <w:tblGrid>
        <w:gridCol w:w="2682"/>
        <w:gridCol w:w="5822"/>
      </w:tblGrid>
      <w:tr w:rsidR="009F2673" w:rsidRPr="00D44064" w14:paraId="5A4FC3BD" w14:textId="77777777" w:rsidTr="000E2A3D">
        <w:tc>
          <w:tcPr>
            <w:tcW w:w="1577" w:type="pct"/>
          </w:tcPr>
          <w:p w14:paraId="7D34734A" w14:textId="77777777" w:rsidR="009F2673" w:rsidRPr="00D44064" w:rsidRDefault="009F2673" w:rsidP="009E5A87">
            <w:pPr>
              <w:rPr>
                <w:i/>
              </w:rPr>
            </w:pPr>
            <w:r w:rsidRPr="00D44064">
              <w:rPr>
                <w:i/>
              </w:rPr>
              <w:t>Type of submission:</w:t>
            </w:r>
          </w:p>
        </w:tc>
        <w:tc>
          <w:tcPr>
            <w:tcW w:w="3423" w:type="pct"/>
          </w:tcPr>
          <w:p w14:paraId="6037DE15" w14:textId="59528F26" w:rsidR="009F2673" w:rsidRPr="00D44064" w:rsidRDefault="00461D89" w:rsidP="009E5A87">
            <w:r w:rsidRPr="00D44064">
              <w:t>New fixed dose combination</w:t>
            </w:r>
          </w:p>
        </w:tc>
      </w:tr>
      <w:tr w:rsidR="009F2673" w:rsidRPr="00D44064" w14:paraId="0957C8DD" w14:textId="77777777" w:rsidTr="000E2A3D">
        <w:tc>
          <w:tcPr>
            <w:tcW w:w="1577" w:type="pct"/>
          </w:tcPr>
          <w:p w14:paraId="41150A05" w14:textId="362CDA8A" w:rsidR="009F2673" w:rsidRPr="00D44064" w:rsidRDefault="009F2673" w:rsidP="009E5A87">
            <w:pPr>
              <w:rPr>
                <w:i/>
              </w:rPr>
            </w:pPr>
            <w:r w:rsidRPr="00D44064">
              <w:rPr>
                <w:i/>
              </w:rPr>
              <w:t>Product name:</w:t>
            </w:r>
          </w:p>
        </w:tc>
        <w:tc>
          <w:tcPr>
            <w:tcW w:w="3423" w:type="pct"/>
          </w:tcPr>
          <w:p w14:paraId="5F2E2BEB" w14:textId="2A76AD5F" w:rsidR="009F2673" w:rsidRPr="00D44064" w:rsidRDefault="000E2A3D" w:rsidP="009E5A87">
            <w:r w:rsidRPr="00D44064">
              <w:t>Vyxeos</w:t>
            </w:r>
          </w:p>
        </w:tc>
      </w:tr>
      <w:tr w:rsidR="009F2673" w:rsidRPr="00D44064" w14:paraId="0822EF5E" w14:textId="77777777" w:rsidTr="000E2A3D">
        <w:tc>
          <w:tcPr>
            <w:tcW w:w="1577" w:type="pct"/>
          </w:tcPr>
          <w:p w14:paraId="07C18EBF" w14:textId="3D2310AA" w:rsidR="009F2673" w:rsidRPr="00D44064" w:rsidRDefault="009F2673" w:rsidP="009E5A87">
            <w:pPr>
              <w:rPr>
                <w:i/>
              </w:rPr>
            </w:pPr>
            <w:r w:rsidRPr="00D44064">
              <w:rPr>
                <w:i/>
              </w:rPr>
              <w:t>Active ingredients:</w:t>
            </w:r>
          </w:p>
        </w:tc>
        <w:tc>
          <w:tcPr>
            <w:tcW w:w="3423" w:type="pct"/>
          </w:tcPr>
          <w:p w14:paraId="278DDB4D" w14:textId="79860F99" w:rsidR="009F2673" w:rsidRPr="00D44064" w:rsidRDefault="000E2A3D" w:rsidP="009E5A87">
            <w:r w:rsidRPr="00D44064">
              <w:t>Daunorubicin</w:t>
            </w:r>
            <w:r w:rsidR="00DE5E44" w:rsidRPr="00D44064">
              <w:t xml:space="preserve"> (as hydrochloride) and </w:t>
            </w:r>
            <w:r w:rsidRPr="00D44064">
              <w:t>cytarabine</w:t>
            </w:r>
          </w:p>
        </w:tc>
      </w:tr>
      <w:tr w:rsidR="009F2673" w:rsidRPr="00D44064" w14:paraId="16481057" w14:textId="77777777" w:rsidTr="000E2A3D">
        <w:tc>
          <w:tcPr>
            <w:tcW w:w="1577" w:type="pct"/>
          </w:tcPr>
          <w:p w14:paraId="3F45AD2F" w14:textId="77777777" w:rsidR="009F2673" w:rsidRPr="00D44064" w:rsidRDefault="009F2673" w:rsidP="009E5A87">
            <w:pPr>
              <w:rPr>
                <w:i/>
              </w:rPr>
            </w:pPr>
            <w:r w:rsidRPr="00D44064">
              <w:rPr>
                <w:i/>
              </w:rPr>
              <w:t>Decision:</w:t>
            </w:r>
          </w:p>
        </w:tc>
        <w:tc>
          <w:tcPr>
            <w:tcW w:w="3423" w:type="pct"/>
          </w:tcPr>
          <w:p w14:paraId="6F11BB37" w14:textId="403A09A9" w:rsidR="009F2673" w:rsidRPr="00D44064" w:rsidRDefault="009F2673" w:rsidP="009E5A87">
            <w:r w:rsidRPr="00D44064">
              <w:t>Approved</w:t>
            </w:r>
          </w:p>
        </w:tc>
      </w:tr>
      <w:tr w:rsidR="009F2673" w:rsidRPr="00D44064" w14:paraId="01680B3D" w14:textId="77777777" w:rsidTr="000E2A3D">
        <w:tc>
          <w:tcPr>
            <w:tcW w:w="1577" w:type="pct"/>
          </w:tcPr>
          <w:p w14:paraId="65A787AF" w14:textId="77777777" w:rsidR="009F2673" w:rsidRPr="00D44064" w:rsidRDefault="009F2673" w:rsidP="009E5A87">
            <w:pPr>
              <w:rPr>
                <w:i/>
              </w:rPr>
            </w:pPr>
            <w:r w:rsidRPr="00D44064">
              <w:rPr>
                <w:i/>
              </w:rPr>
              <w:t>Date of decision:</w:t>
            </w:r>
          </w:p>
        </w:tc>
        <w:tc>
          <w:tcPr>
            <w:tcW w:w="3423" w:type="pct"/>
          </w:tcPr>
          <w:p w14:paraId="670D399C" w14:textId="2B83F463" w:rsidR="009F2673" w:rsidRPr="00D44064" w:rsidRDefault="00C275B4" w:rsidP="009E5A87">
            <w:r w:rsidRPr="00D44064">
              <w:t>27 May 2022</w:t>
            </w:r>
          </w:p>
        </w:tc>
      </w:tr>
      <w:tr w:rsidR="009F2673" w:rsidRPr="00D44064" w14:paraId="619837AF" w14:textId="77777777" w:rsidTr="000E2A3D">
        <w:tc>
          <w:tcPr>
            <w:tcW w:w="1577" w:type="pct"/>
          </w:tcPr>
          <w:p w14:paraId="0F83D66A" w14:textId="77777777" w:rsidR="009F2673" w:rsidRPr="00D44064" w:rsidRDefault="009F2673" w:rsidP="009E5A87">
            <w:pPr>
              <w:rPr>
                <w:i/>
              </w:rPr>
            </w:pPr>
            <w:r w:rsidRPr="00D44064">
              <w:rPr>
                <w:i/>
              </w:rPr>
              <w:t>Date of entry onto ARTG:</w:t>
            </w:r>
          </w:p>
        </w:tc>
        <w:tc>
          <w:tcPr>
            <w:tcW w:w="3423" w:type="pct"/>
          </w:tcPr>
          <w:p w14:paraId="4FC55D46" w14:textId="51659744" w:rsidR="009F2673" w:rsidRPr="00D44064" w:rsidRDefault="00436C6B" w:rsidP="009E5A87">
            <w:r w:rsidRPr="00D44064">
              <w:t>3 June 2022</w:t>
            </w:r>
          </w:p>
        </w:tc>
      </w:tr>
      <w:tr w:rsidR="009F2673" w:rsidRPr="00D44064" w14:paraId="7BBF775D" w14:textId="77777777" w:rsidTr="000E2A3D">
        <w:tc>
          <w:tcPr>
            <w:tcW w:w="1577" w:type="pct"/>
          </w:tcPr>
          <w:p w14:paraId="279D104A" w14:textId="73F4E927" w:rsidR="009F2673" w:rsidRPr="00D44064" w:rsidRDefault="009F2673" w:rsidP="009E5A87">
            <w:pPr>
              <w:rPr>
                <w:i/>
              </w:rPr>
            </w:pPr>
            <w:r w:rsidRPr="00D44064">
              <w:rPr>
                <w:i/>
              </w:rPr>
              <w:t>ARTG number:</w:t>
            </w:r>
          </w:p>
        </w:tc>
        <w:tc>
          <w:tcPr>
            <w:tcW w:w="3423" w:type="pct"/>
          </w:tcPr>
          <w:p w14:paraId="4F86A6F2" w14:textId="6F48B61E" w:rsidR="009F2673" w:rsidRPr="00D44064" w:rsidRDefault="00436C6B" w:rsidP="009E5A87">
            <w:r w:rsidRPr="00D44064">
              <w:t>363250</w:t>
            </w:r>
          </w:p>
        </w:tc>
      </w:tr>
      <w:tr w:rsidR="009F2673" w:rsidRPr="00D44064" w14:paraId="1FD3DD9C" w14:textId="77777777" w:rsidTr="000E2A3D">
        <w:tc>
          <w:tcPr>
            <w:tcW w:w="1577" w:type="pct"/>
          </w:tcPr>
          <w:p w14:paraId="7B5328BC" w14:textId="6F397F01" w:rsidR="009F2673" w:rsidRPr="00D44064" w:rsidRDefault="001B1DA4" w:rsidP="009E5A87">
            <w:pPr>
              <w:rPr>
                <w:i/>
              </w:rPr>
            </w:pPr>
            <w:r w:rsidRPr="00D44064">
              <w:rPr>
                <w:rFonts w:ascii="Wingdings 3" w:hAnsi="Wingdings 3"/>
                <w:sz w:val="34"/>
                <w:szCs w:val="34"/>
                <w:lang w:eastAsia="en-AU"/>
              </w:rPr>
              <w:t></w:t>
            </w:r>
            <w:hyperlink r:id="rId14" w:history="1">
              <w:r w:rsidR="009F2673" w:rsidRPr="00D44064">
                <w:rPr>
                  <w:rStyle w:val="Hyperlink"/>
                  <w:i/>
                </w:rPr>
                <w:t>Black Triangle Scheme</w:t>
              </w:r>
            </w:hyperlink>
            <w:r w:rsidR="009F2673" w:rsidRPr="00D44064">
              <w:rPr>
                <w:i/>
              </w:rPr>
              <w:t>:</w:t>
            </w:r>
          </w:p>
        </w:tc>
        <w:tc>
          <w:tcPr>
            <w:tcW w:w="3423" w:type="pct"/>
          </w:tcPr>
          <w:p w14:paraId="404EC189" w14:textId="274580F7" w:rsidR="009F2673" w:rsidRPr="00D44064" w:rsidRDefault="009F2673" w:rsidP="009E5A87">
            <w:r w:rsidRPr="00D44064">
              <w:t>Yes</w:t>
            </w:r>
            <w:r w:rsidR="00461D89" w:rsidRPr="00D44064">
              <w:t>.</w:t>
            </w:r>
          </w:p>
          <w:p w14:paraId="065FAF47" w14:textId="6906A147" w:rsidR="009F2673" w:rsidRPr="00D44064" w:rsidRDefault="009F2673" w:rsidP="009E5A87">
            <w:r w:rsidRPr="00D44064">
              <w:t>This product will remain in the scheme for 5 years, starting on the date the product is first supplied in Australia</w:t>
            </w:r>
            <w:r w:rsidR="00461D89" w:rsidRPr="00D44064">
              <w:t>.</w:t>
            </w:r>
          </w:p>
        </w:tc>
      </w:tr>
      <w:tr w:rsidR="009F2673" w:rsidRPr="00D44064" w14:paraId="29D4C4AF" w14:textId="77777777" w:rsidTr="000E2A3D">
        <w:tc>
          <w:tcPr>
            <w:tcW w:w="1577" w:type="pct"/>
          </w:tcPr>
          <w:p w14:paraId="1DE96099" w14:textId="77777777" w:rsidR="009F2673" w:rsidRPr="00D44064" w:rsidRDefault="009F2673" w:rsidP="009E5A87">
            <w:pPr>
              <w:rPr>
                <w:i/>
              </w:rPr>
            </w:pPr>
            <w:r w:rsidRPr="00D44064">
              <w:rPr>
                <w:i/>
              </w:rPr>
              <w:t>Sponsor’s name and address:</w:t>
            </w:r>
          </w:p>
        </w:tc>
        <w:tc>
          <w:tcPr>
            <w:tcW w:w="3423" w:type="pct"/>
          </w:tcPr>
          <w:p w14:paraId="6C770E8B" w14:textId="77777777" w:rsidR="009F2673" w:rsidRPr="00D44064" w:rsidRDefault="00461D89" w:rsidP="009E5A87">
            <w:r w:rsidRPr="00D44064">
              <w:t>Jazz Pharmaceuticals ANZ Pty Ltd</w:t>
            </w:r>
          </w:p>
          <w:p w14:paraId="19952AC1" w14:textId="132A6AFA" w:rsidR="00461D89" w:rsidRPr="00D44064" w:rsidRDefault="00461D89" w:rsidP="00461D89">
            <w:r w:rsidRPr="00D44064">
              <w:t xml:space="preserve">One International Towers Sydney, </w:t>
            </w:r>
            <w:proofErr w:type="spellStart"/>
            <w:r w:rsidRPr="00D44064">
              <w:t>Watermans</w:t>
            </w:r>
            <w:proofErr w:type="spellEnd"/>
            <w:r w:rsidRPr="00D44064">
              <w:t xml:space="preserve"> Quay</w:t>
            </w:r>
          </w:p>
          <w:p w14:paraId="1D2B8688" w14:textId="0A95EBEF" w:rsidR="00461D89" w:rsidRPr="00D44064" w:rsidRDefault="00461D89" w:rsidP="00461D89">
            <w:r w:rsidRPr="00D44064">
              <w:t>Barangaroo NSW 2000</w:t>
            </w:r>
          </w:p>
        </w:tc>
      </w:tr>
      <w:tr w:rsidR="009F2673" w:rsidRPr="00D44064" w14:paraId="67031EE1" w14:textId="77777777" w:rsidTr="000E2A3D">
        <w:tc>
          <w:tcPr>
            <w:tcW w:w="1577" w:type="pct"/>
          </w:tcPr>
          <w:p w14:paraId="628A26AB" w14:textId="5C91A244" w:rsidR="009F2673" w:rsidRPr="00D44064" w:rsidRDefault="009F2673" w:rsidP="009E5A87">
            <w:pPr>
              <w:rPr>
                <w:i/>
              </w:rPr>
            </w:pPr>
            <w:r w:rsidRPr="00D44064">
              <w:rPr>
                <w:i/>
              </w:rPr>
              <w:t>Dose form:</w:t>
            </w:r>
          </w:p>
        </w:tc>
        <w:tc>
          <w:tcPr>
            <w:tcW w:w="3423" w:type="pct"/>
          </w:tcPr>
          <w:p w14:paraId="68FA57B1" w14:textId="54111468" w:rsidR="009F2673" w:rsidRPr="00D44064" w:rsidRDefault="00436C6B" w:rsidP="009E5A87">
            <w:r w:rsidRPr="00D44064">
              <w:t>Powder for injection</w:t>
            </w:r>
          </w:p>
        </w:tc>
      </w:tr>
      <w:tr w:rsidR="009F2673" w:rsidRPr="00D44064" w14:paraId="014DB42D" w14:textId="77777777" w:rsidTr="000E2A3D">
        <w:tc>
          <w:tcPr>
            <w:tcW w:w="1577" w:type="pct"/>
          </w:tcPr>
          <w:p w14:paraId="7DC4880F" w14:textId="01BC8479" w:rsidR="009F2673" w:rsidRPr="00D44064" w:rsidRDefault="009F2673" w:rsidP="009E5A87">
            <w:pPr>
              <w:rPr>
                <w:i/>
              </w:rPr>
            </w:pPr>
            <w:r w:rsidRPr="00D44064">
              <w:rPr>
                <w:i/>
              </w:rPr>
              <w:t>Strength:</w:t>
            </w:r>
          </w:p>
        </w:tc>
        <w:tc>
          <w:tcPr>
            <w:tcW w:w="3423" w:type="pct"/>
          </w:tcPr>
          <w:p w14:paraId="77A49DFC" w14:textId="638C7537" w:rsidR="009F2673" w:rsidRPr="00D44064" w:rsidRDefault="00436C6B" w:rsidP="00DE5E44">
            <w:r w:rsidRPr="00D44064">
              <w:t>44 mg</w:t>
            </w:r>
            <w:r w:rsidRPr="00D44064">
              <w:cr/>
              <w:t xml:space="preserve">daunorubicin hydrochloride </w:t>
            </w:r>
            <w:r w:rsidR="00DE5E44" w:rsidRPr="00D44064">
              <w:t>(2.2 mg/mL) and</w:t>
            </w:r>
            <w:r w:rsidRPr="00D44064">
              <w:t xml:space="preserve"> 100</w:t>
            </w:r>
            <w:r w:rsidR="00E1008C" w:rsidRPr="00D44064">
              <w:t> </w:t>
            </w:r>
            <w:r w:rsidRPr="00D44064">
              <w:t xml:space="preserve">mg cytarabine </w:t>
            </w:r>
            <w:r w:rsidR="00DE5E44" w:rsidRPr="00D44064">
              <w:t>(5.0 mg/mL)</w:t>
            </w:r>
          </w:p>
        </w:tc>
      </w:tr>
      <w:tr w:rsidR="009F2673" w:rsidRPr="00D44064" w14:paraId="1B67EE3D" w14:textId="77777777" w:rsidTr="000E2A3D">
        <w:tc>
          <w:tcPr>
            <w:tcW w:w="1577" w:type="pct"/>
          </w:tcPr>
          <w:p w14:paraId="1D05DDEB" w14:textId="129989BB" w:rsidR="009F2673" w:rsidRPr="00D44064" w:rsidRDefault="009F2673" w:rsidP="009E5A87">
            <w:pPr>
              <w:rPr>
                <w:i/>
              </w:rPr>
            </w:pPr>
            <w:r w:rsidRPr="00D44064">
              <w:rPr>
                <w:i/>
              </w:rPr>
              <w:t>Container:</w:t>
            </w:r>
          </w:p>
        </w:tc>
        <w:tc>
          <w:tcPr>
            <w:tcW w:w="3423" w:type="pct"/>
          </w:tcPr>
          <w:p w14:paraId="051F435D" w14:textId="6BEC1AEF" w:rsidR="009F2673" w:rsidRPr="00D44064" w:rsidRDefault="00436C6B" w:rsidP="009E5A87">
            <w:r w:rsidRPr="00D44064">
              <w:t>Vial</w:t>
            </w:r>
          </w:p>
        </w:tc>
      </w:tr>
      <w:tr w:rsidR="009F2673" w:rsidRPr="00D44064" w14:paraId="329A2E7A" w14:textId="77777777" w:rsidTr="000E2A3D">
        <w:tc>
          <w:tcPr>
            <w:tcW w:w="1577" w:type="pct"/>
          </w:tcPr>
          <w:p w14:paraId="7D2B52C4" w14:textId="2FFB34B9" w:rsidR="009F2673" w:rsidRPr="00D44064" w:rsidRDefault="009F2673" w:rsidP="009E5A87">
            <w:pPr>
              <w:rPr>
                <w:i/>
              </w:rPr>
            </w:pPr>
            <w:r w:rsidRPr="00D44064">
              <w:rPr>
                <w:i/>
              </w:rPr>
              <w:t>Pack sizes:</w:t>
            </w:r>
          </w:p>
        </w:tc>
        <w:tc>
          <w:tcPr>
            <w:tcW w:w="3423" w:type="pct"/>
          </w:tcPr>
          <w:p w14:paraId="02131F08" w14:textId="64FFF92D" w:rsidR="009F2673" w:rsidRPr="00D44064" w:rsidRDefault="00436C6B" w:rsidP="009E5A87">
            <w:r w:rsidRPr="00D44064">
              <w:t>One and two</w:t>
            </w:r>
            <w:r w:rsidR="00C236C0" w:rsidRPr="00D44064">
              <w:t xml:space="preserve"> vials</w:t>
            </w:r>
          </w:p>
        </w:tc>
      </w:tr>
      <w:tr w:rsidR="009F2673" w:rsidRPr="00D44064" w14:paraId="5B026099" w14:textId="77777777" w:rsidTr="000E2A3D">
        <w:tc>
          <w:tcPr>
            <w:tcW w:w="1577" w:type="pct"/>
          </w:tcPr>
          <w:p w14:paraId="5FF5DD7B" w14:textId="77777777" w:rsidR="009F2673" w:rsidRPr="00D44064" w:rsidRDefault="009F2673" w:rsidP="009E5A87">
            <w:pPr>
              <w:rPr>
                <w:i/>
              </w:rPr>
            </w:pPr>
            <w:r w:rsidRPr="00D44064">
              <w:rPr>
                <w:i/>
              </w:rPr>
              <w:t>Approved therapeutic use:</w:t>
            </w:r>
          </w:p>
        </w:tc>
        <w:tc>
          <w:tcPr>
            <w:tcW w:w="3423" w:type="pct"/>
          </w:tcPr>
          <w:p w14:paraId="763E9C62" w14:textId="7D131F3B" w:rsidR="009F2673" w:rsidRPr="00D44064" w:rsidRDefault="00461D89" w:rsidP="00461D89">
            <w:pPr>
              <w:rPr>
                <w:i/>
                <w:iCs/>
              </w:rPr>
            </w:pPr>
            <w:r w:rsidRPr="00D44064">
              <w:rPr>
                <w:i/>
                <w:iCs/>
              </w:rPr>
              <w:t>Vyxeos is indicated for the treatment of adults with newly diagnosed, therapy-related acute myeloid leukaemia (t-AML) or AML with myelodysplasia-related changes (AMLMRC)</w:t>
            </w:r>
          </w:p>
        </w:tc>
      </w:tr>
      <w:tr w:rsidR="009F2673" w:rsidRPr="00D44064" w14:paraId="09166D7F" w14:textId="77777777" w:rsidTr="000E2A3D">
        <w:tc>
          <w:tcPr>
            <w:tcW w:w="1577" w:type="pct"/>
          </w:tcPr>
          <w:p w14:paraId="0540B74F" w14:textId="5126DDD6" w:rsidR="009F2673" w:rsidRPr="00D44064" w:rsidRDefault="009F2673" w:rsidP="009E5A87">
            <w:pPr>
              <w:rPr>
                <w:i/>
              </w:rPr>
            </w:pPr>
            <w:r w:rsidRPr="00D44064">
              <w:rPr>
                <w:i/>
              </w:rPr>
              <w:t>Route of administration:</w:t>
            </w:r>
          </w:p>
        </w:tc>
        <w:tc>
          <w:tcPr>
            <w:tcW w:w="3423" w:type="pct"/>
          </w:tcPr>
          <w:p w14:paraId="1EC5107E" w14:textId="6FE116D3" w:rsidR="009F2673" w:rsidRPr="00D44064" w:rsidRDefault="00436C6B" w:rsidP="009E5A87">
            <w:r w:rsidRPr="00D44064">
              <w:t>Intravenous Infusion</w:t>
            </w:r>
          </w:p>
        </w:tc>
      </w:tr>
      <w:tr w:rsidR="009F2673" w:rsidRPr="00D44064" w14:paraId="2F76428A" w14:textId="77777777" w:rsidTr="000E2A3D">
        <w:tc>
          <w:tcPr>
            <w:tcW w:w="1577" w:type="pct"/>
          </w:tcPr>
          <w:p w14:paraId="3C734BB2" w14:textId="77777777" w:rsidR="009F2673" w:rsidRPr="00D44064" w:rsidRDefault="009F2673" w:rsidP="009E5A87">
            <w:pPr>
              <w:rPr>
                <w:i/>
              </w:rPr>
            </w:pPr>
            <w:r w:rsidRPr="00D44064">
              <w:rPr>
                <w:i/>
              </w:rPr>
              <w:t>Dosage:</w:t>
            </w:r>
          </w:p>
        </w:tc>
        <w:tc>
          <w:tcPr>
            <w:tcW w:w="3423" w:type="pct"/>
          </w:tcPr>
          <w:p w14:paraId="60D2721F" w14:textId="77777777" w:rsidR="00436C6B" w:rsidRPr="00D44064" w:rsidRDefault="00436C6B" w:rsidP="00436C6B">
            <w:pPr>
              <w:tabs>
                <w:tab w:val="left" w:pos="729"/>
              </w:tabs>
            </w:pPr>
            <w:r w:rsidRPr="00D44064">
              <w:t>Vyxeos must be initiated and monitored under the supervision of physicians experienced in the use of chemotherapeutic medicinal products.</w:t>
            </w:r>
          </w:p>
          <w:p w14:paraId="047104FA" w14:textId="685BA99F" w:rsidR="00436C6B" w:rsidRPr="00D44064" w:rsidRDefault="00436C6B" w:rsidP="00436C6B">
            <w:pPr>
              <w:tabs>
                <w:tab w:val="left" w:pos="729"/>
              </w:tabs>
            </w:pPr>
            <w:r w:rsidRPr="00D44064">
              <w:t>Vyxeos dosing is based on the patient’s body surface area. Dosage should be administered as a first induction, second induction and consolidation dose.</w:t>
            </w:r>
          </w:p>
          <w:p w14:paraId="7ED8AC01" w14:textId="77777777" w:rsidR="00436C6B" w:rsidRPr="00D44064" w:rsidRDefault="00436C6B" w:rsidP="00436C6B">
            <w:pPr>
              <w:tabs>
                <w:tab w:val="left" w:pos="729"/>
              </w:tabs>
              <w:rPr>
                <w:i/>
                <w:iCs/>
              </w:rPr>
            </w:pPr>
            <w:r w:rsidRPr="00D44064">
              <w:rPr>
                <w:i/>
                <w:iCs/>
              </w:rPr>
              <w:t>Recommended dosing schedule for induction of remission</w:t>
            </w:r>
          </w:p>
          <w:p w14:paraId="594BA39D" w14:textId="4E11BB74" w:rsidR="00436C6B" w:rsidRPr="00D44064" w:rsidRDefault="00436C6B" w:rsidP="00477B98">
            <w:r w:rsidRPr="00D44064">
              <w:t xml:space="preserve">The recommended dosing schedule of Vyxeos </w:t>
            </w:r>
            <w:r w:rsidR="00625E22" w:rsidRPr="00D44064">
              <w:t>(</w:t>
            </w:r>
            <w:r w:rsidRPr="00D44064">
              <w:t>44 mg</w:t>
            </w:r>
            <w:r w:rsidR="00C236C0" w:rsidRPr="00D44064">
              <w:t xml:space="preserve"> </w:t>
            </w:r>
            <w:r w:rsidR="00625E22" w:rsidRPr="00D44064">
              <w:t>daunorubicin</w:t>
            </w:r>
            <w:r w:rsidRPr="00D44064">
              <w:t>/100 mg</w:t>
            </w:r>
            <w:r w:rsidR="00C236C0" w:rsidRPr="00D44064">
              <w:t xml:space="preserve"> </w:t>
            </w:r>
            <w:r w:rsidR="00625E22" w:rsidRPr="00D44064">
              <w:t xml:space="preserve">cytarabine) </w:t>
            </w:r>
            <w:r w:rsidR="00C236C0" w:rsidRPr="00D44064">
              <w:t xml:space="preserve">per </w:t>
            </w:r>
            <w:r w:rsidRPr="00D44064">
              <w:t>m</w:t>
            </w:r>
            <w:r w:rsidRPr="00D44064">
              <w:rPr>
                <w:vertAlign w:val="superscript"/>
              </w:rPr>
              <w:t>2</w:t>
            </w:r>
            <w:r w:rsidR="00C236C0" w:rsidRPr="00D44064">
              <w:rPr>
                <w:vertAlign w:val="superscript"/>
              </w:rPr>
              <w:t xml:space="preserve"> </w:t>
            </w:r>
            <w:r w:rsidR="00C236C0" w:rsidRPr="00D44064">
              <w:t>body surface area</w:t>
            </w:r>
            <w:r w:rsidRPr="00D44064">
              <w:t>, administered intravenously over 90 minutes:</w:t>
            </w:r>
          </w:p>
          <w:p w14:paraId="45D0A49D" w14:textId="4E53F885" w:rsidR="00436C6B" w:rsidRPr="00D44064" w:rsidRDefault="00436C6B" w:rsidP="00436C6B">
            <w:pPr>
              <w:pStyle w:val="ListBullet"/>
            </w:pPr>
            <w:r w:rsidRPr="00D44064">
              <w:lastRenderedPageBreak/>
              <w:t>on Days 1, 3, and 5 as the first course of induction therapy.</w:t>
            </w:r>
          </w:p>
          <w:p w14:paraId="7047E80F" w14:textId="5AA86514" w:rsidR="00436C6B" w:rsidRPr="00D44064" w:rsidRDefault="00436C6B" w:rsidP="00436C6B">
            <w:pPr>
              <w:pStyle w:val="ListBullet"/>
            </w:pPr>
            <w:r w:rsidRPr="00D44064">
              <w:t>on Days 1 and 3 as subsequent course of induction therapy, if needed.</w:t>
            </w:r>
          </w:p>
          <w:p w14:paraId="119E7D2A" w14:textId="77777777" w:rsidR="00436C6B" w:rsidRPr="00D44064" w:rsidRDefault="00436C6B" w:rsidP="00436C6B">
            <w:pPr>
              <w:tabs>
                <w:tab w:val="left" w:pos="729"/>
              </w:tabs>
            </w:pPr>
            <w:r w:rsidRPr="00D44064">
              <w:t>A subsequent course of induction may be administered in patients who do not show disease progression or unacceptable toxicity.</w:t>
            </w:r>
          </w:p>
          <w:p w14:paraId="08347586" w14:textId="77777777" w:rsidR="00436C6B" w:rsidRPr="00D44064" w:rsidRDefault="00436C6B" w:rsidP="00436C6B">
            <w:pPr>
              <w:tabs>
                <w:tab w:val="left" w:pos="729"/>
              </w:tabs>
              <w:rPr>
                <w:i/>
                <w:iCs/>
              </w:rPr>
            </w:pPr>
            <w:r w:rsidRPr="00D44064">
              <w:rPr>
                <w:i/>
                <w:iCs/>
              </w:rPr>
              <w:t>Recommended dosing schedule for consolidation</w:t>
            </w:r>
          </w:p>
          <w:p w14:paraId="5F8D512C" w14:textId="1C266C84" w:rsidR="00436C6B" w:rsidRPr="00D44064" w:rsidRDefault="00436C6B" w:rsidP="00436C6B">
            <w:pPr>
              <w:tabs>
                <w:tab w:val="left" w:pos="729"/>
              </w:tabs>
            </w:pPr>
            <w:r w:rsidRPr="00D44064">
              <w:t>The first consolidation cycle should be administered 5 to 8</w:t>
            </w:r>
            <w:r w:rsidR="00DE5E44" w:rsidRPr="00D44064">
              <w:t> </w:t>
            </w:r>
            <w:r w:rsidRPr="00D44064">
              <w:t>weeks after the start of the last induction:</w:t>
            </w:r>
          </w:p>
          <w:p w14:paraId="4B6FE75D" w14:textId="5A33B589" w:rsidR="00436C6B" w:rsidRPr="00D44064" w:rsidRDefault="00436C6B" w:rsidP="00436C6B">
            <w:pPr>
              <w:tabs>
                <w:tab w:val="left" w:pos="729"/>
              </w:tabs>
            </w:pPr>
            <w:r w:rsidRPr="00D44064">
              <w:t>The recommended dosing schedule of Vyxeos is 29</w:t>
            </w:r>
            <w:r w:rsidR="00C236C0" w:rsidRPr="00D44064">
              <w:t> </w:t>
            </w:r>
            <w:r w:rsidRPr="00D44064">
              <w:t>mg</w:t>
            </w:r>
            <w:r w:rsidR="00C236C0" w:rsidRPr="00D44064">
              <w:t> </w:t>
            </w:r>
            <w:r w:rsidR="00625E22" w:rsidRPr="00D44064">
              <w:t xml:space="preserve">(daunorubicin)/65 mg (cytarabine) </w:t>
            </w:r>
            <w:r w:rsidR="00C236C0" w:rsidRPr="00D44064">
              <w:t xml:space="preserve">per </w:t>
            </w:r>
            <w:r w:rsidRPr="00D44064">
              <w:t>m</w:t>
            </w:r>
            <w:r w:rsidRPr="00D44064">
              <w:rPr>
                <w:vertAlign w:val="superscript"/>
              </w:rPr>
              <w:t>2</w:t>
            </w:r>
            <w:r w:rsidR="00C236C0" w:rsidRPr="00D44064">
              <w:t xml:space="preserve"> body surface area</w:t>
            </w:r>
            <w:r w:rsidRPr="00D44064">
              <w:t xml:space="preserve"> administered intravenously over 90</w:t>
            </w:r>
            <w:r w:rsidR="00750E41" w:rsidRPr="00D44064">
              <w:t> </w:t>
            </w:r>
            <w:r w:rsidRPr="00D44064">
              <w:t>minutes:</w:t>
            </w:r>
          </w:p>
          <w:p w14:paraId="5CFEEB80" w14:textId="2A20CDD2" w:rsidR="00436C6B" w:rsidRPr="00D44064" w:rsidRDefault="00436C6B" w:rsidP="00436C6B">
            <w:pPr>
              <w:pStyle w:val="ListBullet"/>
            </w:pPr>
            <w:r w:rsidRPr="00D44064">
              <w:t>on Days 1 and 3 as subsequent courses of consolidation therapy, if needed.</w:t>
            </w:r>
          </w:p>
          <w:p w14:paraId="6141AC27" w14:textId="77777777" w:rsidR="009F2673" w:rsidRPr="00D44064" w:rsidRDefault="009F2673" w:rsidP="009E5A87">
            <w:r w:rsidRPr="00D44064">
              <w:t>For further information regarding dosage, refer to the Product Information.</w:t>
            </w:r>
          </w:p>
        </w:tc>
      </w:tr>
      <w:tr w:rsidR="009F2673" w:rsidRPr="00D44064" w14:paraId="609BA680" w14:textId="77777777" w:rsidTr="000E2A3D">
        <w:tc>
          <w:tcPr>
            <w:tcW w:w="1577" w:type="pct"/>
          </w:tcPr>
          <w:p w14:paraId="66E370F6" w14:textId="77777777" w:rsidR="009F2673" w:rsidRPr="00D44064" w:rsidRDefault="009F2673" w:rsidP="009E5A87">
            <w:pPr>
              <w:rPr>
                <w:i/>
              </w:rPr>
            </w:pPr>
            <w:r w:rsidRPr="00D44064">
              <w:rPr>
                <w:i/>
              </w:rPr>
              <w:lastRenderedPageBreak/>
              <w:t>Pregnancy category:</w:t>
            </w:r>
          </w:p>
        </w:tc>
        <w:tc>
          <w:tcPr>
            <w:tcW w:w="3423" w:type="pct"/>
          </w:tcPr>
          <w:p w14:paraId="70492964" w14:textId="77777777" w:rsidR="00436C6B" w:rsidRPr="00D44064" w:rsidRDefault="00436C6B" w:rsidP="009E5A87">
            <w:r w:rsidRPr="00D44064">
              <w:t>D</w:t>
            </w:r>
          </w:p>
          <w:p w14:paraId="5EC61799" w14:textId="6149BCB2" w:rsidR="00436C6B" w:rsidRPr="00D44064" w:rsidRDefault="00DE5E44" w:rsidP="00DE5E44">
            <w:r w:rsidRPr="00D44064">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0EFED0C4" w14:textId="41C5DD42" w:rsidR="009F2673" w:rsidRPr="00D44064" w:rsidRDefault="009F2673" w:rsidP="009E5A87">
            <w:r w:rsidRPr="00D44064">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4E4F5849" w14:textId="77777777" w:rsidR="008E7846" w:rsidRPr="00D44064" w:rsidRDefault="008E7846" w:rsidP="008E7846">
      <w:pPr>
        <w:pStyle w:val="Heading3"/>
      </w:pPr>
      <w:bookmarkStart w:id="10" w:name="_Toc247691503"/>
      <w:bookmarkStart w:id="11" w:name="_Toc314842484"/>
      <w:bookmarkStart w:id="12" w:name="_Toc126589458"/>
      <w:r w:rsidRPr="00D44064">
        <w:t>Product background</w:t>
      </w:r>
      <w:bookmarkEnd w:id="10"/>
      <w:bookmarkEnd w:id="11"/>
      <w:bookmarkEnd w:id="12"/>
    </w:p>
    <w:p w14:paraId="54FAD5EA" w14:textId="4FF27226" w:rsidR="009F2673" w:rsidRPr="00D44064" w:rsidRDefault="009F2673" w:rsidP="009F2673">
      <w:r w:rsidRPr="00D44064">
        <w:t xml:space="preserve">This AusPAR describes the </w:t>
      </w:r>
      <w:r w:rsidR="001E359E" w:rsidRPr="00D44064">
        <w:t>submission</w:t>
      </w:r>
      <w:r w:rsidRPr="00D44064">
        <w:t xml:space="preserve"> by </w:t>
      </w:r>
      <w:r w:rsidR="00461D89" w:rsidRPr="00D44064">
        <w:t xml:space="preserve">Jazz Pharmaceuticals ANZ Pty Ltd </w:t>
      </w:r>
      <w:r w:rsidRPr="00D44064">
        <w:t xml:space="preserve">(the sponsor) to register </w:t>
      </w:r>
      <w:r w:rsidR="000E2A3D" w:rsidRPr="00D44064">
        <w:t>Vyxeos</w:t>
      </w:r>
      <w:r w:rsidRPr="00D44064">
        <w:t xml:space="preserve"> (</w:t>
      </w:r>
      <w:r w:rsidR="00DE5E44" w:rsidRPr="00D44064">
        <w:t>44 mg daunorubicin hydrochloride and 100 mg cytarabine)</w:t>
      </w:r>
      <w:r w:rsidRPr="00D44064">
        <w:t xml:space="preserve">, </w:t>
      </w:r>
      <w:r w:rsidR="00DE5E44" w:rsidRPr="00D44064">
        <w:t>powder for injection</w:t>
      </w:r>
      <w:r w:rsidRPr="00D44064">
        <w:t xml:space="preserve"> for the following proposed indication:</w:t>
      </w:r>
    </w:p>
    <w:p w14:paraId="1AE7DC7E" w14:textId="281A3431" w:rsidR="00DE5E44" w:rsidRPr="00D44064" w:rsidRDefault="00DE5E44" w:rsidP="00DE5E44">
      <w:pPr>
        <w:pStyle w:val="ListBullet2"/>
        <w:rPr>
          <w:i/>
          <w:iCs/>
        </w:rPr>
      </w:pPr>
      <w:r w:rsidRPr="00D44064">
        <w:rPr>
          <w:i/>
          <w:iCs/>
        </w:rPr>
        <w:t>adults with newly diagnosed, therapy-related acute myeloid leukaemia (t-AML) or AML with myelodysplasia-related changes (AML-MRC)</w:t>
      </w:r>
    </w:p>
    <w:p w14:paraId="2311F13A" w14:textId="4A63ED00" w:rsidR="00DE5E44" w:rsidRPr="00D44064" w:rsidRDefault="00DE5E44" w:rsidP="00DE5E44">
      <w:pPr>
        <w:pStyle w:val="ListBullet2"/>
        <w:rPr>
          <w:i/>
          <w:iCs/>
        </w:rPr>
      </w:pPr>
      <w:r w:rsidRPr="00D44064">
        <w:rPr>
          <w:i/>
          <w:iCs/>
        </w:rPr>
        <w:t>paediatric and young adult patients aged 1 to 21 years old with relapsed or refractory AML.</w:t>
      </w:r>
    </w:p>
    <w:p w14:paraId="47FDE671" w14:textId="25A88E13" w:rsidR="004575AF" w:rsidRPr="00D44064" w:rsidRDefault="004575AF" w:rsidP="00477B98">
      <w:pPr>
        <w:pStyle w:val="Heading4"/>
      </w:pPr>
      <w:bookmarkStart w:id="13" w:name="_Toc314842485"/>
      <w:bookmarkStart w:id="14" w:name="_Toc247691504"/>
      <w:r w:rsidRPr="00D44064">
        <w:t>Acute myeloid leukaemia</w:t>
      </w:r>
    </w:p>
    <w:p w14:paraId="7D993836" w14:textId="25AF0FCD" w:rsidR="00A06B4F" w:rsidRPr="00D44064" w:rsidRDefault="00A06B4F" w:rsidP="00A06B4F">
      <w:r w:rsidRPr="00D44064">
        <w:t>Acute myeloid leukaemia</w:t>
      </w:r>
      <w:r w:rsidR="00242683" w:rsidRPr="00D44064">
        <w:t xml:space="preserve"> (AML)</w:t>
      </w:r>
      <w:r w:rsidRPr="00D44064">
        <w:t xml:space="preserve"> is a clonal disorder of haematopoietic progenitor cells leading to the proliferation of abnormal myeloid precursor cells (blasts) which fail to differentiate. The accumulation of leukaemic blasts in the bone marrow leads to </w:t>
      </w:r>
      <w:r w:rsidRPr="00D44064">
        <w:lastRenderedPageBreak/>
        <w:t>suppression of normal haematopoiesis, with ensuing cytopaenias. This may lead to sepsis and multi-system organ failure or bleeding events and can be fatal. Prognostic factors for treatment outcome include cytogenetic</w:t>
      </w:r>
      <w:r w:rsidR="00C275B4" w:rsidRPr="00D44064">
        <w:t xml:space="preserve"> </w:t>
      </w:r>
      <w:r w:rsidRPr="00D44064">
        <w:t xml:space="preserve">molecular features, </w:t>
      </w:r>
      <w:proofErr w:type="gramStart"/>
      <w:r w:rsidRPr="00D44064">
        <w:t>age</w:t>
      </w:r>
      <w:proofErr w:type="gramEnd"/>
      <w:r w:rsidRPr="00D44064">
        <w:t xml:space="preserve"> and AML subtypes.</w:t>
      </w:r>
    </w:p>
    <w:p w14:paraId="29EB2B66" w14:textId="2B1A28E8" w:rsidR="00A06B4F" w:rsidRPr="00D44064" w:rsidRDefault="00A06B4F" w:rsidP="00A06B4F">
      <w:r w:rsidRPr="00D44064">
        <w:t>Acute myeloid leukaemia</w:t>
      </w:r>
      <w:r w:rsidR="00242683" w:rsidRPr="00D44064">
        <w:t xml:space="preserve"> (AML)</w:t>
      </w:r>
      <w:r w:rsidRPr="00D44064">
        <w:t xml:space="preserve"> is the most common acute leukaemia in adults. </w:t>
      </w:r>
      <w:r w:rsidR="00242683" w:rsidRPr="00D44064">
        <w:t xml:space="preserve">AML </w:t>
      </w:r>
      <w:r w:rsidRPr="00D44064">
        <w:t xml:space="preserve">accounts for approximately 30% of all leukaemias and 80% of acute leukaemia in adults. Global incidence rates vary, with </w:t>
      </w:r>
      <w:r w:rsidR="00A712A7" w:rsidRPr="00D44064">
        <w:t xml:space="preserve">approximately </w:t>
      </w:r>
      <w:r w:rsidRPr="00D44064">
        <w:t xml:space="preserve">3.47 cases per 100,000 individuals in Canada, 4.3 cases per 100,000 individuals in the </w:t>
      </w:r>
      <w:r w:rsidR="00242683" w:rsidRPr="00D44064">
        <w:t>United States of America (</w:t>
      </w:r>
      <w:r w:rsidRPr="00D44064">
        <w:t>US</w:t>
      </w:r>
      <w:r w:rsidR="00242683" w:rsidRPr="00D44064">
        <w:t>A)</w:t>
      </w:r>
      <w:r w:rsidRPr="00D44064">
        <w:t xml:space="preserve"> and 5</w:t>
      </w:r>
      <w:r w:rsidR="00C275B4" w:rsidRPr="00D44064">
        <w:t xml:space="preserve"> to </w:t>
      </w:r>
      <w:r w:rsidRPr="00D44064">
        <w:t>8</w:t>
      </w:r>
      <w:r w:rsidR="00C236C0" w:rsidRPr="00D44064">
        <w:t> </w:t>
      </w:r>
      <w:r w:rsidRPr="00D44064">
        <w:t>cases per 100,000 individuals in Europe.</w:t>
      </w:r>
      <w:r w:rsidR="00BE372C" w:rsidRPr="00D44064">
        <w:rPr>
          <w:rStyle w:val="FootnoteReference"/>
        </w:rPr>
        <w:footnoteReference w:id="1"/>
      </w:r>
      <w:r w:rsidR="00A54708" w:rsidRPr="00D44064">
        <w:rPr>
          <w:vertAlign w:val="superscript"/>
        </w:rPr>
        <w:t>,</w:t>
      </w:r>
      <w:r w:rsidR="00A54708" w:rsidRPr="00D44064">
        <w:rPr>
          <w:rStyle w:val="FootnoteReference"/>
        </w:rPr>
        <w:footnoteReference w:id="2"/>
      </w:r>
      <w:r w:rsidR="00A54708" w:rsidRPr="00D44064">
        <w:rPr>
          <w:vertAlign w:val="superscript"/>
        </w:rPr>
        <w:t>,</w:t>
      </w:r>
      <w:r w:rsidR="00A54708" w:rsidRPr="00D44064">
        <w:rPr>
          <w:rStyle w:val="FootnoteReference"/>
        </w:rPr>
        <w:footnoteReference w:id="3"/>
      </w:r>
      <w:r w:rsidRPr="00D44064">
        <w:t xml:space="preserve"> The median age of diagnosis of AML is </w:t>
      </w:r>
      <w:r w:rsidR="00A712A7" w:rsidRPr="00D44064">
        <w:t xml:space="preserve">approximately </w:t>
      </w:r>
      <w:r w:rsidRPr="00D44064">
        <w:t>60 to 68 years and the incidence of AML increases in the population aged over 70 years.</w:t>
      </w:r>
    </w:p>
    <w:p w14:paraId="2041965B" w14:textId="084C33BB" w:rsidR="004575AF" w:rsidRPr="00D44064" w:rsidRDefault="009A600E" w:rsidP="003F5953">
      <w:pPr>
        <w:pStyle w:val="Heading4"/>
      </w:pPr>
      <w:r w:rsidRPr="00D44064">
        <w:t>Daunorubicin and cytarabine as chemotherapy</w:t>
      </w:r>
    </w:p>
    <w:p w14:paraId="723BDBFA" w14:textId="17BAC3F8" w:rsidR="00A06B4F" w:rsidRPr="00D44064" w:rsidRDefault="00A06B4F" w:rsidP="00A06B4F">
      <w:r w:rsidRPr="00D44064">
        <w:t xml:space="preserve">The standard therapy for AML is intensive chemotherapy to induce haematological remission, followed by chemotherapy or </w:t>
      </w:r>
      <w:r w:rsidR="00242683" w:rsidRPr="00D44064">
        <w:t xml:space="preserve">haematopoietic stem cell transplantation </w:t>
      </w:r>
      <w:r w:rsidRPr="00D44064">
        <w:t>to reduce the very high rate of post</w:t>
      </w:r>
      <w:r w:rsidR="00C275B4" w:rsidRPr="00D44064">
        <w:noBreakHyphen/>
      </w:r>
      <w:r w:rsidRPr="00D44064">
        <w:t>induction relapse. Intensive therapy after induction is potentially curative, although there is a significant rate of relapse with all available options.</w:t>
      </w:r>
    </w:p>
    <w:p w14:paraId="693D404A" w14:textId="09825940" w:rsidR="009A600E" w:rsidRPr="00D44064" w:rsidRDefault="009A600E" w:rsidP="00A06B4F">
      <w:r w:rsidRPr="00D44064">
        <w:t>Daunorubicin and cytarabine</w:t>
      </w:r>
      <w:r w:rsidRPr="00D44064" w:rsidDel="004575AF">
        <w:t xml:space="preserve"> </w:t>
      </w:r>
      <w:r w:rsidRPr="00D44064">
        <w:t>is a common chemotherapeutic combination for both induction and consolidation therapy.</w:t>
      </w:r>
    </w:p>
    <w:p w14:paraId="72FCC773" w14:textId="254CFE38" w:rsidR="009A600E" w:rsidRPr="00D44064" w:rsidRDefault="009A600E" w:rsidP="00A06B4F">
      <w:r w:rsidRPr="00D44064">
        <w:t>Cytarabine is a cell cycle phase-specific antineoplastic agent, affecting cells only during the S</w:t>
      </w:r>
      <w:r w:rsidR="00750E41" w:rsidRPr="00D44064">
        <w:t> </w:t>
      </w:r>
      <w:r w:rsidRPr="00D44064">
        <w:t>phase of cell division. Intracellularly, cytarabine is converted into cytarabine</w:t>
      </w:r>
      <w:r w:rsidR="0036088D" w:rsidRPr="00D44064">
        <w:noBreakHyphen/>
      </w:r>
      <w:r w:rsidRPr="00D44064">
        <w:t>5</w:t>
      </w:r>
      <w:r w:rsidR="0036088D" w:rsidRPr="00D44064">
        <w:noBreakHyphen/>
      </w:r>
      <w:r w:rsidRPr="00D44064">
        <w:t>triphosphate (</w:t>
      </w:r>
      <w:proofErr w:type="spellStart"/>
      <w:r w:rsidRPr="00D44064">
        <w:t>ara</w:t>
      </w:r>
      <w:proofErr w:type="spellEnd"/>
      <w:r w:rsidRPr="00D44064">
        <w:t xml:space="preserve">-CTP), which is the active metabolite. The mechanism of action is not completely understood, but it appears that </w:t>
      </w:r>
      <w:proofErr w:type="spellStart"/>
      <w:r w:rsidRPr="00D44064">
        <w:t>ara</w:t>
      </w:r>
      <w:proofErr w:type="spellEnd"/>
      <w:r w:rsidRPr="00D44064">
        <w:t>-CTP acts primarily through inhibition of DNA synthesis. Incorporation into DNA and ribonucleic acid (RNA) may also contribute to cytarabine cytotoxicity. Cytarabine is cytotoxic to proliferating mammalian cells in culture.</w:t>
      </w:r>
    </w:p>
    <w:p w14:paraId="291EA030" w14:textId="72160677" w:rsidR="009A600E" w:rsidRPr="00D44064" w:rsidRDefault="009A600E" w:rsidP="00A06B4F">
      <w:r w:rsidRPr="00D44064">
        <w:t>Daunorubicin has antimitotic and cytotoxic activity, which is achieved by forming complexes with deoxyribonucleic acid (DNA), inhibiting topoisomerase II activity, inhibiting DNA polymerase activity, affecting regulation of gene expression, and producing DNA-damaging free radicals.</w:t>
      </w:r>
    </w:p>
    <w:p w14:paraId="599E4574" w14:textId="51DB770C" w:rsidR="004575AF" w:rsidRPr="00D44064" w:rsidRDefault="009A600E" w:rsidP="003F5953">
      <w:pPr>
        <w:pStyle w:val="Heading5"/>
      </w:pPr>
      <w:r w:rsidRPr="00D44064">
        <w:t xml:space="preserve">Daunorubicin and cytarabine </w:t>
      </w:r>
      <w:r w:rsidR="004575AF" w:rsidRPr="00D44064">
        <w:t>‘7 + 3</w:t>
      </w:r>
      <w:r w:rsidR="00D61D19" w:rsidRPr="00D44064">
        <w:t>’</w:t>
      </w:r>
      <w:r w:rsidR="004575AF" w:rsidRPr="00D44064">
        <w:t xml:space="preserve"> regimen</w:t>
      </w:r>
    </w:p>
    <w:p w14:paraId="06AFADAB" w14:textId="0E27996D" w:rsidR="00DE5E44" w:rsidRPr="00D44064" w:rsidRDefault="00DE5E44" w:rsidP="00A06B4F">
      <w:r w:rsidRPr="00D44064">
        <w:t>A typical regimen</w:t>
      </w:r>
      <w:r w:rsidR="00C236C0" w:rsidRPr="00D44064">
        <w:t>, dosed by body surface area (m</w:t>
      </w:r>
      <w:r w:rsidR="00C236C0" w:rsidRPr="00D44064">
        <w:rPr>
          <w:vertAlign w:val="superscript"/>
        </w:rPr>
        <w:t>2</w:t>
      </w:r>
      <w:r w:rsidR="00C236C0" w:rsidRPr="00D44064">
        <w:t>)</w:t>
      </w:r>
      <w:r w:rsidRPr="00D44064">
        <w:t xml:space="preserve"> is cytarabine 100</w:t>
      </w:r>
      <w:r w:rsidR="00C275B4" w:rsidRPr="00D44064">
        <w:t xml:space="preserve"> to </w:t>
      </w:r>
      <w:r w:rsidRPr="00D44064">
        <w:t>200</w:t>
      </w:r>
      <w:r w:rsidR="00BE372C" w:rsidRPr="00D44064">
        <w:t> </w:t>
      </w:r>
      <w:r w:rsidRPr="00D44064">
        <w:t>mg/m</w:t>
      </w:r>
      <w:r w:rsidRPr="00D44064">
        <w:rPr>
          <w:vertAlign w:val="superscript"/>
        </w:rPr>
        <w:t>2</w:t>
      </w:r>
      <w:r w:rsidRPr="00D44064">
        <w:t xml:space="preserve">/day by continuous infusion on </w:t>
      </w:r>
      <w:r w:rsidR="00A712A7" w:rsidRPr="00D44064">
        <w:t>Day</w:t>
      </w:r>
      <w:r w:rsidRPr="00D44064">
        <w:t>s 1 to 7 together with daunorubicin (60</w:t>
      </w:r>
      <w:r w:rsidR="00C275B4" w:rsidRPr="00D44064">
        <w:t xml:space="preserve"> to </w:t>
      </w:r>
      <w:r w:rsidRPr="00D44064">
        <w:t>90</w:t>
      </w:r>
      <w:r w:rsidR="00BE372C" w:rsidRPr="00D44064">
        <w:t> </w:t>
      </w:r>
      <w:r w:rsidRPr="00D44064">
        <w:t>mg/m</w:t>
      </w:r>
      <w:r w:rsidRPr="00D44064">
        <w:rPr>
          <w:vertAlign w:val="superscript"/>
        </w:rPr>
        <w:t>2</w:t>
      </w:r>
      <w:r w:rsidRPr="00D44064">
        <w:t xml:space="preserve">) on </w:t>
      </w:r>
      <w:r w:rsidR="00A712A7" w:rsidRPr="00D44064">
        <w:t>Day</w:t>
      </w:r>
      <w:r w:rsidRPr="00D44064">
        <w:t>s 1</w:t>
      </w:r>
      <w:r w:rsidR="00C275B4" w:rsidRPr="00D44064">
        <w:t xml:space="preserve"> to </w:t>
      </w:r>
      <w:r w:rsidRPr="00D44064">
        <w:t xml:space="preserve">3, known as the </w:t>
      </w:r>
      <w:r w:rsidR="00C275B4" w:rsidRPr="00D44064">
        <w:t>‘</w:t>
      </w:r>
      <w:r w:rsidRPr="00D44064">
        <w:t>7</w:t>
      </w:r>
      <w:r w:rsidR="00C275B4" w:rsidRPr="00D44064">
        <w:t xml:space="preserve"> </w:t>
      </w:r>
      <w:r w:rsidRPr="00D44064">
        <w:t>+</w:t>
      </w:r>
      <w:r w:rsidR="00C275B4" w:rsidRPr="00D44064">
        <w:t xml:space="preserve"> </w:t>
      </w:r>
      <w:r w:rsidRPr="00D44064">
        <w:t>3</w:t>
      </w:r>
      <w:r w:rsidR="00B85E15" w:rsidRPr="00D44064">
        <w:t>’</w:t>
      </w:r>
      <w:r w:rsidRPr="00D44064">
        <w:t xml:space="preserve"> regimen).</w:t>
      </w:r>
      <w:r w:rsidR="00BE372C" w:rsidRPr="00D44064">
        <w:rPr>
          <w:rStyle w:val="FootnoteReference"/>
        </w:rPr>
        <w:footnoteReference w:id="4"/>
      </w:r>
      <w:r w:rsidRPr="00D44064">
        <w:t xml:space="preserve"> Various modifications to the traditional </w:t>
      </w:r>
      <w:r w:rsidR="00B85E15" w:rsidRPr="00D44064">
        <w:t>‘</w:t>
      </w:r>
      <w:r w:rsidRPr="00D44064">
        <w:t>7</w:t>
      </w:r>
      <w:r w:rsidR="00750E41" w:rsidRPr="00D44064">
        <w:t> </w:t>
      </w:r>
      <w:r w:rsidRPr="00D44064">
        <w:t>+</w:t>
      </w:r>
      <w:r w:rsidR="00750E41" w:rsidRPr="00D44064">
        <w:t> </w:t>
      </w:r>
      <w:r w:rsidRPr="00D44064">
        <w:t>3</w:t>
      </w:r>
      <w:r w:rsidR="00B85E15" w:rsidRPr="00D44064">
        <w:t>’</w:t>
      </w:r>
      <w:r w:rsidRPr="00D44064">
        <w:t xml:space="preserve"> regimen have been attempted without significant clinical benefit.</w:t>
      </w:r>
    </w:p>
    <w:p w14:paraId="70D0BD7F" w14:textId="2F8927CF" w:rsidR="009A600E" w:rsidRPr="00D44064" w:rsidRDefault="009A600E" w:rsidP="003F5953">
      <w:pPr>
        <w:pStyle w:val="Heading5"/>
      </w:pPr>
      <w:r w:rsidRPr="00D44064">
        <w:t>Vyxeos, daunorubicin/cytarabine as a fixed dose combination treatment</w:t>
      </w:r>
    </w:p>
    <w:p w14:paraId="3B8383D0" w14:textId="482AC212" w:rsidR="00DE5E44" w:rsidRPr="00D44064" w:rsidRDefault="00A06B4F" w:rsidP="00A06B4F">
      <w:r w:rsidRPr="00D44064">
        <w:t>Acute myeloid leukaemia</w:t>
      </w:r>
      <w:r w:rsidR="00242683" w:rsidRPr="00D44064">
        <w:t xml:space="preserve"> (AML)</w:t>
      </w:r>
      <w:r w:rsidRPr="00D44064">
        <w:t xml:space="preserve"> is an invariably progressive disease with no significant improvements in therapeutics for many years. It is reasonable to seek improved therapeutic approaches as proposed by the sponsor, where the anti-cancer drug </w:t>
      </w:r>
      <w:r w:rsidRPr="00D44064">
        <w:lastRenderedPageBreak/>
        <w:t xml:space="preserve">combination of cytarabine and daunorubicin is delivered with controlled drug ratios via a liposomal drug carrier </w:t>
      </w:r>
      <w:proofErr w:type="gramStart"/>
      <w:r w:rsidRPr="00D44064">
        <w:t>in an attempt to</w:t>
      </w:r>
      <w:proofErr w:type="gramEnd"/>
      <w:r w:rsidRPr="00D44064">
        <w:t xml:space="preserve"> improve clinical outcomes.</w:t>
      </w:r>
    </w:p>
    <w:p w14:paraId="33076CDA" w14:textId="17987003" w:rsidR="009A600E" w:rsidRPr="00D44064" w:rsidRDefault="009A600E" w:rsidP="009A600E">
      <w:r w:rsidRPr="00D44064">
        <w:t xml:space="preserve">Vyxeos is a liposomal formulation of a fixed combination of daunorubicin and cytarabine in a 1:5 molar ratio. The 1:5 molar ratio has been shown </w:t>
      </w:r>
      <w:r w:rsidRPr="00D44064">
        <w:rPr>
          <w:i/>
          <w:iCs/>
        </w:rPr>
        <w:t>in vitro</w:t>
      </w:r>
      <w:r w:rsidRPr="00D44064">
        <w:t xml:space="preserve"> and </w:t>
      </w:r>
      <w:r w:rsidRPr="00D44064">
        <w:rPr>
          <w:i/>
          <w:iCs/>
        </w:rPr>
        <w:t>in vivo</w:t>
      </w:r>
      <w:r w:rsidRPr="00D44064">
        <w:t xml:space="preserve"> to maximise synergistic anti-tumour activity in AML.</w:t>
      </w:r>
    </w:p>
    <w:p w14:paraId="2B63FC0A" w14:textId="0D1156AF" w:rsidR="009A600E" w:rsidRPr="00D44064" w:rsidRDefault="009A600E" w:rsidP="009A600E">
      <w:r w:rsidRPr="00D44064">
        <w:t>Based on data in animals, Vyxeos liposomes accumulate and persist at a higher concentration in the bone marrow, where they are preferentially taken up intact by leukaemia cells. In leukaemia-bearing mice, the liposomes are taken up by leukaemia cells to a greater extent than by normal bone marrow cells. After internalisation, Vyxeos liposomes undergo degradation, releasing daunorubicin and cytarabine within the intracellular environment.</w:t>
      </w:r>
    </w:p>
    <w:p w14:paraId="121D53A0" w14:textId="77777777" w:rsidR="008E7846" w:rsidRPr="00D44064" w:rsidRDefault="00386150" w:rsidP="008E7846">
      <w:pPr>
        <w:pStyle w:val="Heading3"/>
      </w:pPr>
      <w:bookmarkStart w:id="15" w:name="_Toc126589459"/>
      <w:r w:rsidRPr="00D44064">
        <w:t>Regulatory s</w:t>
      </w:r>
      <w:r w:rsidR="008E7846" w:rsidRPr="00D44064">
        <w:t>tatus</w:t>
      </w:r>
      <w:bookmarkEnd w:id="13"/>
      <w:bookmarkEnd w:id="14"/>
      <w:bookmarkEnd w:id="15"/>
    </w:p>
    <w:p w14:paraId="0A1DDF18" w14:textId="6CAA60D7" w:rsidR="00332715" w:rsidRPr="00D44064" w:rsidRDefault="00332715" w:rsidP="00332715">
      <w:bookmarkStart w:id="16" w:name="_Toc247691505"/>
      <w:bookmarkStart w:id="17" w:name="_Toc314842486"/>
      <w:r w:rsidRPr="00D44064">
        <w:t xml:space="preserve">This product is considered a </w:t>
      </w:r>
      <w:r w:rsidR="00BE372C" w:rsidRPr="00D44064">
        <w:t xml:space="preserve">new fixed dose combination </w:t>
      </w:r>
      <w:r w:rsidRPr="00D44064">
        <w:t>medicine for Australian regulatory purposes.</w:t>
      </w:r>
    </w:p>
    <w:p w14:paraId="60D500E8" w14:textId="69095859" w:rsidR="00332715" w:rsidRPr="00D44064" w:rsidRDefault="00332715" w:rsidP="00332715">
      <w:r w:rsidRPr="00D44064">
        <w:t xml:space="preserve">At the time the TGA considered this </w:t>
      </w:r>
      <w:r w:rsidR="00BB0B78" w:rsidRPr="00D44064">
        <w:t>submission</w:t>
      </w:r>
      <w:r w:rsidRPr="00D44064">
        <w:t xml:space="preserve">, similar </w:t>
      </w:r>
      <w:r w:rsidR="00BB0B78" w:rsidRPr="00D44064">
        <w:t>submission</w:t>
      </w:r>
      <w:r w:rsidR="00930F91" w:rsidRPr="00D44064">
        <w:t>s</w:t>
      </w:r>
      <w:r w:rsidRPr="00D44064">
        <w:t xml:space="preserve"> had been approved in </w:t>
      </w:r>
      <w:r w:rsidR="00930F91" w:rsidRPr="00D44064">
        <w:t>the U</w:t>
      </w:r>
      <w:r w:rsidR="00242683" w:rsidRPr="00D44064">
        <w:t>SA</w:t>
      </w:r>
      <w:r w:rsidR="00930F91" w:rsidRPr="00D44064">
        <w:t xml:space="preserve"> on 1 August 2017 and the European Union on 23 August 2018. S</w:t>
      </w:r>
      <w:r w:rsidRPr="00D44064">
        <w:t xml:space="preserve">imilar </w:t>
      </w:r>
      <w:r w:rsidR="00BB0B78" w:rsidRPr="00D44064">
        <w:t>submission</w:t>
      </w:r>
      <w:r w:rsidR="00930F91" w:rsidRPr="00D44064">
        <w:t>s</w:t>
      </w:r>
      <w:r w:rsidRPr="00D44064">
        <w:t xml:space="preserve"> </w:t>
      </w:r>
      <w:r w:rsidR="00930F91" w:rsidRPr="00D44064">
        <w:t>were</w:t>
      </w:r>
      <w:r w:rsidRPr="00D44064">
        <w:t xml:space="preserve"> under consideration in </w:t>
      </w:r>
      <w:r w:rsidR="00930F91" w:rsidRPr="00D44064">
        <w:t xml:space="preserve">Canada </w:t>
      </w:r>
      <w:r w:rsidRPr="00D44064">
        <w:t xml:space="preserve">(submitted on </w:t>
      </w:r>
      <w:r w:rsidR="00930F91" w:rsidRPr="00D44064">
        <w:t>12 August 2020</w:t>
      </w:r>
      <w:r w:rsidRPr="00D44064">
        <w:t>)</w:t>
      </w:r>
      <w:r w:rsidR="00930F91" w:rsidRPr="00D44064">
        <w:t xml:space="preserve"> and Switzerland (submitted on 30 September 2020)</w:t>
      </w:r>
      <w:r w:rsidRPr="00D44064">
        <w:t>.</w:t>
      </w:r>
    </w:p>
    <w:p w14:paraId="464099F2" w14:textId="6431A5D5" w:rsidR="00C236C0" w:rsidRPr="00D44064" w:rsidRDefault="0072292E" w:rsidP="00332715">
      <w:r w:rsidRPr="00D44064">
        <w:t xml:space="preserve">The following table </w:t>
      </w:r>
      <w:r w:rsidR="00332715" w:rsidRPr="00D44064">
        <w:t xml:space="preserve">summarises these </w:t>
      </w:r>
      <w:r w:rsidR="00BB0B78" w:rsidRPr="00D44064">
        <w:t>submissions</w:t>
      </w:r>
      <w:r w:rsidR="00332715" w:rsidRPr="00D44064">
        <w:t xml:space="preserve"> and provides the indications where approved.</w:t>
      </w:r>
    </w:p>
    <w:p w14:paraId="513C666E" w14:textId="4CC6FBD6" w:rsidR="00324E45" w:rsidRPr="00D44064" w:rsidRDefault="00324E45" w:rsidP="00750E41">
      <w:pPr>
        <w:pStyle w:val="TableTitle"/>
      </w:pPr>
      <w:bookmarkStart w:id="18" w:name="_Ref99705479"/>
      <w:r w:rsidRPr="00D44064">
        <w:t xml:space="preserve">Table </w:t>
      </w:r>
      <w:fldSimple w:instr=" SEQ Table \* ARABIC ">
        <w:r w:rsidR="00A464E8">
          <w:rPr>
            <w:noProof/>
          </w:rPr>
          <w:t>1</w:t>
        </w:r>
      </w:fldSimple>
      <w:bookmarkEnd w:id="18"/>
      <w:r w:rsidRPr="00D44064">
        <w:t>: International regulatory status</w:t>
      </w:r>
    </w:p>
    <w:tbl>
      <w:tblPr>
        <w:tblStyle w:val="TableTGAblue"/>
        <w:tblW w:w="0" w:type="auto"/>
        <w:tblLayout w:type="fixed"/>
        <w:tblLook w:val="04A0" w:firstRow="1" w:lastRow="0" w:firstColumn="1" w:lastColumn="0" w:noHBand="0" w:noVBand="1"/>
      </w:tblPr>
      <w:tblGrid>
        <w:gridCol w:w="1413"/>
        <w:gridCol w:w="2126"/>
        <w:gridCol w:w="1843"/>
        <w:gridCol w:w="3112"/>
      </w:tblGrid>
      <w:tr w:rsidR="00930F91" w:rsidRPr="00D44064" w14:paraId="05047031" w14:textId="77777777" w:rsidTr="00930F91">
        <w:trPr>
          <w:cnfStyle w:val="100000000000" w:firstRow="1" w:lastRow="0" w:firstColumn="0" w:lastColumn="0" w:oddVBand="0" w:evenVBand="0" w:oddHBand="0" w:evenHBand="0" w:firstRowFirstColumn="0" w:firstRowLastColumn="0" w:lastRowFirstColumn="0" w:lastRowLastColumn="0"/>
        </w:trPr>
        <w:tc>
          <w:tcPr>
            <w:tcW w:w="1413" w:type="dxa"/>
            <w:tcBorders>
              <w:top w:val="single" w:sz="4" w:space="0" w:color="auto"/>
              <w:left w:val="single" w:sz="4" w:space="0" w:color="auto"/>
              <w:bottom w:val="single" w:sz="4" w:space="0" w:color="auto"/>
              <w:right w:val="single" w:sz="4" w:space="0" w:color="auto"/>
            </w:tcBorders>
          </w:tcPr>
          <w:p w14:paraId="153258DD" w14:textId="77777777" w:rsidR="00006FAB" w:rsidRPr="00D44064" w:rsidRDefault="00006FAB" w:rsidP="00930F91">
            <w:pPr>
              <w:ind w:left="0" w:right="0"/>
            </w:pPr>
            <w:r w:rsidRPr="00D44064">
              <w:t>Region</w:t>
            </w:r>
          </w:p>
        </w:tc>
        <w:tc>
          <w:tcPr>
            <w:tcW w:w="2126" w:type="dxa"/>
            <w:tcBorders>
              <w:top w:val="single" w:sz="4" w:space="0" w:color="auto"/>
              <w:left w:val="single" w:sz="4" w:space="0" w:color="auto"/>
              <w:bottom w:val="single" w:sz="4" w:space="0" w:color="auto"/>
              <w:right w:val="single" w:sz="4" w:space="0" w:color="auto"/>
            </w:tcBorders>
          </w:tcPr>
          <w:p w14:paraId="4787D407" w14:textId="77777777" w:rsidR="00006FAB" w:rsidRPr="00D44064" w:rsidRDefault="00006FAB" w:rsidP="00930F91">
            <w:pPr>
              <w:ind w:left="0" w:right="0"/>
            </w:pPr>
            <w:r w:rsidRPr="00D44064">
              <w:t>Submission date</w:t>
            </w:r>
          </w:p>
        </w:tc>
        <w:tc>
          <w:tcPr>
            <w:tcW w:w="1843" w:type="dxa"/>
            <w:tcBorders>
              <w:top w:val="single" w:sz="4" w:space="0" w:color="auto"/>
              <w:left w:val="single" w:sz="4" w:space="0" w:color="auto"/>
              <w:bottom w:val="single" w:sz="4" w:space="0" w:color="auto"/>
              <w:right w:val="single" w:sz="4" w:space="0" w:color="auto"/>
            </w:tcBorders>
          </w:tcPr>
          <w:p w14:paraId="40DDDDCB" w14:textId="77777777" w:rsidR="00006FAB" w:rsidRPr="00D44064" w:rsidRDefault="00006FAB" w:rsidP="00930F91">
            <w:pPr>
              <w:ind w:left="0" w:right="0"/>
            </w:pPr>
            <w:r w:rsidRPr="00D44064">
              <w:t>Status</w:t>
            </w:r>
          </w:p>
        </w:tc>
        <w:tc>
          <w:tcPr>
            <w:tcW w:w="3112" w:type="dxa"/>
            <w:tcBorders>
              <w:top w:val="single" w:sz="4" w:space="0" w:color="auto"/>
              <w:left w:val="single" w:sz="4" w:space="0" w:color="auto"/>
              <w:bottom w:val="single" w:sz="4" w:space="0" w:color="auto"/>
              <w:right w:val="single" w:sz="4" w:space="0" w:color="auto"/>
            </w:tcBorders>
          </w:tcPr>
          <w:p w14:paraId="1A929901" w14:textId="77777777" w:rsidR="00006FAB" w:rsidRPr="00D44064" w:rsidRDefault="00006FAB" w:rsidP="00930F91">
            <w:pPr>
              <w:ind w:left="0" w:right="0"/>
            </w:pPr>
            <w:r w:rsidRPr="00D44064">
              <w:t>Approved indications</w:t>
            </w:r>
          </w:p>
        </w:tc>
      </w:tr>
      <w:tr w:rsidR="00930F91" w:rsidRPr="00D44064" w14:paraId="482F2A5D" w14:textId="77777777" w:rsidTr="00930F91">
        <w:tc>
          <w:tcPr>
            <w:tcW w:w="1413" w:type="dxa"/>
            <w:tcBorders>
              <w:top w:val="single" w:sz="4" w:space="0" w:color="auto"/>
            </w:tcBorders>
          </w:tcPr>
          <w:p w14:paraId="1650BD74" w14:textId="05B189E5" w:rsidR="00006FAB" w:rsidRPr="00D44064" w:rsidRDefault="00930F91" w:rsidP="00930F91">
            <w:pPr>
              <w:ind w:left="0" w:right="0"/>
            </w:pPr>
            <w:r w:rsidRPr="00D44064">
              <w:t>United States of America</w:t>
            </w:r>
          </w:p>
        </w:tc>
        <w:tc>
          <w:tcPr>
            <w:tcW w:w="2126" w:type="dxa"/>
            <w:tcBorders>
              <w:top w:val="single" w:sz="4" w:space="0" w:color="auto"/>
            </w:tcBorders>
          </w:tcPr>
          <w:p w14:paraId="3280C0B7" w14:textId="67D7C4AC" w:rsidR="00006FAB" w:rsidRPr="00D44064" w:rsidRDefault="00A06B4F" w:rsidP="00930F91">
            <w:pPr>
              <w:ind w:left="0" w:right="0"/>
            </w:pPr>
            <w:r w:rsidRPr="00D44064">
              <w:t>3</w:t>
            </w:r>
            <w:r w:rsidR="00930F91" w:rsidRPr="00D44064">
              <w:t> </w:t>
            </w:r>
            <w:r w:rsidRPr="00D44064">
              <w:t>October</w:t>
            </w:r>
            <w:r w:rsidR="00930F91" w:rsidRPr="00D44064">
              <w:t> </w:t>
            </w:r>
            <w:r w:rsidRPr="00D44064">
              <w:t>2016</w:t>
            </w:r>
          </w:p>
        </w:tc>
        <w:tc>
          <w:tcPr>
            <w:tcW w:w="1843" w:type="dxa"/>
            <w:tcBorders>
              <w:top w:val="single" w:sz="4" w:space="0" w:color="auto"/>
            </w:tcBorders>
          </w:tcPr>
          <w:p w14:paraId="106E0174" w14:textId="4545F715" w:rsidR="00006FAB" w:rsidRPr="00D44064" w:rsidRDefault="00A06B4F" w:rsidP="00930F91">
            <w:pPr>
              <w:ind w:left="0" w:right="0"/>
            </w:pPr>
            <w:r w:rsidRPr="00D44064">
              <w:t>Approved on 1 August</w:t>
            </w:r>
            <w:r w:rsidR="00930F91" w:rsidRPr="00D44064">
              <w:t> </w:t>
            </w:r>
            <w:r w:rsidRPr="00D44064">
              <w:t>2017</w:t>
            </w:r>
          </w:p>
        </w:tc>
        <w:tc>
          <w:tcPr>
            <w:tcW w:w="3112" w:type="dxa"/>
            <w:tcBorders>
              <w:top w:val="single" w:sz="4" w:space="0" w:color="auto"/>
            </w:tcBorders>
          </w:tcPr>
          <w:p w14:paraId="673A71DD" w14:textId="4E8B512C" w:rsidR="00006FAB" w:rsidRPr="00D44064" w:rsidRDefault="00930F91" w:rsidP="00930F91">
            <w:pPr>
              <w:ind w:left="0" w:right="0"/>
              <w:rPr>
                <w:i/>
                <w:iCs/>
              </w:rPr>
            </w:pPr>
            <w:r w:rsidRPr="00D44064">
              <w:rPr>
                <w:i/>
                <w:iCs/>
              </w:rPr>
              <w:t xml:space="preserve">Vyxeos </w:t>
            </w:r>
            <w:r w:rsidR="00A06B4F" w:rsidRPr="00D44064">
              <w:rPr>
                <w:i/>
                <w:iCs/>
              </w:rPr>
              <w:t xml:space="preserve">is a liposomal combination of daunorubicin, an anthracycline topoisomerase inhibitor, and cytarabine, a nucleoside metabolic inhibitor, that is indicated for the treatment of </w:t>
            </w:r>
            <w:proofErr w:type="gramStart"/>
            <w:r w:rsidR="00A06B4F" w:rsidRPr="00D44064">
              <w:rPr>
                <w:i/>
                <w:iCs/>
              </w:rPr>
              <w:t>newly-diagnosed</w:t>
            </w:r>
            <w:proofErr w:type="gramEnd"/>
            <w:r w:rsidR="00A06B4F" w:rsidRPr="00D44064">
              <w:rPr>
                <w:i/>
                <w:iCs/>
              </w:rPr>
              <w:t xml:space="preserve"> therapy-related acute myeloid leukemia (t-AML) or AML with myelodysplasia-related changes (AML-MRC) in adults and </w:t>
            </w:r>
            <w:proofErr w:type="spellStart"/>
            <w:r w:rsidR="00A06B4F" w:rsidRPr="00D44064">
              <w:rPr>
                <w:i/>
                <w:iCs/>
              </w:rPr>
              <w:t>pediatric</w:t>
            </w:r>
            <w:proofErr w:type="spellEnd"/>
            <w:r w:rsidR="00A06B4F" w:rsidRPr="00D44064">
              <w:rPr>
                <w:i/>
                <w:iCs/>
              </w:rPr>
              <w:t xml:space="preserve"> patients 1 year and older.</w:t>
            </w:r>
          </w:p>
        </w:tc>
      </w:tr>
      <w:tr w:rsidR="00A06B4F" w:rsidRPr="00D44064" w14:paraId="78256683" w14:textId="77777777" w:rsidTr="00930F91">
        <w:tc>
          <w:tcPr>
            <w:tcW w:w="1413" w:type="dxa"/>
            <w:tcBorders>
              <w:top w:val="single" w:sz="4" w:space="0" w:color="auto"/>
            </w:tcBorders>
          </w:tcPr>
          <w:p w14:paraId="3699A194" w14:textId="52E3CEBB" w:rsidR="00A06B4F" w:rsidRPr="00D44064" w:rsidRDefault="00930F91" w:rsidP="00930F91">
            <w:pPr>
              <w:ind w:left="0" w:right="0"/>
            </w:pPr>
            <w:r w:rsidRPr="00D44064">
              <w:t>European Union</w:t>
            </w:r>
          </w:p>
        </w:tc>
        <w:tc>
          <w:tcPr>
            <w:tcW w:w="2126" w:type="dxa"/>
            <w:tcBorders>
              <w:top w:val="single" w:sz="4" w:space="0" w:color="auto"/>
            </w:tcBorders>
          </w:tcPr>
          <w:p w14:paraId="3ED87159" w14:textId="3D18FE65" w:rsidR="00A06B4F" w:rsidRPr="00D44064" w:rsidRDefault="00A06B4F" w:rsidP="00930F91">
            <w:pPr>
              <w:ind w:left="0" w:right="0"/>
            </w:pPr>
            <w:r w:rsidRPr="00D44064">
              <w:t>2</w:t>
            </w:r>
            <w:r w:rsidR="00930F91" w:rsidRPr="00D44064">
              <w:t> </w:t>
            </w:r>
            <w:r w:rsidRPr="00D44064">
              <w:t>Nov</w:t>
            </w:r>
            <w:r w:rsidR="00930F91" w:rsidRPr="00D44064">
              <w:t>ember </w:t>
            </w:r>
            <w:r w:rsidRPr="00D44064">
              <w:t>2017</w:t>
            </w:r>
          </w:p>
        </w:tc>
        <w:tc>
          <w:tcPr>
            <w:tcW w:w="1843" w:type="dxa"/>
            <w:tcBorders>
              <w:top w:val="single" w:sz="4" w:space="0" w:color="auto"/>
            </w:tcBorders>
          </w:tcPr>
          <w:p w14:paraId="10814138" w14:textId="16E92CF7" w:rsidR="00A06B4F" w:rsidRPr="00D44064" w:rsidRDefault="00A06B4F" w:rsidP="00930F91">
            <w:pPr>
              <w:ind w:left="0" w:right="0"/>
            </w:pPr>
            <w:r w:rsidRPr="00D44064">
              <w:t>Approved</w:t>
            </w:r>
            <w:r w:rsidR="00930F91" w:rsidRPr="00D44064">
              <w:t xml:space="preserve"> on </w:t>
            </w:r>
            <w:r w:rsidRPr="00D44064">
              <w:t>23</w:t>
            </w:r>
            <w:r w:rsidR="00930F91" w:rsidRPr="00D44064">
              <w:t> </w:t>
            </w:r>
            <w:r w:rsidRPr="00D44064">
              <w:t>August</w:t>
            </w:r>
            <w:r w:rsidR="00930F91" w:rsidRPr="00D44064">
              <w:t> </w:t>
            </w:r>
            <w:r w:rsidRPr="00D44064">
              <w:t>2018</w:t>
            </w:r>
          </w:p>
        </w:tc>
        <w:tc>
          <w:tcPr>
            <w:tcW w:w="3112" w:type="dxa"/>
            <w:tcBorders>
              <w:top w:val="single" w:sz="4" w:space="0" w:color="auto"/>
            </w:tcBorders>
          </w:tcPr>
          <w:p w14:paraId="49AFCBAC" w14:textId="6FFAF15A" w:rsidR="00A06B4F" w:rsidRPr="00D44064" w:rsidRDefault="00A06B4F" w:rsidP="00930F91">
            <w:pPr>
              <w:ind w:left="0" w:right="0"/>
              <w:rPr>
                <w:i/>
                <w:iCs/>
              </w:rPr>
            </w:pPr>
            <w:r w:rsidRPr="00D44064">
              <w:rPr>
                <w:i/>
                <w:iCs/>
              </w:rPr>
              <w:t>Vyxeos liposomal is indicated for the treatment of adults with newly diagnosed, therapy-related acute myeloid leukaemia (t-AML) or AML with myelodysplasia-related changes (AML-MRC).</w:t>
            </w:r>
          </w:p>
        </w:tc>
      </w:tr>
      <w:tr w:rsidR="00006FAB" w:rsidRPr="00D44064" w14:paraId="62EF1821" w14:textId="77777777" w:rsidTr="00930F91">
        <w:tc>
          <w:tcPr>
            <w:tcW w:w="1413" w:type="dxa"/>
          </w:tcPr>
          <w:p w14:paraId="54790E05" w14:textId="214D9009" w:rsidR="00006FAB" w:rsidRPr="00D44064" w:rsidRDefault="00A06B4F" w:rsidP="00930F91">
            <w:pPr>
              <w:ind w:left="0" w:right="0"/>
            </w:pPr>
            <w:r w:rsidRPr="00D44064">
              <w:t>Canada</w:t>
            </w:r>
          </w:p>
        </w:tc>
        <w:tc>
          <w:tcPr>
            <w:tcW w:w="2126" w:type="dxa"/>
          </w:tcPr>
          <w:p w14:paraId="431BC6A9" w14:textId="2CF6FA5D" w:rsidR="00006FAB" w:rsidRPr="00D44064" w:rsidRDefault="00A06B4F" w:rsidP="00930F91">
            <w:pPr>
              <w:ind w:left="0" w:right="0"/>
            </w:pPr>
            <w:r w:rsidRPr="00D44064">
              <w:t>12</w:t>
            </w:r>
            <w:r w:rsidR="00930F91" w:rsidRPr="00D44064">
              <w:t> </w:t>
            </w:r>
            <w:r w:rsidRPr="00D44064">
              <w:t>August</w:t>
            </w:r>
            <w:r w:rsidR="00930F91" w:rsidRPr="00D44064">
              <w:t> </w:t>
            </w:r>
            <w:r w:rsidRPr="00D44064">
              <w:t>2020</w:t>
            </w:r>
          </w:p>
        </w:tc>
        <w:tc>
          <w:tcPr>
            <w:tcW w:w="1843" w:type="dxa"/>
          </w:tcPr>
          <w:p w14:paraId="1BA10A01" w14:textId="6C57FC06" w:rsidR="00006FAB" w:rsidRPr="00D44064" w:rsidRDefault="00A06B4F" w:rsidP="00930F91">
            <w:pPr>
              <w:ind w:left="0" w:right="0"/>
            </w:pPr>
            <w:r w:rsidRPr="00D44064">
              <w:t>Under consideration</w:t>
            </w:r>
          </w:p>
        </w:tc>
        <w:tc>
          <w:tcPr>
            <w:tcW w:w="3112" w:type="dxa"/>
          </w:tcPr>
          <w:p w14:paraId="0C097C38" w14:textId="77777777" w:rsidR="00006FAB" w:rsidRPr="00D44064" w:rsidRDefault="00006FAB" w:rsidP="00930F91">
            <w:pPr>
              <w:ind w:left="0" w:right="0"/>
            </w:pPr>
            <w:r w:rsidRPr="00D44064">
              <w:t>Under consideration</w:t>
            </w:r>
          </w:p>
        </w:tc>
      </w:tr>
      <w:tr w:rsidR="00A06B4F" w:rsidRPr="00D44064" w14:paraId="30495E96" w14:textId="77777777" w:rsidTr="00930F91">
        <w:tc>
          <w:tcPr>
            <w:tcW w:w="1413" w:type="dxa"/>
          </w:tcPr>
          <w:p w14:paraId="123EB98B" w14:textId="39426BEC" w:rsidR="00A06B4F" w:rsidRPr="00D44064" w:rsidRDefault="00A06B4F" w:rsidP="00930F91">
            <w:pPr>
              <w:ind w:left="0" w:right="0"/>
            </w:pPr>
            <w:r w:rsidRPr="00D44064">
              <w:lastRenderedPageBreak/>
              <w:t>Switzerland</w:t>
            </w:r>
          </w:p>
        </w:tc>
        <w:tc>
          <w:tcPr>
            <w:tcW w:w="2126" w:type="dxa"/>
          </w:tcPr>
          <w:p w14:paraId="0B60BACD" w14:textId="76844010" w:rsidR="00A06B4F" w:rsidRPr="00D44064" w:rsidRDefault="00A06B4F" w:rsidP="00930F91">
            <w:pPr>
              <w:ind w:left="0" w:right="0"/>
            </w:pPr>
            <w:r w:rsidRPr="00D44064">
              <w:t>30</w:t>
            </w:r>
            <w:r w:rsidR="00930F91" w:rsidRPr="00D44064">
              <w:t> </w:t>
            </w:r>
            <w:r w:rsidRPr="00D44064">
              <w:t>September</w:t>
            </w:r>
            <w:r w:rsidR="00930F91" w:rsidRPr="00D44064">
              <w:t> </w:t>
            </w:r>
            <w:r w:rsidRPr="00D44064">
              <w:t>2020</w:t>
            </w:r>
          </w:p>
        </w:tc>
        <w:tc>
          <w:tcPr>
            <w:tcW w:w="1843" w:type="dxa"/>
          </w:tcPr>
          <w:p w14:paraId="18EB11E2" w14:textId="066C75FB" w:rsidR="00A06B4F" w:rsidRPr="00D44064" w:rsidRDefault="00A06B4F" w:rsidP="00930F91">
            <w:pPr>
              <w:ind w:left="0" w:right="0"/>
            </w:pPr>
            <w:r w:rsidRPr="00D44064">
              <w:t>Under consideration</w:t>
            </w:r>
          </w:p>
        </w:tc>
        <w:tc>
          <w:tcPr>
            <w:tcW w:w="3112" w:type="dxa"/>
          </w:tcPr>
          <w:p w14:paraId="0D19C28D" w14:textId="2E2B349C" w:rsidR="00A06B4F" w:rsidRPr="00D44064" w:rsidRDefault="00A06B4F" w:rsidP="00930F91">
            <w:pPr>
              <w:ind w:left="0" w:right="0"/>
            </w:pPr>
            <w:r w:rsidRPr="00D44064">
              <w:t>Under consideration</w:t>
            </w:r>
          </w:p>
        </w:tc>
      </w:tr>
    </w:tbl>
    <w:p w14:paraId="097D9524" w14:textId="77777777" w:rsidR="008E7846" w:rsidRPr="00D44064" w:rsidRDefault="008E7846" w:rsidP="00940A89">
      <w:pPr>
        <w:pStyle w:val="Heading3"/>
      </w:pPr>
      <w:bookmarkStart w:id="19" w:name="_Toc126589460"/>
      <w:r w:rsidRPr="00D44064">
        <w:t>Product Information</w:t>
      </w:r>
      <w:bookmarkEnd w:id="16"/>
      <w:bookmarkEnd w:id="17"/>
      <w:bookmarkEnd w:id="19"/>
    </w:p>
    <w:p w14:paraId="31CF2FD0" w14:textId="4EA02D2B" w:rsidR="00332715" w:rsidRPr="00D44064" w:rsidRDefault="00332715" w:rsidP="00332715">
      <w:bookmarkStart w:id="20" w:name="_Toc504480011"/>
      <w:bookmarkStart w:id="21" w:name="_Toc247691506"/>
      <w:bookmarkStart w:id="22" w:name="_Toc314842487"/>
      <w:r w:rsidRPr="00D44064">
        <w:t xml:space="preserve">The Product Information (PI) approved with the submission which is described in this AusPAR can be found as Attachment 1. For the most recent PI, please refer to the TGA </w:t>
      </w:r>
      <w:hyperlink r:id="rId15" w:history="1">
        <w:r w:rsidRPr="00D44064">
          <w:rPr>
            <w:rStyle w:val="Hyperlink"/>
          </w:rPr>
          <w:t>PI/CMI search facility</w:t>
        </w:r>
        <w:r w:rsidRPr="00D44064">
          <w:rPr>
            <w:rStyle w:val="Hyperlink"/>
            <w:color w:val="auto"/>
            <w:u w:val="none"/>
          </w:rPr>
          <w:t>.</w:t>
        </w:r>
      </w:hyperlink>
    </w:p>
    <w:p w14:paraId="2636CD95" w14:textId="77777777" w:rsidR="00500337" w:rsidRPr="00D44064" w:rsidRDefault="00500337" w:rsidP="00500337">
      <w:pPr>
        <w:pStyle w:val="Heading2"/>
      </w:pPr>
      <w:bookmarkStart w:id="23" w:name="_Toc126589461"/>
      <w:r w:rsidRPr="00D44064">
        <w:t>Registration timeline</w:t>
      </w:r>
      <w:bookmarkEnd w:id="20"/>
      <w:bookmarkEnd w:id="23"/>
    </w:p>
    <w:p w14:paraId="1F799117" w14:textId="77777777" w:rsidR="0074163C" w:rsidRPr="00D44064" w:rsidRDefault="0074163C" w:rsidP="0074163C">
      <w:r w:rsidRPr="00D44064">
        <w:t xml:space="preserve">The following table captures the key steps and dates for this </w:t>
      </w:r>
      <w:r w:rsidR="00804D99" w:rsidRPr="00D44064">
        <w:t>submission</w:t>
      </w:r>
      <w:r w:rsidRPr="00D44064">
        <w:t>.</w:t>
      </w:r>
    </w:p>
    <w:p w14:paraId="378557FE" w14:textId="24BA2BB3" w:rsidR="0074163C" w:rsidRPr="00D44064" w:rsidRDefault="0074163C" w:rsidP="003F5953">
      <w:pPr>
        <w:pStyle w:val="TableTitle"/>
      </w:pPr>
      <w:r w:rsidRPr="00D44064">
        <w:t xml:space="preserve">Table </w:t>
      </w:r>
      <w:fldSimple w:instr=" SEQ Table \* ARABIC ">
        <w:r w:rsidR="00A464E8">
          <w:rPr>
            <w:noProof/>
          </w:rPr>
          <w:t>2</w:t>
        </w:r>
      </w:fldSimple>
      <w:r w:rsidRPr="00D44064">
        <w:t xml:space="preserve">: Timeline for Submission </w:t>
      </w:r>
      <w:r w:rsidR="00461D89" w:rsidRPr="00D44064">
        <w:t>PM-2021-01677-1-6</w:t>
      </w:r>
    </w:p>
    <w:tbl>
      <w:tblPr>
        <w:tblStyle w:val="TableTGAblue"/>
        <w:tblW w:w="0" w:type="auto"/>
        <w:tblLook w:val="04A0" w:firstRow="1" w:lastRow="0" w:firstColumn="1" w:lastColumn="0" w:noHBand="0" w:noVBand="1"/>
      </w:tblPr>
      <w:tblGrid>
        <w:gridCol w:w="4255"/>
        <w:gridCol w:w="4239"/>
      </w:tblGrid>
      <w:tr w:rsidR="0074163C" w:rsidRPr="00D44064" w14:paraId="2BFC39A2" w14:textId="77777777" w:rsidTr="009E5A87">
        <w:trPr>
          <w:cnfStyle w:val="100000000000" w:firstRow="1" w:lastRow="0" w:firstColumn="0" w:lastColumn="0" w:oddVBand="0" w:evenVBand="0" w:oddHBand="0" w:evenHBand="0" w:firstRowFirstColumn="0" w:firstRowLastColumn="0" w:lastRowFirstColumn="0" w:lastRowLastColumn="0"/>
        </w:trPr>
        <w:tc>
          <w:tcPr>
            <w:tcW w:w="4360" w:type="dxa"/>
            <w:tcBorders>
              <w:top w:val="single" w:sz="4" w:space="0" w:color="auto"/>
              <w:left w:val="single" w:sz="4" w:space="0" w:color="auto"/>
              <w:bottom w:val="single" w:sz="4" w:space="0" w:color="auto"/>
              <w:right w:val="single" w:sz="4" w:space="0" w:color="auto"/>
            </w:tcBorders>
          </w:tcPr>
          <w:p w14:paraId="118D893D" w14:textId="77777777" w:rsidR="0074163C" w:rsidRPr="00D44064" w:rsidRDefault="0074163C" w:rsidP="009E5A87">
            <w:r w:rsidRPr="00D44064">
              <w:t>Description</w:t>
            </w:r>
          </w:p>
        </w:tc>
        <w:tc>
          <w:tcPr>
            <w:tcW w:w="4360" w:type="dxa"/>
            <w:tcBorders>
              <w:top w:val="single" w:sz="4" w:space="0" w:color="auto"/>
              <w:left w:val="single" w:sz="4" w:space="0" w:color="auto"/>
              <w:bottom w:val="single" w:sz="4" w:space="0" w:color="auto"/>
              <w:right w:val="single" w:sz="4" w:space="0" w:color="auto"/>
            </w:tcBorders>
          </w:tcPr>
          <w:p w14:paraId="7DD69417" w14:textId="77777777" w:rsidR="0074163C" w:rsidRPr="00D44064" w:rsidRDefault="0074163C" w:rsidP="009E5A87">
            <w:r w:rsidRPr="00D44064">
              <w:t>Date</w:t>
            </w:r>
          </w:p>
        </w:tc>
      </w:tr>
      <w:tr w:rsidR="0074163C" w:rsidRPr="00D44064" w14:paraId="6FCFDCB4" w14:textId="77777777" w:rsidTr="009E5A87">
        <w:tc>
          <w:tcPr>
            <w:tcW w:w="4360" w:type="dxa"/>
            <w:tcBorders>
              <w:top w:val="single" w:sz="4" w:space="0" w:color="auto"/>
            </w:tcBorders>
          </w:tcPr>
          <w:p w14:paraId="063BB853" w14:textId="77777777" w:rsidR="0074163C" w:rsidRPr="00D44064" w:rsidRDefault="0074163C" w:rsidP="009E5A87">
            <w:r w:rsidRPr="00D44064">
              <w:t>Submission dossier accepted and first round evaluation commenced</w:t>
            </w:r>
          </w:p>
        </w:tc>
        <w:tc>
          <w:tcPr>
            <w:tcW w:w="4360" w:type="dxa"/>
            <w:tcBorders>
              <w:top w:val="single" w:sz="4" w:space="0" w:color="auto"/>
            </w:tcBorders>
          </w:tcPr>
          <w:p w14:paraId="3C1AEBAB" w14:textId="10A57C13" w:rsidR="0074163C" w:rsidRPr="00D44064" w:rsidRDefault="00930F91" w:rsidP="009E5A87">
            <w:r w:rsidRPr="00D44064">
              <w:rPr>
                <w:color w:val="auto"/>
              </w:rPr>
              <w:t>1 June 2021</w:t>
            </w:r>
          </w:p>
        </w:tc>
      </w:tr>
      <w:tr w:rsidR="0074163C" w:rsidRPr="00D44064" w14:paraId="6666528B" w14:textId="77777777" w:rsidTr="009E5A87">
        <w:tc>
          <w:tcPr>
            <w:tcW w:w="4360" w:type="dxa"/>
          </w:tcPr>
          <w:p w14:paraId="1452E093" w14:textId="77777777" w:rsidR="0074163C" w:rsidRPr="00D44064" w:rsidRDefault="0074163C" w:rsidP="009E5A87">
            <w:r w:rsidRPr="00D44064">
              <w:t>First round evaluation completed</w:t>
            </w:r>
          </w:p>
        </w:tc>
        <w:tc>
          <w:tcPr>
            <w:tcW w:w="4360" w:type="dxa"/>
          </w:tcPr>
          <w:p w14:paraId="4A7E328E" w14:textId="35A1A541" w:rsidR="0074163C" w:rsidRPr="00D44064" w:rsidRDefault="00930F91" w:rsidP="009E5A87">
            <w:r w:rsidRPr="00D44064">
              <w:rPr>
                <w:color w:val="auto"/>
              </w:rPr>
              <w:t>15 November 2021</w:t>
            </w:r>
          </w:p>
        </w:tc>
      </w:tr>
      <w:tr w:rsidR="0074163C" w:rsidRPr="00D44064" w14:paraId="41429FFE" w14:textId="77777777" w:rsidTr="009E5A87">
        <w:tc>
          <w:tcPr>
            <w:tcW w:w="4360" w:type="dxa"/>
          </w:tcPr>
          <w:p w14:paraId="7E7979FB" w14:textId="77777777" w:rsidR="0074163C" w:rsidRPr="00D44064" w:rsidRDefault="0074163C" w:rsidP="009E5A87">
            <w:r w:rsidRPr="00D44064">
              <w:t>Sponsor provides responses on questions raised in first round evaluation</w:t>
            </w:r>
          </w:p>
        </w:tc>
        <w:tc>
          <w:tcPr>
            <w:tcW w:w="4360" w:type="dxa"/>
          </w:tcPr>
          <w:p w14:paraId="15498A12" w14:textId="333BAAF9" w:rsidR="0074163C" w:rsidRPr="00D44064" w:rsidRDefault="00930F91" w:rsidP="009E5A87">
            <w:r w:rsidRPr="00D44064">
              <w:rPr>
                <w:color w:val="auto"/>
              </w:rPr>
              <w:t>4 February 2022</w:t>
            </w:r>
          </w:p>
        </w:tc>
      </w:tr>
      <w:tr w:rsidR="0074163C" w:rsidRPr="00D44064" w14:paraId="016D4491" w14:textId="77777777" w:rsidTr="009E5A87">
        <w:tc>
          <w:tcPr>
            <w:tcW w:w="4360" w:type="dxa"/>
          </w:tcPr>
          <w:p w14:paraId="3400A9BE" w14:textId="77777777" w:rsidR="0074163C" w:rsidRPr="00D44064" w:rsidRDefault="0074163C" w:rsidP="009E5A87">
            <w:r w:rsidRPr="00D44064">
              <w:t>Second round evaluation completed</w:t>
            </w:r>
          </w:p>
        </w:tc>
        <w:tc>
          <w:tcPr>
            <w:tcW w:w="4360" w:type="dxa"/>
          </w:tcPr>
          <w:p w14:paraId="187CA908" w14:textId="7EAA336F" w:rsidR="0074163C" w:rsidRPr="00D44064" w:rsidRDefault="00930F91" w:rsidP="009E5A87">
            <w:r w:rsidRPr="00D44064">
              <w:rPr>
                <w:color w:val="auto"/>
              </w:rPr>
              <w:t>10 February 2022</w:t>
            </w:r>
          </w:p>
        </w:tc>
      </w:tr>
      <w:tr w:rsidR="0074163C" w:rsidRPr="00D44064" w14:paraId="4DD9CD87" w14:textId="77777777" w:rsidTr="009E5A87">
        <w:tc>
          <w:tcPr>
            <w:tcW w:w="4360" w:type="dxa"/>
          </w:tcPr>
          <w:p w14:paraId="57EC2C0A" w14:textId="55D3FCCD" w:rsidR="0074163C" w:rsidRPr="00D44064" w:rsidRDefault="0074163C" w:rsidP="009E5A87">
            <w:r w:rsidRPr="00D44064">
              <w:t>Delegate’s Overall benefit-risk assessment</w:t>
            </w:r>
          </w:p>
        </w:tc>
        <w:tc>
          <w:tcPr>
            <w:tcW w:w="4360" w:type="dxa"/>
          </w:tcPr>
          <w:p w14:paraId="1A6272C6" w14:textId="409621E9" w:rsidR="0074163C" w:rsidRPr="00D44064" w:rsidRDefault="00930F91" w:rsidP="009E5A87">
            <w:r w:rsidRPr="00D44064">
              <w:rPr>
                <w:color w:val="auto"/>
              </w:rPr>
              <w:t>5 April 2022</w:t>
            </w:r>
          </w:p>
        </w:tc>
      </w:tr>
      <w:tr w:rsidR="0074163C" w:rsidRPr="00D44064" w14:paraId="16E4A5C9" w14:textId="77777777" w:rsidTr="009E5A87">
        <w:tc>
          <w:tcPr>
            <w:tcW w:w="4360" w:type="dxa"/>
          </w:tcPr>
          <w:p w14:paraId="37AE8557" w14:textId="77777777" w:rsidR="0074163C" w:rsidRPr="00D44064" w:rsidRDefault="0074163C" w:rsidP="009E5A87">
            <w:r w:rsidRPr="00D44064">
              <w:t>Sponsor’s pre-Advisory Committee response</w:t>
            </w:r>
          </w:p>
        </w:tc>
        <w:tc>
          <w:tcPr>
            <w:tcW w:w="4360" w:type="dxa"/>
          </w:tcPr>
          <w:p w14:paraId="3D3E3784" w14:textId="2FC158D5" w:rsidR="0074163C" w:rsidRPr="00D44064" w:rsidRDefault="00930F91" w:rsidP="009E5A87">
            <w:r w:rsidRPr="00D44064">
              <w:rPr>
                <w:color w:val="auto"/>
              </w:rPr>
              <w:t>Not applicable</w:t>
            </w:r>
          </w:p>
        </w:tc>
      </w:tr>
      <w:tr w:rsidR="0074163C" w:rsidRPr="00D44064" w14:paraId="2E397BE6" w14:textId="77777777" w:rsidTr="009E5A87">
        <w:tc>
          <w:tcPr>
            <w:tcW w:w="4360" w:type="dxa"/>
          </w:tcPr>
          <w:p w14:paraId="5CB8D9E6" w14:textId="77777777" w:rsidR="0074163C" w:rsidRPr="00D44064" w:rsidRDefault="0074163C" w:rsidP="009E5A87">
            <w:r w:rsidRPr="00D44064">
              <w:t>Advisory Committee meeting</w:t>
            </w:r>
          </w:p>
        </w:tc>
        <w:tc>
          <w:tcPr>
            <w:tcW w:w="4360" w:type="dxa"/>
          </w:tcPr>
          <w:p w14:paraId="3A8C2A24" w14:textId="6FE58D18" w:rsidR="0074163C" w:rsidRPr="00D44064" w:rsidRDefault="00930F91" w:rsidP="009E5A87">
            <w:r w:rsidRPr="00D44064">
              <w:rPr>
                <w:color w:val="auto"/>
              </w:rPr>
              <w:t>Not applicable</w:t>
            </w:r>
          </w:p>
        </w:tc>
      </w:tr>
      <w:tr w:rsidR="0074163C" w:rsidRPr="00D44064" w14:paraId="12BC5AC2" w14:textId="77777777" w:rsidTr="009E5A87">
        <w:tc>
          <w:tcPr>
            <w:tcW w:w="4360" w:type="dxa"/>
          </w:tcPr>
          <w:p w14:paraId="6E52F1B5" w14:textId="77777777" w:rsidR="0074163C" w:rsidRPr="00D44064" w:rsidRDefault="0074163C" w:rsidP="009E5A87">
            <w:r w:rsidRPr="00D44064">
              <w:t>Registration decision (Outcome)</w:t>
            </w:r>
          </w:p>
        </w:tc>
        <w:tc>
          <w:tcPr>
            <w:tcW w:w="4360" w:type="dxa"/>
          </w:tcPr>
          <w:p w14:paraId="7F0F8DB5" w14:textId="3A751020" w:rsidR="0074163C" w:rsidRPr="00D44064" w:rsidRDefault="00930F91" w:rsidP="009E5A87">
            <w:r w:rsidRPr="00D44064">
              <w:rPr>
                <w:color w:val="auto"/>
              </w:rPr>
              <w:t>27 May 2022</w:t>
            </w:r>
          </w:p>
        </w:tc>
      </w:tr>
      <w:tr w:rsidR="0074163C" w:rsidRPr="00D44064" w14:paraId="64B74F24" w14:textId="77777777" w:rsidTr="009E5A87">
        <w:tc>
          <w:tcPr>
            <w:tcW w:w="4360" w:type="dxa"/>
          </w:tcPr>
          <w:p w14:paraId="5EF27DA5" w14:textId="77777777" w:rsidR="0074163C" w:rsidRPr="00D44064" w:rsidRDefault="0074163C" w:rsidP="009E5A87">
            <w:r w:rsidRPr="00D44064">
              <w:t>Completion of administrative activities and registration on the ARTG</w:t>
            </w:r>
          </w:p>
        </w:tc>
        <w:tc>
          <w:tcPr>
            <w:tcW w:w="4360" w:type="dxa"/>
          </w:tcPr>
          <w:p w14:paraId="17CB137D" w14:textId="36F83040" w:rsidR="0074163C" w:rsidRPr="00D44064" w:rsidRDefault="00930F91" w:rsidP="009E5A87">
            <w:r w:rsidRPr="00D44064">
              <w:rPr>
                <w:color w:val="auto"/>
              </w:rPr>
              <w:t>3 June 2022</w:t>
            </w:r>
          </w:p>
        </w:tc>
      </w:tr>
      <w:tr w:rsidR="0074163C" w:rsidRPr="00D44064" w14:paraId="4E200EC9" w14:textId="77777777" w:rsidTr="009E5A87">
        <w:tc>
          <w:tcPr>
            <w:tcW w:w="4360" w:type="dxa"/>
          </w:tcPr>
          <w:p w14:paraId="676402C6" w14:textId="77777777" w:rsidR="0074163C" w:rsidRPr="00D44064" w:rsidRDefault="0074163C" w:rsidP="009E5A87">
            <w:r w:rsidRPr="00D44064">
              <w:t>Number of working days from submission dossier acceptance to registration decision*</w:t>
            </w:r>
          </w:p>
        </w:tc>
        <w:tc>
          <w:tcPr>
            <w:tcW w:w="4360" w:type="dxa"/>
          </w:tcPr>
          <w:p w14:paraId="02CB58F3" w14:textId="7FB52F0D" w:rsidR="0074163C" w:rsidRPr="00D44064" w:rsidRDefault="00930F91" w:rsidP="009E5A87">
            <w:r w:rsidRPr="00D44064">
              <w:rPr>
                <w:color w:val="auto"/>
              </w:rPr>
              <w:t>181</w:t>
            </w:r>
          </w:p>
        </w:tc>
      </w:tr>
    </w:tbl>
    <w:p w14:paraId="3EE40AD1" w14:textId="77777777" w:rsidR="0074163C" w:rsidRPr="00D44064" w:rsidRDefault="0074163C" w:rsidP="0074163C">
      <w:pPr>
        <w:pStyle w:val="TableDescription"/>
      </w:pPr>
      <w:r w:rsidRPr="00D44064">
        <w:t xml:space="preserve">*Statutory timeframe for standard </w:t>
      </w:r>
      <w:r w:rsidR="00BB0B78" w:rsidRPr="00D44064">
        <w:t>submission</w:t>
      </w:r>
      <w:r w:rsidRPr="00D44064">
        <w:t>s is 255 working days</w:t>
      </w:r>
    </w:p>
    <w:p w14:paraId="4DCF709F" w14:textId="77777777" w:rsidR="008E7846" w:rsidRPr="00D44064" w:rsidRDefault="00006FAB" w:rsidP="008E7846">
      <w:pPr>
        <w:pStyle w:val="Heading2"/>
      </w:pPr>
      <w:bookmarkStart w:id="24" w:name="_Toc196046504"/>
      <w:bookmarkStart w:id="25" w:name="_Toc247691527"/>
      <w:bookmarkStart w:id="26" w:name="_Toc314842510"/>
      <w:bookmarkStart w:id="27" w:name="_Toc126589462"/>
      <w:bookmarkStart w:id="28" w:name="_Toc163441390"/>
      <w:bookmarkEnd w:id="21"/>
      <w:bookmarkEnd w:id="22"/>
      <w:bookmarkEnd w:id="1"/>
      <w:r w:rsidRPr="00D44064">
        <w:t xml:space="preserve">Submission overview </w:t>
      </w:r>
      <w:r w:rsidR="008E7846" w:rsidRPr="00D44064">
        <w:t>and risk/benefit assessment</w:t>
      </w:r>
      <w:bookmarkEnd w:id="24"/>
      <w:bookmarkEnd w:id="25"/>
      <w:bookmarkEnd w:id="26"/>
      <w:bookmarkEnd w:id="27"/>
    </w:p>
    <w:p w14:paraId="2A20580F" w14:textId="0C8FC996" w:rsidR="005A79F5" w:rsidRPr="00D44064" w:rsidRDefault="005A79F5" w:rsidP="007619D7">
      <w:bookmarkStart w:id="29" w:name="_Toc247691528"/>
      <w:bookmarkStart w:id="30" w:name="_Toc314842511"/>
      <w:r w:rsidRPr="00D44064">
        <w:t>A summary of the TGA’s assessment for this submission is provided below.</w:t>
      </w:r>
    </w:p>
    <w:p w14:paraId="45C8B249" w14:textId="77777777" w:rsidR="007619D7" w:rsidRPr="00D44064" w:rsidRDefault="007619D7" w:rsidP="007619D7">
      <w:r w:rsidRPr="00D44064">
        <w:lastRenderedPageBreak/>
        <w:t>Relevant guidelines or guidance documents referred to by the Delegate are listed below:</w:t>
      </w:r>
    </w:p>
    <w:p w14:paraId="1BE2D172" w14:textId="502C894F" w:rsidR="007619D7" w:rsidRPr="00D44064" w:rsidRDefault="009F1ED5" w:rsidP="009F1ED5">
      <w:pPr>
        <w:pStyle w:val="ListBullet"/>
      </w:pPr>
      <w:r w:rsidRPr="00D44064">
        <w:t>European Medicines Agency (</w:t>
      </w:r>
      <w:r w:rsidR="00930F91" w:rsidRPr="00D44064">
        <w:t>EMA</w:t>
      </w:r>
      <w:r w:rsidRPr="00D44064">
        <w:t xml:space="preserve">), Committee for Medicinal Products for Human Use (CHMP), </w:t>
      </w:r>
      <w:r w:rsidR="00930F91" w:rsidRPr="00D44064">
        <w:t xml:space="preserve">Guideline </w:t>
      </w:r>
      <w:r w:rsidRPr="00D44064">
        <w:t>on the Non-clinical Development of Fixed Combinations of Medicinal Products,</w:t>
      </w:r>
      <w:r w:rsidR="00930F91" w:rsidRPr="00D44064">
        <w:t xml:space="preserve"> EMEA/CHMP/SWP/258498/2005</w:t>
      </w:r>
      <w:r w:rsidRPr="00D44064">
        <w:t>, 24 January 2008.</w:t>
      </w:r>
    </w:p>
    <w:p w14:paraId="579C869F" w14:textId="133B0113" w:rsidR="00C5248D" w:rsidRPr="00D44064" w:rsidRDefault="00C5248D" w:rsidP="009F1ED5">
      <w:pPr>
        <w:pStyle w:val="ListBullet"/>
      </w:pPr>
      <w:r w:rsidRPr="00D44064">
        <w:t>European Medicines Agency (EMA), Committee for Medicinal Products for Human Use (CHMP), ICH Guideline Q3D (R1) on Elemental Impurities, EMA/CHMP/ICH/353369/2013, 28 March 2019.</w:t>
      </w:r>
    </w:p>
    <w:p w14:paraId="3950C401" w14:textId="121FA36B" w:rsidR="00930F91" w:rsidRPr="00D44064" w:rsidRDefault="009F1ED5" w:rsidP="009F1ED5">
      <w:pPr>
        <w:pStyle w:val="ListBullet"/>
      </w:pPr>
      <w:r w:rsidRPr="00D44064">
        <w:t>European Medicines Agency (EMA), Committee for Medicinal Products for Human Use (CHMP),</w:t>
      </w:r>
      <w:r w:rsidR="00930F91" w:rsidRPr="00D44064">
        <w:t xml:space="preserve"> ICH Guideline S9 on </w:t>
      </w:r>
      <w:r w:rsidRPr="00D44064">
        <w:t xml:space="preserve">Nonclinical Evaluation </w:t>
      </w:r>
      <w:r w:rsidR="00930F91" w:rsidRPr="00D44064">
        <w:t xml:space="preserve">for </w:t>
      </w:r>
      <w:r w:rsidRPr="00D44064">
        <w:t>Anticancer Pharmaceuticals,</w:t>
      </w:r>
      <w:r w:rsidR="00930F91" w:rsidRPr="00D44064">
        <w:t xml:space="preserve"> EMA/CHMP/ICH/646107/2008</w:t>
      </w:r>
      <w:r w:rsidRPr="00D44064">
        <w:t>, May 2010.</w:t>
      </w:r>
    </w:p>
    <w:p w14:paraId="0FF264CF" w14:textId="77777777" w:rsidR="008E7846" w:rsidRPr="00D44064" w:rsidRDefault="008E7846" w:rsidP="008E7846">
      <w:pPr>
        <w:pStyle w:val="Heading3"/>
      </w:pPr>
      <w:bookmarkStart w:id="31" w:name="_Toc126589463"/>
      <w:r w:rsidRPr="00D44064">
        <w:t>Quality</w:t>
      </w:r>
      <w:bookmarkEnd w:id="29"/>
      <w:bookmarkEnd w:id="30"/>
      <w:bookmarkEnd w:id="31"/>
    </w:p>
    <w:p w14:paraId="0E7645FC" w14:textId="51353644" w:rsidR="009F1ED5" w:rsidRPr="00D44064" w:rsidRDefault="00655677" w:rsidP="00421911">
      <w:r w:rsidRPr="00D44064">
        <w:t>Vyxeos is a fixed dose combination of daunorubicin hydrochloride and cytarabine powder for injection, within a nanoscale liposomal delivery vehicle</w:t>
      </w:r>
      <w:r w:rsidR="00242683" w:rsidRPr="00D44064">
        <w:t>;</w:t>
      </w:r>
      <w:r w:rsidR="00242683" w:rsidRPr="00D44064">
        <w:rPr>
          <w:rStyle w:val="FootnoteReference"/>
        </w:rPr>
        <w:footnoteReference w:id="5"/>
      </w:r>
      <w:r w:rsidRPr="00D44064">
        <w:t xml:space="preserve"> for intravenous administration. </w:t>
      </w:r>
      <w:r w:rsidR="00154AA2" w:rsidRPr="00D44064">
        <w:t xml:space="preserve">The chemical structure </w:t>
      </w:r>
      <w:r w:rsidRPr="00D44064">
        <w:t>of c</w:t>
      </w:r>
      <w:r w:rsidR="009F1ED5" w:rsidRPr="00D44064">
        <w:t xml:space="preserve">ytarabine and daunorubicin hydrochloride </w:t>
      </w:r>
      <w:r w:rsidRPr="00D44064">
        <w:t xml:space="preserve">are presented in </w:t>
      </w:r>
      <w:r w:rsidRPr="00D44064">
        <w:fldChar w:fldCharType="begin"/>
      </w:r>
      <w:r w:rsidRPr="00D44064">
        <w:instrText xml:space="preserve"> REF _Ref113637572 \h </w:instrText>
      </w:r>
      <w:r w:rsidR="00421911" w:rsidRPr="00D44064">
        <w:instrText xml:space="preserve"> \* MERGEFORMAT </w:instrText>
      </w:r>
      <w:r w:rsidRPr="00D44064">
        <w:fldChar w:fldCharType="separate"/>
      </w:r>
      <w:r w:rsidR="00A464E8" w:rsidRPr="00D44064">
        <w:t xml:space="preserve">Figure </w:t>
      </w:r>
      <w:r w:rsidR="00A464E8">
        <w:t>1</w:t>
      </w:r>
      <w:r w:rsidRPr="00D44064">
        <w:fldChar w:fldCharType="end"/>
      </w:r>
      <w:r w:rsidRPr="00D44064">
        <w:t xml:space="preserve"> below.</w:t>
      </w:r>
    </w:p>
    <w:p w14:paraId="229D6B8D" w14:textId="7529E7A2" w:rsidR="009F1ED5" w:rsidRPr="00D44064" w:rsidRDefault="009F1ED5" w:rsidP="00750E41">
      <w:pPr>
        <w:pStyle w:val="FigureTitle"/>
      </w:pPr>
      <w:bookmarkStart w:id="32" w:name="_Ref113637572"/>
      <w:r w:rsidRPr="00D44064">
        <w:t xml:space="preserve">Figure </w:t>
      </w:r>
      <w:fldSimple w:instr=" SEQ Figure \* ARABIC ">
        <w:r w:rsidR="00A464E8">
          <w:rPr>
            <w:noProof/>
          </w:rPr>
          <w:t>1</w:t>
        </w:r>
      </w:fldSimple>
      <w:bookmarkEnd w:id="32"/>
      <w:r w:rsidRPr="00D44064">
        <w:t xml:space="preserve">: </w:t>
      </w:r>
      <w:r w:rsidR="00D5741A" w:rsidRPr="00D44064">
        <w:t>C</w:t>
      </w:r>
      <w:r w:rsidR="00154AA2" w:rsidRPr="00D44064">
        <w:t>hemical structure of cytarabine and daunorubicin hydrochloride</w:t>
      </w:r>
    </w:p>
    <w:p w14:paraId="3736C38D" w14:textId="4A760130" w:rsidR="009F1ED5" w:rsidRPr="00D44064" w:rsidRDefault="009F1ED5" w:rsidP="00750E41">
      <w:r w:rsidRPr="00D44064">
        <w:rPr>
          <w:noProof/>
          <w:lang w:val="en-GB" w:eastAsia="en-GB"/>
        </w:rPr>
        <w:drawing>
          <wp:inline distT="0" distB="0" distL="0" distR="0" wp14:anchorId="4BD4EE91" wp14:editId="5EDED2A9">
            <wp:extent cx="4267200" cy="2076395"/>
            <wp:effectExtent l="0" t="0" r="0" b="635"/>
            <wp:docPr id="3" name="Picture 3" descr="Figure 1: Chemical structure of cytarabine and daunorubicin hydro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Chemical structure of cytarabine and daunorubicin hydrochloride"/>
                    <pic:cNvPicPr/>
                  </pic:nvPicPr>
                  <pic:blipFill>
                    <a:blip r:embed="rId16"/>
                    <a:stretch>
                      <a:fillRect/>
                    </a:stretch>
                  </pic:blipFill>
                  <pic:spPr>
                    <a:xfrm>
                      <a:off x="0" y="0"/>
                      <a:ext cx="4328064" cy="2106011"/>
                    </a:xfrm>
                    <a:prstGeom prst="rect">
                      <a:avLst/>
                    </a:prstGeom>
                  </pic:spPr>
                </pic:pic>
              </a:graphicData>
            </a:graphic>
          </wp:inline>
        </w:drawing>
      </w:r>
    </w:p>
    <w:p w14:paraId="2C18650E" w14:textId="35B36D26" w:rsidR="003727A3" w:rsidRPr="00D44064" w:rsidRDefault="00655677" w:rsidP="00421911">
      <w:r w:rsidRPr="00D44064">
        <w:t xml:space="preserve">Vyxeos </w:t>
      </w:r>
      <w:r w:rsidR="003727A3" w:rsidRPr="00D44064">
        <w:t>is supplied as a sterile, preservative</w:t>
      </w:r>
      <w:r w:rsidRPr="00D44064">
        <w:t xml:space="preserve"> </w:t>
      </w:r>
      <w:r w:rsidR="003727A3" w:rsidRPr="00D44064">
        <w:t>free, purple lyophili</w:t>
      </w:r>
      <w:r w:rsidRPr="00D44064">
        <w:t>s</w:t>
      </w:r>
      <w:r w:rsidR="003727A3" w:rsidRPr="00D44064">
        <w:t>ed cake, free from visible particles, in a single</w:t>
      </w:r>
      <w:r w:rsidRPr="00D44064">
        <w:t xml:space="preserve"> </w:t>
      </w:r>
      <w:r w:rsidR="003727A3" w:rsidRPr="00D44064">
        <w:t>patient</w:t>
      </w:r>
      <w:r w:rsidRPr="00D44064">
        <w:t xml:space="preserve"> </w:t>
      </w:r>
      <w:r w:rsidR="003727A3" w:rsidRPr="00D44064">
        <w:t xml:space="preserve">use 50 mL </w:t>
      </w:r>
      <w:r w:rsidRPr="00D44064">
        <w:t xml:space="preserve">type I glass </w:t>
      </w:r>
      <w:r w:rsidR="003727A3" w:rsidRPr="00D44064">
        <w:t>vial</w:t>
      </w:r>
      <w:r w:rsidRPr="00D44064">
        <w:t xml:space="preserve"> </w:t>
      </w:r>
      <w:r w:rsidR="003727A3" w:rsidRPr="00D44064">
        <w:t xml:space="preserve">with a </w:t>
      </w:r>
      <w:r w:rsidRPr="00D44064">
        <w:t xml:space="preserve">chlorobutyl rubber </w:t>
      </w:r>
      <w:r w:rsidR="003727A3" w:rsidRPr="00D44064">
        <w:t>stopper and an aluminium overseal. Each pack contains either 1, 2 or 5 vials.</w:t>
      </w:r>
    </w:p>
    <w:p w14:paraId="00244FAC" w14:textId="1E69016C" w:rsidR="003727A3" w:rsidRPr="00D44064" w:rsidRDefault="00154AA2" w:rsidP="00421911">
      <w:r w:rsidRPr="00D44064">
        <w:t xml:space="preserve">The </w:t>
      </w:r>
      <w:r w:rsidR="00655677" w:rsidRPr="00D44064">
        <w:t xml:space="preserve">recommended </w:t>
      </w:r>
      <w:r w:rsidRPr="00D44064">
        <w:t xml:space="preserve">shelf life is 24 months </w:t>
      </w:r>
      <w:r w:rsidR="00655677" w:rsidRPr="00D44064">
        <w:t>when stored upright in the original container (</w:t>
      </w:r>
      <w:proofErr w:type="gramStart"/>
      <w:r w:rsidR="00655677" w:rsidRPr="00D44064">
        <w:t>in order to</w:t>
      </w:r>
      <w:proofErr w:type="gramEnd"/>
      <w:r w:rsidR="00655677" w:rsidRPr="00D44064">
        <w:t xml:space="preserve"> protect from light) and </w:t>
      </w:r>
      <w:r w:rsidRPr="00D44064">
        <w:t>stored in the refrigerator between 2 to 8°C.</w:t>
      </w:r>
      <w:r w:rsidR="00421911" w:rsidRPr="00D44064">
        <w:t xml:space="preserve"> </w:t>
      </w:r>
      <w:r w:rsidR="003727A3" w:rsidRPr="00D44064">
        <w:t>The maximum combined storage time for reconstituted product in the vial and reconstituted product diluted into an infusion bag is up to a total of 4 hours at 2 to 8°C.</w:t>
      </w:r>
    </w:p>
    <w:p w14:paraId="5FC404B0" w14:textId="532D23B6" w:rsidR="007619D7" w:rsidRPr="00D44064" w:rsidRDefault="00421911" w:rsidP="00154AA2">
      <w:r w:rsidRPr="00D44064">
        <w:t xml:space="preserve">The </w:t>
      </w:r>
      <w:r w:rsidR="00ED13A7" w:rsidRPr="00D44064">
        <w:t>quality</w:t>
      </w:r>
      <w:r w:rsidRPr="00D44064">
        <w:t xml:space="preserve"> evaluation has noted the following </w:t>
      </w:r>
      <w:r w:rsidR="00CD1F46" w:rsidRPr="00D44064">
        <w:t xml:space="preserve">potential </w:t>
      </w:r>
      <w:r w:rsidRPr="00D44064">
        <w:t>issues:</w:t>
      </w:r>
    </w:p>
    <w:p w14:paraId="31E058C1" w14:textId="365DE58D" w:rsidR="007619D7" w:rsidRPr="00D44064" w:rsidRDefault="00BE28DE" w:rsidP="00C275B4">
      <w:pPr>
        <w:pStyle w:val="ListBullet"/>
      </w:pPr>
      <w:r w:rsidRPr="00D44064">
        <w:t xml:space="preserve">The quality evaluation </w:t>
      </w:r>
      <w:r w:rsidR="007619D7" w:rsidRPr="00D44064">
        <w:t>ha</w:t>
      </w:r>
      <w:r w:rsidRPr="00D44064">
        <w:t>s</w:t>
      </w:r>
      <w:r w:rsidR="007619D7" w:rsidRPr="00D44064">
        <w:t xml:space="preserve"> assessed </w:t>
      </w:r>
      <w:bookmarkStart w:id="33" w:name="_Hlk95234047"/>
      <w:r w:rsidR="007619D7" w:rsidRPr="00D44064">
        <w:t xml:space="preserve">the </w:t>
      </w:r>
      <w:r w:rsidRPr="00D44064">
        <w:t>PI</w:t>
      </w:r>
      <w:r w:rsidR="007619D7" w:rsidRPr="00D44064">
        <w:t xml:space="preserve"> and </w:t>
      </w:r>
      <w:r w:rsidR="00242683" w:rsidRPr="00D44064">
        <w:t xml:space="preserve">Provisional Australian Register of Therapeutic Goods (ARTG) Record </w:t>
      </w:r>
      <w:r w:rsidR="007619D7" w:rsidRPr="00D44064">
        <w:t xml:space="preserve">on the assumption that the trade name proposed without the strengths of the drug substances being included will be clinically acceptable. If the </w:t>
      </w:r>
      <w:r w:rsidRPr="00D44064">
        <w:t xml:space="preserve">clinical </w:t>
      </w:r>
      <w:r w:rsidR="00B27944" w:rsidRPr="00D44064">
        <w:t>evaluation</w:t>
      </w:r>
      <w:r w:rsidR="007619D7" w:rsidRPr="00D44064">
        <w:t xml:space="preserve"> does not accept this trade name, the PI, labels and </w:t>
      </w:r>
      <w:r w:rsidR="00B27944" w:rsidRPr="00D44064">
        <w:t xml:space="preserve">Provisional ARTG Record </w:t>
      </w:r>
      <w:r w:rsidR="007619D7" w:rsidRPr="00D44064">
        <w:t>will need revision</w:t>
      </w:r>
      <w:bookmarkEnd w:id="33"/>
      <w:r w:rsidR="007619D7" w:rsidRPr="00D44064">
        <w:t>.</w:t>
      </w:r>
    </w:p>
    <w:p w14:paraId="37C4FD23" w14:textId="5F2A78C9" w:rsidR="00CD1F46" w:rsidRPr="00D44064" w:rsidRDefault="007619D7" w:rsidP="00CD1F46">
      <w:pPr>
        <w:pStyle w:val="ListBullet"/>
      </w:pPr>
      <w:r w:rsidRPr="00D44064">
        <w:lastRenderedPageBreak/>
        <w:t xml:space="preserve">The </w:t>
      </w:r>
      <w:r w:rsidR="00B27944" w:rsidRPr="00D44064">
        <w:t>Good Manufacturing Practice (GMP)</w:t>
      </w:r>
      <w:r w:rsidR="00B27944" w:rsidRPr="00D44064">
        <w:rPr>
          <w:rStyle w:val="FootnoteReference"/>
        </w:rPr>
        <w:footnoteReference w:id="6"/>
      </w:r>
      <w:r w:rsidR="00B27944" w:rsidRPr="00D44064">
        <w:t xml:space="preserve"> </w:t>
      </w:r>
      <w:r w:rsidR="00BE28DE" w:rsidRPr="00D44064">
        <w:t xml:space="preserve">clearance </w:t>
      </w:r>
      <w:r w:rsidRPr="00D44064">
        <w:t xml:space="preserve">for the site that manufactures the drug substance daunorubicin hydrochloride, has been updated to have an expiry data of 31 March 2022. However, the GMP </w:t>
      </w:r>
      <w:r w:rsidR="00CD1F46" w:rsidRPr="00D44064">
        <w:t xml:space="preserve">clearance </w:t>
      </w:r>
      <w:r w:rsidRPr="00D44064">
        <w:t xml:space="preserve">has the condition </w:t>
      </w:r>
      <w:r w:rsidR="00C275B4" w:rsidRPr="00D44064">
        <w:rPr>
          <w:i/>
          <w:iCs/>
        </w:rPr>
        <w:t>‘</w:t>
      </w:r>
      <w:r w:rsidR="00242683" w:rsidRPr="00D44064">
        <w:rPr>
          <w:i/>
          <w:iCs/>
        </w:rPr>
        <w:t>C</w:t>
      </w:r>
      <w:r w:rsidRPr="00D44064">
        <w:rPr>
          <w:i/>
          <w:iCs/>
        </w:rPr>
        <w:t>learance is issued based on the EMA</w:t>
      </w:r>
      <w:r w:rsidR="00B27944" w:rsidRPr="00D44064">
        <w:rPr>
          <w:i/>
          <w:iCs/>
        </w:rPr>
        <w:t xml:space="preserve"> </w:t>
      </w:r>
      <w:r w:rsidR="00B27944" w:rsidRPr="00D44064">
        <w:t>[European Medicines Agency]</w:t>
      </w:r>
      <w:r w:rsidRPr="00D44064">
        <w:rPr>
          <w:i/>
          <w:iCs/>
        </w:rPr>
        <w:t xml:space="preserve"> extended validity under COVID-19</w:t>
      </w:r>
      <w:r w:rsidR="00B27944" w:rsidRPr="00D44064">
        <w:rPr>
          <w:i/>
          <w:iCs/>
        </w:rPr>
        <w:t xml:space="preserve"> </w:t>
      </w:r>
      <w:r w:rsidR="00B27944" w:rsidRPr="00D44064">
        <w:t>[coronavirus disease 2019]</w:t>
      </w:r>
      <w:r w:rsidRPr="00D44064">
        <w:rPr>
          <w:i/>
          <w:iCs/>
        </w:rPr>
        <w:t xml:space="preserve"> restrictions. No further extensions </w:t>
      </w:r>
      <w:r w:rsidR="00CD1F46" w:rsidRPr="00D44064">
        <w:rPr>
          <w:i/>
          <w:iCs/>
        </w:rPr>
        <w:t>-</w:t>
      </w:r>
      <w:r w:rsidRPr="00D44064">
        <w:rPr>
          <w:i/>
          <w:iCs/>
        </w:rPr>
        <w:t xml:space="preserve"> renewal required</w:t>
      </w:r>
      <w:r w:rsidR="00C275B4" w:rsidRPr="00D44064">
        <w:rPr>
          <w:i/>
          <w:iCs/>
        </w:rPr>
        <w:t>’</w:t>
      </w:r>
      <w:r w:rsidRPr="00D44064">
        <w:t xml:space="preserve">. The expiry date is before the proposed decision date of this submission. This may mean approval cannot be granted until GMP </w:t>
      </w:r>
      <w:r w:rsidR="00CD1F46" w:rsidRPr="00D44064">
        <w:t xml:space="preserve">clearance </w:t>
      </w:r>
      <w:r w:rsidRPr="00D44064">
        <w:t xml:space="preserve">is granted by </w:t>
      </w:r>
      <w:r w:rsidR="00242683" w:rsidRPr="00D44064">
        <w:t>the TGA</w:t>
      </w:r>
      <w:r w:rsidRPr="00D44064">
        <w:t>.</w:t>
      </w:r>
    </w:p>
    <w:p w14:paraId="624FDD7D" w14:textId="77777777" w:rsidR="00242683" w:rsidRPr="00D44064" w:rsidRDefault="007619D7" w:rsidP="00242683">
      <w:pPr>
        <w:pStyle w:val="ListBullet"/>
        <w:numPr>
          <w:ilvl w:val="0"/>
          <w:numId w:val="0"/>
        </w:numPr>
        <w:ind w:left="360"/>
      </w:pPr>
      <w:r w:rsidRPr="00D44064">
        <w:t xml:space="preserve">The sponsor should liaise with </w:t>
      </w:r>
      <w:r w:rsidR="00242683" w:rsidRPr="00D44064">
        <w:t>the TGA</w:t>
      </w:r>
      <w:r w:rsidRPr="00D44064">
        <w:t xml:space="preserve"> and if necessary, either make a new GMP </w:t>
      </w:r>
      <w:r w:rsidR="00CD1F46" w:rsidRPr="00D44064">
        <w:t xml:space="preserve">clearance </w:t>
      </w:r>
      <w:r w:rsidRPr="00D44064">
        <w:t>submission based on a new inspection by an overseas regulatory body or make a request for the TGA to inspect.</w:t>
      </w:r>
    </w:p>
    <w:p w14:paraId="6D1B59A4" w14:textId="24A17D47" w:rsidR="00CD1F46" w:rsidRPr="00D44064" w:rsidRDefault="00CD1F46" w:rsidP="00242683">
      <w:pPr>
        <w:pStyle w:val="ListBullet"/>
      </w:pPr>
      <w:r w:rsidRPr="00D44064">
        <w:t xml:space="preserve">The GMP clearance for the sponsor has been granted by </w:t>
      </w:r>
      <w:r w:rsidR="00242683" w:rsidRPr="00D44064">
        <w:t>the TGA</w:t>
      </w:r>
      <w:r w:rsidRPr="00D44064">
        <w:t xml:space="preserve"> with an expiry date of 25 April 2022. The expiry date may not be before the decision date. Having said that, the manufacturing step proposed for this site is testing chemical and physical and there are other sites with GMP clearance that can perform this step. Therefore, if GMP clearance is not obtained before the decision date, the site can be removed from the submission.</w:t>
      </w:r>
    </w:p>
    <w:p w14:paraId="4E408AAA" w14:textId="1A35BF6D" w:rsidR="007619D7" w:rsidRPr="00D44064" w:rsidRDefault="007619D7" w:rsidP="00C275B4">
      <w:pPr>
        <w:pStyle w:val="ListBullet"/>
      </w:pPr>
      <w:r w:rsidRPr="00D44064">
        <w:t xml:space="preserve">It was found that the relative response factors for four impurities of cytarabine are incorrect in the method for cytarabine in </w:t>
      </w:r>
      <w:r w:rsidR="00CD1F46" w:rsidRPr="00D44064">
        <w:t>the dossier</w:t>
      </w:r>
      <w:r w:rsidRPr="00D44064">
        <w:t>. The sponsor has given an assurance that this will be updated post-approval after further investigation has occurred. This approach is acceptable, but the sponsor should also provide an assurance that the stability results will be reviewed and updated if necessary. Ideally this data should be provided prior to registration.</w:t>
      </w:r>
    </w:p>
    <w:p w14:paraId="367FE548" w14:textId="2435DF9A" w:rsidR="007619D7" w:rsidRPr="00D44064" w:rsidRDefault="007619D7" w:rsidP="00CD1F46">
      <w:pPr>
        <w:pStyle w:val="ListBullet"/>
        <w:numPr>
          <w:ilvl w:val="0"/>
          <w:numId w:val="0"/>
        </w:numPr>
        <w:ind w:left="360"/>
      </w:pPr>
      <w:r w:rsidRPr="00D44064">
        <w:t xml:space="preserve">If the sponsor does not provide this information prior to </w:t>
      </w:r>
      <w:r w:rsidR="00CD1F46" w:rsidRPr="00D44064">
        <w:t>approval,</w:t>
      </w:r>
      <w:r w:rsidRPr="00D44064">
        <w:t xml:space="preserve"> it should be made a condition of registration that this data be provided within one year.</w:t>
      </w:r>
    </w:p>
    <w:p w14:paraId="72151646" w14:textId="77777777" w:rsidR="00CD1F46" w:rsidRPr="00D44064" w:rsidRDefault="007619D7" w:rsidP="00CD1F46">
      <w:pPr>
        <w:pStyle w:val="ListBullet"/>
        <w:numPr>
          <w:ilvl w:val="0"/>
          <w:numId w:val="0"/>
        </w:numPr>
        <w:ind w:left="360"/>
      </w:pPr>
      <w:r w:rsidRPr="00D44064">
        <w:t>Note that the change will lead to the same or lower amounts of impurities being present and this does not affect either the release and expiry limits that are acceptable or the shelf life that can be set</w:t>
      </w:r>
      <w:r w:rsidR="00CD1F46" w:rsidRPr="00D44064">
        <w:t>.</w:t>
      </w:r>
    </w:p>
    <w:p w14:paraId="4D9DFC81" w14:textId="5AEA859F" w:rsidR="007619D7" w:rsidRPr="00D44064" w:rsidRDefault="007619D7" w:rsidP="00CD1F46">
      <w:pPr>
        <w:pStyle w:val="ListBullet"/>
      </w:pPr>
      <w:r w:rsidRPr="00D44064">
        <w:t xml:space="preserve">The </w:t>
      </w:r>
      <w:r w:rsidR="00ED13A7" w:rsidRPr="00D44064">
        <w:t xml:space="preserve">quality evaluation </w:t>
      </w:r>
      <w:r w:rsidRPr="00D44064">
        <w:t xml:space="preserve">has also noted that the </w:t>
      </w:r>
      <w:r w:rsidR="00D84A5C" w:rsidRPr="00D44064">
        <w:t>sponsor</w:t>
      </w:r>
      <w:r w:rsidRPr="00D44064">
        <w:t xml:space="preserve"> has declined to change the tradename of </w:t>
      </w:r>
      <w:proofErr w:type="gramStart"/>
      <w:r w:rsidRPr="00D44064">
        <w:t>Vyxeos to Vyxeos</w:t>
      </w:r>
      <w:proofErr w:type="gramEnd"/>
      <w:r w:rsidRPr="00D44064">
        <w:t xml:space="preserve"> 44/100 to indicate the relative strengths of </w:t>
      </w:r>
      <w:r w:rsidR="00A712A7" w:rsidRPr="00D44064">
        <w:t>daunorubicin</w:t>
      </w:r>
      <w:r w:rsidRPr="00D44064">
        <w:t xml:space="preserve"> and </w:t>
      </w:r>
      <w:r w:rsidR="00A712A7" w:rsidRPr="00D44064">
        <w:t>cytarabine</w:t>
      </w:r>
      <w:r w:rsidRPr="00D44064">
        <w:t xml:space="preserve"> included in the product.</w:t>
      </w:r>
    </w:p>
    <w:p w14:paraId="2F10EA1A" w14:textId="3FF407C5" w:rsidR="00154AA2" w:rsidRPr="00D44064" w:rsidRDefault="00154AA2" w:rsidP="00154AA2">
      <w:r w:rsidRPr="00D44064">
        <w:t xml:space="preserve">Approval for registration of the proposed product is recommended from a pharmaceutical chemistry perspective as it relates to the </w:t>
      </w:r>
      <w:r w:rsidR="00421911" w:rsidRPr="00D44064">
        <w:t>quality</w:t>
      </w:r>
      <w:r w:rsidRPr="00D44064">
        <w:t xml:space="preserve"> data.</w:t>
      </w:r>
    </w:p>
    <w:p w14:paraId="16E9FE81" w14:textId="77777777" w:rsidR="008E7846" w:rsidRPr="00D44064" w:rsidRDefault="008E7846" w:rsidP="008E7846">
      <w:pPr>
        <w:pStyle w:val="Heading3"/>
      </w:pPr>
      <w:bookmarkStart w:id="34" w:name="_Toc314842512"/>
      <w:bookmarkStart w:id="35" w:name="_Toc126589464"/>
      <w:r w:rsidRPr="00D44064">
        <w:t>Nonclinical</w:t>
      </w:r>
      <w:bookmarkEnd w:id="34"/>
      <w:bookmarkEnd w:id="35"/>
    </w:p>
    <w:p w14:paraId="3BD5CEB8" w14:textId="3CDC15D8" w:rsidR="007619D7" w:rsidRPr="00D44064" w:rsidRDefault="007619D7" w:rsidP="00C275B4">
      <w:r w:rsidRPr="00D44064">
        <w:t xml:space="preserve">The </w:t>
      </w:r>
      <w:r w:rsidR="00421911" w:rsidRPr="00D44064">
        <w:t>nonclinical</w:t>
      </w:r>
      <w:r w:rsidRPr="00D44064">
        <w:t xml:space="preserve"> </w:t>
      </w:r>
      <w:r w:rsidR="00421911" w:rsidRPr="00D44064">
        <w:t xml:space="preserve">evaluation </w:t>
      </w:r>
      <w:r w:rsidRPr="00D44064">
        <w:t xml:space="preserve">has raised no issues for the registration of Vyxeos. In summary </w:t>
      </w:r>
      <w:r w:rsidR="00421911" w:rsidRPr="00D44064">
        <w:t>the nonclinical evaluation has</w:t>
      </w:r>
      <w:r w:rsidRPr="00D44064">
        <w:t xml:space="preserve"> noted </w:t>
      </w:r>
      <w:r w:rsidR="00421911" w:rsidRPr="00D44064">
        <w:t>the following:</w:t>
      </w:r>
    </w:p>
    <w:p w14:paraId="1468398B" w14:textId="422F4565" w:rsidR="007619D7" w:rsidRPr="00D44064" w:rsidRDefault="00421911" w:rsidP="00C275B4">
      <w:pPr>
        <w:pStyle w:val="ListBullet"/>
      </w:pPr>
      <w:r w:rsidRPr="00D44064">
        <w:t>The sponsor</w:t>
      </w:r>
      <w:r w:rsidR="007619D7" w:rsidRPr="00D44064">
        <w:t xml:space="preserve"> has applied to register Vyxeos (</w:t>
      </w:r>
      <w:r w:rsidRPr="00D44064">
        <w:t xml:space="preserve">sponsor’s drug development code: </w:t>
      </w:r>
      <w:r w:rsidR="007619D7" w:rsidRPr="00D44064">
        <w:t>CPX</w:t>
      </w:r>
      <w:r w:rsidR="00750E41" w:rsidRPr="00D44064">
        <w:noBreakHyphen/>
      </w:r>
      <w:r w:rsidR="007619D7" w:rsidRPr="00D44064">
        <w:t>351) a new fixed</w:t>
      </w:r>
      <w:r w:rsidR="00C275B4" w:rsidRPr="00D44064">
        <w:t xml:space="preserve"> </w:t>
      </w:r>
      <w:r w:rsidR="007619D7" w:rsidRPr="00D44064">
        <w:t>dose liposomal combination of daunorubicin hydrochloride and cytarabine, proposed to be used as a treatment for AML or AML</w:t>
      </w:r>
      <w:r w:rsidR="00242683" w:rsidRPr="00D44064">
        <w:t>-MRC</w:t>
      </w:r>
      <w:r w:rsidR="007619D7" w:rsidRPr="00D44064">
        <w:t xml:space="preserve"> in adults. Both daunorubicin hydrochloride and cytarabine (in solution form) are already approved in free combination for similar indications. The proposed maximum dose of Vyxeos</w:t>
      </w:r>
      <w:r w:rsidR="00836E81" w:rsidRPr="00D44064">
        <w:t>, based on body surface area,</w:t>
      </w:r>
      <w:r w:rsidR="007619D7" w:rsidRPr="00D44064">
        <w:t xml:space="preserve"> is 44</w:t>
      </w:r>
      <w:r w:rsidR="00A712A7" w:rsidRPr="00D44064">
        <w:t> </w:t>
      </w:r>
      <w:r w:rsidR="007619D7" w:rsidRPr="00D44064">
        <w:t>mg/m</w:t>
      </w:r>
      <w:r w:rsidR="007619D7" w:rsidRPr="00D44064">
        <w:rPr>
          <w:vertAlign w:val="superscript"/>
        </w:rPr>
        <w:t>2</w:t>
      </w:r>
      <w:r w:rsidR="007619D7" w:rsidRPr="00D44064">
        <w:t xml:space="preserve"> daunorubicin and 100</w:t>
      </w:r>
      <w:r w:rsidRPr="00D44064">
        <w:t> </w:t>
      </w:r>
      <w:r w:rsidR="007619D7" w:rsidRPr="00D44064">
        <w:t>mg/m</w:t>
      </w:r>
      <w:r w:rsidR="007619D7" w:rsidRPr="00D44064">
        <w:rPr>
          <w:vertAlign w:val="superscript"/>
        </w:rPr>
        <w:t>2</w:t>
      </w:r>
      <w:r w:rsidR="007619D7" w:rsidRPr="00D44064">
        <w:t xml:space="preserve"> cytarabine administered </w:t>
      </w:r>
      <w:r w:rsidRPr="00D44064">
        <w:t>intravenously</w:t>
      </w:r>
      <w:r w:rsidR="007619D7" w:rsidRPr="00D44064">
        <w:t xml:space="preserve"> on </w:t>
      </w:r>
      <w:r w:rsidR="00A712A7" w:rsidRPr="00D44064">
        <w:t>Day</w:t>
      </w:r>
      <w:r w:rsidR="007619D7" w:rsidRPr="00D44064">
        <w:t>s</w:t>
      </w:r>
      <w:r w:rsidRPr="00D44064">
        <w:t> </w:t>
      </w:r>
      <w:r w:rsidR="007619D7" w:rsidRPr="00D44064">
        <w:t>1, 3 and 5 of the first induction cycle (equivalent to a maximum weekly dose of 132 mg/m</w:t>
      </w:r>
      <w:r w:rsidR="007619D7" w:rsidRPr="00D44064">
        <w:rPr>
          <w:vertAlign w:val="superscript"/>
        </w:rPr>
        <w:t>2</w:t>
      </w:r>
      <w:r w:rsidR="007619D7" w:rsidRPr="00D44064">
        <w:t xml:space="preserve"> daunorubicin and 300 mg/m</w:t>
      </w:r>
      <w:r w:rsidR="007619D7" w:rsidRPr="00D44064">
        <w:rPr>
          <w:vertAlign w:val="superscript"/>
        </w:rPr>
        <w:t>2</w:t>
      </w:r>
      <w:r w:rsidR="007619D7" w:rsidRPr="00D44064">
        <w:t xml:space="preserve"> cytarabine).</w:t>
      </w:r>
    </w:p>
    <w:p w14:paraId="7D745505" w14:textId="1F9CCDD1" w:rsidR="007619D7" w:rsidRPr="00D44064" w:rsidRDefault="007619D7" w:rsidP="00C275B4">
      <w:pPr>
        <w:pStyle w:val="ListBullet"/>
      </w:pPr>
      <w:r w:rsidRPr="00D44064">
        <w:lastRenderedPageBreak/>
        <w:t>Vyxeos liposomes are rigid, spherical vesicles with a nominal mean diameter of approximately 100 nm, and a fixed 5:1 molar ratio of cytarabine and daunorubicin is loaded into the liposomes using a copper</w:t>
      </w:r>
      <w:r w:rsidR="00825E68" w:rsidRPr="00D44064">
        <w:t>-</w:t>
      </w:r>
      <w:r w:rsidRPr="00D44064">
        <w:t>based process. The properties of the liposomes structure are proposed to allow for stable encapsulation of drugs under biological conditions and to modulate the drug</w:t>
      </w:r>
      <w:r w:rsidR="00C275B4" w:rsidRPr="00D44064">
        <w:t xml:space="preserve"> </w:t>
      </w:r>
      <w:r w:rsidRPr="00D44064">
        <w:t>release characteristics, by decreasing liposome aggregation and prolonging circulation time.</w:t>
      </w:r>
    </w:p>
    <w:p w14:paraId="72EEA49D" w14:textId="0518161F" w:rsidR="007619D7" w:rsidRPr="00D44064" w:rsidRDefault="00421911" w:rsidP="00C275B4">
      <w:pPr>
        <w:pStyle w:val="ListBullet"/>
      </w:pPr>
      <w:r w:rsidRPr="00D44064">
        <w:t>The nonclinical data</w:t>
      </w:r>
      <w:r w:rsidR="007619D7" w:rsidRPr="00D44064">
        <w:t xml:space="preserve"> was of good quality and adequate scope, including comparisons with non</w:t>
      </w:r>
      <w:r w:rsidR="00C275B4" w:rsidRPr="00D44064">
        <w:noBreakHyphen/>
      </w:r>
      <w:r w:rsidR="007619D7" w:rsidRPr="00D44064">
        <w:t>liposomal formulations and the appropriate vehicle in the repeat</w:t>
      </w:r>
      <w:r w:rsidR="00C275B4" w:rsidRPr="00D44064">
        <w:t xml:space="preserve"> </w:t>
      </w:r>
      <w:r w:rsidR="007619D7" w:rsidRPr="00D44064">
        <w:t>dose toxicity study in dogs (copper</w:t>
      </w:r>
      <w:r w:rsidR="00C275B4" w:rsidRPr="00D44064">
        <w:t xml:space="preserve"> </w:t>
      </w:r>
      <w:r w:rsidR="007619D7" w:rsidRPr="00D44064">
        <w:t>containing liposomes).</w:t>
      </w:r>
    </w:p>
    <w:p w14:paraId="482E085B" w14:textId="1302B9D9" w:rsidR="007619D7" w:rsidRPr="00D44064" w:rsidRDefault="007619D7" w:rsidP="00C275B4">
      <w:pPr>
        <w:pStyle w:val="ListBullet"/>
      </w:pPr>
      <w:r w:rsidRPr="00D44064">
        <w:t xml:space="preserve">Daunorubicin and cytarabine at a molar ratio of 1:5 was shown to provide the optimum synergistic anti-tumour effect </w:t>
      </w:r>
      <w:r w:rsidRPr="00D44064">
        <w:rPr>
          <w:i/>
          <w:iCs/>
        </w:rPr>
        <w:t>in vitro</w:t>
      </w:r>
      <w:r w:rsidRPr="00D44064">
        <w:t xml:space="preserve"> against tumour cell lines. Vyxeos demonstrated greater antitumour activity in syngeneic and xenograft mouse leukaemia models </w:t>
      </w:r>
      <w:r w:rsidRPr="00D44064">
        <w:rPr>
          <w:i/>
          <w:iCs/>
        </w:rPr>
        <w:t>in vivo</w:t>
      </w:r>
      <w:r w:rsidRPr="00D44064">
        <w:t xml:space="preserve"> than the individual liposomal formulations of cytarabine or daunorubicin or the non-liposomal drug cocktail (cytarabine and daunorubicin), even when the dose levels of cytarabine and/or daunorubicin were greater in the comparator treatment arms.</w:t>
      </w:r>
    </w:p>
    <w:p w14:paraId="29036580" w14:textId="525686B9" w:rsidR="007619D7" w:rsidRPr="00D44064" w:rsidRDefault="007619D7" w:rsidP="00C275B4">
      <w:pPr>
        <w:pStyle w:val="ListBullet"/>
      </w:pPr>
      <w:r w:rsidRPr="00D44064">
        <w:t xml:space="preserve">No </w:t>
      </w:r>
      <w:r w:rsidR="00C275B4" w:rsidRPr="00D44064">
        <w:t>standalone</w:t>
      </w:r>
      <w:r w:rsidRPr="00D44064">
        <w:t xml:space="preserve"> safety pharmacology studies were conducted with Vyxeos. Safety pharmacology parameters were included as part of the repeat</w:t>
      </w:r>
      <w:r w:rsidR="00C275B4" w:rsidRPr="00D44064">
        <w:t xml:space="preserve"> </w:t>
      </w:r>
      <w:r w:rsidRPr="00D44064">
        <w:t xml:space="preserve">dose toxicology studies in rat and dog. Although the safety pharmacology assessment was confounded by poor survival, no unexpected </w:t>
      </w:r>
      <w:r w:rsidR="00D16321" w:rsidRPr="00D44064">
        <w:t xml:space="preserve">central nervous system </w:t>
      </w:r>
      <w:r w:rsidRPr="00D44064">
        <w:t xml:space="preserve">or </w:t>
      </w:r>
      <w:r w:rsidR="00D16321" w:rsidRPr="00D44064">
        <w:t xml:space="preserve">cardiovascular system </w:t>
      </w:r>
      <w:r w:rsidRPr="00D44064">
        <w:t>safety signals were evident.</w:t>
      </w:r>
    </w:p>
    <w:p w14:paraId="02599C32" w14:textId="14C3AD3E" w:rsidR="007619D7" w:rsidRPr="00D44064" w:rsidRDefault="007619D7" w:rsidP="00C275B4">
      <w:pPr>
        <w:pStyle w:val="ListBullet"/>
      </w:pPr>
      <w:r w:rsidRPr="00D44064">
        <w:t>Daunorubicin</w:t>
      </w:r>
      <w:r w:rsidR="00421911" w:rsidRPr="00D44064">
        <w:t xml:space="preserve"> to </w:t>
      </w:r>
      <w:r w:rsidRPr="00D44064">
        <w:t xml:space="preserve">cytarabine molar ratios in animal plasma and bone marrow were maintained close to 1:5 for at least 24 hours after </w:t>
      </w:r>
      <w:r w:rsidR="00421911" w:rsidRPr="00D44064">
        <w:t>intravenous</w:t>
      </w:r>
      <w:r w:rsidRPr="00D44064">
        <w:t xml:space="preserve"> administration, due to high retention of the drug cargo within the liposomes. </w:t>
      </w:r>
      <w:r w:rsidRPr="00D44064">
        <w:rPr>
          <w:i/>
          <w:iCs/>
        </w:rPr>
        <w:t>In vivo</w:t>
      </w:r>
      <w:r w:rsidRPr="00D44064">
        <w:t xml:space="preserve"> release from Vyxeos liposomes is deduced to be very slow, with less than 1% of the total drug concentration in the circulation present as free daunorubicin and cytarabine. As a result, the liposomes appear to govern tissue distribution, and rates of elimination and values for </w:t>
      </w:r>
      <w:r w:rsidR="00D16321" w:rsidRPr="00D44064">
        <w:t>clearance</w:t>
      </w:r>
      <w:r w:rsidRPr="00D44064">
        <w:t xml:space="preserve">, </w:t>
      </w:r>
      <w:r w:rsidR="00D16321" w:rsidRPr="00D44064">
        <w:t>volume of distribution</w:t>
      </w:r>
      <w:r w:rsidRPr="00D44064">
        <w:t xml:space="preserve">, and </w:t>
      </w:r>
      <w:r w:rsidR="00D16321" w:rsidRPr="00D44064">
        <w:t>terminal half-life</w:t>
      </w:r>
      <w:r w:rsidRPr="00D44064">
        <w:t xml:space="preserve"> of the two actives are similar. High and sustained plasma concentrations are achieved with Vyxeos because </w:t>
      </w:r>
      <w:r w:rsidR="00D16321" w:rsidRPr="00D44064">
        <w:t>clearance</w:t>
      </w:r>
      <w:r w:rsidRPr="00D44064">
        <w:t xml:space="preserve"> is approximately 100</w:t>
      </w:r>
      <w:r w:rsidR="00C275B4" w:rsidRPr="00D44064">
        <w:t xml:space="preserve"> </w:t>
      </w:r>
      <w:r w:rsidRPr="00D44064">
        <w:t>times lower than that of the non-liposomal drugs. Very good allometric relationships indicate that excretion, metabolism, and distribution data in animals are likely to translate directly to humans.</w:t>
      </w:r>
    </w:p>
    <w:p w14:paraId="42C9E296" w14:textId="7562B953" w:rsidR="007619D7" w:rsidRPr="00D44064" w:rsidRDefault="007619D7" w:rsidP="00C275B4">
      <w:pPr>
        <w:pStyle w:val="ListBullet"/>
      </w:pPr>
      <w:r w:rsidRPr="00D44064">
        <w:t>The volume of distribution indicates that the liposomes are mostly confined to the vascular space.</w:t>
      </w:r>
      <w:r w:rsidRPr="00D44064" w:rsidDel="007C16E4">
        <w:t xml:space="preserve"> </w:t>
      </w:r>
      <w:r w:rsidRPr="00D44064">
        <w:t>Vyxeos demonstrated a higher tissue</w:t>
      </w:r>
      <w:r w:rsidR="00C275B4" w:rsidRPr="00D44064">
        <w:t xml:space="preserve"> </w:t>
      </w:r>
      <w:r w:rsidRPr="00D44064">
        <w:t>to</w:t>
      </w:r>
      <w:r w:rsidR="00C275B4" w:rsidRPr="00D44064">
        <w:t xml:space="preserve"> </w:t>
      </w:r>
      <w:r w:rsidRPr="00D44064">
        <w:t xml:space="preserve">plasma drug </w:t>
      </w:r>
      <w:r w:rsidR="00B27944" w:rsidRPr="00D44064">
        <w:t xml:space="preserve">area under the plasma concentration time curve </w:t>
      </w:r>
      <w:r w:rsidRPr="00D44064">
        <w:t>ratio in spleen, liver, kidney, lungs and bone marrow, and the preferential uptake in leukaemic cells was suggestive of increased delivery of the drug to target tissue, although the mechanism underlying this was not explored. Vyxeos administration to rats was associated with a lower brain to plasma ratio of cytarabine and a lower heart to plasma daunorubicin ratio compared with the non</w:t>
      </w:r>
      <w:r w:rsidR="00750E41" w:rsidRPr="00D44064">
        <w:noBreakHyphen/>
      </w:r>
      <w:r w:rsidRPr="00D44064">
        <w:t>liposomal formulations of cytarabine and daunorubicin. While this is supportive of potentially reduced risks for daunorubicin</w:t>
      </w:r>
      <w:r w:rsidR="00C275B4" w:rsidRPr="00D44064">
        <w:t xml:space="preserve"> </w:t>
      </w:r>
      <w:r w:rsidRPr="00D44064">
        <w:t>associated cardiotoxicity and cytarabine</w:t>
      </w:r>
      <w:r w:rsidR="00C275B4" w:rsidRPr="00D44064">
        <w:t xml:space="preserve"> </w:t>
      </w:r>
      <w:r w:rsidRPr="00D44064">
        <w:t xml:space="preserve">associated </w:t>
      </w:r>
      <w:r w:rsidR="00D16321" w:rsidRPr="00D44064">
        <w:t>central nervous system</w:t>
      </w:r>
      <w:r w:rsidRPr="00D44064">
        <w:t xml:space="preserve"> toxicity for the liposomal formulation compared with the free actives, this was not able to be confirmed in the </w:t>
      </w:r>
      <w:r w:rsidRPr="00D44064" w:rsidDel="003C2428">
        <w:t>toxicity</w:t>
      </w:r>
      <w:r w:rsidRPr="00D44064">
        <w:t xml:space="preserve"> studies.</w:t>
      </w:r>
    </w:p>
    <w:p w14:paraId="560665B7" w14:textId="2ADB5B5A" w:rsidR="007619D7" w:rsidRPr="00D44064" w:rsidRDefault="007619D7" w:rsidP="00C275B4">
      <w:pPr>
        <w:pStyle w:val="ListBullet"/>
      </w:pPr>
      <w:r w:rsidRPr="00D44064">
        <w:t xml:space="preserve">The major metabolism and biotransformation pathways in humans are </w:t>
      </w:r>
      <w:proofErr w:type="gramStart"/>
      <w:r w:rsidRPr="00D44064">
        <w:t>similar to</w:t>
      </w:r>
      <w:proofErr w:type="gramEnd"/>
      <w:r w:rsidRPr="00D44064">
        <w:t xml:space="preserve"> those in animals, and qualitatively similar for Vyxeos versus non-liposomal drugs, the only difference being that the rates of excretion are slower with Vyxeos.</w:t>
      </w:r>
    </w:p>
    <w:p w14:paraId="4E790A6D" w14:textId="0E2BEF40" w:rsidR="007619D7" w:rsidRPr="00D44064" w:rsidRDefault="007619D7" w:rsidP="00C275B4">
      <w:pPr>
        <w:pStyle w:val="ListBullet"/>
      </w:pPr>
      <w:r w:rsidRPr="00D44064">
        <w:t>Two repeat</w:t>
      </w:r>
      <w:r w:rsidR="00C275B4" w:rsidRPr="00D44064">
        <w:t xml:space="preserve"> </w:t>
      </w:r>
      <w:r w:rsidRPr="00D44064">
        <w:t>dose toxicity studies of 26-days duration were conducted with Vyxeos, in rats and dogs. As observed clinically, signs of strong myelosuppression and gastrointestinal toxicity were observed. No unexpected toxicities were reported with the liposomal formulation or the liposome vehicle. Small transient increases were noted in whole blood copper levels without evidence of any copper</w:t>
      </w:r>
      <w:r w:rsidR="00C275B4" w:rsidRPr="00D44064">
        <w:t xml:space="preserve"> </w:t>
      </w:r>
      <w:r w:rsidRPr="00D44064">
        <w:t xml:space="preserve">mediated toxicity. </w:t>
      </w:r>
      <w:r w:rsidRPr="00D44064">
        <w:lastRenderedPageBreak/>
        <w:t xml:space="preserve">The proposal that copper associated with Vyxeos liposomes was slowly released is supported by the copper </w:t>
      </w:r>
      <w:r w:rsidR="00B27944" w:rsidRPr="00D44064">
        <w:t xml:space="preserve">pharmacodynamic (PK) </w:t>
      </w:r>
      <w:r w:rsidRPr="00D44064">
        <w:t>data.</w:t>
      </w:r>
    </w:p>
    <w:p w14:paraId="1491D57C" w14:textId="228AC513" w:rsidR="007619D7" w:rsidRPr="00D44064" w:rsidRDefault="007619D7" w:rsidP="00C275B4">
      <w:pPr>
        <w:pStyle w:val="ListBullet"/>
      </w:pPr>
      <w:r w:rsidRPr="00D44064">
        <w:t xml:space="preserve">Genotoxicity, </w:t>
      </w:r>
      <w:proofErr w:type="gramStart"/>
      <w:r w:rsidRPr="00D44064">
        <w:t>carcinogenicity</w:t>
      </w:r>
      <w:proofErr w:type="gramEnd"/>
      <w:r w:rsidRPr="00D44064">
        <w:t xml:space="preserve"> and reproductive toxicity studies have not been conducted with Vyxeos. This is acceptable based on </w:t>
      </w:r>
      <w:r w:rsidR="00B27944" w:rsidRPr="00D44064">
        <w:t>the International Council for Harmonisation (</w:t>
      </w:r>
      <w:r w:rsidRPr="00D44064">
        <w:t>ICH</w:t>
      </w:r>
      <w:r w:rsidR="00B27944" w:rsidRPr="00D44064">
        <w:t>);</w:t>
      </w:r>
      <w:r w:rsidR="00B27944" w:rsidRPr="00D44064">
        <w:rPr>
          <w:rStyle w:val="FootnoteReference"/>
        </w:rPr>
        <w:footnoteReference w:id="7"/>
      </w:r>
      <w:r w:rsidRPr="00D44064">
        <w:t xml:space="preserve"> </w:t>
      </w:r>
      <w:r w:rsidR="00B27944" w:rsidRPr="00D44064">
        <w:t>g</w:t>
      </w:r>
      <w:r w:rsidR="00D16321" w:rsidRPr="00D44064">
        <w:t>uideline</w:t>
      </w:r>
      <w:r w:rsidRPr="00D44064">
        <w:t>.</w:t>
      </w:r>
      <w:r w:rsidR="00D16321" w:rsidRPr="00D44064">
        <w:rPr>
          <w:rStyle w:val="FootnoteReference"/>
        </w:rPr>
        <w:footnoteReference w:id="8"/>
      </w:r>
      <w:r w:rsidRPr="00D44064">
        <w:t xml:space="preserve"> Cytarabine and daunorubicin are well known compounds and their toxicological properties are well characterised. Both cytarabine and daunorubicin are mutagenic </w:t>
      </w:r>
      <w:r w:rsidRPr="00D44064">
        <w:rPr>
          <w:i/>
          <w:iCs/>
        </w:rPr>
        <w:t>in vitro</w:t>
      </w:r>
      <w:r w:rsidRPr="00D44064">
        <w:t xml:space="preserve"> and clastogenic </w:t>
      </w:r>
      <w:r w:rsidRPr="00D44064">
        <w:rPr>
          <w:i/>
          <w:iCs/>
        </w:rPr>
        <w:t>in vitro</w:t>
      </w:r>
      <w:r w:rsidRPr="00D44064">
        <w:t xml:space="preserve"> and </w:t>
      </w:r>
      <w:r w:rsidRPr="00D44064">
        <w:rPr>
          <w:i/>
          <w:iCs/>
        </w:rPr>
        <w:t>in vivo</w:t>
      </w:r>
      <w:r w:rsidRPr="00D44064">
        <w:t xml:space="preserve">. Daunorubicin showed carcinogenic potential in rats and is classified by the </w:t>
      </w:r>
      <w:r w:rsidR="00D16321" w:rsidRPr="00D44064">
        <w:t xml:space="preserve">International Agency for Research on Cancer </w:t>
      </w:r>
      <w:r w:rsidRPr="00D44064">
        <w:t xml:space="preserve">as </w:t>
      </w:r>
      <w:r w:rsidR="00C275B4" w:rsidRPr="00D44064">
        <w:t>‘</w:t>
      </w:r>
      <w:r w:rsidRPr="00D44064">
        <w:t>possibly carcinogenic to humans</w:t>
      </w:r>
      <w:r w:rsidR="00C275B4" w:rsidRPr="00D44064">
        <w:t>’</w:t>
      </w:r>
      <w:r w:rsidRPr="00D44064">
        <w:t xml:space="preserve"> based on sufficient evidence in animals and inadequate human data.</w:t>
      </w:r>
      <w:r w:rsidR="00C43B1A" w:rsidRPr="00D44064">
        <w:rPr>
          <w:rStyle w:val="FootnoteReference"/>
        </w:rPr>
        <w:footnoteReference w:id="9"/>
      </w:r>
      <w:r w:rsidR="00006CDC" w:rsidRPr="00D44064">
        <w:rPr>
          <w:vertAlign w:val="superscript"/>
        </w:rPr>
        <w:t>,</w:t>
      </w:r>
      <w:r w:rsidR="00006CDC" w:rsidRPr="00D44064">
        <w:rPr>
          <w:rStyle w:val="FootnoteReference"/>
        </w:rPr>
        <w:footnoteReference w:id="10"/>
      </w:r>
    </w:p>
    <w:p w14:paraId="39B7C060" w14:textId="39302EE4" w:rsidR="007619D7" w:rsidRPr="00D44064" w:rsidRDefault="007619D7" w:rsidP="00C275B4">
      <w:pPr>
        <w:pStyle w:val="ListBullet"/>
      </w:pPr>
      <w:r w:rsidRPr="00D44064">
        <w:t>Based on animal data, male fertility may be compromised by treatment with Vyxeos. Cytarabine increased sperm</w:t>
      </w:r>
      <w:r w:rsidR="00C275B4" w:rsidRPr="00D44064">
        <w:t xml:space="preserve"> </w:t>
      </w:r>
      <w:r w:rsidRPr="00D44064">
        <w:t xml:space="preserve">head abnormalities and chromosomal aberrations following </w:t>
      </w:r>
      <w:r w:rsidR="00D16321" w:rsidRPr="00D44064">
        <w:t xml:space="preserve">intraperitoneal </w:t>
      </w:r>
      <w:r w:rsidRPr="00D44064">
        <w:t>administration in mice, and daunorubicin caused testicular atrophy and total aplasia of spermatocytes in the seminiferous tubules in dogs. Both cytarabine and daunorubicin, tested separately, showed teratogenic and embryotoxic effects in animal studies.</w:t>
      </w:r>
    </w:p>
    <w:p w14:paraId="595C03E8" w14:textId="5217631D" w:rsidR="007619D7" w:rsidRPr="00D44064" w:rsidRDefault="007619D7" w:rsidP="00C275B4">
      <w:pPr>
        <w:pStyle w:val="ListBullet"/>
      </w:pPr>
      <w:r w:rsidRPr="00D44064">
        <w:t>Parenteral exposure to cobalt was sufficiently qualified despite the high amount of cobalt that could potentially be administered at the maximum clinical dose. Similarly, while the theoretical lifetime maximum of copper exceeded the safe doses reported in the ICH guidelines,</w:t>
      </w:r>
      <w:r w:rsidR="00C5248D" w:rsidRPr="00D44064">
        <w:rPr>
          <w:rStyle w:val="FootnoteReference"/>
        </w:rPr>
        <w:footnoteReference w:id="11"/>
      </w:r>
      <w:r w:rsidRPr="00D44064">
        <w:t xml:space="preserve"> given the limited number of </w:t>
      </w:r>
      <w:proofErr w:type="gramStart"/>
      <w:r w:rsidR="00D53AB7" w:rsidRPr="00D44064">
        <w:t>lifetime</w:t>
      </w:r>
      <w:proofErr w:type="gramEnd"/>
      <w:r w:rsidRPr="00D44064">
        <w:t xml:space="preserve"> doses a patient can receive, the absence of any copper</w:t>
      </w:r>
      <w:r w:rsidR="00825E68" w:rsidRPr="00D44064">
        <w:t>-</w:t>
      </w:r>
      <w:r w:rsidRPr="00D44064">
        <w:t>related toxicity in the repeat</w:t>
      </w:r>
      <w:r w:rsidR="00C275B4" w:rsidRPr="00D44064">
        <w:t xml:space="preserve"> </w:t>
      </w:r>
      <w:r w:rsidRPr="00D44064">
        <w:t>dose toxicity study and the potentially slow release of copper from the liposome, the theoretical lifetime maximum copper dose was considered acceptable.</w:t>
      </w:r>
    </w:p>
    <w:p w14:paraId="3A0EBDBD" w14:textId="0EB23D48" w:rsidR="007619D7" w:rsidRPr="00D44064" w:rsidRDefault="007619D7" w:rsidP="00C275B4">
      <w:r w:rsidRPr="00D44064">
        <w:t xml:space="preserve">The </w:t>
      </w:r>
      <w:r w:rsidR="00ED13A7" w:rsidRPr="00D44064">
        <w:t>nonclinical</w:t>
      </w:r>
      <w:r w:rsidRPr="00D44064">
        <w:t xml:space="preserve"> </w:t>
      </w:r>
      <w:r w:rsidR="00ED13A7" w:rsidRPr="00D44064">
        <w:t>evaluation</w:t>
      </w:r>
      <w:r w:rsidRPr="00D44064">
        <w:t xml:space="preserve"> has requested amendments to the draft P</w:t>
      </w:r>
      <w:r w:rsidR="00CD1F46" w:rsidRPr="00D44064">
        <w:t>I</w:t>
      </w:r>
      <w:r w:rsidRPr="00D44064">
        <w:t>.</w:t>
      </w:r>
    </w:p>
    <w:p w14:paraId="50A5615D" w14:textId="77777777" w:rsidR="008E7846" w:rsidRPr="00D44064" w:rsidRDefault="008E7846" w:rsidP="008E7846">
      <w:pPr>
        <w:pStyle w:val="Heading3"/>
      </w:pPr>
      <w:bookmarkStart w:id="37" w:name="_Toc247691530"/>
      <w:bookmarkStart w:id="38" w:name="_Toc314842513"/>
      <w:bookmarkStart w:id="39" w:name="_Toc126589465"/>
      <w:r w:rsidRPr="00D44064">
        <w:t>Clinical</w:t>
      </w:r>
      <w:bookmarkEnd w:id="37"/>
      <w:bookmarkEnd w:id="38"/>
      <w:bookmarkEnd w:id="39"/>
    </w:p>
    <w:p w14:paraId="37EC9122" w14:textId="77777777" w:rsidR="0074163C" w:rsidRPr="00D44064" w:rsidRDefault="0074163C" w:rsidP="0074163C">
      <w:pPr>
        <w:pStyle w:val="Heading4"/>
      </w:pPr>
      <w:bookmarkStart w:id="40" w:name="_Toc98931928"/>
      <w:r w:rsidRPr="00D44064">
        <w:t>Summary of clinical studies</w:t>
      </w:r>
      <w:bookmarkEnd w:id="40"/>
    </w:p>
    <w:p w14:paraId="09889740" w14:textId="77777777" w:rsidR="0074163C" w:rsidRPr="00D44064" w:rsidRDefault="0074163C" w:rsidP="0074163C">
      <w:r w:rsidRPr="00D44064">
        <w:t>The clinical dossier consisted of</w:t>
      </w:r>
      <w:r w:rsidR="00EB36D6" w:rsidRPr="00D44064">
        <w:t>:</w:t>
      </w:r>
    </w:p>
    <w:p w14:paraId="581F3A2E" w14:textId="18FB951E" w:rsidR="0074163C" w:rsidRPr="00D44064" w:rsidRDefault="00D84A5C" w:rsidP="0074163C">
      <w:pPr>
        <w:pStyle w:val="ListBullet"/>
      </w:pPr>
      <w:r w:rsidRPr="00D44064">
        <w:t>three</w:t>
      </w:r>
      <w:r w:rsidR="0074163C" w:rsidRPr="00D44064">
        <w:t xml:space="preserve"> Phase I studies</w:t>
      </w:r>
      <w:r w:rsidR="00BE28DE" w:rsidRPr="00D44064">
        <w:t xml:space="preserve">: </w:t>
      </w:r>
      <w:r w:rsidRPr="00D44064">
        <w:t xml:space="preserve">Study </w:t>
      </w:r>
      <w:r w:rsidR="00BE28DE" w:rsidRPr="00D44064">
        <w:t xml:space="preserve">CLTR0305-101, </w:t>
      </w:r>
      <w:r w:rsidRPr="00D44064">
        <w:t xml:space="preserve">Study </w:t>
      </w:r>
      <w:r w:rsidR="00BE28DE" w:rsidRPr="00D44064">
        <w:t>CPX-MA-1201</w:t>
      </w:r>
      <w:r w:rsidRPr="00D44064">
        <w:t xml:space="preserve"> and</w:t>
      </w:r>
      <w:r w:rsidR="00BE28DE" w:rsidRPr="00D44064">
        <w:t xml:space="preserve"> </w:t>
      </w:r>
      <w:r w:rsidRPr="00D44064">
        <w:t>Study </w:t>
      </w:r>
      <w:proofErr w:type="gramStart"/>
      <w:r w:rsidR="00BE28DE" w:rsidRPr="00D44064">
        <w:t>AAML1421</w:t>
      </w:r>
      <w:r w:rsidRPr="00D44064">
        <w:t>;</w:t>
      </w:r>
      <w:proofErr w:type="gramEnd"/>
    </w:p>
    <w:p w14:paraId="4107DEF0" w14:textId="0277C540" w:rsidR="0074163C" w:rsidRPr="00D44064" w:rsidRDefault="00D84A5C" w:rsidP="0074163C">
      <w:pPr>
        <w:pStyle w:val="ListBullet"/>
      </w:pPr>
      <w:r w:rsidRPr="00D44064">
        <w:t>three</w:t>
      </w:r>
      <w:r w:rsidR="0074163C" w:rsidRPr="00D44064">
        <w:t xml:space="preserve"> Phase II studies</w:t>
      </w:r>
      <w:r w:rsidR="00BE28DE" w:rsidRPr="00D44064">
        <w:t xml:space="preserve">: </w:t>
      </w:r>
      <w:r w:rsidRPr="00D44064">
        <w:t xml:space="preserve">Study </w:t>
      </w:r>
      <w:r w:rsidR="00BE28DE" w:rsidRPr="00D44064">
        <w:t xml:space="preserve">CTLR0310-206, </w:t>
      </w:r>
      <w:r w:rsidRPr="00D44064">
        <w:t xml:space="preserve">Study </w:t>
      </w:r>
      <w:r w:rsidR="00BE28DE" w:rsidRPr="00D44064">
        <w:t>CLTR0308-204</w:t>
      </w:r>
      <w:r w:rsidRPr="00D44064">
        <w:t xml:space="preserve"> and</w:t>
      </w:r>
      <w:r w:rsidR="00BE28DE" w:rsidRPr="00D44064">
        <w:t xml:space="preserve"> </w:t>
      </w:r>
      <w:r w:rsidRPr="00D44064">
        <w:t>Study </w:t>
      </w:r>
      <w:proofErr w:type="gramStart"/>
      <w:r w:rsidR="00BE28DE" w:rsidRPr="00D44064">
        <w:t>AAML1421</w:t>
      </w:r>
      <w:r w:rsidRPr="00D44064">
        <w:t>;</w:t>
      </w:r>
      <w:proofErr w:type="gramEnd"/>
    </w:p>
    <w:p w14:paraId="08DE6C6A" w14:textId="1298D277" w:rsidR="00BE28DE" w:rsidRPr="00D44064" w:rsidRDefault="00D84A5C" w:rsidP="0074163C">
      <w:pPr>
        <w:pStyle w:val="ListBullet"/>
      </w:pPr>
      <w:r w:rsidRPr="00D44064">
        <w:lastRenderedPageBreak/>
        <w:t xml:space="preserve">one </w:t>
      </w:r>
      <w:r w:rsidR="00BE28DE" w:rsidRPr="00D44064">
        <w:t xml:space="preserve">Phase III study: </w:t>
      </w:r>
      <w:r w:rsidRPr="00D44064">
        <w:t xml:space="preserve">Study </w:t>
      </w:r>
      <w:r w:rsidR="00BE28DE" w:rsidRPr="00D44064">
        <w:t>CLTR0310-301</w:t>
      </w:r>
      <w:r w:rsidRPr="00D44064">
        <w:t>.</w:t>
      </w:r>
    </w:p>
    <w:p w14:paraId="5413187D" w14:textId="5AE1EBCF" w:rsidR="007619D7" w:rsidRPr="00D44064" w:rsidRDefault="007619D7" w:rsidP="007619D7">
      <w:r w:rsidRPr="00D44064">
        <w:t xml:space="preserve">The main component of this dossier was the </w:t>
      </w:r>
      <w:r w:rsidR="00A712A7" w:rsidRPr="00D44064">
        <w:t>Phase</w:t>
      </w:r>
      <w:r w:rsidRPr="00D44064">
        <w:t xml:space="preserve"> III </w:t>
      </w:r>
      <w:r w:rsidR="00006CDC" w:rsidRPr="00D44064">
        <w:t>S</w:t>
      </w:r>
      <w:r w:rsidRPr="00D44064">
        <w:t xml:space="preserve">tudy CLTR0310-301, which examined the safety and efficacy of Vyxeos in patients </w:t>
      </w:r>
      <w:r w:rsidR="00006CDC" w:rsidRPr="00D44064">
        <w:t xml:space="preserve">between </w:t>
      </w:r>
      <w:r w:rsidRPr="00D44064">
        <w:t>60</w:t>
      </w:r>
      <w:r w:rsidR="00C275B4" w:rsidRPr="00D44064">
        <w:t xml:space="preserve"> </w:t>
      </w:r>
      <w:r w:rsidR="00006CDC" w:rsidRPr="00D44064">
        <w:t>and</w:t>
      </w:r>
      <w:r w:rsidR="00C275B4" w:rsidRPr="00D44064">
        <w:t xml:space="preserve"> </w:t>
      </w:r>
      <w:r w:rsidRPr="00D44064">
        <w:t>75</w:t>
      </w:r>
      <w:r w:rsidR="00006CDC" w:rsidRPr="00D44064">
        <w:t xml:space="preserve"> years of age</w:t>
      </w:r>
      <w:r w:rsidRPr="00D44064">
        <w:t xml:space="preserve"> with untreated secondary AML. This study also provided population pharmacokinetic data in the target population for Vyxeos.</w:t>
      </w:r>
    </w:p>
    <w:p w14:paraId="7B9F45C1" w14:textId="0E2942C2" w:rsidR="007619D7" w:rsidRPr="00D44064" w:rsidRDefault="007619D7" w:rsidP="007619D7">
      <w:r w:rsidRPr="00D44064">
        <w:t xml:space="preserve">The submission also contained one </w:t>
      </w:r>
      <w:proofErr w:type="gramStart"/>
      <w:r w:rsidR="00A712A7" w:rsidRPr="00D44064">
        <w:t>Phase</w:t>
      </w:r>
      <w:proofErr w:type="gramEnd"/>
      <w:r w:rsidRPr="00D44064">
        <w:t xml:space="preserve"> </w:t>
      </w:r>
      <w:r w:rsidR="00A712A7" w:rsidRPr="00D44064">
        <w:t>I</w:t>
      </w:r>
      <w:r w:rsidRPr="00D44064">
        <w:t xml:space="preserve"> and </w:t>
      </w:r>
      <w:r w:rsidR="00A712A7" w:rsidRPr="00D44064">
        <w:t>II</w:t>
      </w:r>
      <w:r w:rsidRPr="00D44064">
        <w:t xml:space="preserve"> study which provided pharmacokinetic and pharmacodynamic</w:t>
      </w:r>
      <w:r w:rsidR="00B27944" w:rsidRPr="00D44064">
        <w:t xml:space="preserve"> (PK)</w:t>
      </w:r>
      <w:r w:rsidRPr="00D44064">
        <w:t xml:space="preserve"> data.</w:t>
      </w:r>
    </w:p>
    <w:p w14:paraId="78AC9514" w14:textId="79853AE9" w:rsidR="00006CDC" w:rsidRPr="00D44064" w:rsidRDefault="007619D7" w:rsidP="00477B98">
      <w:r w:rsidRPr="00D44064">
        <w:t xml:space="preserve">Two studies were submitted in support of the initially proposed paediatric indication however the </w:t>
      </w:r>
      <w:r w:rsidR="00D84A5C" w:rsidRPr="00D44064">
        <w:t xml:space="preserve">clinical evaluation </w:t>
      </w:r>
      <w:r w:rsidRPr="00D44064">
        <w:t xml:space="preserve">did not review these as consideration of this indication was withdrawn by the </w:t>
      </w:r>
      <w:r w:rsidR="00D84A5C" w:rsidRPr="00D44064">
        <w:t>sponsor</w:t>
      </w:r>
      <w:r w:rsidRPr="00D44064">
        <w:t>.</w:t>
      </w:r>
    </w:p>
    <w:p w14:paraId="512F1735" w14:textId="65892F0C" w:rsidR="007619D7" w:rsidRPr="00D44064" w:rsidRDefault="007619D7" w:rsidP="007619D7">
      <w:pPr>
        <w:pStyle w:val="Heading4"/>
      </w:pPr>
      <w:r w:rsidRPr="00D44064">
        <w:t>Pharmacology</w:t>
      </w:r>
    </w:p>
    <w:p w14:paraId="5ADEDCB7" w14:textId="0F9D72B4" w:rsidR="007619D7" w:rsidRPr="00D44064" w:rsidRDefault="00D84A5C" w:rsidP="00750E41">
      <w:pPr>
        <w:pStyle w:val="TableTitle"/>
      </w:pPr>
      <w:r w:rsidRPr="00D44064">
        <w:t xml:space="preserve">Table </w:t>
      </w:r>
      <w:fldSimple w:instr=" SEQ Table \* ARABIC ">
        <w:r w:rsidR="00A464E8">
          <w:rPr>
            <w:noProof/>
          </w:rPr>
          <w:t>3</w:t>
        </w:r>
      </w:fldSimple>
      <w:r w:rsidR="007619D7" w:rsidRPr="00D44064">
        <w:t>: Pharmacokinetic studies included for evaluation</w:t>
      </w:r>
    </w:p>
    <w:tbl>
      <w:tblPr>
        <w:tblStyle w:val="TableTGAblue"/>
        <w:tblW w:w="8212" w:type="dxa"/>
        <w:tblLayout w:type="fixed"/>
        <w:tblLook w:val="04A0" w:firstRow="1" w:lastRow="0" w:firstColumn="1" w:lastColumn="0" w:noHBand="0" w:noVBand="1"/>
      </w:tblPr>
      <w:tblGrid>
        <w:gridCol w:w="1266"/>
        <w:gridCol w:w="1134"/>
        <w:gridCol w:w="1559"/>
        <w:gridCol w:w="4253"/>
      </w:tblGrid>
      <w:tr w:rsidR="00D84A5C" w:rsidRPr="00D44064" w14:paraId="23881634" w14:textId="77777777" w:rsidTr="00D84A5C">
        <w:trPr>
          <w:cnfStyle w:val="100000000000" w:firstRow="1" w:lastRow="0" w:firstColumn="0" w:lastColumn="0" w:oddVBand="0" w:evenVBand="0" w:oddHBand="0" w:evenHBand="0" w:firstRowFirstColumn="0" w:firstRowLastColumn="0" w:lastRowFirstColumn="0" w:lastRowLastColumn="0"/>
        </w:trPr>
        <w:tc>
          <w:tcPr>
            <w:tcW w:w="1266" w:type="dxa"/>
          </w:tcPr>
          <w:p w14:paraId="169A2951" w14:textId="77777777" w:rsidR="00D84A5C" w:rsidRPr="00D44064" w:rsidRDefault="00D84A5C" w:rsidP="00A712A7">
            <w:pPr>
              <w:pStyle w:val="Tabletext"/>
              <w:ind w:left="0" w:right="0"/>
            </w:pPr>
            <w:r w:rsidRPr="00D44064">
              <w:t>PK topic</w:t>
            </w:r>
          </w:p>
        </w:tc>
        <w:tc>
          <w:tcPr>
            <w:tcW w:w="1134" w:type="dxa"/>
          </w:tcPr>
          <w:p w14:paraId="332FD2D5" w14:textId="77777777" w:rsidR="00D84A5C" w:rsidRPr="00D44064" w:rsidRDefault="00D84A5C" w:rsidP="00A712A7">
            <w:pPr>
              <w:pStyle w:val="Tabletext"/>
              <w:ind w:left="0" w:right="0"/>
            </w:pPr>
            <w:r w:rsidRPr="00D44064">
              <w:t>Subtopic</w:t>
            </w:r>
          </w:p>
        </w:tc>
        <w:tc>
          <w:tcPr>
            <w:tcW w:w="1559" w:type="dxa"/>
          </w:tcPr>
          <w:p w14:paraId="4CB7F704" w14:textId="77777777" w:rsidR="00D84A5C" w:rsidRPr="00D44064" w:rsidRDefault="00D84A5C" w:rsidP="00A712A7">
            <w:pPr>
              <w:pStyle w:val="Tabletext"/>
              <w:ind w:left="0" w:right="0"/>
            </w:pPr>
            <w:r w:rsidRPr="00D44064">
              <w:t>Study ID</w:t>
            </w:r>
          </w:p>
        </w:tc>
        <w:tc>
          <w:tcPr>
            <w:tcW w:w="4253" w:type="dxa"/>
          </w:tcPr>
          <w:p w14:paraId="488C32CA" w14:textId="722011B2" w:rsidR="00D84A5C" w:rsidRPr="00D44064" w:rsidRDefault="00FD0302" w:rsidP="00A712A7">
            <w:pPr>
              <w:pStyle w:val="Tabletext"/>
              <w:ind w:left="0" w:right="0"/>
            </w:pPr>
            <w:r w:rsidRPr="00D44064">
              <w:t>Study description</w:t>
            </w:r>
            <w:r w:rsidR="00D84A5C" w:rsidRPr="00D44064">
              <w:t>*</w:t>
            </w:r>
          </w:p>
        </w:tc>
      </w:tr>
      <w:tr w:rsidR="00D84A5C" w:rsidRPr="00D44064" w14:paraId="381EE555" w14:textId="77777777" w:rsidTr="00D84A5C">
        <w:tc>
          <w:tcPr>
            <w:tcW w:w="1266" w:type="dxa"/>
            <w:vMerge w:val="restart"/>
          </w:tcPr>
          <w:p w14:paraId="36C8873B" w14:textId="09104A46" w:rsidR="00D84A5C" w:rsidRPr="00D44064" w:rsidRDefault="00D84A5C" w:rsidP="00A712A7">
            <w:pPr>
              <w:pStyle w:val="Tabletext"/>
              <w:ind w:left="0" w:right="0"/>
            </w:pPr>
            <w:r w:rsidRPr="00D44064">
              <w:t xml:space="preserve">PK in the </w:t>
            </w:r>
            <w:r w:rsidR="00FD0302" w:rsidRPr="00D44064">
              <w:t>target population</w:t>
            </w:r>
            <w:r w:rsidRPr="00D44064">
              <w:t>§</w:t>
            </w:r>
          </w:p>
        </w:tc>
        <w:tc>
          <w:tcPr>
            <w:tcW w:w="1134" w:type="dxa"/>
            <w:vMerge w:val="restart"/>
          </w:tcPr>
          <w:p w14:paraId="45F8C111" w14:textId="77777777" w:rsidR="00D84A5C" w:rsidRPr="00D44064" w:rsidRDefault="00D84A5C" w:rsidP="00A712A7">
            <w:pPr>
              <w:pStyle w:val="Tabletext"/>
              <w:ind w:left="0" w:right="0"/>
            </w:pPr>
            <w:r w:rsidRPr="00D44064">
              <w:t>General PKs</w:t>
            </w:r>
          </w:p>
        </w:tc>
        <w:tc>
          <w:tcPr>
            <w:tcW w:w="1559" w:type="dxa"/>
          </w:tcPr>
          <w:p w14:paraId="731392D2" w14:textId="77777777" w:rsidR="00D84A5C" w:rsidRPr="00D44064" w:rsidRDefault="00D84A5C" w:rsidP="00A712A7">
            <w:pPr>
              <w:pStyle w:val="Tabletext"/>
              <w:ind w:left="0" w:right="0"/>
            </w:pPr>
            <w:r w:rsidRPr="00D44064">
              <w:t>CLTR0305-101</w:t>
            </w:r>
          </w:p>
        </w:tc>
        <w:tc>
          <w:tcPr>
            <w:tcW w:w="4253" w:type="dxa"/>
          </w:tcPr>
          <w:p w14:paraId="50F486D6" w14:textId="4874BF6D" w:rsidR="00D84A5C" w:rsidRPr="00D44064" w:rsidRDefault="00D84A5C" w:rsidP="00A712A7">
            <w:pPr>
              <w:pStyle w:val="Tabletext"/>
              <w:ind w:left="0" w:right="0"/>
            </w:pPr>
            <w:r w:rsidRPr="00D44064">
              <w:t>Phase I; identification of the recommended Phase II dose of CPX-351 that can be given to subjects with advanced haematologic malignancies</w:t>
            </w:r>
          </w:p>
        </w:tc>
      </w:tr>
      <w:tr w:rsidR="00D84A5C" w:rsidRPr="00D44064" w14:paraId="041E2CA1" w14:textId="77777777" w:rsidTr="00D84A5C">
        <w:tc>
          <w:tcPr>
            <w:tcW w:w="1266" w:type="dxa"/>
            <w:vMerge/>
          </w:tcPr>
          <w:p w14:paraId="1450CDB7" w14:textId="77777777" w:rsidR="00D84A5C" w:rsidRPr="00D44064" w:rsidRDefault="00D84A5C" w:rsidP="00A712A7">
            <w:pPr>
              <w:pStyle w:val="Tabletext"/>
              <w:ind w:left="0" w:right="0"/>
            </w:pPr>
          </w:p>
        </w:tc>
        <w:tc>
          <w:tcPr>
            <w:tcW w:w="1134" w:type="dxa"/>
            <w:vMerge/>
          </w:tcPr>
          <w:p w14:paraId="7AF0A52B" w14:textId="77777777" w:rsidR="00D84A5C" w:rsidRPr="00D44064" w:rsidRDefault="00D84A5C" w:rsidP="00A712A7">
            <w:pPr>
              <w:pStyle w:val="Tabletext"/>
              <w:ind w:left="0" w:right="0"/>
            </w:pPr>
          </w:p>
        </w:tc>
        <w:tc>
          <w:tcPr>
            <w:tcW w:w="1559" w:type="dxa"/>
          </w:tcPr>
          <w:p w14:paraId="7CFD4B98" w14:textId="77777777" w:rsidR="00D84A5C" w:rsidRPr="00D44064" w:rsidRDefault="00D84A5C" w:rsidP="00A712A7">
            <w:pPr>
              <w:pStyle w:val="Tabletext"/>
              <w:ind w:left="0" w:right="0"/>
            </w:pPr>
            <w:r w:rsidRPr="00D44064">
              <w:t>CTLR0310-206</w:t>
            </w:r>
          </w:p>
        </w:tc>
        <w:tc>
          <w:tcPr>
            <w:tcW w:w="4253" w:type="dxa"/>
          </w:tcPr>
          <w:p w14:paraId="1C49F27E" w14:textId="5F80FFA3" w:rsidR="00D84A5C" w:rsidRPr="00D44064" w:rsidRDefault="00D84A5C" w:rsidP="00A712A7">
            <w:pPr>
              <w:pStyle w:val="Tabletext"/>
              <w:ind w:left="0" w:right="0"/>
            </w:pPr>
            <w:r w:rsidRPr="00D44064">
              <w:t>Phase II; PK and PD assessment of the potential for QTc</w:t>
            </w:r>
            <w:r w:rsidR="00825E68" w:rsidRPr="00D44064">
              <w:t>;</w:t>
            </w:r>
            <w:r w:rsidR="00825E68" w:rsidRPr="00D44064">
              <w:rPr>
                <w:rStyle w:val="FootnoteReference"/>
              </w:rPr>
              <w:footnoteReference w:id="12"/>
            </w:r>
            <w:r w:rsidRPr="00D44064">
              <w:t xml:space="preserve"> prolongation following first induction treatment with Vyxeos liposome injection in acute leukaemia and </w:t>
            </w:r>
            <w:r w:rsidR="00F04958" w:rsidRPr="00D44064">
              <w:t xml:space="preserve">myelodysplastic syndrome </w:t>
            </w:r>
            <w:r w:rsidRPr="00D44064">
              <w:t>patients</w:t>
            </w:r>
          </w:p>
        </w:tc>
      </w:tr>
      <w:tr w:rsidR="00D84A5C" w:rsidRPr="00D44064" w14:paraId="7818E36E" w14:textId="77777777" w:rsidTr="00D84A5C">
        <w:tc>
          <w:tcPr>
            <w:tcW w:w="1266" w:type="dxa"/>
          </w:tcPr>
          <w:p w14:paraId="14A2CFAB" w14:textId="77777777" w:rsidR="00D84A5C" w:rsidRPr="00D44064" w:rsidRDefault="00D84A5C" w:rsidP="00A712A7">
            <w:pPr>
              <w:pStyle w:val="Tabletext"/>
              <w:ind w:left="0" w:right="0"/>
            </w:pPr>
            <w:r w:rsidRPr="00D44064">
              <w:t>PK in special populations</w:t>
            </w:r>
          </w:p>
        </w:tc>
        <w:tc>
          <w:tcPr>
            <w:tcW w:w="1134" w:type="dxa"/>
          </w:tcPr>
          <w:p w14:paraId="450588EB" w14:textId="77777777" w:rsidR="00D84A5C" w:rsidRPr="00D44064" w:rsidRDefault="00D84A5C" w:rsidP="00A712A7">
            <w:pPr>
              <w:pStyle w:val="Tabletext"/>
              <w:ind w:left="0" w:right="0"/>
            </w:pPr>
            <w:r w:rsidRPr="00D44064">
              <w:t>Older patients</w:t>
            </w:r>
          </w:p>
        </w:tc>
        <w:tc>
          <w:tcPr>
            <w:tcW w:w="1559" w:type="dxa"/>
          </w:tcPr>
          <w:p w14:paraId="00628940" w14:textId="77777777" w:rsidR="00D84A5C" w:rsidRPr="00D44064" w:rsidRDefault="00D84A5C" w:rsidP="00A712A7">
            <w:pPr>
              <w:pStyle w:val="Tabletext"/>
              <w:ind w:left="0" w:right="0"/>
            </w:pPr>
            <w:r w:rsidRPr="00D44064">
              <w:t>CLTR0310-301</w:t>
            </w:r>
          </w:p>
        </w:tc>
        <w:tc>
          <w:tcPr>
            <w:tcW w:w="4253" w:type="dxa"/>
          </w:tcPr>
          <w:p w14:paraId="5F38029D" w14:textId="1DF74EA7" w:rsidR="00D84A5C" w:rsidRPr="00D44064" w:rsidRDefault="00D84A5C" w:rsidP="00A712A7">
            <w:pPr>
              <w:pStyle w:val="Tabletext"/>
              <w:ind w:left="0" w:right="0"/>
            </w:pPr>
            <w:r w:rsidRPr="00D44064">
              <w:t xml:space="preserve">Phase III; Vyxeos liposome injection versus cytarabine and daunorubicin in patients 60 to 75 years of age with untreated high risk (secondary) </w:t>
            </w:r>
            <w:r w:rsidR="00F04958" w:rsidRPr="00D44064">
              <w:t>acute myeloid leukemia</w:t>
            </w:r>
          </w:p>
        </w:tc>
      </w:tr>
      <w:tr w:rsidR="00D84A5C" w:rsidRPr="00D44064" w14:paraId="397935FF" w14:textId="77777777" w:rsidTr="00D84A5C">
        <w:tc>
          <w:tcPr>
            <w:tcW w:w="1266" w:type="dxa"/>
          </w:tcPr>
          <w:p w14:paraId="6DD9EDEB" w14:textId="4D0911ED" w:rsidR="00D84A5C" w:rsidRPr="00D44064" w:rsidRDefault="00D84A5C" w:rsidP="00A712A7">
            <w:pPr>
              <w:pStyle w:val="Tabletext"/>
              <w:ind w:left="0" w:right="0"/>
            </w:pPr>
            <w:r w:rsidRPr="00D44064">
              <w:t>PopPK analyses</w:t>
            </w:r>
          </w:p>
        </w:tc>
        <w:tc>
          <w:tcPr>
            <w:tcW w:w="1134" w:type="dxa"/>
          </w:tcPr>
          <w:p w14:paraId="5C8943FC" w14:textId="77777777" w:rsidR="00D84A5C" w:rsidRPr="00D44064" w:rsidRDefault="00D84A5C" w:rsidP="00A712A7">
            <w:pPr>
              <w:pStyle w:val="Tabletext"/>
              <w:ind w:left="0" w:right="0"/>
            </w:pPr>
            <w:r w:rsidRPr="00D44064">
              <w:t>Target population</w:t>
            </w:r>
          </w:p>
        </w:tc>
        <w:tc>
          <w:tcPr>
            <w:tcW w:w="1559" w:type="dxa"/>
          </w:tcPr>
          <w:p w14:paraId="1901FEE1" w14:textId="5976F551" w:rsidR="00D84A5C" w:rsidRPr="00D44064" w:rsidRDefault="00D84A5C" w:rsidP="00A712A7">
            <w:pPr>
              <w:pStyle w:val="Tabletext"/>
              <w:ind w:left="0" w:right="0"/>
            </w:pPr>
            <w:r w:rsidRPr="00D44064">
              <w:t>PopPK analysis</w:t>
            </w:r>
          </w:p>
        </w:tc>
        <w:tc>
          <w:tcPr>
            <w:tcW w:w="4253" w:type="dxa"/>
          </w:tcPr>
          <w:p w14:paraId="7C9BB987" w14:textId="0473501C" w:rsidR="00D84A5C" w:rsidRPr="00D44064" w:rsidRDefault="00D84A5C" w:rsidP="00A712A7">
            <w:pPr>
              <w:pStyle w:val="Tabletext"/>
              <w:ind w:left="0" w:right="0"/>
            </w:pPr>
            <w:r w:rsidRPr="00D44064">
              <w:t>PopPK analysis of cytarabine and daunorubicin following administration of Vyxeos to adult subjects with acute leukaemia or myelodysplastic syndrome</w:t>
            </w:r>
          </w:p>
        </w:tc>
      </w:tr>
    </w:tbl>
    <w:p w14:paraId="6D19E968" w14:textId="20796824" w:rsidR="00F04958" w:rsidRPr="00D44064" w:rsidRDefault="00F04958" w:rsidP="00750E41">
      <w:pPr>
        <w:pStyle w:val="TableDescription"/>
      </w:pPr>
      <w:r w:rsidRPr="00D44064">
        <w:t xml:space="preserve">Abbreviations: </w:t>
      </w:r>
      <w:r w:rsidR="00FD0302" w:rsidRPr="00D44064">
        <w:t xml:space="preserve">CPX-351 = sponsor’s drug development code of Vyxeos; </w:t>
      </w:r>
      <w:r w:rsidRPr="00D44064">
        <w:t>PD = pharmacodynamic, PK</w:t>
      </w:r>
      <w:r w:rsidR="00006CDC" w:rsidRPr="00D44064">
        <w:t> </w:t>
      </w:r>
      <w:r w:rsidRPr="00D44064">
        <w:t>=</w:t>
      </w:r>
      <w:r w:rsidR="00006CDC" w:rsidRPr="00D44064">
        <w:t> </w:t>
      </w:r>
      <w:r w:rsidRPr="00D44064">
        <w:t>pharmacokinetic, Pop</w:t>
      </w:r>
      <w:r w:rsidR="00FD0302" w:rsidRPr="00D44064">
        <w:t>PK = population pharmacokinetic; QTc = corrected QT interval.</w:t>
      </w:r>
    </w:p>
    <w:p w14:paraId="10C4AF4F" w14:textId="77777777" w:rsidR="00FD0302" w:rsidRPr="00D44064" w:rsidRDefault="00FD0302" w:rsidP="00750E41">
      <w:pPr>
        <w:pStyle w:val="TableDescription"/>
      </w:pPr>
      <w:r w:rsidRPr="00D44064">
        <w:t>* Indicates the primary PK aim of the study.</w:t>
      </w:r>
    </w:p>
    <w:p w14:paraId="2C173122" w14:textId="134EC27A" w:rsidR="00FD0302" w:rsidRPr="00D44064" w:rsidRDefault="00FD0302" w:rsidP="00750E41">
      <w:pPr>
        <w:pStyle w:val="TableDescription"/>
      </w:pPr>
      <w:r w:rsidRPr="00D44064">
        <w:t>§ Subjects who would be eligible to receive the drug if approved for the proposed indication.</w:t>
      </w:r>
    </w:p>
    <w:p w14:paraId="107A26A0" w14:textId="65C009F8" w:rsidR="00006CDC" w:rsidRPr="00D44064" w:rsidRDefault="007619D7" w:rsidP="007619D7">
      <w:r w:rsidRPr="00D44064">
        <w:t xml:space="preserve">The </w:t>
      </w:r>
      <w:r w:rsidR="00D84A5C" w:rsidRPr="00D44064">
        <w:t xml:space="preserve">clinical evaluation </w:t>
      </w:r>
      <w:r w:rsidRPr="00D44064">
        <w:t>has reviewed the pharmacokinetics of Vyxeos.</w:t>
      </w:r>
      <w:r w:rsidR="00D84A5C" w:rsidRPr="00D44064">
        <w:t xml:space="preserve"> </w:t>
      </w:r>
      <w:r w:rsidRPr="00D44064">
        <w:t xml:space="preserve">Briefly, Vyxeos injection had a </w:t>
      </w:r>
      <w:r w:rsidR="00825E68" w:rsidRPr="00D44064">
        <w:t>t</w:t>
      </w:r>
      <w:r w:rsidR="00B27944" w:rsidRPr="00D44064">
        <w:t>ime at maximum concentration</w:t>
      </w:r>
      <w:r w:rsidRPr="00D44064">
        <w:t xml:space="preserve"> of 2 hours, which is shortly after the end of the 90</w:t>
      </w:r>
      <w:r w:rsidR="00376362" w:rsidRPr="00D44064">
        <w:t>-</w:t>
      </w:r>
      <w:r w:rsidRPr="00D44064">
        <w:t xml:space="preserve">minute infusion. The </w:t>
      </w:r>
      <w:r w:rsidR="00825E68" w:rsidRPr="00D44064">
        <w:t>volume of distribution</w:t>
      </w:r>
      <w:r w:rsidRPr="00D44064">
        <w:t xml:space="preserve"> of Vyxeos was 6.64</w:t>
      </w:r>
      <w:r w:rsidR="00D84A5C" w:rsidRPr="00D44064">
        <w:t xml:space="preserve"> </w:t>
      </w:r>
      <w:r w:rsidRPr="00D44064">
        <w:t xml:space="preserve">L for </w:t>
      </w:r>
      <w:r w:rsidR="00A712A7" w:rsidRPr="00D44064">
        <w:t>daunorubicin</w:t>
      </w:r>
      <w:r w:rsidRPr="00D44064">
        <w:t xml:space="preserve"> and 7.11</w:t>
      </w:r>
      <w:r w:rsidR="00D84A5C" w:rsidRPr="00D44064">
        <w:t xml:space="preserve"> </w:t>
      </w:r>
      <w:r w:rsidRPr="00D44064">
        <w:t xml:space="preserve">L for </w:t>
      </w:r>
      <w:r w:rsidR="00A712A7" w:rsidRPr="00D44064">
        <w:t>cytarabine</w:t>
      </w:r>
      <w:r w:rsidRPr="00D44064">
        <w:t xml:space="preserve"> respectively. The </w:t>
      </w:r>
      <w:r w:rsidR="00825E68" w:rsidRPr="00D44064">
        <w:t xml:space="preserve">volume of distribution </w:t>
      </w:r>
      <w:r w:rsidRPr="00D44064">
        <w:t xml:space="preserve">of Vyxeos was much </w:t>
      </w:r>
      <w:r w:rsidRPr="00D44064">
        <w:lastRenderedPageBreak/>
        <w:t>lower than published values for non</w:t>
      </w:r>
      <w:r w:rsidR="00C275B4" w:rsidRPr="00D44064">
        <w:noBreakHyphen/>
      </w:r>
      <w:r w:rsidRPr="00D44064">
        <w:t xml:space="preserve">liposomal </w:t>
      </w:r>
      <w:r w:rsidR="00A712A7" w:rsidRPr="00D44064">
        <w:t>daunorubicin</w:t>
      </w:r>
      <w:r w:rsidRPr="00D44064">
        <w:t xml:space="preserve"> (1360</w:t>
      </w:r>
      <w:r w:rsidR="00D84A5C" w:rsidRPr="00D44064">
        <w:t> </w:t>
      </w:r>
      <w:r w:rsidRPr="00D44064">
        <w:t xml:space="preserve">L) and </w:t>
      </w:r>
      <w:r w:rsidR="00A712A7" w:rsidRPr="00D44064">
        <w:t>cytarabine</w:t>
      </w:r>
      <w:r w:rsidRPr="00D44064">
        <w:t xml:space="preserve"> (140</w:t>
      </w:r>
      <w:r w:rsidR="00D84A5C" w:rsidRPr="00D44064">
        <w:t> </w:t>
      </w:r>
      <w:r w:rsidRPr="00D44064">
        <w:t>L) respectively.</w:t>
      </w:r>
    </w:p>
    <w:p w14:paraId="1E842B39" w14:textId="406BDFC4" w:rsidR="007619D7" w:rsidRPr="00D44064" w:rsidRDefault="00D84A5C" w:rsidP="00750E41">
      <w:pPr>
        <w:pStyle w:val="TableTitle"/>
      </w:pPr>
      <w:r w:rsidRPr="00D44064">
        <w:t xml:space="preserve">Table </w:t>
      </w:r>
      <w:fldSimple w:instr=" SEQ Table \* ARABIC ">
        <w:r w:rsidR="00A464E8">
          <w:rPr>
            <w:noProof/>
          </w:rPr>
          <w:t>4</w:t>
        </w:r>
      </w:fldSimple>
      <w:r w:rsidR="007619D7" w:rsidRPr="00D44064">
        <w:t xml:space="preserve">: </w:t>
      </w:r>
      <w:r w:rsidR="00F04958" w:rsidRPr="00D44064">
        <w:t xml:space="preserve">Study CTLR0310-206 </w:t>
      </w:r>
      <w:r w:rsidR="007619D7" w:rsidRPr="00D44064">
        <w:t xml:space="preserve">Summary comparison on </w:t>
      </w:r>
      <w:r w:rsidR="00B85E15" w:rsidRPr="00D44064">
        <w:t xml:space="preserve">pharmacokinetic </w:t>
      </w:r>
      <w:r w:rsidR="007619D7" w:rsidRPr="00D44064">
        <w:t xml:space="preserve">parameters for </w:t>
      </w:r>
      <w:r w:rsidR="00A712A7" w:rsidRPr="00D44064">
        <w:t>daunorubicin</w:t>
      </w:r>
      <w:r w:rsidR="007619D7" w:rsidRPr="00D44064">
        <w:t xml:space="preserve"> and </w:t>
      </w:r>
      <w:r w:rsidR="00A712A7" w:rsidRPr="00D44064">
        <w:t>cytarabine</w:t>
      </w:r>
      <w:r w:rsidR="007619D7" w:rsidRPr="00D44064">
        <w:t xml:space="preserve"> when administered as Vyxeos or as non</w:t>
      </w:r>
      <w:r w:rsidR="00C275B4" w:rsidRPr="00D44064">
        <w:noBreakHyphen/>
      </w:r>
      <w:r w:rsidR="007619D7" w:rsidRPr="00D44064">
        <w:t>liposomal formulations</w:t>
      </w:r>
    </w:p>
    <w:p w14:paraId="33BBD5B0" w14:textId="6B7A110C" w:rsidR="00B85E15" w:rsidRPr="00D44064" w:rsidRDefault="00B85E15" w:rsidP="00750E41">
      <w:r w:rsidRPr="00D44064">
        <w:rPr>
          <w:noProof/>
          <w:lang w:val="en-GB" w:eastAsia="en-GB"/>
        </w:rPr>
        <w:drawing>
          <wp:inline distT="0" distB="0" distL="0" distR="0" wp14:anchorId="0E61633E" wp14:editId="2A3D7B8D">
            <wp:extent cx="5312228" cy="1161376"/>
            <wp:effectExtent l="0" t="0" r="3175" b="1270"/>
            <wp:docPr id="6" name="Picture 6" descr="Table 4: Study CTLR0310-206 Summary comparison on pharmacokinetic parameters for daunorubicin and cytarabine when administered as Vyxeos or as non-liposomal form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4: Study CTLR0310-206 Summary comparison on pharmacokinetic parameters for daunorubicin and cytarabine when administered as Vyxeos or as non-liposomal formulations"/>
                    <pic:cNvPicPr/>
                  </pic:nvPicPr>
                  <pic:blipFill>
                    <a:blip r:embed="rId17"/>
                    <a:stretch>
                      <a:fillRect/>
                    </a:stretch>
                  </pic:blipFill>
                  <pic:spPr>
                    <a:xfrm>
                      <a:off x="0" y="0"/>
                      <a:ext cx="5326236" cy="1164439"/>
                    </a:xfrm>
                    <a:prstGeom prst="rect">
                      <a:avLst/>
                    </a:prstGeom>
                  </pic:spPr>
                </pic:pic>
              </a:graphicData>
            </a:graphic>
          </wp:inline>
        </w:drawing>
      </w:r>
    </w:p>
    <w:p w14:paraId="6E75FFC7" w14:textId="34A7DD2A" w:rsidR="00B85E15" w:rsidRPr="00D44064" w:rsidRDefault="00B85E15" w:rsidP="00750E41">
      <w:pPr>
        <w:pStyle w:val="TableDescription"/>
      </w:pPr>
      <w:r w:rsidRPr="00D44064">
        <w:t xml:space="preserve">Abbreviations: CL = clearance; </w:t>
      </w:r>
      <w:r w:rsidR="00FD0302" w:rsidRPr="00D44064">
        <w:t xml:space="preserve">CPX-351 = sponsor’s drug development code of Vyxeos; </w:t>
      </w:r>
      <w:r w:rsidRPr="00D44064">
        <w:t>PK = pharmacokinetic; t</w:t>
      </w:r>
      <w:r w:rsidRPr="00D44064">
        <w:rPr>
          <w:vertAlign w:val="subscript"/>
        </w:rPr>
        <w:t>½</w:t>
      </w:r>
      <w:r w:rsidRPr="00D44064">
        <w:t xml:space="preserve"> = terminal half-life; V = volume of distribution.</w:t>
      </w:r>
    </w:p>
    <w:p w14:paraId="3FE27366" w14:textId="5FDB723A" w:rsidR="00B85E15" w:rsidRPr="00D44064" w:rsidRDefault="00B85E15" w:rsidP="00530C91">
      <w:pPr>
        <w:pStyle w:val="TableDescription"/>
      </w:pPr>
      <w:r w:rsidRPr="00D44064">
        <w:t xml:space="preserve">a </w:t>
      </w:r>
      <w:bookmarkStart w:id="41" w:name="_Hlk113650850"/>
      <w:r w:rsidR="00E422F7" w:rsidRPr="00D44064">
        <w:t xml:space="preserve">From </w:t>
      </w:r>
      <w:r w:rsidRPr="00D44064">
        <w:t>Krogh</w:t>
      </w:r>
      <w:bookmarkEnd w:id="41"/>
      <w:r w:rsidRPr="00D44064">
        <w:t>-Madsen</w:t>
      </w:r>
      <w:r w:rsidR="00530C91" w:rsidRPr="00D44064">
        <w:t xml:space="preserve"> et al (</w:t>
      </w:r>
      <w:r w:rsidRPr="00D44064">
        <w:t>2012</w:t>
      </w:r>
      <w:r w:rsidR="00530C91" w:rsidRPr="00D44064">
        <w:t>)</w:t>
      </w:r>
      <w:r w:rsidR="00530C91" w:rsidRPr="00D44064">
        <w:rPr>
          <w:rStyle w:val="FootnoteReference"/>
        </w:rPr>
        <w:footnoteReference w:id="13"/>
      </w:r>
    </w:p>
    <w:p w14:paraId="00EF00DA" w14:textId="3F60C081" w:rsidR="00530C91" w:rsidRPr="00D44064" w:rsidRDefault="00B85E15" w:rsidP="00530C91">
      <w:pPr>
        <w:pStyle w:val="TableDescription"/>
      </w:pPr>
      <w:r w:rsidRPr="00D44064">
        <w:t xml:space="preserve">b </w:t>
      </w:r>
      <w:proofErr w:type="gramStart"/>
      <w:r w:rsidR="00E422F7" w:rsidRPr="00D44064">
        <w:t>From</w:t>
      </w:r>
      <w:proofErr w:type="gramEnd"/>
      <w:r w:rsidR="00E422F7" w:rsidRPr="00D44064">
        <w:t xml:space="preserve"> </w:t>
      </w:r>
      <w:r w:rsidR="00214AA9" w:rsidRPr="00D44064">
        <w:t xml:space="preserve">overseas </w:t>
      </w:r>
      <w:r w:rsidR="00530C91" w:rsidRPr="00D44064">
        <w:t xml:space="preserve">Product Labels </w:t>
      </w:r>
      <w:r w:rsidR="004D0F19" w:rsidRPr="00D44064">
        <w:t xml:space="preserve">for cytarabine </w:t>
      </w:r>
      <w:r w:rsidR="00530C91" w:rsidRPr="00D44064">
        <w:t>(2017a),</w:t>
      </w:r>
      <w:r w:rsidR="00530C91" w:rsidRPr="00D44064">
        <w:rPr>
          <w:rStyle w:val="FootnoteReference"/>
        </w:rPr>
        <w:footnoteReference w:id="14"/>
      </w:r>
      <w:r w:rsidR="00530C91" w:rsidRPr="00D44064">
        <w:t xml:space="preserve"> (2017b),</w:t>
      </w:r>
      <w:r w:rsidR="00530C91" w:rsidRPr="00D44064">
        <w:rPr>
          <w:rStyle w:val="FootnoteReference"/>
        </w:rPr>
        <w:footnoteReference w:id="15"/>
      </w:r>
      <w:r w:rsidR="00530C91" w:rsidRPr="00D44064">
        <w:t xml:space="preserve"> (2018);</w:t>
      </w:r>
      <w:r w:rsidR="00530C91" w:rsidRPr="00D44064">
        <w:rPr>
          <w:rStyle w:val="FootnoteReference"/>
        </w:rPr>
        <w:footnoteReference w:id="16"/>
      </w:r>
      <w:r w:rsidR="00530C91" w:rsidRPr="00D44064">
        <w:t xml:space="preserve"> </w:t>
      </w:r>
      <w:proofErr w:type="spellStart"/>
      <w:r w:rsidR="00530C91" w:rsidRPr="00D44064">
        <w:t>DrugBank</w:t>
      </w:r>
      <w:proofErr w:type="spellEnd"/>
      <w:r w:rsidR="00530C91" w:rsidRPr="00D44064">
        <w:t xml:space="preserve"> </w:t>
      </w:r>
      <w:r w:rsidR="004D0F19" w:rsidRPr="00D44064">
        <w:t xml:space="preserve">for daunorubicin </w:t>
      </w:r>
      <w:r w:rsidR="00530C91" w:rsidRPr="00D44064">
        <w:t>(2020)</w:t>
      </w:r>
      <w:r w:rsidR="00530C91" w:rsidRPr="00D44064">
        <w:rPr>
          <w:rStyle w:val="FootnoteReference"/>
        </w:rPr>
        <w:footnoteReference w:id="17"/>
      </w:r>
    </w:p>
    <w:p w14:paraId="4471DB85" w14:textId="7F24C001" w:rsidR="00B85E15" w:rsidRPr="00D44064" w:rsidRDefault="00B85E15" w:rsidP="00530C91">
      <w:pPr>
        <w:pStyle w:val="TableDescription"/>
      </w:pPr>
      <w:r w:rsidRPr="00D44064">
        <w:t xml:space="preserve">c </w:t>
      </w:r>
      <w:proofErr w:type="gramStart"/>
      <w:r w:rsidR="00E422F7" w:rsidRPr="00D44064">
        <w:t>From</w:t>
      </w:r>
      <w:proofErr w:type="gramEnd"/>
      <w:r w:rsidR="00E422F7" w:rsidRPr="00D44064">
        <w:t xml:space="preserve"> </w:t>
      </w:r>
      <w:r w:rsidR="00214AA9" w:rsidRPr="00D44064">
        <w:t xml:space="preserve">overseas </w:t>
      </w:r>
      <w:r w:rsidRPr="00D44064">
        <w:t xml:space="preserve">Product Labels </w:t>
      </w:r>
      <w:r w:rsidR="004D0F19" w:rsidRPr="00D44064">
        <w:t xml:space="preserve">for daunorubicin </w:t>
      </w:r>
      <w:r w:rsidR="00E422F7" w:rsidRPr="00D44064">
        <w:t>(</w:t>
      </w:r>
      <w:r w:rsidRPr="00D44064">
        <w:t>2012</w:t>
      </w:r>
      <w:r w:rsidR="00E422F7" w:rsidRPr="00D44064">
        <w:t>)</w:t>
      </w:r>
      <w:r w:rsidRPr="00D44064">
        <w:t>,</w:t>
      </w:r>
      <w:r w:rsidR="00E422F7" w:rsidRPr="00D44064">
        <w:rPr>
          <w:rStyle w:val="FootnoteReference"/>
        </w:rPr>
        <w:footnoteReference w:id="18"/>
      </w:r>
      <w:r w:rsidRPr="00D44064">
        <w:t xml:space="preserve"> </w:t>
      </w:r>
      <w:r w:rsidR="00E422F7" w:rsidRPr="00D44064">
        <w:t>(</w:t>
      </w:r>
      <w:r w:rsidRPr="00D44064">
        <w:t>2016</w:t>
      </w:r>
      <w:r w:rsidR="00E422F7" w:rsidRPr="00D44064">
        <w:t>)</w:t>
      </w:r>
      <w:r w:rsidR="00E422F7" w:rsidRPr="00D44064">
        <w:rPr>
          <w:rStyle w:val="FootnoteReference"/>
        </w:rPr>
        <w:footnoteReference w:id="19"/>
      </w:r>
    </w:p>
    <w:p w14:paraId="24837F56" w14:textId="001C90A4" w:rsidR="007619D7" w:rsidRPr="00D44064" w:rsidRDefault="00B85E15" w:rsidP="00530C91">
      <w:pPr>
        <w:pStyle w:val="TableDescription"/>
      </w:pPr>
      <w:r w:rsidRPr="00D44064">
        <w:t>Values reported are means.</w:t>
      </w:r>
    </w:p>
    <w:p w14:paraId="77838992" w14:textId="7F00BC83" w:rsidR="007619D7" w:rsidRPr="00D44064" w:rsidRDefault="00B85E15" w:rsidP="00750E41">
      <w:pPr>
        <w:pStyle w:val="FigureTitle"/>
      </w:pPr>
      <w:r w:rsidRPr="00D44064">
        <w:lastRenderedPageBreak/>
        <w:t xml:space="preserve">Figure </w:t>
      </w:r>
      <w:fldSimple w:instr=" SEQ Figure \* ARABIC ">
        <w:r w:rsidR="00A464E8">
          <w:rPr>
            <w:noProof/>
          </w:rPr>
          <w:t>2</w:t>
        </w:r>
      </w:fldSimple>
      <w:r w:rsidRPr="00D44064">
        <w:t>:</w:t>
      </w:r>
      <w:r w:rsidR="007619D7" w:rsidRPr="00D44064">
        <w:t xml:space="preserve"> </w:t>
      </w:r>
      <w:r w:rsidRPr="00D44064">
        <w:t xml:space="preserve">Study CTLR0310-206 </w:t>
      </w:r>
      <w:r w:rsidR="007619D7" w:rsidRPr="00D44064">
        <w:t xml:space="preserve">Mean plasma concentration time curves </w:t>
      </w:r>
      <w:r w:rsidR="0001110F" w:rsidRPr="00D44064">
        <w:t>and exposure parameters f</w:t>
      </w:r>
      <w:r w:rsidR="007619D7" w:rsidRPr="00D44064">
        <w:t xml:space="preserve">or total </w:t>
      </w:r>
      <w:r w:rsidR="00A712A7" w:rsidRPr="00D44064">
        <w:t>cytarabine</w:t>
      </w:r>
      <w:r w:rsidR="007619D7" w:rsidRPr="00D44064">
        <w:t xml:space="preserve"> and </w:t>
      </w:r>
      <w:r w:rsidR="00A712A7" w:rsidRPr="00D44064">
        <w:t>daunorubicin</w:t>
      </w:r>
      <w:r w:rsidR="007619D7" w:rsidRPr="00D44064">
        <w:t xml:space="preserve"> and their major metabolites (</w:t>
      </w:r>
      <w:proofErr w:type="spellStart"/>
      <w:r w:rsidR="00A712A7" w:rsidRPr="00D44064">
        <w:t>daunorubicin</w:t>
      </w:r>
      <w:r w:rsidR="007619D7" w:rsidRPr="00D44064">
        <w:t>ol</w:t>
      </w:r>
      <w:proofErr w:type="spellEnd"/>
      <w:r w:rsidR="007619D7" w:rsidRPr="00D44064">
        <w:t xml:space="preserve"> and </w:t>
      </w:r>
      <w:r w:rsidR="0001110F" w:rsidRPr="00D44064">
        <w:t>β-d-</w:t>
      </w:r>
      <w:proofErr w:type="spellStart"/>
      <w:r w:rsidR="0001110F" w:rsidRPr="00D44064">
        <w:t>arabinofuranosyluracil</w:t>
      </w:r>
      <w:proofErr w:type="spellEnd"/>
      <w:r w:rsidR="007619D7" w:rsidRPr="00D44064">
        <w:t>)</w:t>
      </w:r>
    </w:p>
    <w:p w14:paraId="1299C41B" w14:textId="795501D1" w:rsidR="0001110F" w:rsidRPr="00D44064" w:rsidRDefault="0001110F" w:rsidP="00750E41">
      <w:r w:rsidRPr="00D44064">
        <w:rPr>
          <w:noProof/>
          <w:lang w:val="en-GB" w:eastAsia="en-GB"/>
        </w:rPr>
        <w:drawing>
          <wp:inline distT="0" distB="0" distL="0" distR="0" wp14:anchorId="122A62A3" wp14:editId="0EFE0232">
            <wp:extent cx="5292725" cy="4487636"/>
            <wp:effectExtent l="0" t="0" r="3175" b="8255"/>
            <wp:docPr id="9" name="Picture 9" descr="Figure 2: Study CTLR0310-206 Mean plasma concentration time curves and exposure parameters for total cytarabine and daunorubicin and their major metabolites (daunorubicinol and β-d-arabinofuranosylura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 Study CTLR0310-206 Mean plasma concentration time curves and exposure parameters for total cytarabine and daunorubicin and their major metabolites (daunorubicinol and β-d-arabinofuranosyluracil)"/>
                    <pic:cNvPicPr/>
                  </pic:nvPicPr>
                  <pic:blipFill>
                    <a:blip r:embed="rId18"/>
                    <a:stretch>
                      <a:fillRect/>
                    </a:stretch>
                  </pic:blipFill>
                  <pic:spPr>
                    <a:xfrm>
                      <a:off x="0" y="0"/>
                      <a:ext cx="5298117" cy="4492208"/>
                    </a:xfrm>
                    <a:prstGeom prst="rect">
                      <a:avLst/>
                    </a:prstGeom>
                    <a:ln w="3175">
                      <a:noFill/>
                    </a:ln>
                  </pic:spPr>
                </pic:pic>
              </a:graphicData>
            </a:graphic>
          </wp:inline>
        </w:drawing>
      </w:r>
    </w:p>
    <w:p w14:paraId="0F6B9A62" w14:textId="16C61EFC" w:rsidR="007619D7" w:rsidRPr="00D44064" w:rsidRDefault="0001110F" w:rsidP="001A0786">
      <w:pPr>
        <w:pStyle w:val="FigureDescription"/>
      </w:pPr>
      <w:r w:rsidRPr="00D44064">
        <w:t xml:space="preserve">Abbreviations: </w:t>
      </w:r>
      <w:proofErr w:type="spellStart"/>
      <w:r w:rsidRPr="00D44064">
        <w:t>AraU</w:t>
      </w:r>
      <w:proofErr w:type="spellEnd"/>
      <w:r w:rsidRPr="00D44064">
        <w:t xml:space="preserve"> = </w:t>
      </w:r>
      <w:r w:rsidR="00FD0302" w:rsidRPr="00D44064">
        <w:t>β</w:t>
      </w:r>
      <w:r w:rsidRPr="00D44064">
        <w:t>-d-</w:t>
      </w:r>
      <w:proofErr w:type="spellStart"/>
      <w:r w:rsidRPr="00D44064">
        <w:t>arabinofuranosyluracil</w:t>
      </w:r>
      <w:proofErr w:type="spellEnd"/>
      <w:r w:rsidRPr="00D44064">
        <w:t>; AUC</w:t>
      </w:r>
      <w:r w:rsidRPr="00D44064">
        <w:rPr>
          <w:vertAlign w:val="subscript"/>
        </w:rPr>
        <w:t>48h</w:t>
      </w:r>
      <w:r w:rsidRPr="00D44064">
        <w:t xml:space="preserve"> = </w:t>
      </w:r>
      <w:r w:rsidR="00B27944" w:rsidRPr="00D44064">
        <w:t xml:space="preserve">area under the plasma concentration time curve </w:t>
      </w:r>
      <w:r w:rsidRPr="00D44064">
        <w:t xml:space="preserve">from </w:t>
      </w:r>
      <w:r w:rsidR="001A0786" w:rsidRPr="00D44064">
        <w:t>time zero</w:t>
      </w:r>
      <w:r w:rsidRPr="00D44064">
        <w:t xml:space="preserve"> to 48</w:t>
      </w:r>
      <w:r w:rsidR="001A0786" w:rsidRPr="00D44064">
        <w:t> </w:t>
      </w:r>
      <w:r w:rsidRPr="00D44064">
        <w:t>hours post</w:t>
      </w:r>
      <w:r w:rsidR="001A0786" w:rsidRPr="00D44064">
        <w:t>-</w:t>
      </w:r>
      <w:r w:rsidRPr="00D44064">
        <w:t xml:space="preserve">dose; </w:t>
      </w:r>
      <w:proofErr w:type="spellStart"/>
      <w:r w:rsidRPr="00D44064">
        <w:t>C</w:t>
      </w:r>
      <w:r w:rsidRPr="00D44064">
        <w:rPr>
          <w:vertAlign w:val="subscript"/>
        </w:rPr>
        <w:t>max</w:t>
      </w:r>
      <w:proofErr w:type="spellEnd"/>
      <w:r w:rsidRPr="00D44064">
        <w:t xml:space="preserve"> = maximum observed concentration; N = sample size.</w:t>
      </w:r>
    </w:p>
    <w:p w14:paraId="68CF4309" w14:textId="369553DB" w:rsidR="007619D7" w:rsidRPr="00D44064" w:rsidRDefault="00B85E15" w:rsidP="00750E41">
      <w:pPr>
        <w:pStyle w:val="FigureTitle"/>
      </w:pPr>
      <w:r w:rsidRPr="00D44064">
        <w:t xml:space="preserve">Figure </w:t>
      </w:r>
      <w:fldSimple w:instr=" SEQ Figure \* ARABIC ">
        <w:r w:rsidR="00A464E8">
          <w:rPr>
            <w:noProof/>
          </w:rPr>
          <w:t>3</w:t>
        </w:r>
      </w:fldSimple>
      <w:r w:rsidR="007619D7" w:rsidRPr="00D44064">
        <w:t xml:space="preserve">: </w:t>
      </w:r>
      <w:r w:rsidRPr="00D44064">
        <w:t xml:space="preserve">Study CTLR0310-206 </w:t>
      </w:r>
      <w:r w:rsidR="007619D7" w:rsidRPr="00D44064">
        <w:t xml:space="preserve">Mean </w:t>
      </w:r>
      <w:r w:rsidR="001807A4" w:rsidRPr="00D44064">
        <w:t xml:space="preserve">total </w:t>
      </w:r>
      <w:r w:rsidR="00A712A7" w:rsidRPr="00D44064">
        <w:t>cytarabine</w:t>
      </w:r>
      <w:r w:rsidR="001A0786" w:rsidRPr="00D44064">
        <w:t xml:space="preserve"> to </w:t>
      </w:r>
      <w:r w:rsidR="00A712A7" w:rsidRPr="00D44064">
        <w:t>daunorubicin</w:t>
      </w:r>
      <w:r w:rsidR="007619D7" w:rsidRPr="00D44064">
        <w:t xml:space="preserve"> molar ratio versus time on </w:t>
      </w:r>
      <w:r w:rsidR="00A712A7" w:rsidRPr="00D44064">
        <w:t>Day</w:t>
      </w:r>
      <w:r w:rsidR="007619D7" w:rsidRPr="00D44064">
        <w:t>s 1 and 5</w:t>
      </w:r>
    </w:p>
    <w:p w14:paraId="49E6B8D5" w14:textId="0A41C7F8" w:rsidR="001A0786" w:rsidRPr="00D44064" w:rsidRDefault="0027789A" w:rsidP="00750E41">
      <w:r w:rsidRPr="00D44064">
        <w:rPr>
          <w:noProof/>
          <w:lang w:val="en-GB" w:eastAsia="en-GB"/>
        </w:rPr>
        <w:drawing>
          <wp:inline distT="0" distB="0" distL="0" distR="0" wp14:anchorId="45822E00" wp14:editId="6624EB54">
            <wp:extent cx="5344885" cy="2092324"/>
            <wp:effectExtent l="0" t="0" r="0" b="3810"/>
            <wp:docPr id="2" name="Picture 2" descr="Figure 3: Study CTLR0310-206 Mean total cytarabine to daunorubicin molar ratio versus time on Days 1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 Study CTLR0310-206 Mean total cytarabine to daunorubicin molar ratio versus time on Days 1 and 5"/>
                    <pic:cNvPicPr/>
                  </pic:nvPicPr>
                  <pic:blipFill>
                    <a:blip r:embed="rId19"/>
                    <a:stretch>
                      <a:fillRect/>
                    </a:stretch>
                  </pic:blipFill>
                  <pic:spPr>
                    <a:xfrm>
                      <a:off x="0" y="0"/>
                      <a:ext cx="5350601" cy="2094562"/>
                    </a:xfrm>
                    <a:prstGeom prst="rect">
                      <a:avLst/>
                    </a:prstGeom>
                  </pic:spPr>
                </pic:pic>
              </a:graphicData>
            </a:graphic>
          </wp:inline>
        </w:drawing>
      </w:r>
    </w:p>
    <w:p w14:paraId="19F8925A" w14:textId="12B5A8B2" w:rsidR="001A0786" w:rsidRPr="00D44064" w:rsidRDefault="001A0786" w:rsidP="00750E41">
      <w:pPr>
        <w:pStyle w:val="FigureDescription"/>
      </w:pPr>
      <w:r w:rsidRPr="00D44064">
        <w:t xml:space="preserve">Abbreviations: max = maximum; </w:t>
      </w:r>
      <w:r w:rsidR="001807A4" w:rsidRPr="00D44064">
        <w:t xml:space="preserve">min = minimum; </w:t>
      </w:r>
      <w:r w:rsidRPr="00D44064">
        <w:t>N = sample size.</w:t>
      </w:r>
    </w:p>
    <w:p w14:paraId="0A496072" w14:textId="641F7F44" w:rsidR="001807A4" w:rsidRPr="00D44064" w:rsidRDefault="001807A4" w:rsidP="00750E41">
      <w:pPr>
        <w:pStyle w:val="FigureDescription"/>
      </w:pPr>
      <w:r w:rsidRPr="00D44064">
        <w:t>Dashed line indicates a molar ratio of 5.0.</w:t>
      </w:r>
    </w:p>
    <w:p w14:paraId="49065257" w14:textId="10B96201" w:rsidR="001A0786" w:rsidRPr="00D44064" w:rsidRDefault="001A0786" w:rsidP="00750E41">
      <w:pPr>
        <w:pStyle w:val="FigureDescription"/>
      </w:pPr>
      <w:r w:rsidRPr="00D44064">
        <w:lastRenderedPageBreak/>
        <w:t>Ratios were computed by comparing total concentrations of cytarabine to daunorubicin (in molar units) at each pharmacokinetic sample time for individual subjects; the reported range correspond to lowest to highest mean ratios from 0.75 to 24 hours after the start of the infusion.</w:t>
      </w:r>
    </w:p>
    <w:p w14:paraId="4E3041C4" w14:textId="3BF03503" w:rsidR="007619D7" w:rsidRPr="00D44064" w:rsidRDefault="007619D7" w:rsidP="007619D7">
      <w:r w:rsidRPr="00D44064">
        <w:t xml:space="preserve">The Delegate notes that the ratio of </w:t>
      </w:r>
      <w:r w:rsidR="00A712A7" w:rsidRPr="00D44064">
        <w:t>daunorubicin</w:t>
      </w:r>
      <w:r w:rsidRPr="00D44064">
        <w:t xml:space="preserve"> and </w:t>
      </w:r>
      <w:r w:rsidR="00A712A7" w:rsidRPr="00D44064">
        <w:t>cytarabine</w:t>
      </w:r>
      <w:r w:rsidRPr="00D44064">
        <w:t xml:space="preserve"> were maintained within a narrow range of ratios over several days.</w:t>
      </w:r>
    </w:p>
    <w:p w14:paraId="2C57D046" w14:textId="77777777" w:rsidR="007619D7" w:rsidRPr="00D44064" w:rsidRDefault="007619D7" w:rsidP="007619D7">
      <w:pPr>
        <w:pStyle w:val="Heading4"/>
      </w:pPr>
      <w:r w:rsidRPr="00D44064">
        <w:t>Efficacy</w:t>
      </w:r>
    </w:p>
    <w:p w14:paraId="3FDDDFA0" w14:textId="543AAC52" w:rsidR="007619D7" w:rsidRPr="00D44064" w:rsidRDefault="007619D7" w:rsidP="007619D7">
      <w:pPr>
        <w:pStyle w:val="Heading5"/>
      </w:pPr>
      <w:r w:rsidRPr="00D44064">
        <w:t>Study CLTR0310-301</w:t>
      </w:r>
    </w:p>
    <w:p w14:paraId="3DD8E0EE" w14:textId="464F1520" w:rsidR="007619D7" w:rsidRPr="00D44064" w:rsidRDefault="00D84A5C" w:rsidP="0091512A">
      <w:r w:rsidRPr="00D44064">
        <w:t xml:space="preserve">Study CLTR0310-301 </w:t>
      </w:r>
      <w:r w:rsidR="007619D7" w:rsidRPr="00D44064">
        <w:t xml:space="preserve">was a </w:t>
      </w:r>
      <w:r w:rsidR="00A712A7" w:rsidRPr="00D44064">
        <w:t>Phase</w:t>
      </w:r>
      <w:r w:rsidR="007619D7" w:rsidRPr="00D44064">
        <w:t xml:space="preserve"> III study that compared non-lyophilised formulations of </w:t>
      </w:r>
      <w:r w:rsidR="00A712A7" w:rsidRPr="00D44064">
        <w:t>daunorubicin</w:t>
      </w:r>
      <w:r w:rsidR="007619D7" w:rsidRPr="00D44064">
        <w:t xml:space="preserve"> and </w:t>
      </w:r>
      <w:r w:rsidR="00A712A7" w:rsidRPr="00D44064">
        <w:t>cytarabine</w:t>
      </w:r>
      <w:r w:rsidR="007619D7" w:rsidRPr="00D44064">
        <w:t xml:space="preserve"> in a ‘7</w:t>
      </w:r>
      <w:r w:rsidR="00C275B4" w:rsidRPr="00D44064">
        <w:t xml:space="preserve"> </w:t>
      </w:r>
      <w:r w:rsidR="007619D7" w:rsidRPr="00D44064">
        <w:t>+</w:t>
      </w:r>
      <w:r w:rsidR="00C275B4" w:rsidRPr="00D44064">
        <w:t xml:space="preserve"> </w:t>
      </w:r>
      <w:r w:rsidR="007619D7" w:rsidRPr="00D44064">
        <w:t>3</w:t>
      </w:r>
      <w:r w:rsidR="00B85E15" w:rsidRPr="00D44064">
        <w:t>’</w:t>
      </w:r>
      <w:r w:rsidR="007619D7" w:rsidRPr="00D44064">
        <w:t xml:space="preserve"> regimen</w:t>
      </w:r>
      <w:r w:rsidR="00930B28" w:rsidRPr="00D44064">
        <w:t>;</w:t>
      </w:r>
      <w:bookmarkStart w:id="42" w:name="_Ref119691960"/>
      <w:r w:rsidR="00930B28" w:rsidRPr="00D44064">
        <w:rPr>
          <w:rStyle w:val="FootnoteReference"/>
        </w:rPr>
        <w:footnoteReference w:id="20"/>
      </w:r>
      <w:bookmarkEnd w:id="42"/>
      <w:r w:rsidR="007619D7" w:rsidRPr="00D44064">
        <w:t xml:space="preserve"> with Vyxeos in patients 6</w:t>
      </w:r>
      <w:r w:rsidR="00BE372C" w:rsidRPr="00D44064">
        <w:t>0</w:t>
      </w:r>
      <w:r w:rsidR="00A712A7" w:rsidRPr="00D44064">
        <w:t xml:space="preserve"> to </w:t>
      </w:r>
      <w:r w:rsidR="007619D7" w:rsidRPr="00D44064">
        <w:t>75</w:t>
      </w:r>
      <w:r w:rsidR="00750E41" w:rsidRPr="00D44064">
        <w:t> </w:t>
      </w:r>
      <w:r w:rsidR="007619D7" w:rsidRPr="00D44064">
        <w:t>years of age with untreated, high risk, AML. The study consisted of a treatment phase, which could include one or two rounds of induction and consolidation, followed by follow</w:t>
      </w:r>
      <w:r w:rsidR="00A712A7" w:rsidRPr="00D44064">
        <w:t>-</w:t>
      </w:r>
      <w:r w:rsidR="007619D7" w:rsidRPr="00D44064">
        <w:t>up</w:t>
      </w:r>
      <w:r w:rsidR="00825E68" w:rsidRPr="00D44064">
        <w:t xml:space="preserve"> studies</w:t>
      </w:r>
      <w:r w:rsidR="007619D7" w:rsidRPr="00D44064">
        <w:t xml:space="preserve">. </w:t>
      </w:r>
      <w:r w:rsidR="0091512A" w:rsidRPr="00D44064">
        <w:t>There were</w:t>
      </w:r>
      <w:r w:rsidR="007619D7" w:rsidRPr="00D44064">
        <w:t xml:space="preserve"> </w:t>
      </w:r>
      <w:r w:rsidR="0091512A" w:rsidRPr="00D44064">
        <w:t>153 patients randomised to the Vyxeos arm and 156 patients randomised to the ‘7 + 3’ control arm</w:t>
      </w:r>
      <w:r w:rsidR="007619D7" w:rsidRPr="00D44064">
        <w:t>.</w:t>
      </w:r>
    </w:p>
    <w:p w14:paraId="4439E234" w14:textId="29F30B3A" w:rsidR="007619D7" w:rsidRPr="00D44064" w:rsidRDefault="007619D7" w:rsidP="007619D7">
      <w:r w:rsidRPr="00D44064">
        <w:t xml:space="preserve">The primary endpoint was </w:t>
      </w:r>
      <w:r w:rsidR="00B85E15" w:rsidRPr="00D44064">
        <w:t xml:space="preserve">overall survival </w:t>
      </w:r>
      <w:r w:rsidRPr="00D44064">
        <w:t>of patients on the two protocols.</w:t>
      </w:r>
    </w:p>
    <w:p w14:paraId="4525F6AA" w14:textId="46CD71C0" w:rsidR="007619D7" w:rsidRPr="00D44064" w:rsidRDefault="00B85E15" w:rsidP="00750E41">
      <w:pPr>
        <w:pStyle w:val="FigureTitle"/>
      </w:pPr>
      <w:r w:rsidRPr="00D44064">
        <w:t xml:space="preserve">Figure </w:t>
      </w:r>
      <w:fldSimple w:instr=" SEQ Figure \* ARABIC ">
        <w:r w:rsidR="00A464E8">
          <w:rPr>
            <w:noProof/>
          </w:rPr>
          <w:t>4</w:t>
        </w:r>
      </w:fldSimple>
      <w:r w:rsidRPr="00D44064">
        <w:t>:</w:t>
      </w:r>
      <w:r w:rsidR="007619D7" w:rsidRPr="00D44064">
        <w:t xml:space="preserve"> </w:t>
      </w:r>
      <w:r w:rsidR="00D84A5C" w:rsidRPr="00D44064">
        <w:t xml:space="preserve">Study CLTR0310-301 </w:t>
      </w:r>
      <w:r w:rsidR="001A0786" w:rsidRPr="00D44064">
        <w:t>P</w:t>
      </w:r>
      <w:r w:rsidR="007619D7" w:rsidRPr="00D44064">
        <w:t>rotocol design</w:t>
      </w:r>
    </w:p>
    <w:p w14:paraId="00171010" w14:textId="180684CB" w:rsidR="001A0786" w:rsidRPr="00D44064" w:rsidRDefault="001A0786" w:rsidP="00750E41">
      <w:r w:rsidRPr="00D44064">
        <w:rPr>
          <w:noProof/>
          <w:lang w:val="en-GB" w:eastAsia="en-GB"/>
        </w:rPr>
        <w:drawing>
          <wp:inline distT="0" distB="0" distL="0" distR="0" wp14:anchorId="4D210EA7" wp14:editId="3BEE8D9B">
            <wp:extent cx="5400040" cy="2472690"/>
            <wp:effectExtent l="0" t="0" r="0" b="3810"/>
            <wp:docPr id="10" name="Picture 10" descr="Figure 4: Study CLTR0310-301 Protocol design&#10;&#10;Subjects 60 to 75 years old with the following acute myeloid leukemia (AML) subtypes were enrolled: therapy related AML, myelodysplastic syndrome AML with and without prior HMA, chronic myelomonocytic leukemia AML, and de novo AML with karyotype changes characteristic of myelodysplasia.&#10;&#10;The study comprised 2 phases: a treatment phase and a follow-up phase. Subjects were stratified by age and AML subtype to balance these key prognostic variables of response and survival between the 2 treatment groups.&#10;&#10;During the treatment phase, subjects were eligible to receive up to 2 inductions and up to 2 consolidations with either Vyxeos or cytarabine and daunorubicin given as a 7+3 (first induction) or 5 days of continuous infusion of cytarabine at 100 mg/m2/day and 2 days of daunorubicin at 60 mg/m2/day (5+2, second induction, consolidation courses) therapy. The number of inductions and consolidations a subject received depended on response (complete remission or complete remission with incomplete platelet or neutrophil recovery), which was confirmed by bone marrow assessment.&#10;&#10;For the first induction:&#10;Vyxeos was administered at 100 units/m2 by 90 minute intravenous infusion on Days 1, 3, 5.&#10;7+3 was administered as: cytarabine at a dose of 100 mg/m2/day on Days 1 through 7 by continuous infusion, and daunorubicin at a dose of 60 mg/m2/day on Days 1, 2, and 3.&#10;&#10;If a second induction was administered:&#10;Vyxeos was administered at 100 units/m2 by 90 minute intravenous infusion on Days 1 and 3.&#10;5+2 was administered as: cytarabine at a dose of 100 mg/m2/day on Days 1 through 5 by continuous infusion and daunorubicin at a dose of 60 mg/m2/day on Days 1 and 2.&#10;&#10;For consolidation therapy:&#10;Vyxeos was administered at 65 units/m2 by 90 minute intravenous infusion on Days 1 and 3.&#10;5+2 was administered as: cytarabine at a dose of 100 mg/m2/day on Days 1 through 5 by continuous infusion, and daunorubicin at a dose of 60 mg/m2/day on Days 1 and 2.&#10;&#10;The follow-up phase began 30 days after the completion of the last induction or consolidation course, and was to last until death or 5 years after randomisation. During this time, subjects were monitored for efficacy (survival, event free survival, response, response duration) an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4: Study CLTR0310-301 Protocol design&#10;&#10;Subjects 60 to 75 years old with the following acute myeloid leukemia (AML) subtypes were enrolled: therapy related AML, myelodysplastic syndrome AML with and without prior HMA, chronic myelomonocytic leukemia AML, and de novo AML with karyotype changes characteristic of myelodysplasia.&#10;&#10;The study comprised 2 phases: a treatment phase and a follow-up phase. Subjects were stratified by age and AML subtype to balance these key prognostic variables of response and survival between the 2 treatment groups.&#10;&#10;During the treatment phase, subjects were eligible to receive up to 2 inductions and up to 2 consolidations with either Vyxeos or cytarabine and daunorubicin given as a 7+3 (first induction) or 5 days of continuous infusion of cytarabine at 100 mg/m2/day and 2 days of daunorubicin at 60 mg/m2/day (5+2, second induction, consolidation courses) therapy. The number of inductions and consolidations a subject received depended on response (complete remission or complete remission with incomplete platelet or neutrophil recovery), which was confirmed by bone marrow assessment.&#10;&#10;For the first induction:&#10;Vyxeos was administered at 100 units/m2 by 90 minute intravenous infusion on Days 1, 3, 5.&#10;7+3 was administered as: cytarabine at a dose of 100 mg/m2/day on Days 1 through 7 by continuous infusion, and daunorubicin at a dose of 60 mg/m2/day on Days 1, 2, and 3.&#10;&#10;If a second induction was administered:&#10;Vyxeos was administered at 100 units/m2 by 90 minute intravenous infusion on Days 1 and 3.&#10;5+2 was administered as: cytarabine at a dose of 100 mg/m2/day on Days 1 through 5 by continuous infusion and daunorubicin at a dose of 60 mg/m2/day on Days 1 and 2.&#10;&#10;For consolidation therapy:&#10;Vyxeos was administered at 65 units/m2 by 90 minute intravenous infusion on Days 1 and 3.&#10;5+2 was administered as: cytarabine at a dose of 100 mg/m2/day on Days 1 through 5 by continuous infusion, and daunorubicin at a dose of 60 mg/m2/day on Days 1 and 2.&#10;&#10;The follow-up phase began 30 days after the completion of the last induction or consolidation course, and was to last until death or 5 years after randomisation. During this time, subjects were monitored for efficacy (survival, event free survival, response, response duration) and safety."/>
                    <pic:cNvPicPr/>
                  </pic:nvPicPr>
                  <pic:blipFill>
                    <a:blip r:embed="rId20"/>
                    <a:stretch>
                      <a:fillRect/>
                    </a:stretch>
                  </pic:blipFill>
                  <pic:spPr>
                    <a:xfrm>
                      <a:off x="0" y="0"/>
                      <a:ext cx="5400040" cy="2472690"/>
                    </a:xfrm>
                    <a:prstGeom prst="rect">
                      <a:avLst/>
                    </a:prstGeom>
                  </pic:spPr>
                </pic:pic>
              </a:graphicData>
            </a:graphic>
          </wp:inline>
        </w:drawing>
      </w:r>
    </w:p>
    <w:p w14:paraId="70B11A52" w14:textId="1F96A36B" w:rsidR="008258E3" w:rsidRPr="00D44064" w:rsidRDefault="001A0786" w:rsidP="00750E41">
      <w:pPr>
        <w:pStyle w:val="FigureDescription"/>
      </w:pPr>
      <w:r w:rsidRPr="00D44064">
        <w:t>Abbreviations: AML = acute myeloid leuk</w:t>
      </w:r>
      <w:r w:rsidR="00930B28" w:rsidRPr="00D44064">
        <w:t>a</w:t>
      </w:r>
      <w:r w:rsidRPr="00D44064">
        <w:t>emia</w:t>
      </w:r>
      <w:r w:rsidR="001E75FB" w:rsidRPr="00D44064">
        <w:t xml:space="preserve">; </w:t>
      </w:r>
      <w:r w:rsidR="008258E3" w:rsidRPr="00D44064">
        <w:t>Ara-C</w:t>
      </w:r>
      <w:r w:rsidR="001E75FB" w:rsidRPr="00D44064">
        <w:t xml:space="preserve"> = </w:t>
      </w:r>
      <w:r w:rsidR="00420782" w:rsidRPr="00D44064">
        <w:t>cytosine arabinoside</w:t>
      </w:r>
      <w:r w:rsidR="001E75FB" w:rsidRPr="00D44064">
        <w:t xml:space="preserve">; </w:t>
      </w:r>
      <w:r w:rsidR="008258E3" w:rsidRPr="00D44064">
        <w:t>CMML = chronic myelomonocytic leuk</w:t>
      </w:r>
      <w:r w:rsidR="00930B28" w:rsidRPr="00D44064">
        <w:t>a</w:t>
      </w:r>
      <w:r w:rsidR="008258E3" w:rsidRPr="00D44064">
        <w:t>emia</w:t>
      </w:r>
      <w:r w:rsidR="00E72744" w:rsidRPr="00D44064">
        <w:t>; CPX-351 = Vyxeos 44 mg daunorubicin/100 mg cytarabine fixed-ratio dosing</w:t>
      </w:r>
      <w:r w:rsidR="001E75FB" w:rsidRPr="00D44064">
        <w:t xml:space="preserve">; </w:t>
      </w:r>
      <w:r w:rsidRPr="00D44064">
        <w:t>M</w:t>
      </w:r>
      <w:r w:rsidR="008258E3" w:rsidRPr="00D44064">
        <w:t>DS</w:t>
      </w:r>
      <w:r w:rsidR="00930B28" w:rsidRPr="00D44064">
        <w:t> </w:t>
      </w:r>
      <w:r w:rsidR="008258E3" w:rsidRPr="00D44064">
        <w:t>=</w:t>
      </w:r>
      <w:r w:rsidR="00930B28" w:rsidRPr="00D44064">
        <w:t> </w:t>
      </w:r>
      <w:r w:rsidR="008258E3" w:rsidRPr="00D44064">
        <w:t>myelodysplastic syndrome</w:t>
      </w:r>
      <w:r w:rsidR="001E75FB" w:rsidRPr="00D44064">
        <w:t xml:space="preserve">; </w:t>
      </w:r>
      <w:proofErr w:type="spellStart"/>
      <w:r w:rsidR="008258E3" w:rsidRPr="00D44064">
        <w:t>tAML</w:t>
      </w:r>
      <w:proofErr w:type="spellEnd"/>
      <w:r w:rsidR="008258E3" w:rsidRPr="00D44064">
        <w:t xml:space="preserve"> = </w:t>
      </w:r>
      <w:r w:rsidR="00930B28" w:rsidRPr="00D44064">
        <w:t>t</w:t>
      </w:r>
      <w:r w:rsidR="008258E3" w:rsidRPr="00D44064">
        <w:t>herapy</w:t>
      </w:r>
      <w:r w:rsidR="00825E68" w:rsidRPr="00D44064">
        <w:t>-</w:t>
      </w:r>
      <w:r w:rsidR="008258E3" w:rsidRPr="00D44064">
        <w:t>related acute myeloid leuk</w:t>
      </w:r>
      <w:r w:rsidR="00D01F81" w:rsidRPr="00D44064">
        <w:t>a</w:t>
      </w:r>
      <w:r w:rsidR="008258E3" w:rsidRPr="00D44064">
        <w:t>emia</w:t>
      </w:r>
      <w:r w:rsidR="001E75FB" w:rsidRPr="00D44064">
        <w:t>.</w:t>
      </w:r>
    </w:p>
    <w:p w14:paraId="4E67978E" w14:textId="7108136A" w:rsidR="00D01F81" w:rsidRPr="00D44064" w:rsidRDefault="00D01F81" w:rsidP="00750E41">
      <w:pPr>
        <w:pStyle w:val="FigureDescription"/>
      </w:pPr>
      <w:r w:rsidRPr="00D44064">
        <w:t>‘7</w:t>
      </w:r>
      <w:r w:rsidR="005742CC" w:rsidRPr="00D44064">
        <w:t xml:space="preserve"> </w:t>
      </w:r>
      <w:r w:rsidRPr="00D44064">
        <w:t>+</w:t>
      </w:r>
      <w:r w:rsidR="005742CC" w:rsidRPr="00D44064">
        <w:t xml:space="preserve"> </w:t>
      </w:r>
      <w:r w:rsidRPr="00D44064">
        <w:t>3’ protocol: regimen consisting of 7 days of standard-dose cytarabine, and 3 days of daunorubicin.</w:t>
      </w:r>
    </w:p>
    <w:p w14:paraId="775DCB77" w14:textId="38B75D0F" w:rsidR="007619D7" w:rsidRPr="00D44064" w:rsidRDefault="00B85E15" w:rsidP="00750E41">
      <w:pPr>
        <w:pStyle w:val="FigureTitle"/>
      </w:pPr>
      <w:r w:rsidRPr="00D44064">
        <w:lastRenderedPageBreak/>
        <w:t xml:space="preserve">Figure </w:t>
      </w:r>
      <w:fldSimple w:instr=" SEQ Figure \* ARABIC ">
        <w:r w:rsidR="00A464E8">
          <w:rPr>
            <w:noProof/>
          </w:rPr>
          <w:t>5</w:t>
        </w:r>
      </w:fldSimple>
      <w:r w:rsidR="007619D7" w:rsidRPr="00D44064">
        <w:t xml:space="preserve">: </w:t>
      </w:r>
      <w:r w:rsidR="0001110F" w:rsidRPr="00D44064">
        <w:t xml:space="preserve">Study CLTR0310-301 Kaplan-Meier </w:t>
      </w:r>
      <w:r w:rsidR="007619D7" w:rsidRPr="00D44064">
        <w:t xml:space="preserve">plot of </w:t>
      </w:r>
      <w:r w:rsidR="0001110F" w:rsidRPr="00D44064">
        <w:t xml:space="preserve">overall </w:t>
      </w:r>
      <w:r w:rsidR="007619D7" w:rsidRPr="00D44064">
        <w:t xml:space="preserve">survival of patients on </w:t>
      </w:r>
      <w:r w:rsidRPr="00D44064">
        <w:t>‘</w:t>
      </w:r>
      <w:r w:rsidR="007619D7" w:rsidRPr="00D44064">
        <w:t>7</w:t>
      </w:r>
      <w:r w:rsidR="00C275B4" w:rsidRPr="00D44064">
        <w:t xml:space="preserve"> </w:t>
      </w:r>
      <w:r w:rsidR="007619D7" w:rsidRPr="00D44064">
        <w:t>+</w:t>
      </w:r>
      <w:r w:rsidR="00C275B4" w:rsidRPr="00D44064">
        <w:t xml:space="preserve"> </w:t>
      </w:r>
      <w:r w:rsidR="007619D7" w:rsidRPr="00D44064">
        <w:t>3</w:t>
      </w:r>
      <w:r w:rsidRPr="00D44064">
        <w:t>’</w:t>
      </w:r>
      <w:r w:rsidR="007619D7" w:rsidRPr="00D44064">
        <w:t xml:space="preserve"> </w:t>
      </w:r>
      <w:r w:rsidRPr="00D44064">
        <w:t xml:space="preserve">protocol </w:t>
      </w:r>
      <w:r w:rsidR="007619D7" w:rsidRPr="00D44064">
        <w:t>(red) or Vyxeos (</w:t>
      </w:r>
      <w:r w:rsidRPr="00D44064">
        <w:t>b</w:t>
      </w:r>
      <w:r w:rsidR="007619D7" w:rsidRPr="00D44064">
        <w:t>lue)</w:t>
      </w:r>
    </w:p>
    <w:p w14:paraId="17C734E1" w14:textId="026C7A14" w:rsidR="0001110F" w:rsidRPr="00D44064" w:rsidRDefault="0001110F" w:rsidP="00750E41">
      <w:r w:rsidRPr="00D44064">
        <w:rPr>
          <w:noProof/>
          <w:lang w:val="en-GB" w:eastAsia="en-GB"/>
        </w:rPr>
        <w:drawing>
          <wp:inline distT="0" distB="0" distL="0" distR="0" wp14:anchorId="5F6D2B75" wp14:editId="04BF6B8F">
            <wp:extent cx="4784536" cy="2876686"/>
            <wp:effectExtent l="0" t="0" r="0" b="0"/>
            <wp:docPr id="8" name="Picture 8" descr="Figure 5: Study CLTR0310-301 Kaplan-Meier plot of overall survival of patients on ‘7 + 3’ protocol (red) or Vyxeos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5: Study CLTR0310-301 Kaplan-Meier plot of overall survival of patients on ‘7 + 3’ protocol (red) or Vyxeos (blue)"/>
                    <pic:cNvPicPr/>
                  </pic:nvPicPr>
                  <pic:blipFill>
                    <a:blip r:embed="rId21"/>
                    <a:stretch>
                      <a:fillRect/>
                    </a:stretch>
                  </pic:blipFill>
                  <pic:spPr>
                    <a:xfrm>
                      <a:off x="0" y="0"/>
                      <a:ext cx="4795149" cy="2883067"/>
                    </a:xfrm>
                    <a:prstGeom prst="rect">
                      <a:avLst/>
                    </a:prstGeom>
                  </pic:spPr>
                </pic:pic>
              </a:graphicData>
            </a:graphic>
          </wp:inline>
        </w:drawing>
      </w:r>
    </w:p>
    <w:p w14:paraId="50C91380" w14:textId="48FA2250" w:rsidR="007619D7" w:rsidRPr="00D44064" w:rsidRDefault="0001110F" w:rsidP="00750E41">
      <w:pPr>
        <w:pStyle w:val="FigureDescription"/>
      </w:pPr>
      <w:r w:rsidRPr="00D44064">
        <w:t xml:space="preserve">Abbreviations: CI = confidence interval; </w:t>
      </w:r>
      <w:r w:rsidR="00697BCE" w:rsidRPr="00D44064">
        <w:t xml:space="preserve">CPX-351 = Vyxeos 44 mg daunorubicin/100 mg cytarabine fixed-ratio dosing; </w:t>
      </w:r>
      <w:proofErr w:type="spellStart"/>
      <w:r w:rsidRPr="00D44064">
        <w:t>Surv</w:t>
      </w:r>
      <w:proofErr w:type="spellEnd"/>
      <w:r w:rsidRPr="00D44064">
        <w:t>. = survival.</w:t>
      </w:r>
    </w:p>
    <w:p w14:paraId="3E359A90" w14:textId="41432FA5" w:rsidR="008E13ED" w:rsidRPr="00D44064" w:rsidRDefault="008E13ED" w:rsidP="00750E41">
      <w:pPr>
        <w:pStyle w:val="FigureDescription"/>
      </w:pPr>
      <w:r w:rsidRPr="00D44064">
        <w:t>‘7</w:t>
      </w:r>
      <w:r w:rsidR="005742CC" w:rsidRPr="00D44064">
        <w:t xml:space="preserve"> </w:t>
      </w:r>
      <w:r w:rsidRPr="00D44064">
        <w:t>+</w:t>
      </w:r>
      <w:r w:rsidR="005742CC" w:rsidRPr="00D44064">
        <w:t xml:space="preserve"> </w:t>
      </w:r>
      <w:r w:rsidRPr="00D44064">
        <w:t>3’ protocol: regimen consisting of 7 days of standard-dose cytarabine, and 3 days of daunorubicin.</w:t>
      </w:r>
    </w:p>
    <w:p w14:paraId="470CD4AC" w14:textId="4187E17B" w:rsidR="007619D7" w:rsidRPr="00D44064" w:rsidRDefault="007619D7" w:rsidP="007619D7">
      <w:r w:rsidRPr="00D44064">
        <w:t>The median survival of the Vyxeos treatment group was 9.56 months compared to 5.95</w:t>
      </w:r>
      <w:r w:rsidR="00ED13A7" w:rsidRPr="00D44064">
        <w:t> </w:t>
      </w:r>
      <w:r w:rsidRPr="00D44064">
        <w:t xml:space="preserve">months for the standard </w:t>
      </w:r>
      <w:r w:rsidR="00B85E15" w:rsidRPr="00D44064">
        <w:t>‘</w:t>
      </w:r>
      <w:r w:rsidRPr="00D44064">
        <w:t>7</w:t>
      </w:r>
      <w:r w:rsidR="00C275B4" w:rsidRPr="00D44064">
        <w:t xml:space="preserve"> </w:t>
      </w:r>
      <w:r w:rsidRPr="00D44064">
        <w:t>+</w:t>
      </w:r>
      <w:r w:rsidR="00C275B4" w:rsidRPr="00D44064">
        <w:t xml:space="preserve"> </w:t>
      </w:r>
      <w:r w:rsidRPr="00D44064">
        <w:t>3</w:t>
      </w:r>
      <w:r w:rsidR="00B85E15" w:rsidRPr="00D44064">
        <w:t>’</w:t>
      </w:r>
      <w:r w:rsidRPr="00D44064">
        <w:t xml:space="preserve"> protocol, a hazard ratio of 0.69 (95%</w:t>
      </w:r>
      <w:r w:rsidR="00825E68" w:rsidRPr="00D44064">
        <w:t xml:space="preserve"> confidence interval (</w:t>
      </w:r>
      <w:r w:rsidRPr="00D44064">
        <w:t>CI</w:t>
      </w:r>
      <w:r w:rsidR="00825E68" w:rsidRPr="00D44064">
        <w:t>)</w:t>
      </w:r>
      <w:r w:rsidR="00A712A7" w:rsidRPr="00D44064">
        <w:t>:</w:t>
      </w:r>
      <w:r w:rsidRPr="00D44064">
        <w:t xml:space="preserve"> 0.52</w:t>
      </w:r>
      <w:r w:rsidR="00A712A7" w:rsidRPr="00D44064">
        <w:t xml:space="preserve">, </w:t>
      </w:r>
      <w:r w:rsidRPr="00D44064">
        <w:t>0.90). This was a statistically significant difference at p</w:t>
      </w:r>
      <w:r w:rsidR="00C275B4" w:rsidRPr="00D44064">
        <w:t xml:space="preserve"> </w:t>
      </w:r>
      <w:r w:rsidRPr="00D44064">
        <w:t>=</w:t>
      </w:r>
      <w:r w:rsidR="00C275B4" w:rsidRPr="00D44064">
        <w:t xml:space="preserve"> </w:t>
      </w:r>
      <w:r w:rsidRPr="00D44064">
        <w:t>0.003.</w:t>
      </w:r>
    </w:p>
    <w:p w14:paraId="52479988" w14:textId="77777777" w:rsidR="007619D7" w:rsidRPr="00D44064" w:rsidRDefault="007619D7" w:rsidP="007619D7">
      <w:pPr>
        <w:pStyle w:val="Heading4"/>
      </w:pPr>
      <w:r w:rsidRPr="00D44064">
        <w:t>Safety</w:t>
      </w:r>
    </w:p>
    <w:p w14:paraId="1FD9E873" w14:textId="50066207" w:rsidR="007619D7" w:rsidRPr="00D44064" w:rsidRDefault="007619D7" w:rsidP="007619D7">
      <w:r w:rsidRPr="00D44064">
        <w:t xml:space="preserve">The main safety dataset was provided by </w:t>
      </w:r>
      <w:r w:rsidR="00D84A5C" w:rsidRPr="00D44064">
        <w:t>Study CLTR0310-301</w:t>
      </w:r>
      <w:r w:rsidRPr="00D44064">
        <w:t>.</w:t>
      </w:r>
    </w:p>
    <w:p w14:paraId="66A4BC24" w14:textId="7A285504" w:rsidR="007619D7" w:rsidRPr="00D44064" w:rsidRDefault="00B85E15" w:rsidP="00750E41">
      <w:pPr>
        <w:pStyle w:val="TableTitle"/>
      </w:pPr>
      <w:r w:rsidRPr="00D44064">
        <w:t xml:space="preserve">Table </w:t>
      </w:r>
      <w:fldSimple w:instr=" SEQ Table \* ARABIC ">
        <w:r w:rsidR="00A464E8">
          <w:rPr>
            <w:noProof/>
          </w:rPr>
          <w:t>5</w:t>
        </w:r>
      </w:fldSimple>
      <w:r w:rsidR="007619D7" w:rsidRPr="00D44064">
        <w:t xml:space="preserve">: </w:t>
      </w:r>
      <w:r w:rsidR="00F04958" w:rsidRPr="00D44064">
        <w:t xml:space="preserve">Study CLTR0310-301 </w:t>
      </w:r>
      <w:r w:rsidR="007619D7" w:rsidRPr="00D44064">
        <w:t xml:space="preserve">Number of subjects with </w:t>
      </w:r>
      <w:r w:rsidR="001E75FB" w:rsidRPr="00D44064">
        <w:t>treatment-emergent adverse events</w:t>
      </w:r>
      <w:r w:rsidR="007619D7" w:rsidRPr="00D44064">
        <w:t xml:space="preserve">, incidence </w:t>
      </w:r>
      <w:r w:rsidR="00C275B4" w:rsidRPr="00D44064">
        <w:t>&gt;</w:t>
      </w:r>
      <w:r w:rsidR="001E75FB" w:rsidRPr="00D44064">
        <w:t> </w:t>
      </w:r>
      <w:r w:rsidR="007619D7" w:rsidRPr="00D44064">
        <w:t xml:space="preserve">10% by </w:t>
      </w:r>
      <w:r w:rsidR="001E75FB" w:rsidRPr="00D44064">
        <w:t>System Organ Class</w:t>
      </w:r>
      <w:r w:rsidR="007619D7" w:rsidRPr="00D44064">
        <w:t xml:space="preserve">, </w:t>
      </w:r>
      <w:r w:rsidR="001E75FB" w:rsidRPr="00D44064">
        <w:t xml:space="preserve">Grades </w:t>
      </w:r>
      <w:r w:rsidR="007619D7" w:rsidRPr="00D44064">
        <w:t>3 to 5</w:t>
      </w:r>
      <w:r w:rsidR="00F04958" w:rsidRPr="00D44064">
        <w:t xml:space="preserve"> (</w:t>
      </w:r>
      <w:r w:rsidR="001E75FB" w:rsidRPr="00D44064">
        <w:t>safety population</w:t>
      </w:r>
      <w:r w:rsidR="00F04958" w:rsidRPr="00D44064">
        <w:t>)</w:t>
      </w:r>
    </w:p>
    <w:p w14:paraId="3FBA366F" w14:textId="7F38D5C5" w:rsidR="001E75FB" w:rsidRPr="00D44064" w:rsidRDefault="001E75FB" w:rsidP="00750E41">
      <w:r w:rsidRPr="00D44064">
        <w:rPr>
          <w:noProof/>
          <w:lang w:val="en-GB" w:eastAsia="en-GB"/>
        </w:rPr>
        <w:drawing>
          <wp:inline distT="0" distB="0" distL="0" distR="0" wp14:anchorId="426DE139" wp14:editId="3386CECE">
            <wp:extent cx="5400040" cy="1974850"/>
            <wp:effectExtent l="0" t="0" r="0" b="6350"/>
            <wp:docPr id="11" name="Picture 11" descr="Table 5: Study CLTR0310-301 Number of subjects with treatment-emergent adverse events, incidence &gt; 10% by System Organ Class, Grades 3 to 5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5: Study CLTR0310-301 Number of subjects with treatment-emergent adverse events, incidence &gt; 10% by System Organ Class, Grades 3 to 5 (safety population)"/>
                    <pic:cNvPicPr/>
                  </pic:nvPicPr>
                  <pic:blipFill>
                    <a:blip r:embed="rId22"/>
                    <a:stretch>
                      <a:fillRect/>
                    </a:stretch>
                  </pic:blipFill>
                  <pic:spPr>
                    <a:xfrm>
                      <a:off x="0" y="0"/>
                      <a:ext cx="5400040" cy="1974850"/>
                    </a:xfrm>
                    <a:prstGeom prst="rect">
                      <a:avLst/>
                    </a:prstGeom>
                  </pic:spPr>
                </pic:pic>
              </a:graphicData>
            </a:graphic>
          </wp:inline>
        </w:drawing>
      </w:r>
    </w:p>
    <w:p w14:paraId="05B748CA" w14:textId="523EE226" w:rsidR="007619D7" w:rsidRPr="00D44064" w:rsidRDefault="001E75FB" w:rsidP="00750E41">
      <w:pPr>
        <w:pStyle w:val="TableDescription"/>
      </w:pPr>
      <w:r w:rsidRPr="00D44064">
        <w:t>Abbreviations: AE = adverse event;</w:t>
      </w:r>
      <w:r w:rsidR="0036088D" w:rsidRPr="00D44064">
        <w:t xml:space="preserve"> CPX-351 = Vyxeos 44 mg daunorubicin/100 mg cytarabine fixed</w:t>
      </w:r>
      <w:r w:rsidR="00750E41" w:rsidRPr="00D44064">
        <w:noBreakHyphen/>
      </w:r>
      <w:r w:rsidR="0036088D" w:rsidRPr="00D44064">
        <w:t>ratio dosing</w:t>
      </w:r>
      <w:r w:rsidRPr="00D44064">
        <w:t>; N = number of subjects; n = number of subjects in group.</w:t>
      </w:r>
    </w:p>
    <w:p w14:paraId="392C3444" w14:textId="5F7AB280" w:rsidR="00D01F81" w:rsidRPr="00D44064" w:rsidRDefault="00D01F81" w:rsidP="00750E41">
      <w:pPr>
        <w:pStyle w:val="TableDescription"/>
      </w:pPr>
      <w:r w:rsidRPr="00D44064">
        <w:t>‘7</w:t>
      </w:r>
      <w:r w:rsidR="005742CC" w:rsidRPr="00D44064">
        <w:t xml:space="preserve"> </w:t>
      </w:r>
      <w:r w:rsidRPr="00D44064">
        <w:t>+</w:t>
      </w:r>
      <w:r w:rsidR="005742CC" w:rsidRPr="00D44064">
        <w:t xml:space="preserve"> </w:t>
      </w:r>
      <w:r w:rsidRPr="00D44064">
        <w:t>3’ protocol: regimen consisting of 7 days of standard-dose cytarabine, and 3 days of daunorubicin.</w:t>
      </w:r>
    </w:p>
    <w:p w14:paraId="2A5F5B3A" w14:textId="3DFEE991" w:rsidR="007619D7" w:rsidRPr="00D44064" w:rsidRDefault="00B85E15" w:rsidP="00750E41">
      <w:pPr>
        <w:pStyle w:val="TableTitle"/>
      </w:pPr>
      <w:r w:rsidRPr="00D44064">
        <w:lastRenderedPageBreak/>
        <w:t xml:space="preserve">Table </w:t>
      </w:r>
      <w:fldSimple w:instr=" SEQ Table \* ARABIC ">
        <w:r w:rsidR="00A464E8">
          <w:rPr>
            <w:noProof/>
          </w:rPr>
          <w:t>6</w:t>
        </w:r>
      </w:fldSimple>
      <w:r w:rsidR="007619D7" w:rsidRPr="00D44064">
        <w:t xml:space="preserve">: </w:t>
      </w:r>
      <w:r w:rsidR="00F04958" w:rsidRPr="00D44064">
        <w:t xml:space="preserve">Study CLTR0310-301 </w:t>
      </w:r>
      <w:r w:rsidR="007619D7" w:rsidRPr="00D44064">
        <w:t xml:space="preserve">Number of subjects with </w:t>
      </w:r>
      <w:r w:rsidR="00D01F81" w:rsidRPr="00D44064">
        <w:t xml:space="preserve">Grades 3 to 5 </w:t>
      </w:r>
      <w:r w:rsidR="001E75FB" w:rsidRPr="00D44064">
        <w:t xml:space="preserve">treatment-emergent adverse events </w:t>
      </w:r>
      <w:r w:rsidR="007619D7" w:rsidRPr="00D44064">
        <w:t xml:space="preserve">by </w:t>
      </w:r>
      <w:r w:rsidR="001E75FB" w:rsidRPr="00D44064">
        <w:t>Preferred Term</w:t>
      </w:r>
      <w:r w:rsidR="007619D7" w:rsidRPr="00D44064">
        <w:t xml:space="preserve">, </w:t>
      </w:r>
      <w:r w:rsidR="00D01F81" w:rsidRPr="00D44064">
        <w:t xml:space="preserve">with an </w:t>
      </w:r>
      <w:r w:rsidR="007619D7" w:rsidRPr="00D44064">
        <w:t xml:space="preserve">incidence </w:t>
      </w:r>
      <w:r w:rsidR="00C275B4" w:rsidRPr="00D44064">
        <w:t xml:space="preserve">&gt; </w:t>
      </w:r>
      <w:r w:rsidR="007619D7" w:rsidRPr="00D44064">
        <w:t>5%</w:t>
      </w:r>
      <w:r w:rsidR="00D01F81" w:rsidRPr="00D44064">
        <w:t xml:space="preserve"> in either treatment arm </w:t>
      </w:r>
      <w:r w:rsidR="00F04958" w:rsidRPr="00D44064">
        <w:t>(</w:t>
      </w:r>
      <w:r w:rsidR="001E75FB" w:rsidRPr="00D44064">
        <w:t>safety population</w:t>
      </w:r>
      <w:r w:rsidR="00F04958" w:rsidRPr="00D44064">
        <w:t>)</w:t>
      </w:r>
    </w:p>
    <w:p w14:paraId="1E9BFBC7" w14:textId="210BEB9E" w:rsidR="001E75FB" w:rsidRPr="00D44064" w:rsidRDefault="001E75FB" w:rsidP="00750E41">
      <w:r w:rsidRPr="00D44064">
        <w:rPr>
          <w:noProof/>
          <w:lang w:val="en-GB" w:eastAsia="en-GB"/>
        </w:rPr>
        <w:drawing>
          <wp:inline distT="0" distB="0" distL="0" distR="0" wp14:anchorId="20C7EA1D" wp14:editId="71AD28B4">
            <wp:extent cx="5227528" cy="2427605"/>
            <wp:effectExtent l="0" t="0" r="0" b="0"/>
            <wp:docPr id="12" name="Picture 12" descr="Table 6: Study CLTR0310-301 Number of subjects with Grades 3 to 5 treatment-emergent adverse events by Preferred Term, with an incidence &gt; 5% in either treatment a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6: Study CLTR0310-301 Number of subjects with Grades 3 to 5 treatment-emergent adverse events by Preferred Term, with an incidence &gt; 5% in either treatment arm (safety population)"/>
                    <pic:cNvPicPr/>
                  </pic:nvPicPr>
                  <pic:blipFill>
                    <a:blip r:embed="rId23"/>
                    <a:stretch>
                      <a:fillRect/>
                    </a:stretch>
                  </pic:blipFill>
                  <pic:spPr>
                    <a:xfrm>
                      <a:off x="0" y="0"/>
                      <a:ext cx="5228625" cy="2428114"/>
                    </a:xfrm>
                    <a:prstGeom prst="rect">
                      <a:avLst/>
                    </a:prstGeom>
                  </pic:spPr>
                </pic:pic>
              </a:graphicData>
            </a:graphic>
          </wp:inline>
        </w:drawing>
      </w:r>
    </w:p>
    <w:p w14:paraId="615ADC32" w14:textId="19CC7A9C" w:rsidR="001E75FB" w:rsidRPr="00D44064" w:rsidRDefault="001E75FB" w:rsidP="00750E41">
      <w:pPr>
        <w:pStyle w:val="TableDescription"/>
      </w:pPr>
      <w:r w:rsidRPr="00D44064">
        <w:t xml:space="preserve">Abbreviations: </w:t>
      </w:r>
      <w:r w:rsidR="0036088D" w:rsidRPr="00D44064">
        <w:t xml:space="preserve">CPX-351 = Vyxeos 44 mg daunorubicin/100 mg cytarabine fixed-ratio dosing; </w:t>
      </w:r>
      <w:r w:rsidRPr="00D44064">
        <w:t>N</w:t>
      </w:r>
      <w:r w:rsidR="00750E41" w:rsidRPr="00D44064">
        <w:t> </w:t>
      </w:r>
      <w:r w:rsidRPr="00D44064">
        <w:t>=</w:t>
      </w:r>
      <w:r w:rsidR="00750E41" w:rsidRPr="00D44064">
        <w:t> </w:t>
      </w:r>
      <w:r w:rsidRPr="00D44064">
        <w:t>number of subjects; n = number of subjects in group.</w:t>
      </w:r>
    </w:p>
    <w:p w14:paraId="5DC277AF" w14:textId="787D7B2F" w:rsidR="00D01F81" w:rsidRPr="00D44064" w:rsidRDefault="00D01F81" w:rsidP="00750E41">
      <w:pPr>
        <w:pStyle w:val="TableDescription"/>
      </w:pPr>
      <w:r w:rsidRPr="00D44064">
        <w:t>‘7</w:t>
      </w:r>
      <w:r w:rsidR="005742CC" w:rsidRPr="00D44064">
        <w:t xml:space="preserve"> </w:t>
      </w:r>
      <w:r w:rsidRPr="00D44064">
        <w:t>+</w:t>
      </w:r>
      <w:r w:rsidR="005742CC" w:rsidRPr="00D44064">
        <w:t xml:space="preserve"> </w:t>
      </w:r>
      <w:r w:rsidRPr="00D44064">
        <w:t>3’ protocol: regimen consisting of 7 days of standard-dose cytarabine, and 3 days of daunorubicin.</w:t>
      </w:r>
    </w:p>
    <w:p w14:paraId="30406751" w14:textId="57AFDFF7" w:rsidR="007619D7" w:rsidRPr="00D44064" w:rsidRDefault="007619D7" w:rsidP="007619D7">
      <w:r w:rsidRPr="00D44064">
        <w:t xml:space="preserve">Almost all patients in either arm of </w:t>
      </w:r>
      <w:r w:rsidR="00D84A5C" w:rsidRPr="00D44064">
        <w:t xml:space="preserve">Study CLTR0310-301 </w:t>
      </w:r>
      <w:r w:rsidRPr="00D44064">
        <w:t xml:space="preserve">experienced at least one </w:t>
      </w:r>
      <w:r w:rsidR="004C4A64" w:rsidRPr="00D44064">
        <w:t xml:space="preserve">severe </w:t>
      </w:r>
      <w:r w:rsidRPr="00D44064">
        <w:t>adverse event</w:t>
      </w:r>
      <w:r w:rsidR="00825E68" w:rsidRPr="00D44064">
        <w:t xml:space="preserve"> </w:t>
      </w:r>
      <w:r w:rsidR="004C4A64" w:rsidRPr="00D44064">
        <w:t>(Grade ≥ 3)</w:t>
      </w:r>
      <w:r w:rsidRPr="00D44064">
        <w:t xml:space="preserve">. The most common </w:t>
      </w:r>
      <w:r w:rsidR="004C4A64" w:rsidRPr="00D44064">
        <w:t>serious adverse events</w:t>
      </w:r>
      <w:r w:rsidRPr="00D44064">
        <w:t xml:space="preserve"> </w:t>
      </w:r>
      <w:r w:rsidR="004C4A64" w:rsidRPr="00D44064">
        <w:t xml:space="preserve">by Preferred Terms in either </w:t>
      </w:r>
      <w:r w:rsidR="002A109B" w:rsidRPr="00D44064">
        <w:t xml:space="preserve">the </w:t>
      </w:r>
      <w:r w:rsidR="000A5756" w:rsidRPr="00D44064">
        <w:t xml:space="preserve">Vyxeos or </w:t>
      </w:r>
      <w:r w:rsidR="002A109B" w:rsidRPr="00D44064">
        <w:t xml:space="preserve">the </w:t>
      </w:r>
      <w:r w:rsidR="000A5756" w:rsidRPr="00D44064">
        <w:t>‘7 +</w:t>
      </w:r>
      <w:r w:rsidR="00E93D2B" w:rsidRPr="00D44064">
        <w:t xml:space="preserve"> </w:t>
      </w:r>
      <w:r w:rsidR="000A5756" w:rsidRPr="00D44064">
        <w:t>3’ arm</w:t>
      </w:r>
      <w:r w:rsidR="004C4A64" w:rsidRPr="00D44064">
        <w:t xml:space="preserve"> </w:t>
      </w:r>
      <w:r w:rsidRPr="00D44064">
        <w:t>were febrile neutrop</w:t>
      </w:r>
      <w:r w:rsidR="00ED13A7" w:rsidRPr="00D44064">
        <w:t>a</w:t>
      </w:r>
      <w:r w:rsidRPr="00D44064">
        <w:t>enia, respiratory failure, ejection fraction decrease, sepsis, pneumonia, disease progression and acute respiratory failure</w:t>
      </w:r>
      <w:r w:rsidR="002A109B" w:rsidRPr="00D44064">
        <w:t xml:space="preserve">. The overall percentage of patients with serious adverse events of any grade is higher </w:t>
      </w:r>
      <w:r w:rsidRPr="00D44064">
        <w:t>in the Vyxeos</w:t>
      </w:r>
      <w:r w:rsidR="002A109B" w:rsidRPr="00D44064">
        <w:t xml:space="preserve"> </w:t>
      </w:r>
      <w:r w:rsidRPr="00D44064">
        <w:t xml:space="preserve">than the </w:t>
      </w:r>
      <w:r w:rsidR="00E93D2B" w:rsidRPr="00D44064">
        <w:t>‘7 + 3’</w:t>
      </w:r>
      <w:r w:rsidRPr="00D44064">
        <w:t xml:space="preserve"> arm (59% and 43%</w:t>
      </w:r>
      <w:r w:rsidR="002A109B" w:rsidRPr="00D44064">
        <w:t>,</w:t>
      </w:r>
      <w:r w:rsidRPr="00D44064">
        <w:t xml:space="preserve"> respectively</w:t>
      </w:r>
      <w:r w:rsidR="002A109B" w:rsidRPr="00D44064">
        <w:t>)</w:t>
      </w:r>
      <w:r w:rsidRPr="00D44064">
        <w:t>.</w:t>
      </w:r>
    </w:p>
    <w:p w14:paraId="31C86E1C" w14:textId="062D9260" w:rsidR="007619D7" w:rsidRPr="00D44064" w:rsidRDefault="007619D7" w:rsidP="007619D7">
      <w:r w:rsidRPr="00D44064">
        <w:t>Progressive or relapsed AML was the leading cause of death in either arm of the study.</w:t>
      </w:r>
    </w:p>
    <w:p w14:paraId="12F8BFCC" w14:textId="46469A67" w:rsidR="007619D7" w:rsidRPr="00D44064" w:rsidRDefault="007619D7" w:rsidP="007619D7">
      <w:r w:rsidRPr="00D44064">
        <w:t xml:space="preserve">The </w:t>
      </w:r>
      <w:r w:rsidR="00ED13A7" w:rsidRPr="00D44064">
        <w:t xml:space="preserve">clinical evaluation </w:t>
      </w:r>
      <w:r w:rsidRPr="00D44064">
        <w:t>has recommended approval of Vyxeos following amendments to the draft P</w:t>
      </w:r>
      <w:r w:rsidR="00ED13A7" w:rsidRPr="00D44064">
        <w:t>I</w:t>
      </w:r>
      <w:r w:rsidRPr="00D44064">
        <w:t>.</w:t>
      </w:r>
    </w:p>
    <w:p w14:paraId="655FD3A8" w14:textId="77777777" w:rsidR="008E7846" w:rsidRPr="00D44064" w:rsidRDefault="00386150" w:rsidP="007B6132">
      <w:pPr>
        <w:pStyle w:val="Heading3"/>
        <w:rPr>
          <w:lang w:eastAsia="en-AU"/>
        </w:rPr>
      </w:pPr>
      <w:bookmarkStart w:id="44" w:name="_Toc314842514"/>
      <w:bookmarkStart w:id="45" w:name="_Toc126589466"/>
      <w:r w:rsidRPr="00D44064">
        <w:rPr>
          <w:lang w:eastAsia="en-AU"/>
        </w:rPr>
        <w:t>Risk m</w:t>
      </w:r>
      <w:r w:rsidR="008E7846" w:rsidRPr="00D44064">
        <w:rPr>
          <w:lang w:eastAsia="en-AU"/>
        </w:rPr>
        <w:t xml:space="preserve">anagement </w:t>
      </w:r>
      <w:r w:rsidRPr="00D44064">
        <w:rPr>
          <w:lang w:eastAsia="en-AU"/>
        </w:rPr>
        <w:t>p</w:t>
      </w:r>
      <w:r w:rsidR="008E7846" w:rsidRPr="00D44064">
        <w:rPr>
          <w:lang w:eastAsia="en-AU"/>
        </w:rPr>
        <w:t>lan</w:t>
      </w:r>
      <w:bookmarkEnd w:id="44"/>
      <w:bookmarkEnd w:id="45"/>
    </w:p>
    <w:p w14:paraId="79086CD8" w14:textId="77777777" w:rsidR="0074163C" w:rsidRPr="00D44064" w:rsidRDefault="0074163C" w:rsidP="0074163C">
      <w:bookmarkStart w:id="46" w:name="_Toc247691531"/>
      <w:bookmarkStart w:id="47" w:name="_Toc314842515"/>
      <w:bookmarkStart w:id="48" w:name="_Toc196046505"/>
      <w:bookmarkStart w:id="49" w:name="_Toc196046949"/>
      <w:r w:rsidRPr="00D44064">
        <w:t>The sponsor is required to comply with product vigilance and risk minimisation requirements.</w:t>
      </w:r>
    </w:p>
    <w:p w14:paraId="53449BA5" w14:textId="77777777" w:rsidR="008E7846" w:rsidRPr="00D44064" w:rsidRDefault="00AA0ED0" w:rsidP="008E7846">
      <w:pPr>
        <w:pStyle w:val="Heading3"/>
      </w:pPr>
      <w:bookmarkStart w:id="50" w:name="_Toc126589467"/>
      <w:r w:rsidRPr="00D44064">
        <w:t>Risk-benefit a</w:t>
      </w:r>
      <w:r w:rsidR="008E7846" w:rsidRPr="00D44064">
        <w:t>nalysis</w:t>
      </w:r>
      <w:bookmarkEnd w:id="46"/>
      <w:bookmarkEnd w:id="47"/>
      <w:bookmarkEnd w:id="50"/>
    </w:p>
    <w:p w14:paraId="0A13E87B" w14:textId="77777777" w:rsidR="0074163C" w:rsidRPr="00D44064" w:rsidRDefault="0074163C" w:rsidP="0074163C">
      <w:pPr>
        <w:pStyle w:val="Heading4"/>
      </w:pPr>
      <w:bookmarkStart w:id="51" w:name="_Toc98931932"/>
      <w:r w:rsidRPr="00D44064">
        <w:t>Delegate’s considerations</w:t>
      </w:r>
      <w:bookmarkEnd w:id="51"/>
    </w:p>
    <w:p w14:paraId="2C719332" w14:textId="4D681EEB" w:rsidR="007619D7" w:rsidRPr="00D44064" w:rsidRDefault="007619D7" w:rsidP="007619D7">
      <w:r w:rsidRPr="00D44064">
        <w:t xml:space="preserve">Vyxeos is a novel formulation of </w:t>
      </w:r>
      <w:r w:rsidR="00A712A7" w:rsidRPr="00D44064">
        <w:t>daunorubicin</w:t>
      </w:r>
      <w:r w:rsidRPr="00D44064">
        <w:t xml:space="preserve"> and </w:t>
      </w:r>
      <w:r w:rsidR="00A712A7" w:rsidRPr="00D44064">
        <w:t>cytarabine</w:t>
      </w:r>
      <w:r w:rsidRPr="00D44064">
        <w:t xml:space="preserve"> that offers some improvement in overall survival among high</w:t>
      </w:r>
      <w:r w:rsidR="00376362" w:rsidRPr="00D44064">
        <w:t>-</w:t>
      </w:r>
      <w:r w:rsidRPr="00D44064">
        <w:t xml:space="preserve">risk AML patients undergoing induction or consolidation therapy. This is presumably due to the pharmacokinetic advantages of the liposomal formulation, given that </w:t>
      </w:r>
      <w:r w:rsidRPr="00D44064">
        <w:rPr>
          <w:i/>
          <w:iCs/>
        </w:rPr>
        <w:t>in vitro</w:t>
      </w:r>
      <w:r w:rsidRPr="00D44064">
        <w:t xml:space="preserve"> studies have shown that there is an optimal ratio of </w:t>
      </w:r>
      <w:r w:rsidR="00A712A7" w:rsidRPr="00D44064">
        <w:t>daunorubicin</w:t>
      </w:r>
      <w:r w:rsidRPr="00D44064">
        <w:t xml:space="preserve"> and </w:t>
      </w:r>
      <w:r w:rsidR="00A712A7" w:rsidRPr="00D44064">
        <w:t>cytarabine</w:t>
      </w:r>
      <w:r w:rsidRPr="00D44064">
        <w:t xml:space="preserve"> for cytotoxic activity. The Delegate notes, however, that while </w:t>
      </w:r>
      <w:r w:rsidR="00B85E15" w:rsidRPr="00D44064">
        <w:t>‘</w:t>
      </w:r>
      <w:r w:rsidRPr="00D44064">
        <w:t>7</w:t>
      </w:r>
      <w:r w:rsidR="00C275B4" w:rsidRPr="00D44064">
        <w:t xml:space="preserve"> </w:t>
      </w:r>
      <w:r w:rsidRPr="00D44064">
        <w:t>+</w:t>
      </w:r>
      <w:r w:rsidR="00C275B4" w:rsidRPr="00D44064">
        <w:t xml:space="preserve"> </w:t>
      </w:r>
      <w:r w:rsidRPr="00D44064">
        <w:t>3</w:t>
      </w:r>
      <w:r w:rsidR="00B85E15" w:rsidRPr="00D44064">
        <w:t>’</w:t>
      </w:r>
      <w:r w:rsidRPr="00D44064">
        <w:t xml:space="preserve"> </w:t>
      </w:r>
      <w:r w:rsidR="00B85E15" w:rsidRPr="00D44064">
        <w:t>regimen</w:t>
      </w:r>
      <w:r w:rsidR="00D01F81" w:rsidRPr="00D44064">
        <w:t>;</w:t>
      </w:r>
      <w:r w:rsidR="00D01F81" w:rsidRPr="00D44064">
        <w:rPr>
          <w:vertAlign w:val="superscript"/>
        </w:rPr>
        <w:fldChar w:fldCharType="begin"/>
      </w:r>
      <w:r w:rsidR="00D01F81" w:rsidRPr="00D44064">
        <w:rPr>
          <w:vertAlign w:val="superscript"/>
        </w:rPr>
        <w:instrText xml:space="preserve"> NOTEREF _Ref119691960 \h  \* MERGEFORMAT </w:instrText>
      </w:r>
      <w:r w:rsidR="00D01F81" w:rsidRPr="00D44064">
        <w:rPr>
          <w:vertAlign w:val="superscript"/>
        </w:rPr>
      </w:r>
      <w:r w:rsidR="00D01F81" w:rsidRPr="00D44064">
        <w:rPr>
          <w:vertAlign w:val="superscript"/>
        </w:rPr>
        <w:fldChar w:fldCharType="separate"/>
      </w:r>
      <w:r w:rsidR="00A464E8">
        <w:rPr>
          <w:vertAlign w:val="superscript"/>
        </w:rPr>
        <w:t>20</w:t>
      </w:r>
      <w:r w:rsidR="00D01F81" w:rsidRPr="00D44064">
        <w:rPr>
          <w:vertAlign w:val="superscript"/>
        </w:rPr>
        <w:fldChar w:fldCharType="end"/>
      </w:r>
      <w:r w:rsidR="00B85E15" w:rsidRPr="00D44064">
        <w:t xml:space="preserve"> </w:t>
      </w:r>
      <w:r w:rsidRPr="00D44064">
        <w:t xml:space="preserve">is a common induction treatment is not the only one, and regimens including </w:t>
      </w:r>
      <w:r w:rsidR="00F362EA" w:rsidRPr="00D44064">
        <w:t xml:space="preserve">midostaurin </w:t>
      </w:r>
      <w:r w:rsidRPr="00D44064">
        <w:t xml:space="preserve">or </w:t>
      </w:r>
      <w:r w:rsidR="00376362" w:rsidRPr="00D44064">
        <w:t>gemtuzumab</w:t>
      </w:r>
      <w:r w:rsidR="00F362EA" w:rsidRPr="00D44064">
        <w:t xml:space="preserve"> </w:t>
      </w:r>
      <w:r w:rsidRPr="00D44064">
        <w:t xml:space="preserve">may be included for </w:t>
      </w:r>
      <w:proofErr w:type="gramStart"/>
      <w:r w:rsidRPr="00D44064">
        <w:t>particular types</w:t>
      </w:r>
      <w:proofErr w:type="gramEnd"/>
      <w:r w:rsidRPr="00D44064">
        <w:t xml:space="preserve"> of AML. The superiority of Vyxeos over these regimens has not been examined in this submission.</w:t>
      </w:r>
    </w:p>
    <w:p w14:paraId="1C28A7C7" w14:textId="1FFC9F23" w:rsidR="007619D7" w:rsidRPr="00D44064" w:rsidRDefault="007619D7" w:rsidP="007619D7">
      <w:r w:rsidRPr="00D44064">
        <w:lastRenderedPageBreak/>
        <w:t xml:space="preserve">The </w:t>
      </w:r>
      <w:r w:rsidR="00ED13A7" w:rsidRPr="00D44064">
        <w:t xml:space="preserve">clinical evaluation </w:t>
      </w:r>
      <w:r w:rsidRPr="00D44064">
        <w:t xml:space="preserve">has noted that </w:t>
      </w:r>
      <w:proofErr w:type="gramStart"/>
      <w:r w:rsidRPr="00D44064">
        <w:t>overall</w:t>
      </w:r>
      <w:proofErr w:type="gramEnd"/>
      <w:r w:rsidRPr="00D44064">
        <w:t xml:space="preserve"> there were no significant clinical safety issues. The Delegate concurs that the adverse event profile observed was consistent with the known toxicities of </w:t>
      </w:r>
      <w:r w:rsidR="00A712A7" w:rsidRPr="00D44064">
        <w:t>daunorubicin</w:t>
      </w:r>
      <w:r w:rsidRPr="00D44064">
        <w:t xml:space="preserve"> and </w:t>
      </w:r>
      <w:r w:rsidR="00A712A7" w:rsidRPr="00D44064">
        <w:t>cytarabine</w:t>
      </w:r>
      <w:r w:rsidRPr="00D44064">
        <w:t>.</w:t>
      </w:r>
    </w:p>
    <w:p w14:paraId="7B92F6F4" w14:textId="490C1373" w:rsidR="007619D7" w:rsidRPr="00D44064" w:rsidRDefault="007619D7" w:rsidP="007619D7">
      <w:r w:rsidRPr="00D44064">
        <w:t xml:space="preserve">The </w:t>
      </w:r>
      <w:r w:rsidR="00ED13A7" w:rsidRPr="00D44064">
        <w:t>quality evaluation</w:t>
      </w:r>
      <w:r w:rsidRPr="00D44064">
        <w:t xml:space="preserve"> has noted that fixed</w:t>
      </w:r>
      <w:r w:rsidR="00A712A7" w:rsidRPr="00D44064">
        <w:t xml:space="preserve"> </w:t>
      </w:r>
      <w:r w:rsidRPr="00D44064">
        <w:t>dose combinations usually include the dose of each component in the tradename, hence the preference for Vyxeos 44/100 rather Vyxeos.</w:t>
      </w:r>
      <w:r w:rsidR="00C275B4" w:rsidRPr="00D44064">
        <w:t xml:space="preserve"> </w:t>
      </w:r>
      <w:r w:rsidRPr="00D44064">
        <w:t xml:space="preserve">The Delegate acknowledges this is usually the case but notes that Vyxeos is not a fixed dose combination of </w:t>
      </w:r>
      <w:r w:rsidR="00A712A7" w:rsidRPr="00D44064">
        <w:t>daunorubicin</w:t>
      </w:r>
      <w:r w:rsidRPr="00D44064">
        <w:t xml:space="preserve"> and </w:t>
      </w:r>
      <w:r w:rsidR="00A712A7" w:rsidRPr="00D44064">
        <w:t>cytarabine</w:t>
      </w:r>
      <w:r w:rsidRPr="00D44064">
        <w:t xml:space="preserve"> within a series of incremental doses. It is rather a sole product incorporating a new formulation of </w:t>
      </w:r>
      <w:r w:rsidR="00A712A7" w:rsidRPr="00D44064">
        <w:t>daunorubicin</w:t>
      </w:r>
      <w:r w:rsidRPr="00D44064">
        <w:t xml:space="preserve"> and </w:t>
      </w:r>
      <w:r w:rsidR="00A712A7" w:rsidRPr="00D44064">
        <w:t>cytarabine</w:t>
      </w:r>
      <w:r w:rsidRPr="00D44064">
        <w:t xml:space="preserve"> within a liposomal carrier. Where there are several strengths of fixed combinations available and these are interchangeable with single</w:t>
      </w:r>
      <w:r w:rsidR="00A712A7" w:rsidRPr="00D44064">
        <w:t xml:space="preserve"> </w:t>
      </w:r>
      <w:r w:rsidRPr="00D44064">
        <w:t>component products, as with some blood</w:t>
      </w:r>
      <w:r w:rsidR="00A712A7" w:rsidRPr="00D44064">
        <w:t xml:space="preserve"> </w:t>
      </w:r>
      <w:r w:rsidRPr="00D44064">
        <w:t xml:space="preserve">pressure treatments for example, the inclusion of a products composition in the tradename provides an element of safety to help avoid confusion among similarly named products. The Delegate does not, however, feel this safety issue is relevant with Vyxeos as it is the only example of this formulation and implying it is simply a fixed dose combination of </w:t>
      </w:r>
      <w:r w:rsidR="00A712A7" w:rsidRPr="00D44064">
        <w:t>daunorubicin</w:t>
      </w:r>
      <w:r w:rsidRPr="00D44064">
        <w:t xml:space="preserve"> and </w:t>
      </w:r>
      <w:r w:rsidR="00A712A7" w:rsidRPr="00D44064">
        <w:t>cytarabine</w:t>
      </w:r>
      <w:r w:rsidRPr="00D44064">
        <w:t xml:space="preserve"> could itself be misleading. The Delegate is minded </w:t>
      </w:r>
      <w:proofErr w:type="gramStart"/>
      <w:r w:rsidRPr="00D44064">
        <w:t>to accept</w:t>
      </w:r>
      <w:proofErr w:type="gramEnd"/>
      <w:r w:rsidRPr="00D44064">
        <w:t xml:space="preserve"> the proposed tradename, noting that the composition of the product is on the label. The Delegate notes, however, that were another composition of Vyxeos to become available, the tradename would have to be re</w:t>
      </w:r>
      <w:r w:rsidRPr="00D44064">
        <w:noBreakHyphen/>
        <w:t>examined in this context.</w:t>
      </w:r>
    </w:p>
    <w:p w14:paraId="45FEB398" w14:textId="77777777" w:rsidR="0074163C" w:rsidRPr="00D44064" w:rsidRDefault="0074163C" w:rsidP="0074163C">
      <w:pPr>
        <w:pStyle w:val="Heading4"/>
      </w:pPr>
      <w:bookmarkStart w:id="52" w:name="_Toc98931933"/>
      <w:r w:rsidRPr="00D44064">
        <w:t>Proposed action</w:t>
      </w:r>
      <w:bookmarkEnd w:id="52"/>
    </w:p>
    <w:p w14:paraId="3950F826" w14:textId="77777777" w:rsidR="00F362EA" w:rsidRPr="00D44064" w:rsidRDefault="007619D7" w:rsidP="00ED13A7">
      <w:r w:rsidRPr="00D44064">
        <w:t xml:space="preserve">The Delegate currently intends to register Vyxeos containing </w:t>
      </w:r>
      <w:r w:rsidR="00F362EA" w:rsidRPr="00D44064">
        <w:t xml:space="preserve">44 mg </w:t>
      </w:r>
      <w:r w:rsidR="00A712A7" w:rsidRPr="00D44064">
        <w:t>daunorubicin</w:t>
      </w:r>
      <w:r w:rsidRPr="00D44064">
        <w:t xml:space="preserve"> and </w:t>
      </w:r>
      <w:r w:rsidR="00F362EA" w:rsidRPr="00D44064">
        <w:t xml:space="preserve">100 mg </w:t>
      </w:r>
      <w:r w:rsidR="00A712A7" w:rsidRPr="00D44064">
        <w:t>cytarabine</w:t>
      </w:r>
      <w:r w:rsidRPr="00D44064">
        <w:t xml:space="preserve"> for the indication</w:t>
      </w:r>
      <w:r w:rsidR="00F362EA" w:rsidRPr="00D44064">
        <w:t>:</w:t>
      </w:r>
    </w:p>
    <w:p w14:paraId="7699903D" w14:textId="2538C708" w:rsidR="007619D7" w:rsidRPr="00D44064" w:rsidRDefault="007619D7" w:rsidP="00F362EA">
      <w:pPr>
        <w:ind w:left="720"/>
        <w:rPr>
          <w:i/>
          <w:iCs/>
        </w:rPr>
      </w:pPr>
      <w:r w:rsidRPr="00D44064">
        <w:rPr>
          <w:i/>
          <w:iCs/>
        </w:rPr>
        <w:t>For the treatment of adults with newly diagnosed therapy</w:t>
      </w:r>
      <w:r w:rsidR="00825E68" w:rsidRPr="00D44064">
        <w:rPr>
          <w:i/>
          <w:iCs/>
        </w:rPr>
        <w:t>-</w:t>
      </w:r>
      <w:r w:rsidRPr="00D44064">
        <w:rPr>
          <w:i/>
          <w:iCs/>
        </w:rPr>
        <w:t>related acute myeloid leukaemia (t-AML) or AML with myelodysplasia</w:t>
      </w:r>
      <w:r w:rsidR="00825E68" w:rsidRPr="00D44064">
        <w:rPr>
          <w:i/>
          <w:iCs/>
        </w:rPr>
        <w:t>-</w:t>
      </w:r>
      <w:r w:rsidRPr="00D44064">
        <w:rPr>
          <w:i/>
          <w:iCs/>
        </w:rPr>
        <w:t>related changes (AML-MRC)</w:t>
      </w:r>
    </w:p>
    <w:p w14:paraId="7C3F764F" w14:textId="27A876F3" w:rsidR="007619D7" w:rsidRPr="00D44064" w:rsidRDefault="007619D7" w:rsidP="00ED13A7">
      <w:r w:rsidRPr="00D44064">
        <w:t>The P</w:t>
      </w:r>
      <w:r w:rsidR="00825E68" w:rsidRPr="00D44064">
        <w:t>I</w:t>
      </w:r>
      <w:r w:rsidRPr="00D44064">
        <w:t xml:space="preserve"> approved with this application will be amended as requested by the </w:t>
      </w:r>
      <w:r w:rsidR="00ED13A7" w:rsidRPr="00D44064">
        <w:t>nonclinical</w:t>
      </w:r>
      <w:r w:rsidRPr="00D44064">
        <w:t xml:space="preserve"> </w:t>
      </w:r>
      <w:r w:rsidR="00ED13A7" w:rsidRPr="00D44064">
        <w:t>evaluation</w:t>
      </w:r>
      <w:r w:rsidRPr="00D44064">
        <w:t>.</w:t>
      </w:r>
    </w:p>
    <w:p w14:paraId="29AAA22C" w14:textId="77777777" w:rsidR="007619D7" w:rsidRPr="00D44064" w:rsidRDefault="007619D7" w:rsidP="00ED13A7">
      <w:r w:rsidRPr="00D44064">
        <w:t>The Delegate notes that the intention to approve of this application is contingent on acceptable GMP clearance being available for all manufacturing sites at the time of the decision.</w:t>
      </w:r>
    </w:p>
    <w:p w14:paraId="7716E3A6" w14:textId="323C59F9" w:rsidR="007619D7" w:rsidRPr="00D44064" w:rsidRDefault="007619D7" w:rsidP="00ED13A7">
      <w:r w:rsidRPr="00D44064">
        <w:t xml:space="preserve">The </w:t>
      </w:r>
      <w:r w:rsidR="00D84A5C" w:rsidRPr="00D44064">
        <w:t>sponsor</w:t>
      </w:r>
      <w:r w:rsidRPr="00D44064">
        <w:t xml:space="preserve"> is requested to provide a PI document annotated to indicate where amendments have been made at the request of the evaluators, and evidence of acceptable GMP for manufacturing sites, to expedite resolution of this application</w:t>
      </w:r>
    </w:p>
    <w:p w14:paraId="20DA165F" w14:textId="77777777" w:rsidR="0074163C" w:rsidRPr="00D44064" w:rsidRDefault="0074163C" w:rsidP="0074163C">
      <w:pPr>
        <w:pStyle w:val="Heading4"/>
      </w:pPr>
      <w:bookmarkStart w:id="53" w:name="_Toc98931936"/>
      <w:bookmarkStart w:id="54" w:name="_Toc247691532"/>
      <w:bookmarkStart w:id="55" w:name="_Toc314842516"/>
      <w:bookmarkEnd w:id="28"/>
      <w:bookmarkEnd w:id="48"/>
      <w:bookmarkEnd w:id="49"/>
      <w:r w:rsidRPr="00D44064">
        <w:t>Advisory Committee considerations</w:t>
      </w:r>
      <w:bookmarkEnd w:id="53"/>
    </w:p>
    <w:p w14:paraId="1C45E113" w14:textId="4CE96DC4" w:rsidR="0074163C" w:rsidRPr="00D44064" w:rsidRDefault="0074163C" w:rsidP="0074163C">
      <w:r w:rsidRPr="00D44064">
        <w:t xml:space="preserve">The Delegate did not refer this </w:t>
      </w:r>
      <w:r w:rsidR="00BB0B78" w:rsidRPr="00D44064">
        <w:t>submission</w:t>
      </w:r>
      <w:r w:rsidRPr="00D44064">
        <w:t xml:space="preserve"> to the Advisory Committee on Medicines (ACM) for advice.</w:t>
      </w:r>
    </w:p>
    <w:p w14:paraId="3FD85285" w14:textId="77777777" w:rsidR="008E7846" w:rsidRPr="00D44064" w:rsidRDefault="008E7846" w:rsidP="00D212F3">
      <w:pPr>
        <w:pStyle w:val="Heading2"/>
      </w:pPr>
      <w:bookmarkStart w:id="56" w:name="_Toc126589468"/>
      <w:r w:rsidRPr="00D44064">
        <w:t>Outcome</w:t>
      </w:r>
      <w:bookmarkEnd w:id="54"/>
      <w:bookmarkEnd w:id="55"/>
      <w:bookmarkEnd w:id="56"/>
    </w:p>
    <w:p w14:paraId="68E29021" w14:textId="45C677C9" w:rsidR="0074163C" w:rsidRPr="00D44064" w:rsidRDefault="0074163C" w:rsidP="0074163C">
      <w:bookmarkStart w:id="57" w:name="_Toc247691533"/>
      <w:bookmarkStart w:id="58" w:name="_Toc314842517"/>
      <w:r w:rsidRPr="00D44064">
        <w:t xml:space="preserve">Based on a review of quality, </w:t>
      </w:r>
      <w:r w:rsidR="00CC5044" w:rsidRPr="00D44064">
        <w:t>safety,</w:t>
      </w:r>
      <w:r w:rsidRPr="00D44064">
        <w:t xml:space="preserve"> and efficacy, the TGA approved the registration of </w:t>
      </w:r>
      <w:r w:rsidR="000E2A3D" w:rsidRPr="00D44064">
        <w:t>Vyxeos</w:t>
      </w:r>
      <w:r w:rsidRPr="00D44064">
        <w:t xml:space="preserve"> (</w:t>
      </w:r>
      <w:r w:rsidR="00DE5E44" w:rsidRPr="00D44064">
        <w:t>44 mg daunorubicin hydrochloride and 100 mg cytarabine)</w:t>
      </w:r>
      <w:r w:rsidRPr="00D44064">
        <w:t xml:space="preserve">, </w:t>
      </w:r>
      <w:r w:rsidR="00DE5E44" w:rsidRPr="00D44064">
        <w:t>powder for injection</w:t>
      </w:r>
      <w:r w:rsidRPr="00D44064">
        <w:t xml:space="preserve">, </w:t>
      </w:r>
      <w:r w:rsidR="00DE5E44" w:rsidRPr="00D44064">
        <w:t>vial</w:t>
      </w:r>
      <w:r w:rsidRPr="00D44064">
        <w:t>, indicated for:</w:t>
      </w:r>
    </w:p>
    <w:p w14:paraId="2C63C18E" w14:textId="0A052627" w:rsidR="00436C6B" w:rsidRPr="00D44064" w:rsidRDefault="00436C6B" w:rsidP="00436C6B">
      <w:pPr>
        <w:ind w:left="720"/>
      </w:pPr>
      <w:r w:rsidRPr="00D44064">
        <w:rPr>
          <w:i/>
          <w:iCs/>
        </w:rPr>
        <w:t>Vyxeos is indicated for the treatment of adults with newly diagnosed, therapy-related acute myeloid leukaemia (t-AML) or AML with myelodysplasia-related changes (AMLMRC)</w:t>
      </w:r>
    </w:p>
    <w:p w14:paraId="70F945C3" w14:textId="77777777" w:rsidR="00D23139" w:rsidRPr="00D44064" w:rsidRDefault="00D23139" w:rsidP="00D212F3">
      <w:pPr>
        <w:pStyle w:val="Heading3"/>
      </w:pPr>
      <w:bookmarkStart w:id="59" w:name="_Toc126589469"/>
      <w:r w:rsidRPr="00D44064">
        <w:lastRenderedPageBreak/>
        <w:t>Specific conditions of registration applying to these goods</w:t>
      </w:r>
      <w:bookmarkEnd w:id="59"/>
    </w:p>
    <w:p w14:paraId="08187304" w14:textId="23F76BAA" w:rsidR="00E219BE" w:rsidRDefault="00E219BE" w:rsidP="007619D7">
      <w:pPr>
        <w:pStyle w:val="ListBullet"/>
      </w:pPr>
      <w:r w:rsidRPr="00E219BE">
        <w:t xml:space="preserve">Vyxeos (daunorubicin and cytarabine) is to be included in the Black Triangle Scheme. The PI and CMI </w:t>
      </w:r>
      <w:r>
        <w:t>[</w:t>
      </w:r>
      <w:r w:rsidRPr="00E219BE">
        <w:t>Consumer Medicines Information</w:t>
      </w:r>
      <w:r>
        <w:t>]</w:t>
      </w:r>
      <w:r w:rsidRPr="00E219BE">
        <w:t xml:space="preserve"> for Vyxeos must include the black triangle symbol and mandatory accompanying text for five years, which starts from the date that the sponsor notifies the TGA of supply of the product.</w:t>
      </w:r>
    </w:p>
    <w:p w14:paraId="1234A824" w14:textId="48B2A2B2" w:rsidR="0074163C" w:rsidRPr="00D44064" w:rsidRDefault="007619D7" w:rsidP="007619D7">
      <w:pPr>
        <w:pStyle w:val="ListBullet"/>
      </w:pPr>
      <w:r w:rsidRPr="00D44064">
        <w:t>For all injectable products the Product Information must be included with the product as a package insert.</w:t>
      </w:r>
    </w:p>
    <w:p w14:paraId="2428912A" w14:textId="77777777" w:rsidR="008E7846" w:rsidRPr="00D44064" w:rsidRDefault="00A80B5B" w:rsidP="00D23139">
      <w:pPr>
        <w:pStyle w:val="Heading2"/>
      </w:pPr>
      <w:bookmarkStart w:id="60" w:name="_Toc126589470"/>
      <w:r w:rsidRPr="00D44064">
        <w:t xml:space="preserve">Attachment 1. </w:t>
      </w:r>
      <w:r w:rsidR="008E7846" w:rsidRPr="00D44064">
        <w:t xml:space="preserve">Product </w:t>
      </w:r>
      <w:r w:rsidR="00AA0ED0" w:rsidRPr="00D44064">
        <w:t>I</w:t>
      </w:r>
      <w:r w:rsidR="008E7846" w:rsidRPr="00D44064">
        <w:t>nformation</w:t>
      </w:r>
      <w:bookmarkEnd w:id="57"/>
      <w:bookmarkEnd w:id="58"/>
      <w:bookmarkEnd w:id="60"/>
    </w:p>
    <w:p w14:paraId="4355C057" w14:textId="6DC13D66" w:rsidR="00523A21" w:rsidRPr="00D44064" w:rsidRDefault="006136D7" w:rsidP="00C80137">
      <w:r w:rsidRPr="00D44064">
        <w:t xml:space="preserve">The PI for </w:t>
      </w:r>
      <w:r w:rsidR="000E2A3D" w:rsidRPr="00D44064">
        <w:t>Vyxeos</w:t>
      </w:r>
      <w:r w:rsidR="0074163C" w:rsidRPr="00D44064">
        <w:t xml:space="preserve"> </w:t>
      </w:r>
      <w:r w:rsidRPr="00D44064">
        <w:t>approved with the submission which is described in this AusPAR is at Attachment 1.</w:t>
      </w:r>
      <w:r w:rsidR="00CC5044" w:rsidRPr="00D44064">
        <w:t xml:space="preserve"> </w:t>
      </w:r>
      <w:r w:rsidR="0074163C" w:rsidRPr="00D44064">
        <w:t xml:space="preserve">For the most recent PI, please refer to the TGA </w:t>
      </w:r>
      <w:hyperlink r:id="rId24" w:history="1">
        <w:r w:rsidR="0074163C" w:rsidRPr="00D44064">
          <w:rPr>
            <w:rStyle w:val="Hyperlink"/>
          </w:rPr>
          <w:t>PI/CMI search facility</w:t>
        </w:r>
        <w:r w:rsidR="0074163C" w:rsidRPr="00D44064">
          <w:rPr>
            <w:rStyle w:val="Hyperlink"/>
            <w:color w:val="auto"/>
            <w:u w:val="none"/>
          </w:rPr>
          <w:t>.</w:t>
        </w:r>
      </w:hyperlink>
    </w:p>
    <w:p w14:paraId="0B808BB7" w14:textId="77777777" w:rsidR="00744121" w:rsidRPr="00D44064" w:rsidRDefault="00744121" w:rsidP="00744121">
      <w:pPr>
        <w:rPr>
          <w:lang w:eastAsia="ja-JP"/>
        </w:rPr>
      </w:pPr>
    </w:p>
    <w:p w14:paraId="5D7C9B49" w14:textId="77777777" w:rsidR="00C80137" w:rsidRPr="00D44064" w:rsidRDefault="00C80137" w:rsidP="003A7F6C">
      <w:pPr>
        <w:pStyle w:val="TableTitle"/>
        <w:sectPr w:rsidR="00C80137" w:rsidRPr="00D44064" w:rsidSect="00B452CE">
          <w:headerReference w:type="even" r:id="rId25"/>
          <w:headerReference w:type="default" r:id="rId26"/>
          <w:headerReference w:type="first" r:id="rId27"/>
          <w:footerReference w:type="first" r:id="rId2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D44064" w14:paraId="0458F799" w14:textId="77777777" w:rsidTr="00A05FA4">
        <w:trPr>
          <w:trHeight w:hRule="exact" w:val="704"/>
        </w:trPr>
        <w:tc>
          <w:tcPr>
            <w:tcW w:w="9175" w:type="dxa"/>
          </w:tcPr>
          <w:p w14:paraId="105E1504" w14:textId="77777777" w:rsidR="001C32CD" w:rsidRPr="00D44064" w:rsidRDefault="001C32CD" w:rsidP="00A05FA4">
            <w:pPr>
              <w:pStyle w:val="TGASignoff"/>
            </w:pPr>
            <w:r w:rsidRPr="00D44064">
              <w:lastRenderedPageBreak/>
              <w:t>Therapeutic Goods Administration</w:t>
            </w:r>
          </w:p>
        </w:tc>
      </w:tr>
      <w:tr w:rsidR="001C32CD" w:rsidRPr="004C239D" w14:paraId="5075D69A" w14:textId="77777777" w:rsidTr="00A05FA4">
        <w:trPr>
          <w:trHeight w:val="1221"/>
        </w:trPr>
        <w:tc>
          <w:tcPr>
            <w:tcW w:w="9175" w:type="dxa"/>
            <w:tcMar>
              <w:top w:w="28" w:type="dxa"/>
            </w:tcMar>
          </w:tcPr>
          <w:p w14:paraId="641F6473" w14:textId="77777777" w:rsidR="001C32CD" w:rsidRPr="00D44064" w:rsidRDefault="001C32CD" w:rsidP="00A05FA4">
            <w:pPr>
              <w:pStyle w:val="Address"/>
            </w:pPr>
            <w:r w:rsidRPr="00D44064">
              <w:t>PO Box 100 Woden ACT 2606 Australia</w:t>
            </w:r>
          </w:p>
          <w:p w14:paraId="235D6EA3" w14:textId="295D6DEA" w:rsidR="001C32CD" w:rsidRPr="00D44064" w:rsidRDefault="001C32CD" w:rsidP="00A05FA4">
            <w:pPr>
              <w:pStyle w:val="Address"/>
            </w:pPr>
            <w:r w:rsidRPr="00D44064">
              <w:t xml:space="preserve">Email: </w:t>
            </w:r>
            <w:hyperlink r:id="rId29" w:history="1">
              <w:r w:rsidRPr="00D44064">
                <w:rPr>
                  <w:rStyle w:val="Hyperlink"/>
                </w:rPr>
                <w:t>info@tga.gov.au</w:t>
              </w:r>
            </w:hyperlink>
            <w:r w:rsidRPr="00D44064">
              <w:t xml:space="preserve">  Phone: 1800 020 </w:t>
            </w:r>
            <w:proofErr w:type="gramStart"/>
            <w:r w:rsidRPr="00D44064">
              <w:t>653  Fax</w:t>
            </w:r>
            <w:proofErr w:type="gramEnd"/>
            <w:r w:rsidRPr="00D44064">
              <w:t>: 02 6232 8605</w:t>
            </w:r>
          </w:p>
          <w:p w14:paraId="526A3B68" w14:textId="004E673A" w:rsidR="001C32CD" w:rsidRPr="004C239D" w:rsidRDefault="00B403C7" w:rsidP="00A05FA4">
            <w:pPr>
              <w:pStyle w:val="Address"/>
              <w:spacing w:line="260" w:lineRule="atLeast"/>
              <w:rPr>
                <w:b/>
                <w:color w:val="0000FF"/>
                <w:u w:val="single"/>
              </w:rPr>
            </w:pPr>
            <w:hyperlink r:id="rId30" w:history="1">
              <w:r w:rsidR="007C6B9B" w:rsidRPr="00D44064">
                <w:rPr>
                  <w:rStyle w:val="Hyperlink"/>
                  <w:b/>
                </w:rPr>
                <w:t>https://www.tga.gov.au</w:t>
              </w:r>
            </w:hyperlink>
          </w:p>
        </w:tc>
      </w:tr>
    </w:tbl>
    <w:p w14:paraId="53B6B945" w14:textId="77777777" w:rsidR="00774E1D" w:rsidRPr="008A5E0B" w:rsidRDefault="00774E1D" w:rsidP="004C239D"/>
    <w:sectPr w:rsidR="00774E1D" w:rsidRPr="008A5E0B" w:rsidSect="001C32CD">
      <w:headerReference w:type="even" r:id="rId31"/>
      <w:headerReference w:type="default" r:id="rId32"/>
      <w:footerReference w:type="default" r:id="rId33"/>
      <w:headerReference w:type="first" r:id="rId34"/>
      <w:footerReference w:type="first" r:id="rId3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04B4E" w14:textId="77777777" w:rsidR="009A00D6" w:rsidRDefault="009A00D6" w:rsidP="00C40A36">
      <w:pPr>
        <w:spacing w:after="0"/>
      </w:pPr>
      <w:r>
        <w:separator/>
      </w:r>
    </w:p>
  </w:endnote>
  <w:endnote w:type="continuationSeparator" w:id="0">
    <w:p w14:paraId="573CB1F6" w14:textId="77777777" w:rsidR="009A00D6" w:rsidRDefault="009A00D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A00D6" w:rsidRPr="00487162" w14:paraId="0AB1BD3A" w14:textId="77777777" w:rsidTr="00DB750B">
      <w:trPr>
        <w:trHeight w:val="269"/>
      </w:trPr>
      <w:tc>
        <w:tcPr>
          <w:tcW w:w="7371" w:type="dxa"/>
          <w:tcMar>
            <w:top w:w="142" w:type="dxa"/>
            <w:bottom w:w="0" w:type="dxa"/>
          </w:tcMar>
        </w:tcPr>
        <w:p w14:paraId="22A78D1B" w14:textId="01293179" w:rsidR="009A00D6" w:rsidRPr="00487162" w:rsidRDefault="009A00D6" w:rsidP="00460036">
          <w:pPr>
            <w:pStyle w:val="Footer"/>
          </w:pPr>
          <w:r w:rsidRPr="00487162">
            <w:t>AusPA</w:t>
          </w:r>
          <w:r>
            <w:t xml:space="preserve">R - </w:t>
          </w:r>
          <w:r w:rsidRPr="000E2A3D">
            <w:t xml:space="preserve">Vyxeos </w:t>
          </w:r>
          <w:r>
            <w:t>-</w:t>
          </w:r>
          <w:r w:rsidRPr="00460036">
            <w:t xml:space="preserve"> </w:t>
          </w:r>
          <w:r w:rsidRPr="000E2A3D">
            <w:t xml:space="preserve">daunorubicin/cytarabine </w:t>
          </w:r>
          <w:r>
            <w:t xml:space="preserve">- </w:t>
          </w:r>
          <w:r w:rsidRPr="00461D89">
            <w:t>Jazz Pharmaceuticals ANZ</w:t>
          </w:r>
          <w:r w:rsidR="00477B98">
            <w:t xml:space="preserve"> </w:t>
          </w:r>
          <w:r w:rsidRPr="00461D89">
            <w:t>Pty Ltd</w:t>
          </w:r>
          <w:r>
            <w:t xml:space="preserve"> - </w:t>
          </w:r>
          <w:r w:rsidR="004B29F5">
            <w:br/>
          </w:r>
          <w:r w:rsidRPr="00461D89">
            <w:t>PM-2021-01677-1-6</w:t>
          </w:r>
          <w:r>
            <w:br/>
          </w:r>
          <w:r w:rsidR="00477B98">
            <w:t xml:space="preserve">Final </w:t>
          </w:r>
          <w:r w:rsidR="00E219BE">
            <w:t>6 February 2023</w:t>
          </w:r>
        </w:p>
      </w:tc>
      <w:tc>
        <w:tcPr>
          <w:tcW w:w="1490" w:type="dxa"/>
          <w:tcMar>
            <w:top w:w="142" w:type="dxa"/>
            <w:bottom w:w="0" w:type="dxa"/>
          </w:tcMar>
        </w:tcPr>
        <w:p w14:paraId="10DD0912" w14:textId="0EC3E492" w:rsidR="009A00D6" w:rsidRPr="00487162" w:rsidRDefault="009A00D6" w:rsidP="00DB750B">
          <w:pPr>
            <w:pStyle w:val="Footer"/>
            <w:jc w:val="right"/>
          </w:pPr>
          <w:r w:rsidRPr="00487162">
            <w:t xml:space="preserve">Page </w:t>
          </w:r>
          <w:r>
            <w:fldChar w:fldCharType="begin"/>
          </w:r>
          <w:r>
            <w:instrText xml:space="preserve"> PAGE  \* Arabic </w:instrText>
          </w:r>
          <w:r>
            <w:fldChar w:fldCharType="separate"/>
          </w:r>
          <w:r w:rsidR="00D61D19">
            <w:rPr>
              <w:noProof/>
            </w:rPr>
            <w:t>13</w:t>
          </w:r>
          <w:r>
            <w:fldChar w:fldCharType="end"/>
          </w:r>
          <w:r w:rsidRPr="00487162">
            <w:t xml:space="preserve"> of </w:t>
          </w:r>
          <w:fldSimple w:instr=" NUMPAGES  \* Arabic ">
            <w:r w:rsidR="00D61D19">
              <w:rPr>
                <w:noProof/>
              </w:rPr>
              <w:t>23</w:t>
            </w:r>
          </w:fldSimple>
        </w:p>
      </w:tc>
    </w:tr>
  </w:tbl>
  <w:p w14:paraId="5FB50AB2" w14:textId="77777777" w:rsidR="009A00D6" w:rsidRDefault="009A00D6"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A00D6" w:rsidRPr="00487162" w14:paraId="269605F0" w14:textId="77777777" w:rsidTr="00E45619">
      <w:trPr>
        <w:trHeight w:val="269"/>
      </w:trPr>
      <w:tc>
        <w:tcPr>
          <w:tcW w:w="4519" w:type="dxa"/>
          <w:tcBorders>
            <w:top w:val="single" w:sz="4" w:space="0" w:color="auto"/>
          </w:tcBorders>
          <w:tcMar>
            <w:top w:w="142" w:type="dxa"/>
            <w:bottom w:w="0" w:type="dxa"/>
          </w:tcMar>
        </w:tcPr>
        <w:p w14:paraId="715D23A4" w14:textId="77777777" w:rsidR="009A00D6" w:rsidRPr="00487162" w:rsidRDefault="009A00D6" w:rsidP="00FE1DEE">
          <w:pPr>
            <w:pStyle w:val="Footer"/>
          </w:pPr>
          <w:r w:rsidRPr="00487162">
            <w:t>Document title, Part #, Section # - Section title</w:t>
          </w:r>
        </w:p>
        <w:p w14:paraId="1D2D5187" w14:textId="77777777" w:rsidR="009A00D6" w:rsidRPr="00487162" w:rsidRDefault="009A00D6" w:rsidP="00FE1DEE">
          <w:pPr>
            <w:pStyle w:val="Footer"/>
          </w:pPr>
          <w:r w:rsidRPr="00487162">
            <w:t>V1.0 October 2010</w:t>
          </w:r>
        </w:p>
      </w:tc>
      <w:tc>
        <w:tcPr>
          <w:tcW w:w="4342" w:type="dxa"/>
          <w:tcBorders>
            <w:top w:val="single" w:sz="4" w:space="0" w:color="auto"/>
          </w:tcBorders>
          <w:tcMar>
            <w:top w:w="142" w:type="dxa"/>
            <w:bottom w:w="0" w:type="dxa"/>
          </w:tcMar>
        </w:tcPr>
        <w:p w14:paraId="6E9D60C3" w14:textId="77777777" w:rsidR="009A00D6" w:rsidRPr="00487162" w:rsidRDefault="009A00D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646E8DA5" w14:textId="77777777" w:rsidR="009A00D6" w:rsidRDefault="009A00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CCBEE" w14:textId="77777777" w:rsidR="009A00D6" w:rsidRPr="001C32CD" w:rsidRDefault="009A00D6"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A00D6" w14:paraId="50CF3D6A" w14:textId="77777777" w:rsidTr="0010601F">
      <w:trPr>
        <w:trHeight w:val="108"/>
      </w:trPr>
      <w:tc>
        <w:tcPr>
          <w:tcW w:w="8875" w:type="dxa"/>
          <w:gridSpan w:val="2"/>
          <w:tcBorders>
            <w:bottom w:val="single" w:sz="4" w:space="0" w:color="auto"/>
          </w:tcBorders>
          <w:tcMar>
            <w:right w:w="284" w:type="dxa"/>
          </w:tcMar>
        </w:tcPr>
        <w:p w14:paraId="5575E495" w14:textId="77777777" w:rsidR="009A00D6" w:rsidRDefault="009A00D6" w:rsidP="006E08B3">
          <w:pPr>
            <w:pStyle w:val="Heading3"/>
          </w:pPr>
          <w:r>
            <w:t>Copyright</w:t>
          </w:r>
        </w:p>
        <w:p w14:paraId="26CF0A96" w14:textId="77777777" w:rsidR="009A00D6" w:rsidRDefault="009A00D6" w:rsidP="006E08B3">
          <w:r>
            <w:rPr>
              <w:rFonts w:cs="Arial"/>
            </w:rPr>
            <w:t>©</w:t>
          </w:r>
          <w:r>
            <w:t xml:space="preserve"> Commonwealth of Australia [add year]</w:t>
          </w:r>
        </w:p>
        <w:p w14:paraId="6FD5E9E4" w14:textId="77777777" w:rsidR="009A00D6" w:rsidRDefault="009A00D6" w:rsidP="006E08B3"/>
        <w:p w14:paraId="7C7AC204" w14:textId="77777777" w:rsidR="009A00D6" w:rsidRDefault="009A00D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0C720CC4" w14:textId="77777777" w:rsidR="009A00D6" w:rsidRDefault="009A00D6" w:rsidP="006E08B3"/>
        <w:p w14:paraId="0E6071AE" w14:textId="77777777" w:rsidR="009A00D6" w:rsidRDefault="009A00D6" w:rsidP="006E08B3">
          <w:pPr>
            <w:pStyle w:val="Heading3"/>
          </w:pPr>
          <w:r>
            <w:t>Confidentiality</w:t>
          </w:r>
        </w:p>
        <w:p w14:paraId="24F5D5B6" w14:textId="77777777" w:rsidR="009A00D6" w:rsidRDefault="009A00D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614751F" w14:textId="77777777" w:rsidR="009A00D6" w:rsidRDefault="009A00D6" w:rsidP="006E08B3"/>
        <w:p w14:paraId="59DDDD1C" w14:textId="77777777" w:rsidR="009A00D6" w:rsidRDefault="009A00D6" w:rsidP="006E08B3">
          <w:r>
            <w:t>For submission made by individuals, all personal details, other than your name, will be removed from your submission before it is published on the TGA’s Internet site.</w:t>
          </w:r>
        </w:p>
        <w:p w14:paraId="2F785383" w14:textId="77777777" w:rsidR="009A00D6" w:rsidRDefault="009A00D6" w:rsidP="006E08B3"/>
        <w:p w14:paraId="3628A859" w14:textId="77777777" w:rsidR="009A00D6" w:rsidRDefault="009A00D6" w:rsidP="006E08B3">
          <w:r>
            <w:t>In addition, a list of parties making submissions will be published. If you do not wish to be identified with your submission you must specifically request this in the space provided in the submission coversheet.</w:t>
          </w:r>
        </w:p>
      </w:tc>
    </w:tr>
    <w:tr w:rsidR="009A00D6" w14:paraId="0495C274" w14:textId="77777777" w:rsidTr="0010601F">
      <w:trPr>
        <w:trHeight w:val="417"/>
      </w:trPr>
      <w:tc>
        <w:tcPr>
          <w:tcW w:w="4519" w:type="dxa"/>
          <w:tcBorders>
            <w:top w:val="single" w:sz="4" w:space="0" w:color="auto"/>
          </w:tcBorders>
          <w:tcMar>
            <w:top w:w="142" w:type="dxa"/>
            <w:bottom w:w="0" w:type="dxa"/>
          </w:tcMar>
        </w:tcPr>
        <w:p w14:paraId="3973F89B" w14:textId="77777777" w:rsidR="009A00D6" w:rsidRDefault="009A00D6" w:rsidP="006E08B3">
          <w:r>
            <w:t>Document title, Part #, Section # - Section title</w:t>
          </w:r>
        </w:p>
        <w:p w14:paraId="311517C5" w14:textId="77777777" w:rsidR="009A00D6" w:rsidRDefault="009A00D6" w:rsidP="006E08B3">
          <w:r>
            <w:t>V1.0 October 2010</w:t>
          </w:r>
        </w:p>
      </w:tc>
      <w:tc>
        <w:tcPr>
          <w:tcW w:w="4356" w:type="dxa"/>
          <w:tcBorders>
            <w:top w:val="single" w:sz="4" w:space="0" w:color="auto"/>
          </w:tcBorders>
          <w:tcMar>
            <w:top w:w="142" w:type="dxa"/>
            <w:bottom w:w="0" w:type="dxa"/>
          </w:tcMar>
        </w:tcPr>
        <w:p w14:paraId="113DA2A8" w14:textId="77777777" w:rsidR="009A00D6" w:rsidRDefault="009A00D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00519132" w14:textId="77777777" w:rsidR="009A00D6" w:rsidRDefault="009A00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35B8D" w14:textId="77777777" w:rsidR="009A00D6" w:rsidRDefault="009A00D6" w:rsidP="00C40A36">
      <w:pPr>
        <w:spacing w:after="0"/>
      </w:pPr>
      <w:r>
        <w:separator/>
      </w:r>
    </w:p>
  </w:footnote>
  <w:footnote w:type="continuationSeparator" w:id="0">
    <w:p w14:paraId="04A7686F" w14:textId="77777777" w:rsidR="009A00D6" w:rsidRDefault="009A00D6" w:rsidP="00C40A36">
      <w:pPr>
        <w:spacing w:after="0"/>
      </w:pPr>
      <w:r>
        <w:continuationSeparator/>
      </w:r>
    </w:p>
  </w:footnote>
  <w:footnote w:id="1">
    <w:p w14:paraId="6CE0D170" w14:textId="75AFDEF6" w:rsidR="009A00D6" w:rsidRDefault="009A00D6">
      <w:pPr>
        <w:pStyle w:val="FootnoteText"/>
      </w:pPr>
      <w:r>
        <w:rPr>
          <w:rStyle w:val="FootnoteReference"/>
        </w:rPr>
        <w:footnoteRef/>
      </w:r>
      <w:r>
        <w:t xml:space="preserve"> </w:t>
      </w:r>
      <w:r w:rsidRPr="00A54708">
        <w:t>Fey</w:t>
      </w:r>
      <w:r>
        <w:t xml:space="preserve">, M.F. et al. </w:t>
      </w:r>
      <w:r w:rsidRPr="00A54708">
        <w:t>Acute Myeloblastic Leukaemias in Adult Patients: ESMO Clinical Practice Guidelines for Diagnosis, Treatment and Follow-Up</w:t>
      </w:r>
      <w:r>
        <w:t xml:space="preserve">, </w:t>
      </w:r>
      <w:r w:rsidRPr="00A54708">
        <w:rPr>
          <w:i/>
          <w:iCs/>
        </w:rPr>
        <w:t>Ann Oncol</w:t>
      </w:r>
      <w:r>
        <w:t>, 2013; 24 Suppl 6: vi138-143.</w:t>
      </w:r>
    </w:p>
  </w:footnote>
  <w:footnote w:id="2">
    <w:p w14:paraId="280BB3FC" w14:textId="366A7325" w:rsidR="009A00D6" w:rsidRDefault="009A00D6">
      <w:pPr>
        <w:pStyle w:val="FootnoteText"/>
      </w:pPr>
      <w:r>
        <w:rPr>
          <w:rStyle w:val="FootnoteReference"/>
        </w:rPr>
        <w:footnoteRef/>
      </w:r>
      <w:r>
        <w:t xml:space="preserve"> National Cancer Institute (NIH) Surveillance, Epidermiology, and End Results Program (</w:t>
      </w:r>
      <w:r w:rsidRPr="00A54708">
        <w:t>SEER</w:t>
      </w:r>
      <w:r>
        <w:t>),</w:t>
      </w:r>
      <w:r w:rsidRPr="00A54708">
        <w:t xml:space="preserve"> Cancer Stat Facts: Leukemia </w:t>
      </w:r>
      <w:r>
        <w:t>-</w:t>
      </w:r>
      <w:r w:rsidRPr="00A54708">
        <w:t xml:space="preserve"> Acute Myeloid Leukemia (AML)</w:t>
      </w:r>
      <w:r>
        <w:t xml:space="preserve">, </w:t>
      </w:r>
      <w:r w:rsidRPr="00A54708">
        <w:t>2020</w:t>
      </w:r>
      <w:r>
        <w:t xml:space="preserve">. Available at: </w:t>
      </w:r>
      <w:hyperlink r:id="rId1" w:history="1">
        <w:r w:rsidRPr="00686BB1">
          <w:rPr>
            <w:rStyle w:val="Hyperlink"/>
          </w:rPr>
          <w:t>https://seer.cancer.gov/statfacts/html/amyl.html</w:t>
        </w:r>
      </w:hyperlink>
      <w:r>
        <w:t>.</w:t>
      </w:r>
    </w:p>
  </w:footnote>
  <w:footnote w:id="3">
    <w:p w14:paraId="7C461DB6" w14:textId="24223C83" w:rsidR="009A00D6" w:rsidRDefault="009A00D6">
      <w:pPr>
        <w:pStyle w:val="FootnoteText"/>
      </w:pPr>
      <w:r>
        <w:rPr>
          <w:rStyle w:val="FootnoteReference"/>
        </w:rPr>
        <w:footnoteRef/>
      </w:r>
      <w:r>
        <w:t xml:space="preserve"> </w:t>
      </w:r>
      <w:r w:rsidRPr="00A54708">
        <w:t>Shysh</w:t>
      </w:r>
      <w:r>
        <w:t>, A.C</w:t>
      </w:r>
      <w:r w:rsidRPr="00A54708">
        <w:t xml:space="preserve"> et al. The Incidence of Acute Myeloid Leukemia in Calgary, Alberta, Canada: a Retrospective Cohort Study</w:t>
      </w:r>
      <w:r>
        <w:t xml:space="preserve">, </w:t>
      </w:r>
      <w:r w:rsidRPr="00A54708">
        <w:rPr>
          <w:i/>
          <w:iCs/>
        </w:rPr>
        <w:t>BMC Public Health</w:t>
      </w:r>
      <w:r>
        <w:t>,</w:t>
      </w:r>
      <w:r w:rsidRPr="00A54708">
        <w:t xml:space="preserve"> 2018;</w:t>
      </w:r>
      <w:r>
        <w:t xml:space="preserve"> </w:t>
      </w:r>
      <w:r w:rsidRPr="00A54708">
        <w:t>1:</w:t>
      </w:r>
      <w:r>
        <w:t xml:space="preserve"> </w:t>
      </w:r>
      <w:r w:rsidRPr="00A54708">
        <w:t>94</w:t>
      </w:r>
      <w:r>
        <w:t>.</w:t>
      </w:r>
    </w:p>
  </w:footnote>
  <w:footnote w:id="4">
    <w:p w14:paraId="4BF2DCF4" w14:textId="007B5E21" w:rsidR="009A00D6" w:rsidRDefault="009A00D6" w:rsidP="00A54708">
      <w:pPr>
        <w:pStyle w:val="FootnoteText"/>
      </w:pPr>
      <w:r>
        <w:rPr>
          <w:rStyle w:val="FootnoteReference"/>
        </w:rPr>
        <w:footnoteRef/>
      </w:r>
      <w:r>
        <w:t xml:space="preserve"> </w:t>
      </w:r>
      <w:r w:rsidRPr="00A54708">
        <w:t>Döhner</w:t>
      </w:r>
      <w:r>
        <w:t xml:space="preserve">, H. et al. </w:t>
      </w:r>
      <w:r w:rsidRPr="00A54708">
        <w:t xml:space="preserve">Diagnosis </w:t>
      </w:r>
      <w:r>
        <w:t>a</w:t>
      </w:r>
      <w:r w:rsidRPr="00A54708">
        <w:t xml:space="preserve">nd Management </w:t>
      </w:r>
      <w:r>
        <w:t>o</w:t>
      </w:r>
      <w:r w:rsidRPr="00A54708">
        <w:t xml:space="preserve">f AML </w:t>
      </w:r>
      <w:r>
        <w:t>i</w:t>
      </w:r>
      <w:r w:rsidRPr="00A54708">
        <w:t xml:space="preserve">n Adults: 2017 ELN Recommendations </w:t>
      </w:r>
      <w:r>
        <w:t>f</w:t>
      </w:r>
      <w:r w:rsidRPr="00A54708">
        <w:t xml:space="preserve">rom </w:t>
      </w:r>
      <w:r>
        <w:t>a</w:t>
      </w:r>
      <w:r w:rsidRPr="00A54708">
        <w:t>n International Expert Panel</w:t>
      </w:r>
      <w:r>
        <w:t xml:space="preserve">, </w:t>
      </w:r>
      <w:r w:rsidRPr="00A54708">
        <w:rPr>
          <w:i/>
          <w:iCs/>
        </w:rPr>
        <w:t>Blood</w:t>
      </w:r>
      <w:r>
        <w:t>, 2017; 129(4): 424-447.</w:t>
      </w:r>
    </w:p>
  </w:footnote>
  <w:footnote w:id="5">
    <w:p w14:paraId="75A236DF" w14:textId="4AE2C19A" w:rsidR="009A00D6" w:rsidRDefault="009A00D6">
      <w:pPr>
        <w:pStyle w:val="FootnoteText"/>
      </w:pPr>
      <w:r>
        <w:rPr>
          <w:rStyle w:val="FootnoteReference"/>
        </w:rPr>
        <w:footnoteRef/>
      </w:r>
      <w:r>
        <w:t xml:space="preserve"> </w:t>
      </w:r>
      <w:r w:rsidRPr="00242683">
        <w:t xml:space="preserve">A </w:t>
      </w:r>
      <w:r w:rsidRPr="00242683">
        <w:rPr>
          <w:b/>
          <w:bCs/>
        </w:rPr>
        <w:t>vehicle</w:t>
      </w:r>
      <w:r w:rsidRPr="00242683">
        <w:t xml:space="preserve"> is the equivalent to the active drug formulation, containing the same relatively inert excipients intended to act as a medium for carrying the active drug component, minus the active drug component itself.</w:t>
      </w:r>
    </w:p>
  </w:footnote>
  <w:footnote w:id="6">
    <w:p w14:paraId="49D42A78" w14:textId="0DBF2798" w:rsidR="009A00D6" w:rsidRDefault="009A00D6">
      <w:pPr>
        <w:pStyle w:val="FootnoteText"/>
      </w:pPr>
      <w:r>
        <w:rPr>
          <w:rStyle w:val="FootnoteReference"/>
        </w:rPr>
        <w:footnoteRef/>
      </w:r>
      <w:r>
        <w:t xml:space="preserve"> </w:t>
      </w:r>
      <w:r w:rsidRPr="00B27944">
        <w:rPr>
          <w:b/>
          <w:bCs/>
        </w:rPr>
        <w:t>Good Manufacturing Practice (GMP)</w:t>
      </w:r>
      <w:r w:rsidRPr="00B27944">
        <w:t xml:space="preserve"> describes a set of principles and procedures that when followed helps ensure that therapeutic goods are of high quality.</w:t>
      </w:r>
    </w:p>
  </w:footnote>
  <w:footnote w:id="7">
    <w:p w14:paraId="10416F03" w14:textId="3235C472" w:rsidR="009A00D6" w:rsidRDefault="009A00D6">
      <w:pPr>
        <w:pStyle w:val="FootnoteText"/>
      </w:pPr>
      <w:r>
        <w:rPr>
          <w:rStyle w:val="FootnoteReference"/>
        </w:rPr>
        <w:footnoteRef/>
      </w:r>
      <w:r>
        <w:t xml:space="preserve"> </w:t>
      </w:r>
      <w:r w:rsidRPr="00B27944">
        <w:t>The </w:t>
      </w:r>
      <w:r w:rsidRPr="00B27944">
        <w:rPr>
          <w:b/>
          <w:bCs/>
        </w:rPr>
        <w:t>International Council for Harmonisation of Technical Requirements for Registration of Pharmaceuticals for Human Use (ICH)</w:t>
      </w:r>
      <w:r w:rsidRPr="00B27944">
        <w:t xml:space="preserve"> brings together regulatory authorities and the pharmaceutical industry. It makes recommendations towards achieving greater harmonisation in the interpretation and application of technical guidelines and requirements for pharmaceutical product registration.</w:t>
      </w:r>
    </w:p>
  </w:footnote>
  <w:footnote w:id="8">
    <w:p w14:paraId="155FFEC7" w14:textId="2E504002" w:rsidR="009A00D6" w:rsidRDefault="009A00D6">
      <w:pPr>
        <w:pStyle w:val="FootnoteText"/>
      </w:pPr>
      <w:r>
        <w:rPr>
          <w:rStyle w:val="FootnoteReference"/>
        </w:rPr>
        <w:footnoteRef/>
      </w:r>
      <w:r>
        <w:t xml:space="preserve"> </w:t>
      </w:r>
      <w:r w:rsidRPr="00D16321">
        <w:t>European Medicines Agency (EMA), Committee for Medicinal Products for Human Use (CHMP), ICH Guideline S9 on Nonclinical Evaluation for Anticancer Pharmaceuticals, EMA/CHMP/ICH/646107/2008, May 2010.</w:t>
      </w:r>
    </w:p>
  </w:footnote>
  <w:footnote w:id="9">
    <w:p w14:paraId="1E4AF2B6" w14:textId="6A8B4E6A" w:rsidR="009A00D6" w:rsidRPr="005742CC" w:rsidRDefault="009A00D6" w:rsidP="00006CDC">
      <w:pPr>
        <w:pStyle w:val="FootnoteText"/>
        <w:rPr>
          <w:lang w:val="en-GB"/>
        </w:rPr>
      </w:pPr>
      <w:r>
        <w:rPr>
          <w:rStyle w:val="FootnoteReference"/>
        </w:rPr>
        <w:footnoteRef/>
      </w:r>
      <w:r>
        <w:t xml:space="preserve"> </w:t>
      </w:r>
      <w:bookmarkStart w:id="36" w:name="_Hlk120176195"/>
      <w:r w:rsidRPr="005742CC">
        <w:rPr>
          <w:b/>
          <w:lang w:val="en-GB"/>
        </w:rPr>
        <w:t>International Agency on Cancer Research Group 2B</w:t>
      </w:r>
      <w:r w:rsidRPr="00006CDC">
        <w:rPr>
          <w:lang w:val="en-GB"/>
        </w:rPr>
        <w:t>: The agent (mixture) is p</w:t>
      </w:r>
      <w:r>
        <w:rPr>
          <w:lang w:val="en-GB"/>
        </w:rPr>
        <w:t xml:space="preserve">ossibly carcinogenic to humans. </w:t>
      </w:r>
      <w:r w:rsidRPr="00006CDC">
        <w:rPr>
          <w:lang w:val="en-GB"/>
        </w:rPr>
        <w:t>The exposure circumstance entails exposures that are p</w:t>
      </w:r>
      <w:r>
        <w:rPr>
          <w:lang w:val="en-GB"/>
        </w:rPr>
        <w:t xml:space="preserve">ossibly carcinogenic to humans. </w:t>
      </w:r>
      <w:r w:rsidRPr="00006CDC">
        <w:rPr>
          <w:lang w:val="en-GB"/>
        </w:rPr>
        <w:t>This category is used for agents, mixtures and exposure circumstances for which there is limited evidence of carcinogenicity in humans and less than sufficient evidence of carcinogenicity in experimental animals. It may also be used when there is inadequate evidence of carcinogenicity in humans but there is sufficient evidence of carcinogenicity in experimental animals. In some instances, an agent, mixture or exposure circumstance for which there is inadequate evidence of carcinogenicity in humans but limited evidence of carcinogenicity in experimental animals together with supporting evidence from other relevant data may be placed in this group.</w:t>
      </w:r>
      <w:bookmarkEnd w:id="36"/>
    </w:p>
  </w:footnote>
  <w:footnote w:id="10">
    <w:p w14:paraId="40B720C0" w14:textId="4254288F" w:rsidR="009A00D6" w:rsidRPr="005742CC" w:rsidRDefault="009A00D6">
      <w:pPr>
        <w:pStyle w:val="FootnoteText"/>
        <w:rPr>
          <w:lang w:val="en-GB"/>
        </w:rPr>
      </w:pPr>
      <w:r>
        <w:rPr>
          <w:rStyle w:val="FootnoteReference"/>
        </w:rPr>
        <w:footnoteRef/>
      </w:r>
      <w:r>
        <w:t xml:space="preserve"> </w:t>
      </w:r>
      <w:r w:rsidR="005742CC">
        <w:t>World Health Organization (WHO)</w:t>
      </w:r>
      <w:r w:rsidR="005742CC" w:rsidRPr="005742CC">
        <w:t xml:space="preserve"> </w:t>
      </w:r>
      <w:r w:rsidR="005742CC">
        <w:t xml:space="preserve">Overall Evaluations of Carcinogenicity: an Updating of IARC Monographs Volumes 1 to 42, </w:t>
      </w:r>
      <w:r w:rsidR="005742CC" w:rsidRPr="005742CC">
        <w:rPr>
          <w:i/>
          <w:iCs/>
        </w:rPr>
        <w:t>IARC Monogr Eval Carcinog Risks Hum Suppl</w:t>
      </w:r>
      <w:r w:rsidR="005742CC">
        <w:t>, 1987; 7: 1-440.</w:t>
      </w:r>
    </w:p>
  </w:footnote>
  <w:footnote w:id="11">
    <w:p w14:paraId="66423CA1" w14:textId="6C403A91" w:rsidR="009A00D6" w:rsidRDefault="009A00D6">
      <w:pPr>
        <w:pStyle w:val="FootnoteText"/>
      </w:pPr>
      <w:r>
        <w:rPr>
          <w:rStyle w:val="FootnoteReference"/>
        </w:rPr>
        <w:footnoteRef/>
      </w:r>
      <w:r>
        <w:t xml:space="preserve"> </w:t>
      </w:r>
      <w:r w:rsidRPr="00C5248D">
        <w:t>European Medicines Agency (EMA), Committee for Medicinal Products for Human Use (CHMP), ICH Guideline Q3D (R1) on Elemental Impurities, EMA/CHMP/ICH/353369/2013, 28 March 2019.</w:t>
      </w:r>
    </w:p>
  </w:footnote>
  <w:footnote w:id="12">
    <w:p w14:paraId="19678DD7" w14:textId="77777777" w:rsidR="009A00D6" w:rsidRDefault="009A00D6" w:rsidP="00825E68">
      <w:pPr>
        <w:pStyle w:val="FootnoteText"/>
      </w:pPr>
      <w:r>
        <w:rPr>
          <w:rStyle w:val="FootnoteReference"/>
        </w:rPr>
        <w:footnoteRef/>
      </w:r>
      <w:r>
        <w:t xml:space="preserve"> The QT interval is the time from the start of the QRS wave complex to the end of the corresponding T wave. It approximates to the time taken for ventricular depolarisation and repolarisation, that is to say, the period of ventricular systole from ventricular isovolumetric contraction to isovolumetric relaxation.</w:t>
      </w:r>
    </w:p>
    <w:p w14:paraId="72DBE914" w14:textId="3E1375EC" w:rsidR="009A00D6" w:rsidRDefault="009A00D6" w:rsidP="00825E68">
      <w:pPr>
        <w:pStyle w:val="FootnoteText"/>
      </w:pPr>
      <w:r>
        <w:t xml:space="preserve">The </w:t>
      </w:r>
      <w:r w:rsidRPr="00825E68">
        <w:rPr>
          <w:b/>
          <w:bCs/>
        </w:rPr>
        <w:t>corrected QT interval (QTc)</w:t>
      </w:r>
      <w:r>
        <w:t> estimates the QT interval at a standard heart rate. This allows comparison of QT values over time at different heart rates and improves detection of patients at increased risk of arrhythmias.</w:t>
      </w:r>
    </w:p>
  </w:footnote>
  <w:footnote w:id="13">
    <w:p w14:paraId="22C3FD37" w14:textId="2EA5B3EB" w:rsidR="009A00D6" w:rsidRDefault="009A00D6" w:rsidP="00530C91">
      <w:pPr>
        <w:pStyle w:val="FootnoteText"/>
      </w:pPr>
      <w:r>
        <w:rPr>
          <w:rStyle w:val="FootnoteReference"/>
        </w:rPr>
        <w:footnoteRef/>
      </w:r>
      <w:r>
        <w:t xml:space="preserve"> Krogh-Madsen, M. et al. Population Pharmacokinetics of Cytarabine, Etoposide, and Daunorubicin in the Treatment for Acute Myeloid Leukemia, </w:t>
      </w:r>
      <w:r w:rsidRPr="00530C91">
        <w:rPr>
          <w:i/>
          <w:iCs/>
        </w:rPr>
        <w:t>Cancer Chemother Pharmacol</w:t>
      </w:r>
      <w:r>
        <w:t>, 2012; 69: 1155-1163.</w:t>
      </w:r>
    </w:p>
  </w:footnote>
  <w:footnote w:id="14">
    <w:p w14:paraId="1227791C" w14:textId="15B0DE17" w:rsidR="009A00D6" w:rsidRDefault="009A00D6">
      <w:pPr>
        <w:pStyle w:val="FootnoteText"/>
      </w:pPr>
      <w:r>
        <w:rPr>
          <w:rStyle w:val="FootnoteReference"/>
        </w:rPr>
        <w:footnoteRef/>
      </w:r>
      <w:r>
        <w:t xml:space="preserve"> </w:t>
      </w:r>
      <w:r w:rsidRPr="00530C91">
        <w:t>Cytarabine Product Label - Product Monograph: Cytarabine Injection BP Product Monograph [PM] 100</w:t>
      </w:r>
      <w:r>
        <w:t> </w:t>
      </w:r>
      <w:r w:rsidRPr="00530C91">
        <w:t>mg/mL. 6 December 2017a. Sandoz Canada Inc.</w:t>
      </w:r>
    </w:p>
  </w:footnote>
  <w:footnote w:id="15">
    <w:p w14:paraId="75C67E0B" w14:textId="4A50DDA9" w:rsidR="009A00D6" w:rsidRDefault="009A00D6">
      <w:pPr>
        <w:pStyle w:val="FootnoteText"/>
      </w:pPr>
      <w:r>
        <w:rPr>
          <w:rStyle w:val="FootnoteReference"/>
        </w:rPr>
        <w:footnoteRef/>
      </w:r>
      <w:r>
        <w:t xml:space="preserve"> </w:t>
      </w:r>
      <w:r w:rsidRPr="00530C91">
        <w:t>Cytarabine 100 mg/mL Solution for Injection or Infusion Summary of Product Characteristics (SmPC) 2017b. Pfizer Ltd., Sandwich, Kent UK.</w:t>
      </w:r>
    </w:p>
  </w:footnote>
  <w:footnote w:id="16">
    <w:p w14:paraId="01D114BC" w14:textId="1B547A6F" w:rsidR="009A00D6" w:rsidRDefault="009A00D6">
      <w:pPr>
        <w:pStyle w:val="FootnoteText"/>
      </w:pPr>
      <w:r>
        <w:rPr>
          <w:rStyle w:val="FootnoteReference"/>
        </w:rPr>
        <w:footnoteRef/>
      </w:r>
      <w:r>
        <w:t xml:space="preserve"> </w:t>
      </w:r>
      <w:r w:rsidRPr="00530C91">
        <w:t>Cytarabine Injection, for intravenous, intrathecal and subcutaneous use. US Prescribing Information. 2018. Mylan Institutional LLC. IL, US.</w:t>
      </w:r>
    </w:p>
  </w:footnote>
  <w:footnote w:id="17">
    <w:p w14:paraId="7FA5772A" w14:textId="7AAF5D88" w:rsidR="009A00D6" w:rsidRDefault="009A00D6">
      <w:pPr>
        <w:pStyle w:val="FootnoteText"/>
      </w:pPr>
      <w:r>
        <w:rPr>
          <w:rStyle w:val="FootnoteReference"/>
        </w:rPr>
        <w:footnoteRef/>
      </w:r>
      <w:r>
        <w:t xml:space="preserve"> </w:t>
      </w:r>
      <w:r w:rsidRPr="00530C91">
        <w:t>DrugBank</w:t>
      </w:r>
      <w:r>
        <w:t>,</w:t>
      </w:r>
      <w:r w:rsidRPr="00530C91">
        <w:t xml:space="preserve"> Daunorubicin. Available at: </w:t>
      </w:r>
      <w:hyperlink r:id="rId2" w:history="1">
        <w:r w:rsidRPr="00686BB1">
          <w:rPr>
            <w:rStyle w:val="Hyperlink"/>
          </w:rPr>
          <w:t>https://www.drugbank.ca/drugs/DB00694</w:t>
        </w:r>
      </w:hyperlink>
      <w:r>
        <w:t>.</w:t>
      </w:r>
    </w:p>
  </w:footnote>
  <w:footnote w:id="18">
    <w:p w14:paraId="6D33C199" w14:textId="12E9A63B" w:rsidR="009A00D6" w:rsidRDefault="009A00D6">
      <w:pPr>
        <w:pStyle w:val="FootnoteText"/>
      </w:pPr>
      <w:r>
        <w:rPr>
          <w:rStyle w:val="FootnoteReference"/>
        </w:rPr>
        <w:footnoteRef/>
      </w:r>
      <w:r>
        <w:t xml:space="preserve"> </w:t>
      </w:r>
      <w:r w:rsidRPr="00E422F7">
        <w:t>Daunorubicin hydrochloride injection. US Prescribing Information. Teva Parenteral Medicines, Inc. CA, US. 2012.</w:t>
      </w:r>
    </w:p>
  </w:footnote>
  <w:footnote w:id="19">
    <w:p w14:paraId="468AAA7E" w14:textId="289AD7DD" w:rsidR="009A00D6" w:rsidRDefault="009A00D6">
      <w:pPr>
        <w:pStyle w:val="FootnoteText"/>
      </w:pPr>
      <w:r>
        <w:rPr>
          <w:rStyle w:val="FootnoteReference"/>
        </w:rPr>
        <w:footnoteRef/>
      </w:r>
      <w:r>
        <w:t xml:space="preserve"> </w:t>
      </w:r>
      <w:r w:rsidRPr="00E422F7">
        <w:t>Daunorubicin 20 mg Powder for IV Injection Summary of Product Characteristics (SmPC) 2016. Winthrop Pharmaceuticals UK Ltd., Guildford, Surrey UK.</w:t>
      </w:r>
    </w:p>
  </w:footnote>
  <w:footnote w:id="20">
    <w:p w14:paraId="385E8E50" w14:textId="62508494" w:rsidR="009A00D6" w:rsidRPr="00930B28" w:rsidRDefault="009A00D6" w:rsidP="00930B28">
      <w:pPr>
        <w:pStyle w:val="FootnoteText"/>
      </w:pPr>
      <w:r>
        <w:rPr>
          <w:rStyle w:val="FootnoteReference"/>
        </w:rPr>
        <w:footnoteRef/>
      </w:r>
      <w:r>
        <w:t xml:space="preserve"> </w:t>
      </w:r>
      <w:bookmarkStart w:id="43" w:name="_Hlk120178347"/>
      <w:r>
        <w:t xml:space="preserve">The </w:t>
      </w:r>
      <w:r w:rsidR="003F5953">
        <w:t>‘</w:t>
      </w:r>
      <w:r w:rsidRPr="003F5953">
        <w:rPr>
          <w:b/>
        </w:rPr>
        <w:t>7</w:t>
      </w:r>
      <w:r w:rsidR="005742CC">
        <w:rPr>
          <w:b/>
        </w:rPr>
        <w:t xml:space="preserve"> </w:t>
      </w:r>
      <w:r w:rsidRPr="003F5953">
        <w:rPr>
          <w:b/>
        </w:rPr>
        <w:t>+</w:t>
      </w:r>
      <w:r w:rsidR="005742CC">
        <w:rPr>
          <w:b/>
        </w:rPr>
        <w:t xml:space="preserve"> </w:t>
      </w:r>
      <w:r w:rsidRPr="003F5953">
        <w:rPr>
          <w:b/>
        </w:rPr>
        <w:t>3</w:t>
      </w:r>
      <w:r w:rsidR="003F5953">
        <w:rPr>
          <w:b/>
        </w:rPr>
        <w:t>’</w:t>
      </w:r>
      <w:r w:rsidRPr="003F5953">
        <w:rPr>
          <w:b/>
        </w:rPr>
        <w:t xml:space="preserve"> regimen</w:t>
      </w:r>
      <w:r>
        <w:t xml:space="preserve"> is an acronym for a chemotherapy regimen used as induction therapy (to induce remission) in acute myeloid leukaemia. ‘7</w:t>
      </w:r>
      <w:r w:rsidR="005742CC">
        <w:t xml:space="preserve"> </w:t>
      </w:r>
      <w:r>
        <w:t>+</w:t>
      </w:r>
      <w:r w:rsidR="005742CC">
        <w:t xml:space="preserve"> </w:t>
      </w:r>
      <w:r>
        <w:t xml:space="preserve">3’ is derived from the duration of the chemotherapy course, which in the context of </w:t>
      </w:r>
      <w:r w:rsidRPr="00930B28">
        <w:t xml:space="preserve">cytarabine plus daunorubicin </w:t>
      </w:r>
      <w:r>
        <w:t xml:space="preserve">therapy </w:t>
      </w:r>
      <w:r w:rsidRPr="00930B28">
        <w:t>(</w:t>
      </w:r>
      <w:r>
        <w:t xml:space="preserve">also known as </w:t>
      </w:r>
      <w:r w:rsidRPr="00930B28">
        <w:t>DA or DAC chemotherapy)</w:t>
      </w:r>
      <w:r>
        <w:t xml:space="preserve"> consists of 7 days of standard-dose cytarabine, and 3 days of daunorubicin.</w:t>
      </w:r>
      <w:bookmarkEnd w:id="43"/>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03F92" w14:textId="77777777" w:rsidR="009A00D6" w:rsidRDefault="009A00D6"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CD3F4" w14:textId="4B778E2C" w:rsidR="009A00D6" w:rsidRDefault="00203A30">
    <w:pPr>
      <w:rPr>
        <w:noProof/>
        <w:lang w:eastAsia="en-AU"/>
      </w:rPr>
    </w:pPr>
    <w:r w:rsidRPr="002B29B2">
      <w:rPr>
        <w:noProof/>
        <w:lang w:eastAsia="en-AU"/>
      </w:rPr>
      <w:drawing>
        <wp:anchor distT="0" distB="0" distL="114300" distR="114300" simplePos="0" relativeHeight="251661312" behindDoc="0" locked="0" layoutInCell="0" allowOverlap="1" wp14:anchorId="44961C21" wp14:editId="36B1FB56">
          <wp:simplePos x="0" y="0"/>
          <wp:positionH relativeFrom="page">
            <wp:align>left</wp:align>
          </wp:positionH>
          <wp:positionV relativeFrom="page">
            <wp:posOffset>3240405</wp:posOffset>
          </wp:positionV>
          <wp:extent cx="7664400" cy="432360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64400" cy="432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9264" behindDoc="0" locked="0" layoutInCell="1" allowOverlap="1" wp14:anchorId="0AC89FEB" wp14:editId="6E97E4F3">
          <wp:simplePos x="0" y="0"/>
          <wp:positionH relativeFrom="column">
            <wp:posOffset>-399415</wp:posOffset>
          </wp:positionH>
          <wp:positionV relativeFrom="paragraph">
            <wp:posOffset>-114935</wp:posOffset>
          </wp:positionV>
          <wp:extent cx="2678400" cy="622800"/>
          <wp:effectExtent l="0" t="0" r="0" b="6350"/>
          <wp:wrapTopAndBottom/>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8400" cy="622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A950C" w14:textId="77777777" w:rsidR="009A00D6" w:rsidRDefault="009A00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B2D19" w14:textId="77777777" w:rsidR="009A00D6" w:rsidRDefault="009A00D6">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54145" w14:textId="77777777" w:rsidR="009A00D6" w:rsidRDefault="009A00D6">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96D1C" w14:textId="77777777" w:rsidR="009A00D6" w:rsidRDefault="009A00D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2A170" w14:textId="77777777" w:rsidR="009A00D6" w:rsidRDefault="009A00D6"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368F6" w14:textId="77777777" w:rsidR="009A00D6" w:rsidRDefault="009A00D6" w:rsidP="006E08B3">
    <w:r>
      <w:t>Therapeutic Goods Administration</w:t>
    </w:r>
  </w:p>
  <w:p w14:paraId="647E8340" w14:textId="77777777" w:rsidR="009A00D6" w:rsidRDefault="009A00D6"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8FF894E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EB242FC"/>
    <w:multiLevelType w:val="hybridMultilevel"/>
    <w:tmpl w:val="B70829A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0"/>
  </w:num>
  <w:num w:numId="28">
    <w:abstractNumId w:val="12"/>
  </w:num>
  <w:num w:numId="29">
    <w:abstractNumId w:val="6"/>
  </w:num>
  <w:num w:numId="30">
    <w:abstractNumId w:val="8"/>
  </w:num>
  <w:num w:numId="31">
    <w:abstractNumId w:val="4"/>
  </w:num>
  <w:num w:numId="32">
    <w:abstractNumId w:val="11"/>
  </w:num>
  <w:num w:numId="33">
    <w:abstractNumId w:val="13"/>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A3D"/>
    <w:rsid w:val="00002031"/>
    <w:rsid w:val="00004734"/>
    <w:rsid w:val="00006B22"/>
    <w:rsid w:val="00006CDC"/>
    <w:rsid w:val="00006FAB"/>
    <w:rsid w:val="0001110F"/>
    <w:rsid w:val="0001276A"/>
    <w:rsid w:val="00012C5F"/>
    <w:rsid w:val="000246AE"/>
    <w:rsid w:val="00025C67"/>
    <w:rsid w:val="00043218"/>
    <w:rsid w:val="00044772"/>
    <w:rsid w:val="0004541C"/>
    <w:rsid w:val="0005559E"/>
    <w:rsid w:val="000604D6"/>
    <w:rsid w:val="00061C7D"/>
    <w:rsid w:val="000734D8"/>
    <w:rsid w:val="00077775"/>
    <w:rsid w:val="00090471"/>
    <w:rsid w:val="00096AA7"/>
    <w:rsid w:val="000A3AED"/>
    <w:rsid w:val="000A5756"/>
    <w:rsid w:val="000B3532"/>
    <w:rsid w:val="000B3A75"/>
    <w:rsid w:val="000C00C2"/>
    <w:rsid w:val="000C690F"/>
    <w:rsid w:val="000D1295"/>
    <w:rsid w:val="000D391B"/>
    <w:rsid w:val="000D3D6D"/>
    <w:rsid w:val="000D4FC7"/>
    <w:rsid w:val="000D78E0"/>
    <w:rsid w:val="000E2A3D"/>
    <w:rsid w:val="000E6196"/>
    <w:rsid w:val="000F4869"/>
    <w:rsid w:val="000F5B42"/>
    <w:rsid w:val="000F6E6F"/>
    <w:rsid w:val="0010601F"/>
    <w:rsid w:val="0010788A"/>
    <w:rsid w:val="00107A31"/>
    <w:rsid w:val="00110EA5"/>
    <w:rsid w:val="00112F56"/>
    <w:rsid w:val="00117C1F"/>
    <w:rsid w:val="00122C2E"/>
    <w:rsid w:val="00123168"/>
    <w:rsid w:val="00124ACD"/>
    <w:rsid w:val="00125318"/>
    <w:rsid w:val="00127216"/>
    <w:rsid w:val="001305A2"/>
    <w:rsid w:val="00133238"/>
    <w:rsid w:val="00133A1B"/>
    <w:rsid w:val="001356AE"/>
    <w:rsid w:val="00136A67"/>
    <w:rsid w:val="0014197B"/>
    <w:rsid w:val="001447CD"/>
    <w:rsid w:val="001516B1"/>
    <w:rsid w:val="00154AA2"/>
    <w:rsid w:val="00154EBB"/>
    <w:rsid w:val="00156316"/>
    <w:rsid w:val="00161181"/>
    <w:rsid w:val="00161D56"/>
    <w:rsid w:val="00162D14"/>
    <w:rsid w:val="00163780"/>
    <w:rsid w:val="00165389"/>
    <w:rsid w:val="0017366F"/>
    <w:rsid w:val="0017693F"/>
    <w:rsid w:val="001807A4"/>
    <w:rsid w:val="0018110E"/>
    <w:rsid w:val="00181684"/>
    <w:rsid w:val="001843C6"/>
    <w:rsid w:val="001850E0"/>
    <w:rsid w:val="00185407"/>
    <w:rsid w:val="001A03AF"/>
    <w:rsid w:val="001A0786"/>
    <w:rsid w:val="001A2158"/>
    <w:rsid w:val="001A525F"/>
    <w:rsid w:val="001A5A00"/>
    <w:rsid w:val="001A66B8"/>
    <w:rsid w:val="001B09F9"/>
    <w:rsid w:val="001B1DA4"/>
    <w:rsid w:val="001B322E"/>
    <w:rsid w:val="001B5C90"/>
    <w:rsid w:val="001B6448"/>
    <w:rsid w:val="001C0D47"/>
    <w:rsid w:val="001C32CD"/>
    <w:rsid w:val="001C68C2"/>
    <w:rsid w:val="001D2984"/>
    <w:rsid w:val="001E07CF"/>
    <w:rsid w:val="001E359E"/>
    <w:rsid w:val="001E59F1"/>
    <w:rsid w:val="001E75FB"/>
    <w:rsid w:val="001F2CEE"/>
    <w:rsid w:val="001F49EB"/>
    <w:rsid w:val="001F6CBA"/>
    <w:rsid w:val="00201D4E"/>
    <w:rsid w:val="00203A30"/>
    <w:rsid w:val="002076C9"/>
    <w:rsid w:val="00214AA9"/>
    <w:rsid w:val="00220475"/>
    <w:rsid w:val="00220B8A"/>
    <w:rsid w:val="002257F3"/>
    <w:rsid w:val="002314EA"/>
    <w:rsid w:val="00233456"/>
    <w:rsid w:val="002339A5"/>
    <w:rsid w:val="00234CDB"/>
    <w:rsid w:val="00242683"/>
    <w:rsid w:val="00250271"/>
    <w:rsid w:val="00250F35"/>
    <w:rsid w:val="00257848"/>
    <w:rsid w:val="002578E8"/>
    <w:rsid w:val="002619A5"/>
    <w:rsid w:val="0027084A"/>
    <w:rsid w:val="00271E85"/>
    <w:rsid w:val="0027789A"/>
    <w:rsid w:val="00280265"/>
    <w:rsid w:val="00286434"/>
    <w:rsid w:val="00286C59"/>
    <w:rsid w:val="002910DB"/>
    <w:rsid w:val="00291957"/>
    <w:rsid w:val="002942D1"/>
    <w:rsid w:val="0029501A"/>
    <w:rsid w:val="00295BC2"/>
    <w:rsid w:val="002A109B"/>
    <w:rsid w:val="002A3721"/>
    <w:rsid w:val="002A73BB"/>
    <w:rsid w:val="002B1638"/>
    <w:rsid w:val="002B3624"/>
    <w:rsid w:val="002D0952"/>
    <w:rsid w:val="002E40B3"/>
    <w:rsid w:val="002E4C9A"/>
    <w:rsid w:val="002F11F8"/>
    <w:rsid w:val="002F3F56"/>
    <w:rsid w:val="002F44B5"/>
    <w:rsid w:val="002F5122"/>
    <w:rsid w:val="00311AC0"/>
    <w:rsid w:val="003136F9"/>
    <w:rsid w:val="003176FC"/>
    <w:rsid w:val="00324E45"/>
    <w:rsid w:val="0032583B"/>
    <w:rsid w:val="00327883"/>
    <w:rsid w:val="00332715"/>
    <w:rsid w:val="00335504"/>
    <w:rsid w:val="00340C18"/>
    <w:rsid w:val="00343309"/>
    <w:rsid w:val="003442FD"/>
    <w:rsid w:val="00347824"/>
    <w:rsid w:val="00350567"/>
    <w:rsid w:val="003521E8"/>
    <w:rsid w:val="0036088D"/>
    <w:rsid w:val="003674BA"/>
    <w:rsid w:val="00367B05"/>
    <w:rsid w:val="00370CE3"/>
    <w:rsid w:val="003727A3"/>
    <w:rsid w:val="003728F3"/>
    <w:rsid w:val="003735BC"/>
    <w:rsid w:val="0037496E"/>
    <w:rsid w:val="00376362"/>
    <w:rsid w:val="00376BF1"/>
    <w:rsid w:val="00383221"/>
    <w:rsid w:val="00386150"/>
    <w:rsid w:val="003874CE"/>
    <w:rsid w:val="00390900"/>
    <w:rsid w:val="00397C93"/>
    <w:rsid w:val="003A6859"/>
    <w:rsid w:val="003A7F6C"/>
    <w:rsid w:val="003B1E06"/>
    <w:rsid w:val="003B4D60"/>
    <w:rsid w:val="003B7E39"/>
    <w:rsid w:val="003C58DC"/>
    <w:rsid w:val="003D1E62"/>
    <w:rsid w:val="003E0B99"/>
    <w:rsid w:val="003E2486"/>
    <w:rsid w:val="003E3208"/>
    <w:rsid w:val="003F0B04"/>
    <w:rsid w:val="003F5953"/>
    <w:rsid w:val="003F6B0D"/>
    <w:rsid w:val="0040134E"/>
    <w:rsid w:val="00415E0E"/>
    <w:rsid w:val="00420782"/>
    <w:rsid w:val="00421911"/>
    <w:rsid w:val="004334C7"/>
    <w:rsid w:val="00436C6B"/>
    <w:rsid w:val="00440A2D"/>
    <w:rsid w:val="00441C3F"/>
    <w:rsid w:val="00444D1A"/>
    <w:rsid w:val="0045186A"/>
    <w:rsid w:val="00454BDC"/>
    <w:rsid w:val="004564A7"/>
    <w:rsid w:val="00456765"/>
    <w:rsid w:val="004575AF"/>
    <w:rsid w:val="00460036"/>
    <w:rsid w:val="004617BF"/>
    <w:rsid w:val="00461D89"/>
    <w:rsid w:val="00463658"/>
    <w:rsid w:val="004637A0"/>
    <w:rsid w:val="004722CC"/>
    <w:rsid w:val="004754AA"/>
    <w:rsid w:val="00477B98"/>
    <w:rsid w:val="00490483"/>
    <w:rsid w:val="004906CD"/>
    <w:rsid w:val="004936E4"/>
    <w:rsid w:val="00494E60"/>
    <w:rsid w:val="00497487"/>
    <w:rsid w:val="004A2771"/>
    <w:rsid w:val="004A6189"/>
    <w:rsid w:val="004A7390"/>
    <w:rsid w:val="004B29F5"/>
    <w:rsid w:val="004B38A9"/>
    <w:rsid w:val="004B7B76"/>
    <w:rsid w:val="004C239D"/>
    <w:rsid w:val="004C2B1B"/>
    <w:rsid w:val="004C2DCA"/>
    <w:rsid w:val="004C4A64"/>
    <w:rsid w:val="004C4FBE"/>
    <w:rsid w:val="004C61D2"/>
    <w:rsid w:val="004D0F19"/>
    <w:rsid w:val="004E450C"/>
    <w:rsid w:val="004F0C4A"/>
    <w:rsid w:val="004F0F38"/>
    <w:rsid w:val="004F4545"/>
    <w:rsid w:val="004F47D6"/>
    <w:rsid w:val="004F4F8E"/>
    <w:rsid w:val="00500337"/>
    <w:rsid w:val="00500E19"/>
    <w:rsid w:val="00501921"/>
    <w:rsid w:val="00505417"/>
    <w:rsid w:val="0052149B"/>
    <w:rsid w:val="00523A21"/>
    <w:rsid w:val="0052711B"/>
    <w:rsid w:val="00530354"/>
    <w:rsid w:val="00530C91"/>
    <w:rsid w:val="0053625B"/>
    <w:rsid w:val="005434C6"/>
    <w:rsid w:val="00543B39"/>
    <w:rsid w:val="00545CDB"/>
    <w:rsid w:val="00546154"/>
    <w:rsid w:val="00550096"/>
    <w:rsid w:val="0055210C"/>
    <w:rsid w:val="00555280"/>
    <w:rsid w:val="00557CF0"/>
    <w:rsid w:val="00557FF9"/>
    <w:rsid w:val="00561234"/>
    <w:rsid w:val="00562327"/>
    <w:rsid w:val="005711D5"/>
    <w:rsid w:val="005742CC"/>
    <w:rsid w:val="00576378"/>
    <w:rsid w:val="00577130"/>
    <w:rsid w:val="00577945"/>
    <w:rsid w:val="00577E38"/>
    <w:rsid w:val="00585322"/>
    <w:rsid w:val="005857C6"/>
    <w:rsid w:val="00592F6E"/>
    <w:rsid w:val="00593AD1"/>
    <w:rsid w:val="005A68B6"/>
    <w:rsid w:val="005A79F5"/>
    <w:rsid w:val="005B0C70"/>
    <w:rsid w:val="005C494B"/>
    <w:rsid w:val="005C5570"/>
    <w:rsid w:val="005C5B66"/>
    <w:rsid w:val="005C79A4"/>
    <w:rsid w:val="005D5442"/>
    <w:rsid w:val="005D73C8"/>
    <w:rsid w:val="005F30C4"/>
    <w:rsid w:val="00600358"/>
    <w:rsid w:val="00603F32"/>
    <w:rsid w:val="00605AD4"/>
    <w:rsid w:val="006136D7"/>
    <w:rsid w:val="00617877"/>
    <w:rsid w:val="00625A6E"/>
    <w:rsid w:val="00625E22"/>
    <w:rsid w:val="00627576"/>
    <w:rsid w:val="00630D2A"/>
    <w:rsid w:val="00632398"/>
    <w:rsid w:val="00640FC3"/>
    <w:rsid w:val="00642020"/>
    <w:rsid w:val="006430EE"/>
    <w:rsid w:val="00643CE5"/>
    <w:rsid w:val="0065337B"/>
    <w:rsid w:val="0065419D"/>
    <w:rsid w:val="00655677"/>
    <w:rsid w:val="006603BC"/>
    <w:rsid w:val="006604D8"/>
    <w:rsid w:val="00664A5B"/>
    <w:rsid w:val="0066735C"/>
    <w:rsid w:val="00670387"/>
    <w:rsid w:val="00674422"/>
    <w:rsid w:val="006763D2"/>
    <w:rsid w:val="00680C08"/>
    <w:rsid w:val="006901BA"/>
    <w:rsid w:val="006916A0"/>
    <w:rsid w:val="006931B1"/>
    <w:rsid w:val="00697BCE"/>
    <w:rsid w:val="006A15C0"/>
    <w:rsid w:val="006A58A8"/>
    <w:rsid w:val="006C3E2A"/>
    <w:rsid w:val="006C4552"/>
    <w:rsid w:val="006C642F"/>
    <w:rsid w:val="006C67CB"/>
    <w:rsid w:val="006D03E5"/>
    <w:rsid w:val="006D5D3E"/>
    <w:rsid w:val="006E08B3"/>
    <w:rsid w:val="006E0D3F"/>
    <w:rsid w:val="006E7D4A"/>
    <w:rsid w:val="006F17AC"/>
    <w:rsid w:val="006F1BC8"/>
    <w:rsid w:val="006F25B8"/>
    <w:rsid w:val="006F572E"/>
    <w:rsid w:val="007046D6"/>
    <w:rsid w:val="007052AA"/>
    <w:rsid w:val="00705DB0"/>
    <w:rsid w:val="0072292E"/>
    <w:rsid w:val="00722B57"/>
    <w:rsid w:val="00730F8A"/>
    <w:rsid w:val="00735A8C"/>
    <w:rsid w:val="0074163C"/>
    <w:rsid w:val="0074253D"/>
    <w:rsid w:val="00744121"/>
    <w:rsid w:val="0074429B"/>
    <w:rsid w:val="007472CF"/>
    <w:rsid w:val="00750E41"/>
    <w:rsid w:val="007615BC"/>
    <w:rsid w:val="007619D7"/>
    <w:rsid w:val="00762F05"/>
    <w:rsid w:val="007652FF"/>
    <w:rsid w:val="007703EF"/>
    <w:rsid w:val="00770CAC"/>
    <w:rsid w:val="00770EF1"/>
    <w:rsid w:val="0077131A"/>
    <w:rsid w:val="00773EF7"/>
    <w:rsid w:val="00774E1D"/>
    <w:rsid w:val="007765D8"/>
    <w:rsid w:val="0077675A"/>
    <w:rsid w:val="00780355"/>
    <w:rsid w:val="007819FD"/>
    <w:rsid w:val="00785717"/>
    <w:rsid w:val="00785721"/>
    <w:rsid w:val="00793A59"/>
    <w:rsid w:val="007A46F5"/>
    <w:rsid w:val="007A6505"/>
    <w:rsid w:val="007B6132"/>
    <w:rsid w:val="007B6E9F"/>
    <w:rsid w:val="007C1216"/>
    <w:rsid w:val="007C1AF7"/>
    <w:rsid w:val="007C6B9B"/>
    <w:rsid w:val="007D53B6"/>
    <w:rsid w:val="007F30C3"/>
    <w:rsid w:val="007F56A3"/>
    <w:rsid w:val="00804D99"/>
    <w:rsid w:val="00805D27"/>
    <w:rsid w:val="00806DCB"/>
    <w:rsid w:val="00807ED0"/>
    <w:rsid w:val="008110BC"/>
    <w:rsid w:val="00821776"/>
    <w:rsid w:val="008258E3"/>
    <w:rsid w:val="00825E68"/>
    <w:rsid w:val="008321F5"/>
    <w:rsid w:val="00832369"/>
    <w:rsid w:val="00833ED8"/>
    <w:rsid w:val="00834550"/>
    <w:rsid w:val="00834660"/>
    <w:rsid w:val="00836BC2"/>
    <w:rsid w:val="00836E81"/>
    <w:rsid w:val="0085156D"/>
    <w:rsid w:val="00852B28"/>
    <w:rsid w:val="0085548D"/>
    <w:rsid w:val="0085641B"/>
    <w:rsid w:val="00857136"/>
    <w:rsid w:val="00865B03"/>
    <w:rsid w:val="00874E44"/>
    <w:rsid w:val="00875A6B"/>
    <w:rsid w:val="00885B11"/>
    <w:rsid w:val="00886D15"/>
    <w:rsid w:val="00887DD8"/>
    <w:rsid w:val="00891BA9"/>
    <w:rsid w:val="00896018"/>
    <w:rsid w:val="008960DD"/>
    <w:rsid w:val="0089635C"/>
    <w:rsid w:val="008A2B9D"/>
    <w:rsid w:val="008A39D1"/>
    <w:rsid w:val="008A3D9F"/>
    <w:rsid w:val="008A5E0B"/>
    <w:rsid w:val="008A6D59"/>
    <w:rsid w:val="008B4B03"/>
    <w:rsid w:val="008B596F"/>
    <w:rsid w:val="008C159F"/>
    <w:rsid w:val="008C1623"/>
    <w:rsid w:val="008C1850"/>
    <w:rsid w:val="008C51A9"/>
    <w:rsid w:val="008E13ED"/>
    <w:rsid w:val="008E748D"/>
    <w:rsid w:val="008E7846"/>
    <w:rsid w:val="008F02E5"/>
    <w:rsid w:val="008F1CCC"/>
    <w:rsid w:val="008F2967"/>
    <w:rsid w:val="008F6943"/>
    <w:rsid w:val="00902804"/>
    <w:rsid w:val="00902A21"/>
    <w:rsid w:val="00904FE0"/>
    <w:rsid w:val="009071E5"/>
    <w:rsid w:val="00911914"/>
    <w:rsid w:val="0091512A"/>
    <w:rsid w:val="0091523F"/>
    <w:rsid w:val="00920330"/>
    <w:rsid w:val="009219D7"/>
    <w:rsid w:val="00922D53"/>
    <w:rsid w:val="00923B70"/>
    <w:rsid w:val="00924482"/>
    <w:rsid w:val="00930237"/>
    <w:rsid w:val="00930B28"/>
    <w:rsid w:val="00930F91"/>
    <w:rsid w:val="009359A8"/>
    <w:rsid w:val="00937C17"/>
    <w:rsid w:val="00940A89"/>
    <w:rsid w:val="00941F77"/>
    <w:rsid w:val="00946EA5"/>
    <w:rsid w:val="009556D7"/>
    <w:rsid w:val="0095617C"/>
    <w:rsid w:val="00960520"/>
    <w:rsid w:val="00963C08"/>
    <w:rsid w:val="009752A5"/>
    <w:rsid w:val="00976A5C"/>
    <w:rsid w:val="0098585A"/>
    <w:rsid w:val="009A00D6"/>
    <w:rsid w:val="009A4CED"/>
    <w:rsid w:val="009A600E"/>
    <w:rsid w:val="009A690D"/>
    <w:rsid w:val="009B1D12"/>
    <w:rsid w:val="009B416B"/>
    <w:rsid w:val="009C4BD5"/>
    <w:rsid w:val="009D7B77"/>
    <w:rsid w:val="009E0BB0"/>
    <w:rsid w:val="009E2B34"/>
    <w:rsid w:val="009E3FBB"/>
    <w:rsid w:val="009E5A87"/>
    <w:rsid w:val="009F0776"/>
    <w:rsid w:val="009F1ED5"/>
    <w:rsid w:val="009F2673"/>
    <w:rsid w:val="009F7353"/>
    <w:rsid w:val="00A00696"/>
    <w:rsid w:val="00A04F85"/>
    <w:rsid w:val="00A05FA4"/>
    <w:rsid w:val="00A06B4F"/>
    <w:rsid w:val="00A102E4"/>
    <w:rsid w:val="00A1219C"/>
    <w:rsid w:val="00A12C42"/>
    <w:rsid w:val="00A14DF7"/>
    <w:rsid w:val="00A22D57"/>
    <w:rsid w:val="00A25770"/>
    <w:rsid w:val="00A3246D"/>
    <w:rsid w:val="00A36FA7"/>
    <w:rsid w:val="00A44DDB"/>
    <w:rsid w:val="00A464E8"/>
    <w:rsid w:val="00A475B7"/>
    <w:rsid w:val="00A47AF7"/>
    <w:rsid w:val="00A47C3E"/>
    <w:rsid w:val="00A50226"/>
    <w:rsid w:val="00A54708"/>
    <w:rsid w:val="00A60BAD"/>
    <w:rsid w:val="00A61D43"/>
    <w:rsid w:val="00A712A7"/>
    <w:rsid w:val="00A77F87"/>
    <w:rsid w:val="00A80B5B"/>
    <w:rsid w:val="00A84E36"/>
    <w:rsid w:val="00A964D1"/>
    <w:rsid w:val="00AA0ED0"/>
    <w:rsid w:val="00AC2B40"/>
    <w:rsid w:val="00AC2BB2"/>
    <w:rsid w:val="00AC2C3C"/>
    <w:rsid w:val="00AC512D"/>
    <w:rsid w:val="00AD0083"/>
    <w:rsid w:val="00AD3935"/>
    <w:rsid w:val="00AE65EB"/>
    <w:rsid w:val="00AE67A7"/>
    <w:rsid w:val="00AF1D94"/>
    <w:rsid w:val="00AF2313"/>
    <w:rsid w:val="00AF32CF"/>
    <w:rsid w:val="00AF4A2D"/>
    <w:rsid w:val="00AF60C5"/>
    <w:rsid w:val="00B009C6"/>
    <w:rsid w:val="00B01548"/>
    <w:rsid w:val="00B038FC"/>
    <w:rsid w:val="00B130C5"/>
    <w:rsid w:val="00B13EBD"/>
    <w:rsid w:val="00B1406F"/>
    <w:rsid w:val="00B21D29"/>
    <w:rsid w:val="00B25034"/>
    <w:rsid w:val="00B27944"/>
    <w:rsid w:val="00B27FC4"/>
    <w:rsid w:val="00B33588"/>
    <w:rsid w:val="00B33863"/>
    <w:rsid w:val="00B37D17"/>
    <w:rsid w:val="00B403C7"/>
    <w:rsid w:val="00B4175E"/>
    <w:rsid w:val="00B41C85"/>
    <w:rsid w:val="00B452CE"/>
    <w:rsid w:val="00B47F68"/>
    <w:rsid w:val="00B54C25"/>
    <w:rsid w:val="00B62B7A"/>
    <w:rsid w:val="00B76B91"/>
    <w:rsid w:val="00B77EB1"/>
    <w:rsid w:val="00B811C6"/>
    <w:rsid w:val="00B855B0"/>
    <w:rsid w:val="00B85E15"/>
    <w:rsid w:val="00B87EBD"/>
    <w:rsid w:val="00B92E08"/>
    <w:rsid w:val="00BB0B78"/>
    <w:rsid w:val="00BB75D6"/>
    <w:rsid w:val="00BC622A"/>
    <w:rsid w:val="00BE0A78"/>
    <w:rsid w:val="00BE28DE"/>
    <w:rsid w:val="00BE372C"/>
    <w:rsid w:val="00BE6542"/>
    <w:rsid w:val="00BE79F0"/>
    <w:rsid w:val="00BF046D"/>
    <w:rsid w:val="00BF1190"/>
    <w:rsid w:val="00BF3774"/>
    <w:rsid w:val="00BF4886"/>
    <w:rsid w:val="00BF5D04"/>
    <w:rsid w:val="00BF7063"/>
    <w:rsid w:val="00C009AA"/>
    <w:rsid w:val="00C1164D"/>
    <w:rsid w:val="00C16861"/>
    <w:rsid w:val="00C236C0"/>
    <w:rsid w:val="00C275B4"/>
    <w:rsid w:val="00C34133"/>
    <w:rsid w:val="00C346AB"/>
    <w:rsid w:val="00C404A6"/>
    <w:rsid w:val="00C40A36"/>
    <w:rsid w:val="00C43B1A"/>
    <w:rsid w:val="00C44419"/>
    <w:rsid w:val="00C45E7B"/>
    <w:rsid w:val="00C471B1"/>
    <w:rsid w:val="00C5248D"/>
    <w:rsid w:val="00C525A2"/>
    <w:rsid w:val="00C52E24"/>
    <w:rsid w:val="00C60CE5"/>
    <w:rsid w:val="00C6316B"/>
    <w:rsid w:val="00C634A9"/>
    <w:rsid w:val="00C641D8"/>
    <w:rsid w:val="00C64586"/>
    <w:rsid w:val="00C70A36"/>
    <w:rsid w:val="00C70D53"/>
    <w:rsid w:val="00C73D0B"/>
    <w:rsid w:val="00C74F5C"/>
    <w:rsid w:val="00C751A7"/>
    <w:rsid w:val="00C772FF"/>
    <w:rsid w:val="00C80137"/>
    <w:rsid w:val="00C801AF"/>
    <w:rsid w:val="00C80256"/>
    <w:rsid w:val="00C94149"/>
    <w:rsid w:val="00C94CD4"/>
    <w:rsid w:val="00C9747E"/>
    <w:rsid w:val="00CB2DC9"/>
    <w:rsid w:val="00CB4F1B"/>
    <w:rsid w:val="00CB6BC0"/>
    <w:rsid w:val="00CC1B7C"/>
    <w:rsid w:val="00CC5044"/>
    <w:rsid w:val="00CC727F"/>
    <w:rsid w:val="00CD1F46"/>
    <w:rsid w:val="00CD6034"/>
    <w:rsid w:val="00CD6265"/>
    <w:rsid w:val="00CE7875"/>
    <w:rsid w:val="00CF15C3"/>
    <w:rsid w:val="00CF2B6F"/>
    <w:rsid w:val="00CF2F3E"/>
    <w:rsid w:val="00CF58B6"/>
    <w:rsid w:val="00CF5DAD"/>
    <w:rsid w:val="00D0062D"/>
    <w:rsid w:val="00D017ED"/>
    <w:rsid w:val="00D01F81"/>
    <w:rsid w:val="00D040D3"/>
    <w:rsid w:val="00D04C65"/>
    <w:rsid w:val="00D153D8"/>
    <w:rsid w:val="00D16321"/>
    <w:rsid w:val="00D201D2"/>
    <w:rsid w:val="00D212F3"/>
    <w:rsid w:val="00D21D74"/>
    <w:rsid w:val="00D224FE"/>
    <w:rsid w:val="00D23139"/>
    <w:rsid w:val="00D407DB"/>
    <w:rsid w:val="00D425BB"/>
    <w:rsid w:val="00D4363C"/>
    <w:rsid w:val="00D44064"/>
    <w:rsid w:val="00D453FA"/>
    <w:rsid w:val="00D53AB7"/>
    <w:rsid w:val="00D56348"/>
    <w:rsid w:val="00D5741A"/>
    <w:rsid w:val="00D61D19"/>
    <w:rsid w:val="00D6493E"/>
    <w:rsid w:val="00D7195D"/>
    <w:rsid w:val="00D72CBA"/>
    <w:rsid w:val="00D7301E"/>
    <w:rsid w:val="00D83AE1"/>
    <w:rsid w:val="00D84A5C"/>
    <w:rsid w:val="00D854AC"/>
    <w:rsid w:val="00D855D4"/>
    <w:rsid w:val="00D902C9"/>
    <w:rsid w:val="00D93466"/>
    <w:rsid w:val="00D95F05"/>
    <w:rsid w:val="00DA1124"/>
    <w:rsid w:val="00DA64CB"/>
    <w:rsid w:val="00DB06B8"/>
    <w:rsid w:val="00DB2F1E"/>
    <w:rsid w:val="00DB6124"/>
    <w:rsid w:val="00DB750B"/>
    <w:rsid w:val="00DB75B7"/>
    <w:rsid w:val="00DC0A2F"/>
    <w:rsid w:val="00DC1948"/>
    <w:rsid w:val="00DC6E02"/>
    <w:rsid w:val="00DD28CD"/>
    <w:rsid w:val="00DE02AE"/>
    <w:rsid w:val="00DE39D1"/>
    <w:rsid w:val="00DE5E44"/>
    <w:rsid w:val="00DF1D7F"/>
    <w:rsid w:val="00DF3E8C"/>
    <w:rsid w:val="00DF4BE4"/>
    <w:rsid w:val="00DF7C6F"/>
    <w:rsid w:val="00E02382"/>
    <w:rsid w:val="00E02FB4"/>
    <w:rsid w:val="00E1008C"/>
    <w:rsid w:val="00E13FC7"/>
    <w:rsid w:val="00E20571"/>
    <w:rsid w:val="00E219BE"/>
    <w:rsid w:val="00E235F7"/>
    <w:rsid w:val="00E23659"/>
    <w:rsid w:val="00E239D4"/>
    <w:rsid w:val="00E26130"/>
    <w:rsid w:val="00E33D42"/>
    <w:rsid w:val="00E40B22"/>
    <w:rsid w:val="00E422F7"/>
    <w:rsid w:val="00E44ED1"/>
    <w:rsid w:val="00E45619"/>
    <w:rsid w:val="00E4588F"/>
    <w:rsid w:val="00E46DA3"/>
    <w:rsid w:val="00E51BB1"/>
    <w:rsid w:val="00E55CB0"/>
    <w:rsid w:val="00E624A5"/>
    <w:rsid w:val="00E64BA4"/>
    <w:rsid w:val="00E66459"/>
    <w:rsid w:val="00E72744"/>
    <w:rsid w:val="00E7344E"/>
    <w:rsid w:val="00E74A51"/>
    <w:rsid w:val="00E77FB5"/>
    <w:rsid w:val="00E82665"/>
    <w:rsid w:val="00E93D2B"/>
    <w:rsid w:val="00EB0798"/>
    <w:rsid w:val="00EB36D6"/>
    <w:rsid w:val="00EB40AD"/>
    <w:rsid w:val="00EB586E"/>
    <w:rsid w:val="00EB5FC8"/>
    <w:rsid w:val="00EB7FD7"/>
    <w:rsid w:val="00EC463D"/>
    <w:rsid w:val="00EC7A85"/>
    <w:rsid w:val="00ED13A7"/>
    <w:rsid w:val="00ED2922"/>
    <w:rsid w:val="00ED3CAD"/>
    <w:rsid w:val="00ED5A41"/>
    <w:rsid w:val="00ED5EAA"/>
    <w:rsid w:val="00EE1DE8"/>
    <w:rsid w:val="00EE27C2"/>
    <w:rsid w:val="00EE2CF7"/>
    <w:rsid w:val="00EF4BAD"/>
    <w:rsid w:val="00EF59DC"/>
    <w:rsid w:val="00F033EC"/>
    <w:rsid w:val="00F04958"/>
    <w:rsid w:val="00F04F68"/>
    <w:rsid w:val="00F12670"/>
    <w:rsid w:val="00F14B27"/>
    <w:rsid w:val="00F206D3"/>
    <w:rsid w:val="00F23FFE"/>
    <w:rsid w:val="00F27798"/>
    <w:rsid w:val="00F3148D"/>
    <w:rsid w:val="00F325C5"/>
    <w:rsid w:val="00F32FE0"/>
    <w:rsid w:val="00F35298"/>
    <w:rsid w:val="00F362EA"/>
    <w:rsid w:val="00F40E16"/>
    <w:rsid w:val="00F47333"/>
    <w:rsid w:val="00F47E37"/>
    <w:rsid w:val="00F53C07"/>
    <w:rsid w:val="00F54B65"/>
    <w:rsid w:val="00F63DBF"/>
    <w:rsid w:val="00F640B6"/>
    <w:rsid w:val="00F66DF2"/>
    <w:rsid w:val="00F7664F"/>
    <w:rsid w:val="00F80E40"/>
    <w:rsid w:val="00F848D9"/>
    <w:rsid w:val="00F931CE"/>
    <w:rsid w:val="00FA4BBA"/>
    <w:rsid w:val="00FA5069"/>
    <w:rsid w:val="00FA5B82"/>
    <w:rsid w:val="00FA639E"/>
    <w:rsid w:val="00FB541E"/>
    <w:rsid w:val="00FC1FCA"/>
    <w:rsid w:val="00FC25E4"/>
    <w:rsid w:val="00FC4EF7"/>
    <w:rsid w:val="00FD0302"/>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8058DA"/>
  <w15:docId w15:val="{D49E1E4A-F358-4F13-99FA-3059B4281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styleId="ListParagraph">
    <w:name w:val="List Paragraph"/>
    <w:basedOn w:val="Normal"/>
    <w:uiPriority w:val="34"/>
    <w:qFormat/>
    <w:rsid w:val="007619D7"/>
    <w:pPr>
      <w:adjustRightInd w:val="0"/>
      <w:snapToGrid w:val="0"/>
      <w:spacing w:before="180" w:after="180"/>
      <w:ind w:left="720"/>
      <w:contextualSpacing/>
    </w:pPr>
    <w:rPr>
      <w:rFonts w:eastAsia="MS Mincho"/>
      <w:szCs w:val="20"/>
      <w:lang w:eastAsia="ja-JP"/>
    </w:rPr>
  </w:style>
  <w:style w:type="paragraph" w:customStyle="1" w:styleId="Bulletpoint">
    <w:name w:val="Bullet point"/>
    <w:basedOn w:val="Normal"/>
    <w:rsid w:val="007619D7"/>
    <w:pPr>
      <w:numPr>
        <w:numId w:val="34"/>
      </w:numPr>
      <w:tabs>
        <w:tab w:val="clear" w:pos="369"/>
        <w:tab w:val="left" w:pos="397"/>
        <w:tab w:val="num" w:pos="511"/>
      </w:tabs>
      <w:spacing w:before="0" w:after="180" w:line="252" w:lineRule="auto"/>
      <w:ind w:left="0" w:firstLine="0"/>
    </w:pPr>
    <w:rPr>
      <w:rFonts w:eastAsia="Times New Roman"/>
      <w:snapToGrid w:val="0"/>
      <w:kern w:val="16"/>
      <w:szCs w:val="24"/>
    </w:rPr>
  </w:style>
  <w:style w:type="table" w:customStyle="1" w:styleId="TableTGAblue1">
    <w:name w:val="Table TGA blue1"/>
    <w:basedOn w:val="TableNormal"/>
    <w:uiPriority w:val="99"/>
    <w:qFormat/>
    <w:rsid w:val="007619D7"/>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77823">
      <w:bodyDiv w:val="1"/>
      <w:marLeft w:val="0"/>
      <w:marRight w:val="0"/>
      <w:marTop w:val="0"/>
      <w:marBottom w:val="0"/>
      <w:divBdr>
        <w:top w:val="none" w:sz="0" w:space="0" w:color="auto"/>
        <w:left w:val="none" w:sz="0" w:space="0" w:color="auto"/>
        <w:bottom w:val="none" w:sz="0" w:space="0" w:color="auto"/>
        <w:right w:val="none" w:sz="0" w:space="0" w:color="auto"/>
      </w:divBdr>
    </w:div>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446971252">
      <w:bodyDiv w:val="1"/>
      <w:marLeft w:val="0"/>
      <w:marRight w:val="0"/>
      <w:marTop w:val="0"/>
      <w:marBottom w:val="0"/>
      <w:divBdr>
        <w:top w:val="none" w:sz="0" w:space="0" w:color="auto"/>
        <w:left w:val="none" w:sz="0" w:space="0" w:color="auto"/>
        <w:bottom w:val="none" w:sz="0" w:space="0" w:color="auto"/>
        <w:right w:val="none" w:sz="0" w:space="0" w:color="auto"/>
      </w:divBdr>
    </w:div>
    <w:div w:id="458187400">
      <w:bodyDiv w:val="1"/>
      <w:marLeft w:val="0"/>
      <w:marRight w:val="0"/>
      <w:marTop w:val="0"/>
      <w:marBottom w:val="0"/>
      <w:divBdr>
        <w:top w:val="none" w:sz="0" w:space="0" w:color="auto"/>
        <w:left w:val="none" w:sz="0" w:space="0" w:color="auto"/>
        <w:bottom w:val="none" w:sz="0" w:space="0" w:color="auto"/>
        <w:right w:val="none" w:sz="0" w:space="0" w:color="auto"/>
      </w:divBdr>
    </w:div>
    <w:div w:id="525145916">
      <w:bodyDiv w:val="1"/>
      <w:marLeft w:val="0"/>
      <w:marRight w:val="0"/>
      <w:marTop w:val="0"/>
      <w:marBottom w:val="0"/>
      <w:divBdr>
        <w:top w:val="none" w:sz="0" w:space="0" w:color="auto"/>
        <w:left w:val="none" w:sz="0" w:space="0" w:color="auto"/>
        <w:bottom w:val="none" w:sz="0" w:space="0" w:color="auto"/>
        <w:right w:val="none" w:sz="0" w:space="0" w:color="auto"/>
      </w:divBdr>
    </w:div>
    <w:div w:id="874853194">
      <w:bodyDiv w:val="1"/>
      <w:marLeft w:val="0"/>
      <w:marRight w:val="0"/>
      <w:marTop w:val="0"/>
      <w:marBottom w:val="0"/>
      <w:divBdr>
        <w:top w:val="none" w:sz="0" w:space="0" w:color="auto"/>
        <w:left w:val="none" w:sz="0" w:space="0" w:color="auto"/>
        <w:bottom w:val="none" w:sz="0" w:space="0" w:color="auto"/>
        <w:right w:val="none" w:sz="0" w:space="0" w:color="auto"/>
      </w:divBdr>
    </w:div>
    <w:div w:id="1347099536">
      <w:bodyDiv w:val="1"/>
      <w:marLeft w:val="0"/>
      <w:marRight w:val="0"/>
      <w:marTop w:val="0"/>
      <w:marBottom w:val="0"/>
      <w:divBdr>
        <w:top w:val="none" w:sz="0" w:space="0" w:color="auto"/>
        <w:left w:val="none" w:sz="0" w:space="0" w:color="auto"/>
        <w:bottom w:val="none" w:sz="0" w:space="0" w:color="auto"/>
        <w:right w:val="none" w:sz="0" w:space="0" w:color="auto"/>
      </w:divBdr>
    </w:div>
    <w:div w:id="1641184908">
      <w:bodyDiv w:val="1"/>
      <w:marLeft w:val="0"/>
      <w:marRight w:val="0"/>
      <w:marTop w:val="0"/>
      <w:marBottom w:val="0"/>
      <w:divBdr>
        <w:top w:val="none" w:sz="0" w:space="0" w:color="auto"/>
        <w:left w:val="none" w:sz="0" w:space="0" w:color="auto"/>
        <w:bottom w:val="none" w:sz="0" w:space="0" w:color="auto"/>
        <w:right w:val="none" w:sz="0" w:space="0" w:color="auto"/>
      </w:divBdr>
    </w:div>
    <w:div w:id="1859925994">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tga.gov.au/picmi-search-facility" TargetMode="Externa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ga.gov.au/picmi-search-facility" TargetMode="External"/><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mailto:tga.copyright@tga.gov.au" TargetMode="External"/><Relationship Id="rId19" Type="http://schemas.openxmlformats.org/officeDocument/2006/relationships/image" Target="media/image6.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hyperlink" Target="https://www.tga.gov.au/black-triangle-scheme" TargetMode="Externa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hyperlink" Target="https://www.tga.gov.au" TargetMode="External"/><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s://www.drugbank.ca/drugs/DB00694" TargetMode="External"/><Relationship Id="rId1" Type="http://schemas.openxmlformats.org/officeDocument/2006/relationships/hyperlink" Target="https://seer.cancer.gov/statfacts/html/amyl.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B629B-2F89-4EF5-8B4C-E1261CC34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22</Pages>
  <Words>5802</Words>
  <Characters>33076</Characters>
  <Application>Microsoft Office Word</Application>
  <DocSecurity>0</DocSecurity>
  <Lines>893</Lines>
  <Paragraphs>580</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38298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Vyxeos</dc:title>
  <dc:subject>prescription medicine regulation</dc:subject>
  <dc:creator>Therapeutic Goods Administration</dc:creator>
  <cp:keywords/>
  <cp:lastModifiedBy>KOLARIK-O'REILLY, Kristy</cp:lastModifiedBy>
  <cp:revision>37</cp:revision>
  <cp:lastPrinted>2019-08-14T04:30:00Z</cp:lastPrinted>
  <dcterms:created xsi:type="dcterms:W3CDTF">2022-11-18T07:16:00Z</dcterms:created>
  <dcterms:modified xsi:type="dcterms:W3CDTF">2023-02-10T03:10:00Z</dcterms:modified>
  <cp:category/>
</cp:coreProperties>
</file>