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0A6FE64" w:rsidR="00F02AEC" w:rsidRPr="00215D48" w:rsidRDefault="00346EC2" w:rsidP="002B29B2">
            <w:pPr>
              <w:pStyle w:val="Title"/>
            </w:pPr>
            <w:r w:rsidRPr="00346EC2">
              <w:t>Australian Public Assessment Report for</w:t>
            </w:r>
            <w:r w:rsidR="00764D48">
              <w:t xml:space="preserve"> </w:t>
            </w:r>
            <w:proofErr w:type="spellStart"/>
            <w:r w:rsidR="00764D48" w:rsidRPr="00764D48">
              <w:t>Ryaltris</w:t>
            </w:r>
            <w:proofErr w:type="spellEnd"/>
          </w:p>
        </w:tc>
      </w:tr>
      <w:tr w:rsidR="00F02AEC" w:rsidRPr="00215D48" w14:paraId="318A40A3" w14:textId="77777777" w:rsidTr="00346EC2">
        <w:trPr>
          <w:trHeight w:val="995"/>
        </w:trPr>
        <w:tc>
          <w:tcPr>
            <w:tcW w:w="8720" w:type="dxa"/>
          </w:tcPr>
          <w:p w14:paraId="1AA7C701" w14:textId="56B179A7" w:rsidR="00F02AEC" w:rsidRPr="00215D48" w:rsidRDefault="00346EC2" w:rsidP="002B29B2">
            <w:pPr>
              <w:pStyle w:val="Subtitle"/>
              <w:ind w:left="0"/>
            </w:pPr>
            <w:r w:rsidRPr="00346EC2">
              <w:t xml:space="preserve">Active ingredient/s: </w:t>
            </w:r>
            <w:r w:rsidR="00764D48" w:rsidRPr="00764D48">
              <w:t>Olopatadine / mometasone furoate</w:t>
            </w:r>
          </w:p>
        </w:tc>
      </w:tr>
      <w:tr w:rsidR="00346EC2" w:rsidRPr="00215D48" w14:paraId="362CCAE4" w14:textId="77777777" w:rsidTr="006412C5">
        <w:trPr>
          <w:trHeight w:val="1427"/>
        </w:trPr>
        <w:tc>
          <w:tcPr>
            <w:tcW w:w="8720" w:type="dxa"/>
          </w:tcPr>
          <w:p w14:paraId="709C45C0" w14:textId="4D6EFD32" w:rsidR="00346EC2" w:rsidRPr="00215D48" w:rsidRDefault="00346EC2" w:rsidP="002B29B2">
            <w:pPr>
              <w:pStyle w:val="Subtitle"/>
              <w:ind w:left="0"/>
            </w:pPr>
            <w:r w:rsidRPr="00346EC2">
              <w:t>Sponsor:</w:t>
            </w:r>
            <w:r w:rsidR="00764D48">
              <w:t xml:space="preserve"> </w:t>
            </w:r>
            <w:r w:rsidR="00764D48" w:rsidRPr="00764D48">
              <w:t>Seqirus Pty Limited</w:t>
            </w:r>
          </w:p>
        </w:tc>
      </w:tr>
      <w:tr w:rsidR="00F02AEC" w:rsidRPr="00215D48" w14:paraId="37F2AA1F" w14:textId="77777777" w:rsidTr="006412C5">
        <w:trPr>
          <w:trHeight w:val="80"/>
        </w:trPr>
        <w:tc>
          <w:tcPr>
            <w:tcW w:w="8720" w:type="dxa"/>
          </w:tcPr>
          <w:p w14:paraId="1FDE8DCD" w14:textId="6D59F54E" w:rsidR="00F02AEC" w:rsidRPr="00215D48" w:rsidRDefault="00764D48" w:rsidP="00F54CA9">
            <w:pPr>
              <w:pStyle w:val="Date"/>
            </w:pPr>
            <w:r>
              <w:t>March 2023</w:t>
            </w:r>
          </w:p>
        </w:tc>
      </w:tr>
    </w:tbl>
    <w:p w14:paraId="73752706" w14:textId="77777777" w:rsidR="00F02AEC" w:rsidRPr="00215D48" w:rsidRDefault="00F02AEC" w:rsidP="00B24FF5">
      <w:pPr>
        <w:pStyle w:val="ListBullet"/>
        <w:numPr>
          <w:ilvl w:val="0"/>
          <w:numId w:val="0"/>
        </w:numPr>
        <w:sectPr w:rsidR="00F02AEC" w:rsidRPr="00215D48"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7777777"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77777777"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764D48">
      <w:pPr>
        <w:pStyle w:val="LegalSubheading"/>
        <w:spacing w:before="3840"/>
      </w:pPr>
      <w:r w:rsidRPr="00BA0DFC">
        <w:t>Copyright</w:t>
      </w:r>
    </w:p>
    <w:p w14:paraId="170A8A5D" w14:textId="16AEF583" w:rsidR="00175CD8" w:rsidRPr="00346EC2" w:rsidRDefault="00F02AEC" w:rsidP="00346EC2">
      <w:pPr>
        <w:pStyle w:val="LegalCopy"/>
        <w:rPr>
          <w:rFonts w:cs="Arial"/>
        </w:rPr>
      </w:pPr>
      <w:r w:rsidRPr="00215D48">
        <w:rPr>
          <w:rFonts w:cs="Arial"/>
        </w:rPr>
        <w:t>© Commonwealth of Australia 20</w:t>
      </w:r>
      <w:r>
        <w:rPr>
          <w:rFonts w:cs="Arial"/>
        </w:rPr>
        <w:t>22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035110">
          <w:pPr>
            <w:pStyle w:val="NonTOCheading2"/>
          </w:pPr>
          <w:r w:rsidRPr="00215D48">
            <w:t>Contents</w:t>
          </w:r>
        </w:p>
        <w:p w14:paraId="09439CF6" w14:textId="019139B6" w:rsidR="00A81EEF"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0459045" w:history="1">
            <w:r w:rsidR="00A81EEF" w:rsidRPr="00144407">
              <w:rPr>
                <w:rStyle w:val="Hyperlink"/>
                <w:noProof/>
              </w:rPr>
              <w:t>List of abbreviations</w:t>
            </w:r>
            <w:r w:rsidR="00A81EEF">
              <w:rPr>
                <w:noProof/>
                <w:webHidden/>
              </w:rPr>
              <w:tab/>
            </w:r>
            <w:r w:rsidR="00A81EEF">
              <w:rPr>
                <w:noProof/>
                <w:webHidden/>
              </w:rPr>
              <w:fldChar w:fldCharType="begin"/>
            </w:r>
            <w:r w:rsidR="00A81EEF">
              <w:rPr>
                <w:noProof/>
                <w:webHidden/>
              </w:rPr>
              <w:instrText xml:space="preserve"> PAGEREF _Toc130459045 \h </w:instrText>
            </w:r>
            <w:r w:rsidR="00A81EEF">
              <w:rPr>
                <w:noProof/>
                <w:webHidden/>
              </w:rPr>
            </w:r>
            <w:r w:rsidR="00A81EEF">
              <w:rPr>
                <w:noProof/>
                <w:webHidden/>
              </w:rPr>
              <w:fldChar w:fldCharType="separate"/>
            </w:r>
            <w:r w:rsidR="00A81EEF">
              <w:rPr>
                <w:noProof/>
                <w:webHidden/>
              </w:rPr>
              <w:t>4</w:t>
            </w:r>
            <w:r w:rsidR="00A81EEF">
              <w:rPr>
                <w:noProof/>
                <w:webHidden/>
              </w:rPr>
              <w:fldChar w:fldCharType="end"/>
            </w:r>
          </w:hyperlink>
        </w:p>
        <w:p w14:paraId="01E92C4A" w14:textId="46008E5F" w:rsidR="00A81EEF" w:rsidRDefault="00A81EEF">
          <w:pPr>
            <w:pStyle w:val="TOC1"/>
            <w:rPr>
              <w:rFonts w:asciiTheme="minorHAnsi" w:eastAsiaTheme="minorEastAsia" w:hAnsiTheme="minorHAnsi" w:cstheme="minorBidi"/>
              <w:b w:val="0"/>
              <w:noProof/>
              <w:color w:val="auto"/>
              <w:sz w:val="22"/>
              <w:szCs w:val="22"/>
              <w:lang w:eastAsia="en-AU"/>
            </w:rPr>
          </w:pPr>
          <w:hyperlink w:anchor="_Toc130459046" w:history="1">
            <w:r w:rsidRPr="00144407">
              <w:rPr>
                <w:rStyle w:val="Hyperlink"/>
                <w:noProof/>
              </w:rPr>
              <w:t>Product submission</w:t>
            </w:r>
            <w:r>
              <w:rPr>
                <w:noProof/>
                <w:webHidden/>
              </w:rPr>
              <w:tab/>
            </w:r>
            <w:r>
              <w:rPr>
                <w:noProof/>
                <w:webHidden/>
              </w:rPr>
              <w:fldChar w:fldCharType="begin"/>
            </w:r>
            <w:r>
              <w:rPr>
                <w:noProof/>
                <w:webHidden/>
              </w:rPr>
              <w:instrText xml:space="preserve"> PAGEREF _Toc130459046 \h </w:instrText>
            </w:r>
            <w:r>
              <w:rPr>
                <w:noProof/>
                <w:webHidden/>
              </w:rPr>
            </w:r>
            <w:r>
              <w:rPr>
                <w:noProof/>
                <w:webHidden/>
              </w:rPr>
              <w:fldChar w:fldCharType="separate"/>
            </w:r>
            <w:r>
              <w:rPr>
                <w:noProof/>
                <w:webHidden/>
              </w:rPr>
              <w:t>5</w:t>
            </w:r>
            <w:r>
              <w:rPr>
                <w:noProof/>
                <w:webHidden/>
              </w:rPr>
              <w:fldChar w:fldCharType="end"/>
            </w:r>
          </w:hyperlink>
        </w:p>
        <w:p w14:paraId="6954B8B8" w14:textId="0A42D47A"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47" w:history="1">
            <w:r w:rsidRPr="00144407">
              <w:rPr>
                <w:rStyle w:val="Hyperlink"/>
                <w:noProof/>
                <w:lang w:eastAsia="en-AU"/>
              </w:rPr>
              <w:t>Submission details</w:t>
            </w:r>
            <w:r>
              <w:rPr>
                <w:noProof/>
                <w:webHidden/>
              </w:rPr>
              <w:tab/>
            </w:r>
            <w:r>
              <w:rPr>
                <w:noProof/>
                <w:webHidden/>
              </w:rPr>
              <w:fldChar w:fldCharType="begin"/>
            </w:r>
            <w:r>
              <w:rPr>
                <w:noProof/>
                <w:webHidden/>
              </w:rPr>
              <w:instrText xml:space="preserve"> PAGEREF _Toc130459047 \h </w:instrText>
            </w:r>
            <w:r>
              <w:rPr>
                <w:noProof/>
                <w:webHidden/>
              </w:rPr>
            </w:r>
            <w:r>
              <w:rPr>
                <w:noProof/>
                <w:webHidden/>
              </w:rPr>
              <w:fldChar w:fldCharType="separate"/>
            </w:r>
            <w:r>
              <w:rPr>
                <w:noProof/>
                <w:webHidden/>
              </w:rPr>
              <w:t>5</w:t>
            </w:r>
            <w:r>
              <w:rPr>
                <w:noProof/>
                <w:webHidden/>
              </w:rPr>
              <w:fldChar w:fldCharType="end"/>
            </w:r>
          </w:hyperlink>
        </w:p>
        <w:p w14:paraId="723F60A1" w14:textId="4D5B7192"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48" w:history="1">
            <w:r w:rsidRPr="00144407">
              <w:rPr>
                <w:rStyle w:val="Hyperlink"/>
                <w:noProof/>
              </w:rPr>
              <w:t>Product background</w:t>
            </w:r>
            <w:r>
              <w:rPr>
                <w:noProof/>
                <w:webHidden/>
              </w:rPr>
              <w:tab/>
            </w:r>
            <w:r>
              <w:rPr>
                <w:noProof/>
                <w:webHidden/>
              </w:rPr>
              <w:fldChar w:fldCharType="begin"/>
            </w:r>
            <w:r>
              <w:rPr>
                <w:noProof/>
                <w:webHidden/>
              </w:rPr>
              <w:instrText xml:space="preserve"> PAGEREF _Toc130459048 \h </w:instrText>
            </w:r>
            <w:r>
              <w:rPr>
                <w:noProof/>
                <w:webHidden/>
              </w:rPr>
            </w:r>
            <w:r>
              <w:rPr>
                <w:noProof/>
                <w:webHidden/>
              </w:rPr>
              <w:fldChar w:fldCharType="separate"/>
            </w:r>
            <w:r>
              <w:rPr>
                <w:noProof/>
                <w:webHidden/>
              </w:rPr>
              <w:t>6</w:t>
            </w:r>
            <w:r>
              <w:rPr>
                <w:noProof/>
                <w:webHidden/>
              </w:rPr>
              <w:fldChar w:fldCharType="end"/>
            </w:r>
          </w:hyperlink>
        </w:p>
        <w:p w14:paraId="046B0604" w14:textId="1D52D089" w:rsidR="00A81EEF" w:rsidRDefault="00A81EEF">
          <w:pPr>
            <w:pStyle w:val="TOC3"/>
            <w:rPr>
              <w:rFonts w:asciiTheme="minorHAnsi" w:eastAsiaTheme="minorEastAsia" w:hAnsiTheme="minorHAnsi" w:cstheme="minorBidi"/>
              <w:b w:val="0"/>
              <w:noProof/>
              <w:color w:val="auto"/>
              <w:szCs w:val="22"/>
              <w:lang w:eastAsia="en-AU"/>
            </w:rPr>
          </w:pPr>
          <w:hyperlink w:anchor="_Toc130459049" w:history="1">
            <w:r w:rsidRPr="00144407">
              <w:rPr>
                <w:rStyle w:val="Hyperlink"/>
                <w:noProof/>
              </w:rPr>
              <w:t>Allergic rhinitis</w:t>
            </w:r>
            <w:r>
              <w:rPr>
                <w:noProof/>
                <w:webHidden/>
              </w:rPr>
              <w:tab/>
            </w:r>
            <w:r>
              <w:rPr>
                <w:noProof/>
                <w:webHidden/>
              </w:rPr>
              <w:fldChar w:fldCharType="begin"/>
            </w:r>
            <w:r>
              <w:rPr>
                <w:noProof/>
                <w:webHidden/>
              </w:rPr>
              <w:instrText xml:space="preserve"> PAGEREF _Toc130459049 \h </w:instrText>
            </w:r>
            <w:r>
              <w:rPr>
                <w:noProof/>
                <w:webHidden/>
              </w:rPr>
            </w:r>
            <w:r>
              <w:rPr>
                <w:noProof/>
                <w:webHidden/>
              </w:rPr>
              <w:fldChar w:fldCharType="separate"/>
            </w:r>
            <w:r>
              <w:rPr>
                <w:noProof/>
                <w:webHidden/>
              </w:rPr>
              <w:t>6</w:t>
            </w:r>
            <w:r>
              <w:rPr>
                <w:noProof/>
                <w:webHidden/>
              </w:rPr>
              <w:fldChar w:fldCharType="end"/>
            </w:r>
          </w:hyperlink>
        </w:p>
        <w:p w14:paraId="18D26EF1" w14:textId="0E4ACEF8" w:rsidR="00A81EEF" w:rsidRDefault="00A81EEF">
          <w:pPr>
            <w:pStyle w:val="TOC3"/>
            <w:rPr>
              <w:rFonts w:asciiTheme="minorHAnsi" w:eastAsiaTheme="minorEastAsia" w:hAnsiTheme="minorHAnsi" w:cstheme="minorBidi"/>
              <w:b w:val="0"/>
              <w:noProof/>
              <w:color w:val="auto"/>
              <w:szCs w:val="22"/>
              <w:lang w:eastAsia="en-AU"/>
            </w:rPr>
          </w:pPr>
          <w:hyperlink w:anchor="_Toc130459050" w:history="1">
            <w:r w:rsidRPr="00144407">
              <w:rPr>
                <w:rStyle w:val="Hyperlink"/>
                <w:noProof/>
              </w:rPr>
              <w:t>Seasonal versus perennial allergic rhinitis</w:t>
            </w:r>
            <w:r>
              <w:rPr>
                <w:noProof/>
                <w:webHidden/>
              </w:rPr>
              <w:tab/>
            </w:r>
            <w:r>
              <w:rPr>
                <w:noProof/>
                <w:webHidden/>
              </w:rPr>
              <w:fldChar w:fldCharType="begin"/>
            </w:r>
            <w:r>
              <w:rPr>
                <w:noProof/>
                <w:webHidden/>
              </w:rPr>
              <w:instrText xml:space="preserve"> PAGEREF _Toc130459050 \h </w:instrText>
            </w:r>
            <w:r>
              <w:rPr>
                <w:noProof/>
                <w:webHidden/>
              </w:rPr>
            </w:r>
            <w:r>
              <w:rPr>
                <w:noProof/>
                <w:webHidden/>
              </w:rPr>
              <w:fldChar w:fldCharType="separate"/>
            </w:r>
            <w:r>
              <w:rPr>
                <w:noProof/>
                <w:webHidden/>
              </w:rPr>
              <w:t>7</w:t>
            </w:r>
            <w:r>
              <w:rPr>
                <w:noProof/>
                <w:webHidden/>
              </w:rPr>
              <w:fldChar w:fldCharType="end"/>
            </w:r>
          </w:hyperlink>
        </w:p>
        <w:p w14:paraId="5BF6E2D3" w14:textId="56DCCBC8" w:rsidR="00A81EEF" w:rsidRDefault="00A81EEF">
          <w:pPr>
            <w:pStyle w:val="TOC3"/>
            <w:rPr>
              <w:rFonts w:asciiTheme="minorHAnsi" w:eastAsiaTheme="minorEastAsia" w:hAnsiTheme="minorHAnsi" w:cstheme="minorBidi"/>
              <w:b w:val="0"/>
              <w:noProof/>
              <w:color w:val="auto"/>
              <w:szCs w:val="22"/>
              <w:lang w:eastAsia="en-AU"/>
            </w:rPr>
          </w:pPr>
          <w:hyperlink w:anchor="_Toc130459051" w:history="1">
            <w:r w:rsidRPr="00144407">
              <w:rPr>
                <w:rStyle w:val="Hyperlink"/>
                <w:noProof/>
              </w:rPr>
              <w:t>Current treatment options</w:t>
            </w:r>
            <w:r>
              <w:rPr>
                <w:noProof/>
                <w:webHidden/>
              </w:rPr>
              <w:tab/>
            </w:r>
            <w:r>
              <w:rPr>
                <w:noProof/>
                <w:webHidden/>
              </w:rPr>
              <w:fldChar w:fldCharType="begin"/>
            </w:r>
            <w:r>
              <w:rPr>
                <w:noProof/>
                <w:webHidden/>
              </w:rPr>
              <w:instrText xml:space="preserve"> PAGEREF _Toc130459051 \h </w:instrText>
            </w:r>
            <w:r>
              <w:rPr>
                <w:noProof/>
                <w:webHidden/>
              </w:rPr>
            </w:r>
            <w:r>
              <w:rPr>
                <w:noProof/>
                <w:webHidden/>
              </w:rPr>
              <w:fldChar w:fldCharType="separate"/>
            </w:r>
            <w:r>
              <w:rPr>
                <w:noProof/>
                <w:webHidden/>
              </w:rPr>
              <w:t>7</w:t>
            </w:r>
            <w:r>
              <w:rPr>
                <w:noProof/>
                <w:webHidden/>
              </w:rPr>
              <w:fldChar w:fldCharType="end"/>
            </w:r>
          </w:hyperlink>
        </w:p>
        <w:p w14:paraId="2968993D" w14:textId="29201920"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52" w:history="1">
            <w:r w:rsidRPr="00144407">
              <w:rPr>
                <w:rStyle w:val="Hyperlink"/>
                <w:noProof/>
              </w:rPr>
              <w:t>Regulatory status</w:t>
            </w:r>
            <w:r>
              <w:rPr>
                <w:noProof/>
                <w:webHidden/>
              </w:rPr>
              <w:tab/>
            </w:r>
            <w:r>
              <w:rPr>
                <w:noProof/>
                <w:webHidden/>
              </w:rPr>
              <w:fldChar w:fldCharType="begin"/>
            </w:r>
            <w:r>
              <w:rPr>
                <w:noProof/>
                <w:webHidden/>
              </w:rPr>
              <w:instrText xml:space="preserve"> PAGEREF _Toc130459052 \h </w:instrText>
            </w:r>
            <w:r>
              <w:rPr>
                <w:noProof/>
                <w:webHidden/>
              </w:rPr>
            </w:r>
            <w:r>
              <w:rPr>
                <w:noProof/>
                <w:webHidden/>
              </w:rPr>
              <w:fldChar w:fldCharType="separate"/>
            </w:r>
            <w:r>
              <w:rPr>
                <w:noProof/>
                <w:webHidden/>
              </w:rPr>
              <w:t>8</w:t>
            </w:r>
            <w:r>
              <w:rPr>
                <w:noProof/>
                <w:webHidden/>
              </w:rPr>
              <w:fldChar w:fldCharType="end"/>
            </w:r>
          </w:hyperlink>
        </w:p>
        <w:p w14:paraId="2CCB71CF" w14:textId="658E3204"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53" w:history="1">
            <w:r w:rsidRPr="00144407">
              <w:rPr>
                <w:rStyle w:val="Hyperlink"/>
                <w:noProof/>
              </w:rPr>
              <w:t>Product Information</w:t>
            </w:r>
            <w:r>
              <w:rPr>
                <w:noProof/>
                <w:webHidden/>
              </w:rPr>
              <w:tab/>
            </w:r>
            <w:r>
              <w:rPr>
                <w:noProof/>
                <w:webHidden/>
              </w:rPr>
              <w:fldChar w:fldCharType="begin"/>
            </w:r>
            <w:r>
              <w:rPr>
                <w:noProof/>
                <w:webHidden/>
              </w:rPr>
              <w:instrText xml:space="preserve"> PAGEREF _Toc130459053 \h </w:instrText>
            </w:r>
            <w:r>
              <w:rPr>
                <w:noProof/>
                <w:webHidden/>
              </w:rPr>
            </w:r>
            <w:r>
              <w:rPr>
                <w:noProof/>
                <w:webHidden/>
              </w:rPr>
              <w:fldChar w:fldCharType="separate"/>
            </w:r>
            <w:r>
              <w:rPr>
                <w:noProof/>
                <w:webHidden/>
              </w:rPr>
              <w:t>9</w:t>
            </w:r>
            <w:r>
              <w:rPr>
                <w:noProof/>
                <w:webHidden/>
              </w:rPr>
              <w:fldChar w:fldCharType="end"/>
            </w:r>
          </w:hyperlink>
        </w:p>
        <w:p w14:paraId="13D9D1F7" w14:textId="3847F72E" w:rsidR="00A81EEF" w:rsidRDefault="00A81EEF">
          <w:pPr>
            <w:pStyle w:val="TOC1"/>
            <w:rPr>
              <w:rFonts w:asciiTheme="minorHAnsi" w:eastAsiaTheme="minorEastAsia" w:hAnsiTheme="minorHAnsi" w:cstheme="minorBidi"/>
              <w:b w:val="0"/>
              <w:noProof/>
              <w:color w:val="auto"/>
              <w:sz w:val="22"/>
              <w:szCs w:val="22"/>
              <w:lang w:eastAsia="en-AU"/>
            </w:rPr>
          </w:pPr>
          <w:hyperlink w:anchor="_Toc130459054" w:history="1">
            <w:r w:rsidRPr="00144407">
              <w:rPr>
                <w:rStyle w:val="Hyperlink"/>
                <w:noProof/>
              </w:rPr>
              <w:t>Registration timeline</w:t>
            </w:r>
            <w:r>
              <w:rPr>
                <w:noProof/>
                <w:webHidden/>
              </w:rPr>
              <w:tab/>
            </w:r>
            <w:r>
              <w:rPr>
                <w:noProof/>
                <w:webHidden/>
              </w:rPr>
              <w:fldChar w:fldCharType="begin"/>
            </w:r>
            <w:r>
              <w:rPr>
                <w:noProof/>
                <w:webHidden/>
              </w:rPr>
              <w:instrText xml:space="preserve"> PAGEREF _Toc130459054 \h </w:instrText>
            </w:r>
            <w:r>
              <w:rPr>
                <w:noProof/>
                <w:webHidden/>
              </w:rPr>
            </w:r>
            <w:r>
              <w:rPr>
                <w:noProof/>
                <w:webHidden/>
              </w:rPr>
              <w:fldChar w:fldCharType="separate"/>
            </w:r>
            <w:r>
              <w:rPr>
                <w:noProof/>
                <w:webHidden/>
              </w:rPr>
              <w:t>9</w:t>
            </w:r>
            <w:r>
              <w:rPr>
                <w:noProof/>
                <w:webHidden/>
              </w:rPr>
              <w:fldChar w:fldCharType="end"/>
            </w:r>
          </w:hyperlink>
        </w:p>
        <w:p w14:paraId="2658BA50" w14:textId="51F1C37A" w:rsidR="00A81EEF" w:rsidRDefault="00A81EEF">
          <w:pPr>
            <w:pStyle w:val="TOC1"/>
            <w:rPr>
              <w:rFonts w:asciiTheme="minorHAnsi" w:eastAsiaTheme="minorEastAsia" w:hAnsiTheme="minorHAnsi" w:cstheme="minorBidi"/>
              <w:b w:val="0"/>
              <w:noProof/>
              <w:color w:val="auto"/>
              <w:sz w:val="22"/>
              <w:szCs w:val="22"/>
              <w:lang w:eastAsia="en-AU"/>
            </w:rPr>
          </w:pPr>
          <w:hyperlink w:anchor="_Toc130459055" w:history="1">
            <w:r w:rsidRPr="00144407">
              <w:rPr>
                <w:rStyle w:val="Hyperlink"/>
                <w:noProof/>
              </w:rPr>
              <w:t>Submission overview and risk/benefit assessment</w:t>
            </w:r>
            <w:r>
              <w:rPr>
                <w:noProof/>
                <w:webHidden/>
              </w:rPr>
              <w:tab/>
            </w:r>
            <w:r>
              <w:rPr>
                <w:noProof/>
                <w:webHidden/>
              </w:rPr>
              <w:fldChar w:fldCharType="begin"/>
            </w:r>
            <w:r>
              <w:rPr>
                <w:noProof/>
                <w:webHidden/>
              </w:rPr>
              <w:instrText xml:space="preserve"> PAGEREF _Toc130459055 \h </w:instrText>
            </w:r>
            <w:r>
              <w:rPr>
                <w:noProof/>
                <w:webHidden/>
              </w:rPr>
            </w:r>
            <w:r>
              <w:rPr>
                <w:noProof/>
                <w:webHidden/>
              </w:rPr>
              <w:fldChar w:fldCharType="separate"/>
            </w:r>
            <w:r>
              <w:rPr>
                <w:noProof/>
                <w:webHidden/>
              </w:rPr>
              <w:t>10</w:t>
            </w:r>
            <w:r>
              <w:rPr>
                <w:noProof/>
                <w:webHidden/>
              </w:rPr>
              <w:fldChar w:fldCharType="end"/>
            </w:r>
          </w:hyperlink>
        </w:p>
        <w:p w14:paraId="34F050C7" w14:textId="549FDAB2"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56" w:history="1">
            <w:r w:rsidRPr="00144407">
              <w:rPr>
                <w:rStyle w:val="Hyperlink"/>
                <w:noProof/>
              </w:rPr>
              <w:t>Quality</w:t>
            </w:r>
            <w:r>
              <w:rPr>
                <w:noProof/>
                <w:webHidden/>
              </w:rPr>
              <w:tab/>
            </w:r>
            <w:r>
              <w:rPr>
                <w:noProof/>
                <w:webHidden/>
              </w:rPr>
              <w:fldChar w:fldCharType="begin"/>
            </w:r>
            <w:r>
              <w:rPr>
                <w:noProof/>
                <w:webHidden/>
              </w:rPr>
              <w:instrText xml:space="preserve"> PAGEREF _Toc130459056 \h </w:instrText>
            </w:r>
            <w:r>
              <w:rPr>
                <w:noProof/>
                <w:webHidden/>
              </w:rPr>
            </w:r>
            <w:r>
              <w:rPr>
                <w:noProof/>
                <w:webHidden/>
              </w:rPr>
              <w:fldChar w:fldCharType="separate"/>
            </w:r>
            <w:r>
              <w:rPr>
                <w:noProof/>
                <w:webHidden/>
              </w:rPr>
              <w:t>10</w:t>
            </w:r>
            <w:r>
              <w:rPr>
                <w:noProof/>
                <w:webHidden/>
              </w:rPr>
              <w:fldChar w:fldCharType="end"/>
            </w:r>
          </w:hyperlink>
        </w:p>
        <w:p w14:paraId="0257A13D" w14:textId="70F023DE"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57" w:history="1">
            <w:r w:rsidRPr="00144407">
              <w:rPr>
                <w:rStyle w:val="Hyperlink"/>
                <w:noProof/>
              </w:rPr>
              <w:t>Non-clinical</w:t>
            </w:r>
            <w:r>
              <w:rPr>
                <w:noProof/>
                <w:webHidden/>
              </w:rPr>
              <w:tab/>
            </w:r>
            <w:r>
              <w:rPr>
                <w:noProof/>
                <w:webHidden/>
              </w:rPr>
              <w:fldChar w:fldCharType="begin"/>
            </w:r>
            <w:r>
              <w:rPr>
                <w:noProof/>
                <w:webHidden/>
              </w:rPr>
              <w:instrText xml:space="preserve"> PAGEREF _Toc130459057 \h </w:instrText>
            </w:r>
            <w:r>
              <w:rPr>
                <w:noProof/>
                <w:webHidden/>
              </w:rPr>
            </w:r>
            <w:r>
              <w:rPr>
                <w:noProof/>
                <w:webHidden/>
              </w:rPr>
              <w:fldChar w:fldCharType="separate"/>
            </w:r>
            <w:r>
              <w:rPr>
                <w:noProof/>
                <w:webHidden/>
              </w:rPr>
              <w:t>11</w:t>
            </w:r>
            <w:r>
              <w:rPr>
                <w:noProof/>
                <w:webHidden/>
              </w:rPr>
              <w:fldChar w:fldCharType="end"/>
            </w:r>
          </w:hyperlink>
        </w:p>
        <w:p w14:paraId="76D14473" w14:textId="3579D728"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58" w:history="1">
            <w:r w:rsidRPr="00144407">
              <w:rPr>
                <w:rStyle w:val="Hyperlink"/>
                <w:noProof/>
              </w:rPr>
              <w:t>Clinical</w:t>
            </w:r>
            <w:r>
              <w:rPr>
                <w:noProof/>
                <w:webHidden/>
              </w:rPr>
              <w:tab/>
            </w:r>
            <w:r>
              <w:rPr>
                <w:noProof/>
                <w:webHidden/>
              </w:rPr>
              <w:fldChar w:fldCharType="begin"/>
            </w:r>
            <w:r>
              <w:rPr>
                <w:noProof/>
                <w:webHidden/>
              </w:rPr>
              <w:instrText xml:space="preserve"> PAGEREF _Toc130459058 \h </w:instrText>
            </w:r>
            <w:r>
              <w:rPr>
                <w:noProof/>
                <w:webHidden/>
              </w:rPr>
            </w:r>
            <w:r>
              <w:rPr>
                <w:noProof/>
                <w:webHidden/>
              </w:rPr>
              <w:fldChar w:fldCharType="separate"/>
            </w:r>
            <w:r>
              <w:rPr>
                <w:noProof/>
                <w:webHidden/>
              </w:rPr>
              <w:t>11</w:t>
            </w:r>
            <w:r>
              <w:rPr>
                <w:noProof/>
                <w:webHidden/>
              </w:rPr>
              <w:fldChar w:fldCharType="end"/>
            </w:r>
          </w:hyperlink>
        </w:p>
        <w:p w14:paraId="553BDED3" w14:textId="45DBF335" w:rsidR="00A81EEF" w:rsidRDefault="00A81EEF">
          <w:pPr>
            <w:pStyle w:val="TOC3"/>
            <w:rPr>
              <w:rFonts w:asciiTheme="minorHAnsi" w:eastAsiaTheme="minorEastAsia" w:hAnsiTheme="minorHAnsi" w:cstheme="minorBidi"/>
              <w:b w:val="0"/>
              <w:noProof/>
              <w:color w:val="auto"/>
              <w:szCs w:val="22"/>
              <w:lang w:eastAsia="en-AU"/>
            </w:rPr>
          </w:pPr>
          <w:hyperlink w:anchor="_Toc130459059" w:history="1">
            <w:r w:rsidRPr="00144407">
              <w:rPr>
                <w:rStyle w:val="Hyperlink"/>
                <w:noProof/>
              </w:rPr>
              <w:t>Summary of clinical studies</w:t>
            </w:r>
            <w:r>
              <w:rPr>
                <w:noProof/>
                <w:webHidden/>
              </w:rPr>
              <w:tab/>
            </w:r>
            <w:r>
              <w:rPr>
                <w:noProof/>
                <w:webHidden/>
              </w:rPr>
              <w:fldChar w:fldCharType="begin"/>
            </w:r>
            <w:r>
              <w:rPr>
                <w:noProof/>
                <w:webHidden/>
              </w:rPr>
              <w:instrText xml:space="preserve"> PAGEREF _Toc130459059 \h </w:instrText>
            </w:r>
            <w:r>
              <w:rPr>
                <w:noProof/>
                <w:webHidden/>
              </w:rPr>
            </w:r>
            <w:r>
              <w:rPr>
                <w:noProof/>
                <w:webHidden/>
              </w:rPr>
              <w:fldChar w:fldCharType="separate"/>
            </w:r>
            <w:r>
              <w:rPr>
                <w:noProof/>
                <w:webHidden/>
              </w:rPr>
              <w:t>11</w:t>
            </w:r>
            <w:r>
              <w:rPr>
                <w:noProof/>
                <w:webHidden/>
              </w:rPr>
              <w:fldChar w:fldCharType="end"/>
            </w:r>
          </w:hyperlink>
        </w:p>
        <w:p w14:paraId="74E0168C" w14:textId="2E0BF5DE" w:rsidR="00A81EEF" w:rsidRDefault="00A81EEF">
          <w:pPr>
            <w:pStyle w:val="TOC3"/>
            <w:rPr>
              <w:rFonts w:asciiTheme="minorHAnsi" w:eastAsiaTheme="minorEastAsia" w:hAnsiTheme="minorHAnsi" w:cstheme="minorBidi"/>
              <w:b w:val="0"/>
              <w:noProof/>
              <w:color w:val="auto"/>
              <w:szCs w:val="22"/>
              <w:lang w:eastAsia="en-AU"/>
            </w:rPr>
          </w:pPr>
          <w:hyperlink w:anchor="_Toc130459060" w:history="1">
            <w:r w:rsidRPr="00144407">
              <w:rPr>
                <w:rStyle w:val="Hyperlink"/>
                <w:noProof/>
              </w:rPr>
              <w:t>Pharmacology</w:t>
            </w:r>
            <w:r>
              <w:rPr>
                <w:noProof/>
                <w:webHidden/>
              </w:rPr>
              <w:tab/>
            </w:r>
            <w:r>
              <w:rPr>
                <w:noProof/>
                <w:webHidden/>
              </w:rPr>
              <w:fldChar w:fldCharType="begin"/>
            </w:r>
            <w:r>
              <w:rPr>
                <w:noProof/>
                <w:webHidden/>
              </w:rPr>
              <w:instrText xml:space="preserve"> PAGEREF _Toc130459060 \h </w:instrText>
            </w:r>
            <w:r>
              <w:rPr>
                <w:noProof/>
                <w:webHidden/>
              </w:rPr>
            </w:r>
            <w:r>
              <w:rPr>
                <w:noProof/>
                <w:webHidden/>
              </w:rPr>
              <w:fldChar w:fldCharType="separate"/>
            </w:r>
            <w:r>
              <w:rPr>
                <w:noProof/>
                <w:webHidden/>
              </w:rPr>
              <w:t>12</w:t>
            </w:r>
            <w:r>
              <w:rPr>
                <w:noProof/>
                <w:webHidden/>
              </w:rPr>
              <w:fldChar w:fldCharType="end"/>
            </w:r>
          </w:hyperlink>
        </w:p>
        <w:p w14:paraId="53CDE727" w14:textId="5E043197" w:rsidR="00A81EEF" w:rsidRDefault="00A81EEF">
          <w:pPr>
            <w:pStyle w:val="TOC3"/>
            <w:rPr>
              <w:rFonts w:asciiTheme="minorHAnsi" w:eastAsiaTheme="minorEastAsia" w:hAnsiTheme="minorHAnsi" w:cstheme="minorBidi"/>
              <w:b w:val="0"/>
              <w:noProof/>
              <w:color w:val="auto"/>
              <w:szCs w:val="22"/>
              <w:lang w:eastAsia="en-AU"/>
            </w:rPr>
          </w:pPr>
          <w:hyperlink w:anchor="_Toc130459061" w:history="1">
            <w:r w:rsidRPr="00144407">
              <w:rPr>
                <w:rStyle w:val="Hyperlink"/>
                <w:noProof/>
              </w:rPr>
              <w:t>Efficacy</w:t>
            </w:r>
            <w:r>
              <w:rPr>
                <w:noProof/>
                <w:webHidden/>
              </w:rPr>
              <w:tab/>
            </w:r>
            <w:r>
              <w:rPr>
                <w:noProof/>
                <w:webHidden/>
              </w:rPr>
              <w:fldChar w:fldCharType="begin"/>
            </w:r>
            <w:r>
              <w:rPr>
                <w:noProof/>
                <w:webHidden/>
              </w:rPr>
              <w:instrText xml:space="preserve"> PAGEREF _Toc130459061 \h </w:instrText>
            </w:r>
            <w:r>
              <w:rPr>
                <w:noProof/>
                <w:webHidden/>
              </w:rPr>
            </w:r>
            <w:r>
              <w:rPr>
                <w:noProof/>
                <w:webHidden/>
              </w:rPr>
              <w:fldChar w:fldCharType="separate"/>
            </w:r>
            <w:r>
              <w:rPr>
                <w:noProof/>
                <w:webHidden/>
              </w:rPr>
              <w:t>12</w:t>
            </w:r>
            <w:r>
              <w:rPr>
                <w:noProof/>
                <w:webHidden/>
              </w:rPr>
              <w:fldChar w:fldCharType="end"/>
            </w:r>
          </w:hyperlink>
        </w:p>
        <w:p w14:paraId="1D29AB65" w14:textId="0E0F8E44" w:rsidR="00A81EEF" w:rsidRDefault="00A81EEF">
          <w:pPr>
            <w:pStyle w:val="TOC3"/>
            <w:rPr>
              <w:rFonts w:asciiTheme="minorHAnsi" w:eastAsiaTheme="minorEastAsia" w:hAnsiTheme="minorHAnsi" w:cstheme="minorBidi"/>
              <w:b w:val="0"/>
              <w:noProof/>
              <w:color w:val="auto"/>
              <w:szCs w:val="22"/>
              <w:lang w:eastAsia="en-AU"/>
            </w:rPr>
          </w:pPr>
          <w:hyperlink w:anchor="_Toc130459062" w:history="1">
            <w:r w:rsidRPr="00144407">
              <w:rPr>
                <w:rStyle w:val="Hyperlink"/>
                <w:noProof/>
                <w:lang w:eastAsia="ja-JP"/>
              </w:rPr>
              <w:t>Safety</w:t>
            </w:r>
            <w:r>
              <w:rPr>
                <w:noProof/>
                <w:webHidden/>
              </w:rPr>
              <w:tab/>
            </w:r>
            <w:r>
              <w:rPr>
                <w:noProof/>
                <w:webHidden/>
              </w:rPr>
              <w:fldChar w:fldCharType="begin"/>
            </w:r>
            <w:r>
              <w:rPr>
                <w:noProof/>
                <w:webHidden/>
              </w:rPr>
              <w:instrText xml:space="preserve"> PAGEREF _Toc130459062 \h </w:instrText>
            </w:r>
            <w:r>
              <w:rPr>
                <w:noProof/>
                <w:webHidden/>
              </w:rPr>
            </w:r>
            <w:r>
              <w:rPr>
                <w:noProof/>
                <w:webHidden/>
              </w:rPr>
              <w:fldChar w:fldCharType="separate"/>
            </w:r>
            <w:r>
              <w:rPr>
                <w:noProof/>
                <w:webHidden/>
              </w:rPr>
              <w:t>25</w:t>
            </w:r>
            <w:r>
              <w:rPr>
                <w:noProof/>
                <w:webHidden/>
              </w:rPr>
              <w:fldChar w:fldCharType="end"/>
            </w:r>
          </w:hyperlink>
        </w:p>
        <w:p w14:paraId="62A10E91" w14:textId="7EA5D50D"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63" w:history="1">
            <w:r w:rsidRPr="00144407">
              <w:rPr>
                <w:rStyle w:val="Hyperlink"/>
                <w:noProof/>
                <w:lang w:eastAsia="en-AU"/>
              </w:rPr>
              <w:t>Risk management plan</w:t>
            </w:r>
            <w:r>
              <w:rPr>
                <w:noProof/>
                <w:webHidden/>
              </w:rPr>
              <w:tab/>
            </w:r>
            <w:r>
              <w:rPr>
                <w:noProof/>
                <w:webHidden/>
              </w:rPr>
              <w:fldChar w:fldCharType="begin"/>
            </w:r>
            <w:r>
              <w:rPr>
                <w:noProof/>
                <w:webHidden/>
              </w:rPr>
              <w:instrText xml:space="preserve"> PAGEREF _Toc130459063 \h </w:instrText>
            </w:r>
            <w:r>
              <w:rPr>
                <w:noProof/>
                <w:webHidden/>
              </w:rPr>
            </w:r>
            <w:r>
              <w:rPr>
                <w:noProof/>
                <w:webHidden/>
              </w:rPr>
              <w:fldChar w:fldCharType="separate"/>
            </w:r>
            <w:r>
              <w:rPr>
                <w:noProof/>
                <w:webHidden/>
              </w:rPr>
              <w:t>29</w:t>
            </w:r>
            <w:r>
              <w:rPr>
                <w:noProof/>
                <w:webHidden/>
              </w:rPr>
              <w:fldChar w:fldCharType="end"/>
            </w:r>
          </w:hyperlink>
        </w:p>
        <w:p w14:paraId="57B8B873" w14:textId="17C8A754"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64" w:history="1">
            <w:r w:rsidRPr="00144407">
              <w:rPr>
                <w:rStyle w:val="Hyperlink"/>
                <w:noProof/>
              </w:rPr>
              <w:t>Risk-benefit analysis</w:t>
            </w:r>
            <w:r>
              <w:rPr>
                <w:noProof/>
                <w:webHidden/>
              </w:rPr>
              <w:tab/>
            </w:r>
            <w:r>
              <w:rPr>
                <w:noProof/>
                <w:webHidden/>
              </w:rPr>
              <w:fldChar w:fldCharType="begin"/>
            </w:r>
            <w:r>
              <w:rPr>
                <w:noProof/>
                <w:webHidden/>
              </w:rPr>
              <w:instrText xml:space="preserve"> PAGEREF _Toc130459064 \h </w:instrText>
            </w:r>
            <w:r>
              <w:rPr>
                <w:noProof/>
                <w:webHidden/>
              </w:rPr>
            </w:r>
            <w:r>
              <w:rPr>
                <w:noProof/>
                <w:webHidden/>
              </w:rPr>
              <w:fldChar w:fldCharType="separate"/>
            </w:r>
            <w:r>
              <w:rPr>
                <w:noProof/>
                <w:webHidden/>
              </w:rPr>
              <w:t>30</w:t>
            </w:r>
            <w:r>
              <w:rPr>
                <w:noProof/>
                <w:webHidden/>
              </w:rPr>
              <w:fldChar w:fldCharType="end"/>
            </w:r>
          </w:hyperlink>
        </w:p>
        <w:p w14:paraId="64890392" w14:textId="4DB7C65B" w:rsidR="00A81EEF" w:rsidRDefault="00A81EEF">
          <w:pPr>
            <w:pStyle w:val="TOC3"/>
            <w:rPr>
              <w:rFonts w:asciiTheme="minorHAnsi" w:eastAsiaTheme="minorEastAsia" w:hAnsiTheme="minorHAnsi" w:cstheme="minorBidi"/>
              <w:b w:val="0"/>
              <w:noProof/>
              <w:color w:val="auto"/>
              <w:szCs w:val="22"/>
              <w:lang w:eastAsia="en-AU"/>
            </w:rPr>
          </w:pPr>
          <w:hyperlink w:anchor="_Toc130459065" w:history="1">
            <w:r w:rsidRPr="00144407">
              <w:rPr>
                <w:rStyle w:val="Hyperlink"/>
                <w:noProof/>
              </w:rPr>
              <w:t>Delegate’s considerations</w:t>
            </w:r>
            <w:r>
              <w:rPr>
                <w:noProof/>
                <w:webHidden/>
              </w:rPr>
              <w:tab/>
            </w:r>
            <w:r>
              <w:rPr>
                <w:noProof/>
                <w:webHidden/>
              </w:rPr>
              <w:fldChar w:fldCharType="begin"/>
            </w:r>
            <w:r>
              <w:rPr>
                <w:noProof/>
                <w:webHidden/>
              </w:rPr>
              <w:instrText xml:space="preserve"> PAGEREF _Toc130459065 \h </w:instrText>
            </w:r>
            <w:r>
              <w:rPr>
                <w:noProof/>
                <w:webHidden/>
              </w:rPr>
            </w:r>
            <w:r>
              <w:rPr>
                <w:noProof/>
                <w:webHidden/>
              </w:rPr>
              <w:fldChar w:fldCharType="separate"/>
            </w:r>
            <w:r>
              <w:rPr>
                <w:noProof/>
                <w:webHidden/>
              </w:rPr>
              <w:t>30</w:t>
            </w:r>
            <w:r>
              <w:rPr>
                <w:noProof/>
                <w:webHidden/>
              </w:rPr>
              <w:fldChar w:fldCharType="end"/>
            </w:r>
          </w:hyperlink>
        </w:p>
        <w:p w14:paraId="775AD22D" w14:textId="318827C2" w:rsidR="00A81EEF" w:rsidRDefault="00A81EEF">
          <w:pPr>
            <w:pStyle w:val="TOC3"/>
            <w:rPr>
              <w:rFonts w:asciiTheme="minorHAnsi" w:eastAsiaTheme="minorEastAsia" w:hAnsiTheme="minorHAnsi" w:cstheme="minorBidi"/>
              <w:b w:val="0"/>
              <w:noProof/>
              <w:color w:val="auto"/>
              <w:szCs w:val="22"/>
              <w:lang w:eastAsia="en-AU"/>
            </w:rPr>
          </w:pPr>
          <w:hyperlink w:anchor="_Toc130459066" w:history="1">
            <w:r w:rsidRPr="00144407">
              <w:rPr>
                <w:rStyle w:val="Hyperlink"/>
                <w:noProof/>
              </w:rPr>
              <w:t>Proposed action</w:t>
            </w:r>
            <w:r>
              <w:rPr>
                <w:noProof/>
                <w:webHidden/>
              </w:rPr>
              <w:tab/>
            </w:r>
            <w:r>
              <w:rPr>
                <w:noProof/>
                <w:webHidden/>
              </w:rPr>
              <w:fldChar w:fldCharType="begin"/>
            </w:r>
            <w:r>
              <w:rPr>
                <w:noProof/>
                <w:webHidden/>
              </w:rPr>
              <w:instrText xml:space="preserve"> PAGEREF _Toc130459066 \h </w:instrText>
            </w:r>
            <w:r>
              <w:rPr>
                <w:noProof/>
                <w:webHidden/>
              </w:rPr>
            </w:r>
            <w:r>
              <w:rPr>
                <w:noProof/>
                <w:webHidden/>
              </w:rPr>
              <w:fldChar w:fldCharType="separate"/>
            </w:r>
            <w:r>
              <w:rPr>
                <w:noProof/>
                <w:webHidden/>
              </w:rPr>
              <w:t>33</w:t>
            </w:r>
            <w:r>
              <w:rPr>
                <w:noProof/>
                <w:webHidden/>
              </w:rPr>
              <w:fldChar w:fldCharType="end"/>
            </w:r>
          </w:hyperlink>
        </w:p>
        <w:p w14:paraId="723DF5E4" w14:textId="61C57118" w:rsidR="00A81EEF" w:rsidRDefault="00A81EEF">
          <w:pPr>
            <w:pStyle w:val="TOC3"/>
            <w:rPr>
              <w:rFonts w:asciiTheme="minorHAnsi" w:eastAsiaTheme="minorEastAsia" w:hAnsiTheme="minorHAnsi" w:cstheme="minorBidi"/>
              <w:b w:val="0"/>
              <w:noProof/>
              <w:color w:val="auto"/>
              <w:szCs w:val="22"/>
              <w:lang w:eastAsia="en-AU"/>
            </w:rPr>
          </w:pPr>
          <w:hyperlink w:anchor="_Toc130459067" w:history="1">
            <w:r w:rsidRPr="00144407">
              <w:rPr>
                <w:rStyle w:val="Hyperlink"/>
                <w:noProof/>
              </w:rPr>
              <w:t>Advisory Committee considerations</w:t>
            </w:r>
            <w:r>
              <w:rPr>
                <w:noProof/>
                <w:webHidden/>
              </w:rPr>
              <w:tab/>
            </w:r>
            <w:r>
              <w:rPr>
                <w:noProof/>
                <w:webHidden/>
              </w:rPr>
              <w:fldChar w:fldCharType="begin"/>
            </w:r>
            <w:r>
              <w:rPr>
                <w:noProof/>
                <w:webHidden/>
              </w:rPr>
              <w:instrText xml:space="preserve"> PAGEREF _Toc130459067 \h </w:instrText>
            </w:r>
            <w:r>
              <w:rPr>
                <w:noProof/>
                <w:webHidden/>
              </w:rPr>
            </w:r>
            <w:r>
              <w:rPr>
                <w:noProof/>
                <w:webHidden/>
              </w:rPr>
              <w:fldChar w:fldCharType="separate"/>
            </w:r>
            <w:r>
              <w:rPr>
                <w:noProof/>
                <w:webHidden/>
              </w:rPr>
              <w:t>34</w:t>
            </w:r>
            <w:r>
              <w:rPr>
                <w:noProof/>
                <w:webHidden/>
              </w:rPr>
              <w:fldChar w:fldCharType="end"/>
            </w:r>
          </w:hyperlink>
        </w:p>
        <w:p w14:paraId="4E0F1B3F" w14:textId="0CF55165" w:rsidR="00A81EEF" w:rsidRDefault="00A81EEF">
          <w:pPr>
            <w:pStyle w:val="TOC1"/>
            <w:rPr>
              <w:rFonts w:asciiTheme="minorHAnsi" w:eastAsiaTheme="minorEastAsia" w:hAnsiTheme="minorHAnsi" w:cstheme="minorBidi"/>
              <w:b w:val="0"/>
              <w:noProof/>
              <w:color w:val="auto"/>
              <w:sz w:val="22"/>
              <w:szCs w:val="22"/>
              <w:lang w:eastAsia="en-AU"/>
            </w:rPr>
          </w:pPr>
          <w:hyperlink w:anchor="_Toc130459068" w:history="1">
            <w:r w:rsidRPr="00144407">
              <w:rPr>
                <w:rStyle w:val="Hyperlink"/>
                <w:noProof/>
              </w:rPr>
              <w:t>Outcome</w:t>
            </w:r>
            <w:r>
              <w:rPr>
                <w:noProof/>
                <w:webHidden/>
              </w:rPr>
              <w:tab/>
            </w:r>
            <w:r>
              <w:rPr>
                <w:noProof/>
                <w:webHidden/>
              </w:rPr>
              <w:fldChar w:fldCharType="begin"/>
            </w:r>
            <w:r>
              <w:rPr>
                <w:noProof/>
                <w:webHidden/>
              </w:rPr>
              <w:instrText xml:space="preserve"> PAGEREF _Toc130459068 \h </w:instrText>
            </w:r>
            <w:r>
              <w:rPr>
                <w:noProof/>
                <w:webHidden/>
              </w:rPr>
            </w:r>
            <w:r>
              <w:rPr>
                <w:noProof/>
                <w:webHidden/>
              </w:rPr>
              <w:fldChar w:fldCharType="separate"/>
            </w:r>
            <w:r>
              <w:rPr>
                <w:noProof/>
                <w:webHidden/>
              </w:rPr>
              <w:t>36</w:t>
            </w:r>
            <w:r>
              <w:rPr>
                <w:noProof/>
                <w:webHidden/>
              </w:rPr>
              <w:fldChar w:fldCharType="end"/>
            </w:r>
          </w:hyperlink>
        </w:p>
        <w:p w14:paraId="34951D9F" w14:textId="140FEAF6" w:rsidR="00A81EEF" w:rsidRDefault="00A81EEF">
          <w:pPr>
            <w:pStyle w:val="TOC2"/>
            <w:rPr>
              <w:rFonts w:asciiTheme="minorHAnsi" w:eastAsiaTheme="minorEastAsia" w:hAnsiTheme="minorHAnsi" w:cstheme="minorBidi"/>
              <w:b w:val="0"/>
              <w:noProof/>
              <w:color w:val="auto"/>
              <w:sz w:val="22"/>
              <w:szCs w:val="22"/>
              <w:lang w:eastAsia="en-AU"/>
            </w:rPr>
          </w:pPr>
          <w:hyperlink w:anchor="_Toc130459069" w:history="1">
            <w:r w:rsidRPr="00144407">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_Toc130459069 \h </w:instrText>
            </w:r>
            <w:r>
              <w:rPr>
                <w:noProof/>
                <w:webHidden/>
              </w:rPr>
            </w:r>
            <w:r>
              <w:rPr>
                <w:noProof/>
                <w:webHidden/>
              </w:rPr>
              <w:fldChar w:fldCharType="separate"/>
            </w:r>
            <w:r>
              <w:rPr>
                <w:noProof/>
                <w:webHidden/>
              </w:rPr>
              <w:t>36</w:t>
            </w:r>
            <w:r>
              <w:rPr>
                <w:noProof/>
                <w:webHidden/>
              </w:rPr>
              <w:fldChar w:fldCharType="end"/>
            </w:r>
          </w:hyperlink>
        </w:p>
        <w:p w14:paraId="579E3F84" w14:textId="38A04D65" w:rsidR="00A81EEF" w:rsidRDefault="00A81EEF">
          <w:pPr>
            <w:pStyle w:val="TOC1"/>
            <w:rPr>
              <w:rFonts w:asciiTheme="minorHAnsi" w:eastAsiaTheme="minorEastAsia" w:hAnsiTheme="minorHAnsi" w:cstheme="minorBidi"/>
              <w:b w:val="0"/>
              <w:noProof/>
              <w:color w:val="auto"/>
              <w:sz w:val="22"/>
              <w:szCs w:val="22"/>
              <w:lang w:eastAsia="en-AU"/>
            </w:rPr>
          </w:pPr>
          <w:hyperlink w:anchor="_Toc130459070" w:history="1">
            <w:r w:rsidRPr="00144407">
              <w:rPr>
                <w:rStyle w:val="Hyperlink"/>
                <w:noProof/>
              </w:rPr>
              <w:t>Attachment 1. Product Information</w:t>
            </w:r>
            <w:r>
              <w:rPr>
                <w:noProof/>
                <w:webHidden/>
              </w:rPr>
              <w:tab/>
            </w:r>
            <w:r>
              <w:rPr>
                <w:noProof/>
                <w:webHidden/>
              </w:rPr>
              <w:fldChar w:fldCharType="begin"/>
            </w:r>
            <w:r>
              <w:rPr>
                <w:noProof/>
                <w:webHidden/>
              </w:rPr>
              <w:instrText xml:space="preserve"> PAGEREF _Toc130459070 \h </w:instrText>
            </w:r>
            <w:r>
              <w:rPr>
                <w:noProof/>
                <w:webHidden/>
              </w:rPr>
            </w:r>
            <w:r>
              <w:rPr>
                <w:noProof/>
                <w:webHidden/>
              </w:rPr>
              <w:fldChar w:fldCharType="separate"/>
            </w:r>
            <w:r>
              <w:rPr>
                <w:noProof/>
                <w:webHidden/>
              </w:rPr>
              <w:t>36</w:t>
            </w:r>
            <w:r>
              <w:rPr>
                <w:noProof/>
                <w:webHidden/>
              </w:rPr>
              <w:fldChar w:fldCharType="end"/>
            </w:r>
          </w:hyperlink>
        </w:p>
        <w:p w14:paraId="77659F2D" w14:textId="6CF7943A" w:rsidR="00F02AEC" w:rsidRPr="00215D48" w:rsidRDefault="00F02AEC" w:rsidP="00F401EF">
          <w:r w:rsidRPr="00215D48">
            <w:fldChar w:fldCharType="end"/>
          </w:r>
        </w:p>
      </w:sdtContent>
    </w:sdt>
    <w:p w14:paraId="10987AE2" w14:textId="77777777" w:rsidR="00F02AEC" w:rsidRPr="00215D48" w:rsidRDefault="00F02AEC" w:rsidP="0055653F">
      <w:r w:rsidRPr="00215D48">
        <w:br w:type="page"/>
      </w:r>
    </w:p>
    <w:p w14:paraId="58578454" w14:textId="66342CA7" w:rsidR="00324B33" w:rsidRPr="00764D48" w:rsidRDefault="00324B33" w:rsidP="00764D48">
      <w:pPr>
        <w:pStyle w:val="Heading2"/>
      </w:pPr>
      <w:bookmarkStart w:id="0" w:name="_Toc98931917"/>
      <w:bookmarkStart w:id="1" w:name="_Toc103679287"/>
      <w:bookmarkStart w:id="2" w:name="_Toc323739589"/>
      <w:bookmarkStart w:id="3" w:name="_Toc356305216"/>
      <w:bookmarkStart w:id="4" w:name="_Toc130459045"/>
      <w:r>
        <w:lastRenderedPageBreak/>
        <w:t>List of abbreviations</w:t>
      </w:r>
      <w:bookmarkEnd w:id="0"/>
      <w:bookmarkEnd w:id="1"/>
      <w:bookmarkEnd w:id="4"/>
    </w:p>
    <w:tbl>
      <w:tblPr>
        <w:tblStyle w:val="TableTGAblue2023"/>
        <w:tblW w:w="9430" w:type="dxa"/>
        <w:tblLook w:val="04A0" w:firstRow="1" w:lastRow="0" w:firstColumn="1" w:lastColumn="0" w:noHBand="0" w:noVBand="1"/>
      </w:tblPr>
      <w:tblGrid>
        <w:gridCol w:w="2263"/>
        <w:gridCol w:w="7167"/>
      </w:tblGrid>
      <w:tr w:rsidR="00324B33" w14:paraId="2117AEF6" w14:textId="77777777" w:rsidTr="00324B3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1207B6A7" w14:textId="67F7D360" w:rsidR="00324B33" w:rsidRDefault="00324B33" w:rsidP="00324B33">
            <w:r>
              <w:t>Abbreviation</w:t>
            </w:r>
          </w:p>
        </w:tc>
        <w:tc>
          <w:tcPr>
            <w:tcW w:w="7167" w:type="dxa"/>
          </w:tcPr>
          <w:p w14:paraId="4CF6D0CD" w14:textId="2974FA0B" w:rsidR="00324B33" w:rsidRDefault="00324B33" w:rsidP="00324B33">
            <w:pPr>
              <w:cnfStyle w:val="100000000000" w:firstRow="1" w:lastRow="0" w:firstColumn="0" w:lastColumn="0" w:oddVBand="0" w:evenVBand="0" w:oddHBand="0" w:evenHBand="0" w:firstRowFirstColumn="0" w:firstRowLastColumn="0" w:lastRowFirstColumn="0" w:lastRowLastColumn="0"/>
            </w:pPr>
            <w:r>
              <w:t>Meaning</w:t>
            </w:r>
          </w:p>
        </w:tc>
      </w:tr>
      <w:tr w:rsidR="00764D48" w14:paraId="16C5C8C5"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6DE09A4" w14:textId="5BFF12C4" w:rsidR="00764D48" w:rsidRDefault="00764D48" w:rsidP="00764D48">
            <w:r>
              <w:t>ACM</w:t>
            </w:r>
          </w:p>
        </w:tc>
        <w:tc>
          <w:tcPr>
            <w:tcW w:w="7167" w:type="dxa"/>
          </w:tcPr>
          <w:p w14:paraId="4F24A873" w14:textId="3AD4275A" w:rsidR="00764D48" w:rsidRDefault="00764D48" w:rsidP="00764D48">
            <w:pPr>
              <w:cnfStyle w:val="000000000000" w:firstRow="0" w:lastRow="0" w:firstColumn="0" w:lastColumn="0" w:oddVBand="0" w:evenVBand="0" w:oddHBand="0" w:evenHBand="0" w:firstRowFirstColumn="0" w:firstRowLastColumn="0" w:lastRowFirstColumn="0" w:lastRowLastColumn="0"/>
            </w:pPr>
            <w:r>
              <w:t>Advisory Committee on Medicines</w:t>
            </w:r>
          </w:p>
        </w:tc>
      </w:tr>
      <w:tr w:rsidR="00764D48" w14:paraId="35340A5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D8B9F80" w14:textId="48BCE075" w:rsidR="00764D48" w:rsidRDefault="00764D48" w:rsidP="00764D48">
            <w:r>
              <w:t>AE</w:t>
            </w:r>
          </w:p>
        </w:tc>
        <w:tc>
          <w:tcPr>
            <w:tcW w:w="7167" w:type="dxa"/>
          </w:tcPr>
          <w:p w14:paraId="5072E244" w14:textId="23C90DC0" w:rsidR="00764D48" w:rsidRDefault="00764D48" w:rsidP="00764D48">
            <w:pPr>
              <w:cnfStyle w:val="000000000000" w:firstRow="0" w:lastRow="0" w:firstColumn="0" w:lastColumn="0" w:oddVBand="0" w:evenVBand="0" w:oddHBand="0" w:evenHBand="0" w:firstRowFirstColumn="0" w:firstRowLastColumn="0" w:lastRowFirstColumn="0" w:lastRowLastColumn="0"/>
            </w:pPr>
            <w:r>
              <w:t>Adverse event</w:t>
            </w:r>
          </w:p>
        </w:tc>
      </w:tr>
      <w:tr w:rsidR="00764D48" w14:paraId="6965466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43A7AEA" w14:textId="5BB8EAEE" w:rsidR="00764D48" w:rsidRDefault="00764D48" w:rsidP="00764D48">
            <w:r>
              <w:t>AM</w:t>
            </w:r>
          </w:p>
        </w:tc>
        <w:tc>
          <w:tcPr>
            <w:tcW w:w="7167" w:type="dxa"/>
          </w:tcPr>
          <w:p w14:paraId="228A203A" w14:textId="510AE992" w:rsidR="00764D48" w:rsidRDefault="00764D48" w:rsidP="00764D48">
            <w:pPr>
              <w:cnfStyle w:val="000000000000" w:firstRow="0" w:lastRow="0" w:firstColumn="0" w:lastColumn="0" w:oddVBand="0" w:evenVBand="0" w:oddHBand="0" w:evenHBand="0" w:firstRowFirstColumn="0" w:firstRowLastColumn="0" w:lastRowFirstColumn="0" w:lastRowLastColumn="0"/>
            </w:pPr>
            <w:r>
              <w:t>Morning</w:t>
            </w:r>
          </w:p>
        </w:tc>
      </w:tr>
      <w:tr w:rsidR="00764D48" w14:paraId="0536676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0516A80" w14:textId="26FDB564" w:rsidR="00764D48" w:rsidRDefault="00764D48" w:rsidP="00764D48">
            <w:r>
              <w:t>ARTG</w:t>
            </w:r>
          </w:p>
        </w:tc>
        <w:tc>
          <w:tcPr>
            <w:tcW w:w="7167" w:type="dxa"/>
          </w:tcPr>
          <w:p w14:paraId="4E6F5284" w14:textId="0C04A717" w:rsidR="00764D48" w:rsidRDefault="00764D48" w:rsidP="00764D48">
            <w:pPr>
              <w:cnfStyle w:val="000000000000" w:firstRow="0" w:lastRow="0" w:firstColumn="0" w:lastColumn="0" w:oddVBand="0" w:evenVBand="0" w:oddHBand="0" w:evenHBand="0" w:firstRowFirstColumn="0" w:firstRowLastColumn="0" w:lastRowFirstColumn="0" w:lastRowLastColumn="0"/>
            </w:pPr>
            <w:r>
              <w:t>Australian Register of Therapeutic Goods</w:t>
            </w:r>
          </w:p>
        </w:tc>
      </w:tr>
      <w:tr w:rsidR="00764D48" w14:paraId="7B873773"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CE05B04" w14:textId="4F2F3965" w:rsidR="00764D48" w:rsidRDefault="00764D48" w:rsidP="00764D48">
            <w:r>
              <w:t>CMI</w:t>
            </w:r>
          </w:p>
        </w:tc>
        <w:tc>
          <w:tcPr>
            <w:tcW w:w="7167" w:type="dxa"/>
          </w:tcPr>
          <w:p w14:paraId="26109D0B" w14:textId="29E85695" w:rsidR="00764D48" w:rsidRDefault="00764D48" w:rsidP="00764D48">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764D48" w14:paraId="07F3695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9390BCA" w14:textId="46B96FFA" w:rsidR="00764D48" w:rsidRDefault="00764D48" w:rsidP="00764D48">
            <w:r>
              <w:t>EMA</w:t>
            </w:r>
          </w:p>
        </w:tc>
        <w:tc>
          <w:tcPr>
            <w:tcW w:w="7167" w:type="dxa"/>
          </w:tcPr>
          <w:p w14:paraId="2C862F75" w14:textId="3193B631" w:rsidR="00764D48" w:rsidRDefault="00764D48" w:rsidP="00764D48">
            <w:pPr>
              <w:cnfStyle w:val="000000000000" w:firstRow="0" w:lastRow="0" w:firstColumn="0" w:lastColumn="0" w:oddVBand="0" w:evenVBand="0" w:oddHBand="0" w:evenHBand="0" w:firstRowFirstColumn="0" w:firstRowLastColumn="0" w:lastRowFirstColumn="0" w:lastRowLastColumn="0"/>
            </w:pPr>
            <w:r>
              <w:t>European Medicines Agency</w:t>
            </w:r>
          </w:p>
        </w:tc>
      </w:tr>
      <w:tr w:rsidR="00764D48" w14:paraId="254AC9B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4FC2A0" w14:textId="334D2CF1" w:rsidR="00764D48" w:rsidRDefault="00764D48" w:rsidP="00764D48">
            <w:r>
              <w:t>FAS</w:t>
            </w:r>
          </w:p>
        </w:tc>
        <w:tc>
          <w:tcPr>
            <w:tcW w:w="7167" w:type="dxa"/>
          </w:tcPr>
          <w:p w14:paraId="29EA6BA3" w14:textId="56A5C95C" w:rsidR="00764D48" w:rsidRDefault="00764D48" w:rsidP="00764D48">
            <w:pPr>
              <w:cnfStyle w:val="000000000000" w:firstRow="0" w:lastRow="0" w:firstColumn="0" w:lastColumn="0" w:oddVBand="0" w:evenVBand="0" w:oddHBand="0" w:evenHBand="0" w:firstRowFirstColumn="0" w:firstRowLastColumn="0" w:lastRowFirstColumn="0" w:lastRowLastColumn="0"/>
            </w:pPr>
            <w:r>
              <w:t>Full analysis set</w:t>
            </w:r>
          </w:p>
        </w:tc>
      </w:tr>
      <w:tr w:rsidR="00764D48" w14:paraId="5344D0B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820B8C7" w14:textId="312AB48D" w:rsidR="00764D48" w:rsidRDefault="00764D48" w:rsidP="00764D48">
            <w:r>
              <w:t>ICH</w:t>
            </w:r>
          </w:p>
        </w:tc>
        <w:tc>
          <w:tcPr>
            <w:tcW w:w="7167" w:type="dxa"/>
          </w:tcPr>
          <w:p w14:paraId="1A5D9E36" w14:textId="4E5D4ECD" w:rsidR="00764D48" w:rsidRDefault="00764D48" w:rsidP="00764D48">
            <w:pPr>
              <w:cnfStyle w:val="000000000000" w:firstRow="0" w:lastRow="0" w:firstColumn="0" w:lastColumn="0" w:oddVBand="0" w:evenVBand="0" w:oddHBand="0" w:evenHBand="0" w:firstRowFirstColumn="0" w:firstRowLastColumn="0" w:lastRowFirstColumn="0" w:lastRowLastColumn="0"/>
            </w:pPr>
            <w:r>
              <w:t>International Council for Harmonisation</w:t>
            </w:r>
          </w:p>
        </w:tc>
      </w:tr>
      <w:tr w:rsidR="00764D48" w14:paraId="4BDC33D2"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1819C5F" w14:textId="0F933E2A" w:rsidR="00764D48" w:rsidRDefault="00764D48" w:rsidP="00764D48">
            <w:proofErr w:type="spellStart"/>
            <w:r>
              <w:t>iTNSS</w:t>
            </w:r>
            <w:proofErr w:type="spellEnd"/>
          </w:p>
        </w:tc>
        <w:tc>
          <w:tcPr>
            <w:tcW w:w="7167" w:type="dxa"/>
          </w:tcPr>
          <w:p w14:paraId="4458E485" w14:textId="7777CBAF" w:rsidR="00764D48" w:rsidRDefault="00764D48" w:rsidP="00764D48">
            <w:pPr>
              <w:cnfStyle w:val="000000000000" w:firstRow="0" w:lastRow="0" w:firstColumn="0" w:lastColumn="0" w:oddVBand="0" w:evenVBand="0" w:oddHBand="0" w:evenHBand="0" w:firstRowFirstColumn="0" w:firstRowLastColumn="0" w:lastRowFirstColumn="0" w:lastRowLastColumn="0"/>
            </w:pPr>
            <w:r>
              <w:t>I</w:t>
            </w:r>
            <w:r w:rsidRPr="00C328B2">
              <w:t xml:space="preserve">nstantaneous </w:t>
            </w:r>
            <w:r>
              <w:t>T</w:t>
            </w:r>
            <w:r w:rsidRPr="00C328B2">
              <w:t xml:space="preserve">otal </w:t>
            </w:r>
            <w:r>
              <w:t>N</w:t>
            </w:r>
            <w:r w:rsidRPr="00C328B2">
              <w:t xml:space="preserve">asal </w:t>
            </w:r>
            <w:r>
              <w:t>S</w:t>
            </w:r>
            <w:r w:rsidRPr="00C328B2">
              <w:t xml:space="preserve">ymptom </w:t>
            </w:r>
            <w:r>
              <w:t>S</w:t>
            </w:r>
            <w:r w:rsidRPr="00C328B2">
              <w:t>core</w:t>
            </w:r>
          </w:p>
        </w:tc>
      </w:tr>
      <w:tr w:rsidR="00764D48" w14:paraId="2C8657A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6CFA8D" w14:textId="49CE001F" w:rsidR="00764D48" w:rsidRDefault="00764D48" w:rsidP="00764D48">
            <w:pPr>
              <w:rPr>
                <w:szCs w:val="22"/>
              </w:rPr>
            </w:pPr>
            <w:proofErr w:type="spellStart"/>
            <w:r>
              <w:t>iTOSS</w:t>
            </w:r>
            <w:proofErr w:type="spellEnd"/>
          </w:p>
        </w:tc>
        <w:tc>
          <w:tcPr>
            <w:tcW w:w="7167" w:type="dxa"/>
          </w:tcPr>
          <w:p w14:paraId="53D4D108" w14:textId="0FA83547" w:rsidR="00764D48" w:rsidRDefault="00764D48" w:rsidP="00764D48">
            <w:pPr>
              <w:cnfStyle w:val="000000000000" w:firstRow="0" w:lastRow="0" w:firstColumn="0" w:lastColumn="0" w:oddVBand="0" w:evenVBand="0" w:oddHBand="0" w:evenHBand="0" w:firstRowFirstColumn="0" w:firstRowLastColumn="0" w:lastRowFirstColumn="0" w:lastRowLastColumn="0"/>
              <w:rPr>
                <w:szCs w:val="22"/>
              </w:rPr>
            </w:pPr>
            <w:r>
              <w:t>Instantaneous Total Ocular Symptom Score</w:t>
            </w:r>
          </w:p>
        </w:tc>
      </w:tr>
      <w:tr w:rsidR="00764D48" w14:paraId="7132D13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FC5DD6F" w14:textId="45913094" w:rsidR="00764D48" w:rsidRDefault="00764D48" w:rsidP="00764D48">
            <w:r>
              <w:t>LS</w:t>
            </w:r>
          </w:p>
        </w:tc>
        <w:tc>
          <w:tcPr>
            <w:tcW w:w="7167" w:type="dxa"/>
          </w:tcPr>
          <w:p w14:paraId="74CCD5CB" w14:textId="6E017282" w:rsidR="00764D48" w:rsidRDefault="00764D48" w:rsidP="00764D48">
            <w:pPr>
              <w:cnfStyle w:val="000000000000" w:firstRow="0" w:lastRow="0" w:firstColumn="0" w:lastColumn="0" w:oddVBand="0" w:evenVBand="0" w:oddHBand="0" w:evenHBand="0" w:firstRowFirstColumn="0" w:firstRowLastColumn="0" w:lastRowFirstColumn="0" w:lastRowLastColumn="0"/>
            </w:pPr>
            <w:r>
              <w:t>Least squares</w:t>
            </w:r>
          </w:p>
        </w:tc>
      </w:tr>
      <w:tr w:rsidR="00764D48" w14:paraId="3A565E45"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A271B95" w14:textId="1E6B4A9F" w:rsidR="00764D48" w:rsidRDefault="00764D48" w:rsidP="00764D48">
            <w:r>
              <w:t>PI</w:t>
            </w:r>
          </w:p>
        </w:tc>
        <w:tc>
          <w:tcPr>
            <w:tcW w:w="7167" w:type="dxa"/>
          </w:tcPr>
          <w:p w14:paraId="6959EFEE" w14:textId="151A692A" w:rsidR="00764D48" w:rsidRDefault="00764D48" w:rsidP="00764D48">
            <w:pPr>
              <w:cnfStyle w:val="000000000000" w:firstRow="0" w:lastRow="0" w:firstColumn="0" w:lastColumn="0" w:oddVBand="0" w:evenVBand="0" w:oddHBand="0" w:evenHBand="0" w:firstRowFirstColumn="0" w:firstRowLastColumn="0" w:lastRowFirstColumn="0" w:lastRowLastColumn="0"/>
            </w:pPr>
            <w:r>
              <w:t>Product Information</w:t>
            </w:r>
          </w:p>
        </w:tc>
      </w:tr>
      <w:tr w:rsidR="00764D48" w14:paraId="0827EBB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7E3A196" w14:textId="7E8ADEDC" w:rsidR="00764D48" w:rsidRDefault="00764D48" w:rsidP="00764D48">
            <w:r>
              <w:t>PK</w:t>
            </w:r>
          </w:p>
        </w:tc>
        <w:tc>
          <w:tcPr>
            <w:tcW w:w="7167" w:type="dxa"/>
          </w:tcPr>
          <w:p w14:paraId="72BAED20" w14:textId="3094A924" w:rsidR="00764D48" w:rsidRDefault="00764D48" w:rsidP="00764D48">
            <w:pPr>
              <w:cnfStyle w:val="000000000000" w:firstRow="0" w:lastRow="0" w:firstColumn="0" w:lastColumn="0" w:oddVBand="0" w:evenVBand="0" w:oddHBand="0" w:evenHBand="0" w:firstRowFirstColumn="0" w:firstRowLastColumn="0" w:lastRowFirstColumn="0" w:lastRowLastColumn="0"/>
            </w:pPr>
            <w:r>
              <w:t>Pharmacokinetic(s)</w:t>
            </w:r>
          </w:p>
        </w:tc>
      </w:tr>
      <w:tr w:rsidR="00764D48" w14:paraId="34CBF29E"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A5C33CF" w14:textId="0F2755E4" w:rsidR="00764D48" w:rsidRDefault="00764D48" w:rsidP="00764D48">
            <w:r>
              <w:t>PM</w:t>
            </w:r>
          </w:p>
        </w:tc>
        <w:tc>
          <w:tcPr>
            <w:tcW w:w="7167" w:type="dxa"/>
          </w:tcPr>
          <w:p w14:paraId="3E3C9279" w14:textId="7316D208" w:rsidR="00764D48" w:rsidRDefault="00764D48" w:rsidP="00764D48">
            <w:pPr>
              <w:cnfStyle w:val="000000000000" w:firstRow="0" w:lastRow="0" w:firstColumn="0" w:lastColumn="0" w:oddVBand="0" w:evenVBand="0" w:oddHBand="0" w:evenHBand="0" w:firstRowFirstColumn="0" w:firstRowLastColumn="0" w:lastRowFirstColumn="0" w:lastRowLastColumn="0"/>
            </w:pPr>
            <w:r>
              <w:t>Evening</w:t>
            </w:r>
          </w:p>
        </w:tc>
      </w:tr>
      <w:tr w:rsidR="00764D48" w14:paraId="26CF6E92"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E43AD0" w14:textId="7ED19141" w:rsidR="00764D48" w:rsidRDefault="00764D48" w:rsidP="00764D48">
            <w:r>
              <w:t>PPS</w:t>
            </w:r>
          </w:p>
        </w:tc>
        <w:tc>
          <w:tcPr>
            <w:tcW w:w="7167" w:type="dxa"/>
          </w:tcPr>
          <w:p w14:paraId="16B131C7" w14:textId="48BE6FFC" w:rsidR="00764D48" w:rsidRDefault="00764D48" w:rsidP="00764D48">
            <w:pPr>
              <w:cnfStyle w:val="000000000000" w:firstRow="0" w:lastRow="0" w:firstColumn="0" w:lastColumn="0" w:oddVBand="0" w:evenVBand="0" w:oddHBand="0" w:evenHBand="0" w:firstRowFirstColumn="0" w:firstRowLastColumn="0" w:lastRowFirstColumn="0" w:lastRowLastColumn="0"/>
            </w:pPr>
            <w:r>
              <w:t>Per protocol set</w:t>
            </w:r>
          </w:p>
        </w:tc>
      </w:tr>
      <w:tr w:rsidR="00764D48" w14:paraId="3AB45D0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F2D37AC" w14:textId="34621150" w:rsidR="00764D48" w:rsidRDefault="00764D48" w:rsidP="00764D48">
            <w:r w:rsidRPr="00B83F32">
              <w:t>PRQLQ</w:t>
            </w:r>
          </w:p>
        </w:tc>
        <w:tc>
          <w:tcPr>
            <w:tcW w:w="7167" w:type="dxa"/>
          </w:tcPr>
          <w:p w14:paraId="44BDA6CA" w14:textId="313F0B3F" w:rsidR="00764D48" w:rsidRDefault="00764D48" w:rsidP="00764D48">
            <w:pPr>
              <w:cnfStyle w:val="000000000000" w:firstRow="0" w:lastRow="0" w:firstColumn="0" w:lastColumn="0" w:oddVBand="0" w:evenVBand="0" w:oddHBand="0" w:evenHBand="0" w:firstRowFirstColumn="0" w:firstRowLastColumn="0" w:lastRowFirstColumn="0" w:lastRowLastColumn="0"/>
            </w:pPr>
            <w:r w:rsidRPr="00B83F32">
              <w:t xml:space="preserve">Paediatric </w:t>
            </w:r>
            <w:proofErr w:type="spellStart"/>
            <w:r>
              <w:t>R</w:t>
            </w:r>
            <w:r w:rsidRPr="00B83F32">
              <w:t>hinoconjunctivitis</w:t>
            </w:r>
            <w:proofErr w:type="spellEnd"/>
            <w:r w:rsidRPr="00B83F32">
              <w:t xml:space="preserve"> </w:t>
            </w:r>
            <w:r>
              <w:t>Q</w:t>
            </w:r>
            <w:r w:rsidRPr="00B83F32">
              <w:t xml:space="preserve">uality of </w:t>
            </w:r>
            <w:r>
              <w:t>L</w:t>
            </w:r>
            <w:r w:rsidRPr="00B83F32">
              <w:t xml:space="preserve">ife </w:t>
            </w:r>
            <w:r>
              <w:t>Q</w:t>
            </w:r>
            <w:r w:rsidRPr="00B83F32">
              <w:t>uestionnaire</w:t>
            </w:r>
          </w:p>
        </w:tc>
      </w:tr>
      <w:tr w:rsidR="00764D48" w14:paraId="40B7D2B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6107AFB" w14:textId="671AA8F0" w:rsidR="00764D48" w:rsidRPr="00B83F32" w:rsidRDefault="00764D48" w:rsidP="00764D48">
            <w:proofErr w:type="spellStart"/>
            <w:r>
              <w:t>rTNSS</w:t>
            </w:r>
            <w:proofErr w:type="spellEnd"/>
          </w:p>
        </w:tc>
        <w:tc>
          <w:tcPr>
            <w:tcW w:w="7167" w:type="dxa"/>
          </w:tcPr>
          <w:p w14:paraId="514AE173" w14:textId="04CFFAD3" w:rsidR="00764D48" w:rsidRPr="00B83F32" w:rsidRDefault="00764D48" w:rsidP="00764D48">
            <w:pPr>
              <w:cnfStyle w:val="000000000000" w:firstRow="0" w:lastRow="0" w:firstColumn="0" w:lastColumn="0" w:oddVBand="0" w:evenVBand="0" w:oddHBand="0" w:evenHBand="0" w:firstRowFirstColumn="0" w:firstRowLastColumn="0" w:lastRowFirstColumn="0" w:lastRowLastColumn="0"/>
            </w:pPr>
            <w:r>
              <w:t>Reflective</w:t>
            </w:r>
            <w:r w:rsidRPr="00C328B2">
              <w:t xml:space="preserve"> </w:t>
            </w:r>
            <w:r>
              <w:t>T</w:t>
            </w:r>
            <w:r w:rsidRPr="00C328B2">
              <w:t xml:space="preserve">otal </w:t>
            </w:r>
            <w:r>
              <w:t>N</w:t>
            </w:r>
            <w:r w:rsidRPr="00C328B2">
              <w:t xml:space="preserve">asal </w:t>
            </w:r>
            <w:r>
              <w:t>S</w:t>
            </w:r>
            <w:r w:rsidRPr="00C328B2">
              <w:t xml:space="preserve">ymptom </w:t>
            </w:r>
            <w:r>
              <w:t>S</w:t>
            </w:r>
            <w:r w:rsidRPr="00C328B2">
              <w:t>core</w:t>
            </w:r>
          </w:p>
        </w:tc>
      </w:tr>
      <w:tr w:rsidR="00764D48" w14:paraId="4B12E34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003C2F" w14:textId="2EA66F97" w:rsidR="00764D48" w:rsidRDefault="00764D48" w:rsidP="00764D48">
            <w:proofErr w:type="spellStart"/>
            <w:r w:rsidRPr="00C328B2">
              <w:t>rTOSS</w:t>
            </w:r>
            <w:proofErr w:type="spellEnd"/>
          </w:p>
        </w:tc>
        <w:tc>
          <w:tcPr>
            <w:tcW w:w="7167" w:type="dxa"/>
          </w:tcPr>
          <w:p w14:paraId="2811B9D5" w14:textId="4213C84D" w:rsidR="00764D48" w:rsidRDefault="00764D48" w:rsidP="00764D48">
            <w:pPr>
              <w:cnfStyle w:val="000000000000" w:firstRow="0" w:lastRow="0" w:firstColumn="0" w:lastColumn="0" w:oddVBand="0" w:evenVBand="0" w:oddHBand="0" w:evenHBand="0" w:firstRowFirstColumn="0" w:firstRowLastColumn="0" w:lastRowFirstColumn="0" w:lastRowLastColumn="0"/>
            </w:pPr>
            <w:r w:rsidRPr="00B83F32">
              <w:t xml:space="preserve">Reflective </w:t>
            </w:r>
            <w:r>
              <w:t>T</w:t>
            </w:r>
            <w:r w:rsidRPr="00B83F32">
              <w:t xml:space="preserve">otal </w:t>
            </w:r>
            <w:r>
              <w:t>O</w:t>
            </w:r>
            <w:r w:rsidRPr="00B83F32">
              <w:t xml:space="preserve">cular </w:t>
            </w:r>
            <w:r>
              <w:t>S</w:t>
            </w:r>
            <w:r w:rsidRPr="00B83F32">
              <w:t xml:space="preserve">ymptom </w:t>
            </w:r>
            <w:r>
              <w:t>S</w:t>
            </w:r>
            <w:r w:rsidRPr="00B83F32">
              <w:t>core</w:t>
            </w:r>
          </w:p>
        </w:tc>
      </w:tr>
      <w:tr w:rsidR="00764D48" w14:paraId="38F94988"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D82C17B" w14:textId="4E86B3A8" w:rsidR="00764D48" w:rsidRPr="00C328B2" w:rsidRDefault="00764D48" w:rsidP="00764D48">
            <w:r>
              <w:t>SD</w:t>
            </w:r>
          </w:p>
        </w:tc>
        <w:tc>
          <w:tcPr>
            <w:tcW w:w="7167" w:type="dxa"/>
          </w:tcPr>
          <w:p w14:paraId="6C454873" w14:textId="20A7184A" w:rsidR="00764D48" w:rsidRPr="00B83F32" w:rsidRDefault="00764D48" w:rsidP="00764D48">
            <w:pPr>
              <w:cnfStyle w:val="000000000000" w:firstRow="0" w:lastRow="0" w:firstColumn="0" w:lastColumn="0" w:oddVBand="0" w:evenVBand="0" w:oddHBand="0" w:evenHBand="0" w:firstRowFirstColumn="0" w:firstRowLastColumn="0" w:lastRowFirstColumn="0" w:lastRowLastColumn="0"/>
            </w:pPr>
            <w:r>
              <w:t>Standard deviation</w:t>
            </w:r>
          </w:p>
        </w:tc>
      </w:tr>
      <w:tr w:rsidR="00764D48" w14:paraId="224BE474"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9834524" w14:textId="5487E87E" w:rsidR="00764D48" w:rsidRDefault="00764D48" w:rsidP="00764D48">
            <w:r>
              <w:t>TGA</w:t>
            </w:r>
          </w:p>
        </w:tc>
        <w:tc>
          <w:tcPr>
            <w:tcW w:w="7167" w:type="dxa"/>
          </w:tcPr>
          <w:p w14:paraId="2C004B0C" w14:textId="7CEF0602" w:rsidR="00764D48" w:rsidRDefault="00764D48" w:rsidP="00764D48">
            <w:pPr>
              <w:cnfStyle w:val="000000000000" w:firstRow="0" w:lastRow="0" w:firstColumn="0" w:lastColumn="0" w:oddVBand="0" w:evenVBand="0" w:oddHBand="0" w:evenHBand="0" w:firstRowFirstColumn="0" w:firstRowLastColumn="0" w:lastRowFirstColumn="0" w:lastRowLastColumn="0"/>
            </w:pPr>
            <w:r>
              <w:t>Therapeutic Goods Administration</w:t>
            </w:r>
          </w:p>
        </w:tc>
      </w:tr>
      <w:tr w:rsidR="00764D48" w14:paraId="60A9E086"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1A1BBF9" w14:textId="70176080" w:rsidR="00764D48" w:rsidRDefault="00764D48" w:rsidP="00764D48">
            <w:r>
              <w:t>TNNSS</w:t>
            </w:r>
          </w:p>
        </w:tc>
        <w:tc>
          <w:tcPr>
            <w:tcW w:w="7167" w:type="dxa"/>
          </w:tcPr>
          <w:p w14:paraId="74B50C68" w14:textId="4BDDF6F3" w:rsidR="00764D48" w:rsidRDefault="00764D48" w:rsidP="00764D48">
            <w:pPr>
              <w:cnfStyle w:val="000000000000" w:firstRow="0" w:lastRow="0" w:firstColumn="0" w:lastColumn="0" w:oddVBand="0" w:evenVBand="0" w:oddHBand="0" w:evenHBand="0" w:firstRowFirstColumn="0" w:firstRowLastColumn="0" w:lastRowFirstColumn="0" w:lastRowLastColumn="0"/>
            </w:pPr>
            <w:r>
              <w:t>Total non-nasal symptoms score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0459046"/>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0459047"/>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764D48" w:rsidRPr="00764D48" w14:paraId="76B4C04F" w14:textId="77777777" w:rsidTr="00D07F72">
        <w:tc>
          <w:tcPr>
            <w:tcW w:w="1577" w:type="pct"/>
          </w:tcPr>
          <w:p w14:paraId="1BFC22E5"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Type of submission:</w:t>
            </w:r>
          </w:p>
        </w:tc>
        <w:tc>
          <w:tcPr>
            <w:tcW w:w="3423" w:type="pct"/>
          </w:tcPr>
          <w:p w14:paraId="32D37ED0"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Extension of indications</w:t>
            </w:r>
          </w:p>
        </w:tc>
      </w:tr>
      <w:tr w:rsidR="00764D48" w:rsidRPr="00764D48" w14:paraId="786A0E57" w14:textId="77777777" w:rsidTr="00D07F72">
        <w:tc>
          <w:tcPr>
            <w:tcW w:w="1577" w:type="pct"/>
          </w:tcPr>
          <w:p w14:paraId="0F42933C"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Product name:</w:t>
            </w:r>
          </w:p>
        </w:tc>
        <w:tc>
          <w:tcPr>
            <w:tcW w:w="3423" w:type="pct"/>
          </w:tcPr>
          <w:p w14:paraId="08171415" w14:textId="77777777" w:rsidR="00764D48" w:rsidRPr="00764D48" w:rsidRDefault="00764D48" w:rsidP="00764D48">
            <w:pPr>
              <w:spacing w:before="120" w:line="240" w:lineRule="atLeast"/>
              <w:rPr>
                <w:rFonts w:eastAsia="Cambria" w:cs="Times New Roman"/>
                <w:szCs w:val="22"/>
              </w:rPr>
            </w:pPr>
            <w:proofErr w:type="spellStart"/>
            <w:r w:rsidRPr="00764D48">
              <w:rPr>
                <w:rFonts w:eastAsia="Cambria" w:cs="Times New Roman"/>
                <w:szCs w:val="22"/>
              </w:rPr>
              <w:t>Ryaltris</w:t>
            </w:r>
            <w:proofErr w:type="spellEnd"/>
          </w:p>
        </w:tc>
      </w:tr>
      <w:tr w:rsidR="00764D48" w:rsidRPr="00764D48" w14:paraId="4E870D0D" w14:textId="77777777" w:rsidTr="00D07F72">
        <w:tc>
          <w:tcPr>
            <w:tcW w:w="1577" w:type="pct"/>
          </w:tcPr>
          <w:p w14:paraId="17B51FF6"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Active ingredients:</w:t>
            </w:r>
          </w:p>
        </w:tc>
        <w:tc>
          <w:tcPr>
            <w:tcW w:w="3423" w:type="pct"/>
          </w:tcPr>
          <w:p w14:paraId="1A97D9B1"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Olopatadine / mometasone furoate</w:t>
            </w:r>
          </w:p>
        </w:tc>
      </w:tr>
      <w:tr w:rsidR="00764D48" w:rsidRPr="00764D48" w14:paraId="1885C8D3" w14:textId="77777777" w:rsidTr="00D07F72">
        <w:tc>
          <w:tcPr>
            <w:tcW w:w="1577" w:type="pct"/>
          </w:tcPr>
          <w:p w14:paraId="2E0C9CF1"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Decision:</w:t>
            </w:r>
          </w:p>
        </w:tc>
        <w:tc>
          <w:tcPr>
            <w:tcW w:w="3423" w:type="pct"/>
          </w:tcPr>
          <w:p w14:paraId="34ED8EA3"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Approved</w:t>
            </w:r>
          </w:p>
        </w:tc>
      </w:tr>
      <w:tr w:rsidR="00764D48" w:rsidRPr="00764D48" w14:paraId="458AE620" w14:textId="77777777" w:rsidTr="00D07F72">
        <w:tc>
          <w:tcPr>
            <w:tcW w:w="1577" w:type="pct"/>
          </w:tcPr>
          <w:p w14:paraId="5F7616AD"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Date of decision:</w:t>
            </w:r>
          </w:p>
        </w:tc>
        <w:tc>
          <w:tcPr>
            <w:tcW w:w="3423" w:type="pct"/>
          </w:tcPr>
          <w:p w14:paraId="5050C463"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28 January 2022</w:t>
            </w:r>
          </w:p>
        </w:tc>
      </w:tr>
      <w:tr w:rsidR="00764D48" w:rsidRPr="00764D48" w14:paraId="04E454EA" w14:textId="77777777" w:rsidTr="00D07F72">
        <w:tc>
          <w:tcPr>
            <w:tcW w:w="1577" w:type="pct"/>
          </w:tcPr>
          <w:p w14:paraId="7CAB437F"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Date of entry onto ARTG:</w:t>
            </w:r>
          </w:p>
        </w:tc>
        <w:tc>
          <w:tcPr>
            <w:tcW w:w="3423" w:type="pct"/>
          </w:tcPr>
          <w:p w14:paraId="5149523A"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8 February 2022</w:t>
            </w:r>
          </w:p>
        </w:tc>
      </w:tr>
      <w:tr w:rsidR="00764D48" w:rsidRPr="00764D48" w14:paraId="3903EC27" w14:textId="77777777" w:rsidTr="00D07F72">
        <w:tc>
          <w:tcPr>
            <w:tcW w:w="1577" w:type="pct"/>
          </w:tcPr>
          <w:p w14:paraId="469A4051"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ARTG number:</w:t>
            </w:r>
          </w:p>
        </w:tc>
        <w:tc>
          <w:tcPr>
            <w:tcW w:w="3423" w:type="pct"/>
          </w:tcPr>
          <w:p w14:paraId="26A23CD1"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312690</w:t>
            </w:r>
          </w:p>
        </w:tc>
      </w:tr>
      <w:tr w:rsidR="00764D48" w:rsidRPr="00764D48" w14:paraId="7429A2FF" w14:textId="77777777" w:rsidTr="00D07F72">
        <w:tc>
          <w:tcPr>
            <w:tcW w:w="1577" w:type="pct"/>
          </w:tcPr>
          <w:p w14:paraId="66875FEB" w14:textId="77777777" w:rsidR="00764D48" w:rsidRPr="00764D48" w:rsidRDefault="00764D48" w:rsidP="00764D48">
            <w:pPr>
              <w:spacing w:before="120" w:line="240" w:lineRule="atLeast"/>
              <w:rPr>
                <w:rFonts w:eastAsia="Cambria" w:cs="Times New Roman"/>
                <w:i/>
                <w:szCs w:val="22"/>
              </w:rPr>
            </w:pPr>
            <w:r w:rsidRPr="00764D48">
              <w:rPr>
                <w:rFonts w:ascii="Wingdings 3" w:eastAsia="Cambria" w:hAnsi="Wingdings 3" w:cs="Times New Roman"/>
                <w:sz w:val="34"/>
                <w:szCs w:val="34"/>
                <w:lang w:eastAsia="en-AU"/>
              </w:rPr>
              <w:t></w:t>
            </w:r>
            <w:hyperlink r:id="rId14" w:history="1">
              <w:r w:rsidRPr="00764D48">
                <w:rPr>
                  <w:rFonts w:eastAsia="Cambria" w:cs="Times New Roman"/>
                  <w:i/>
                  <w:color w:val="0000FF"/>
                  <w:szCs w:val="22"/>
                  <w:u w:val="single"/>
                </w:rPr>
                <w:t>Black Triangle Scheme</w:t>
              </w:r>
            </w:hyperlink>
            <w:r w:rsidRPr="00764D48">
              <w:rPr>
                <w:rFonts w:eastAsia="Cambria" w:cs="Times New Roman"/>
                <w:i/>
                <w:szCs w:val="22"/>
              </w:rPr>
              <w:t>:</w:t>
            </w:r>
            <w:r w:rsidRPr="00764D48">
              <w:rPr>
                <w:rFonts w:eastAsia="Cambria" w:cs="Times New Roman"/>
                <w:i/>
                <w:szCs w:val="22"/>
                <w:vertAlign w:val="superscript"/>
              </w:rPr>
              <w:footnoteReference w:id="1"/>
            </w:r>
          </w:p>
        </w:tc>
        <w:tc>
          <w:tcPr>
            <w:tcW w:w="3423" w:type="pct"/>
          </w:tcPr>
          <w:p w14:paraId="7277ACB5"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 xml:space="preserve">No </w:t>
            </w:r>
          </w:p>
        </w:tc>
      </w:tr>
      <w:tr w:rsidR="00764D48" w:rsidRPr="00764D48" w14:paraId="39AF657D" w14:textId="77777777" w:rsidTr="00D07F72">
        <w:tc>
          <w:tcPr>
            <w:tcW w:w="1577" w:type="pct"/>
          </w:tcPr>
          <w:p w14:paraId="7C5F0B97"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Sponsor’s name and address:</w:t>
            </w:r>
          </w:p>
        </w:tc>
        <w:tc>
          <w:tcPr>
            <w:tcW w:w="3423" w:type="pct"/>
          </w:tcPr>
          <w:p w14:paraId="654CA2E7"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Seqirus Pty Ltd</w:t>
            </w:r>
          </w:p>
          <w:p w14:paraId="48126C48"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63 Poplar Road</w:t>
            </w:r>
          </w:p>
          <w:p w14:paraId="05D0E35F"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Parkville, VIC, 3052</w:t>
            </w:r>
          </w:p>
        </w:tc>
      </w:tr>
      <w:tr w:rsidR="00764D48" w:rsidRPr="00764D48" w14:paraId="7BA0A27C" w14:textId="77777777" w:rsidTr="00D07F72">
        <w:tc>
          <w:tcPr>
            <w:tcW w:w="1577" w:type="pct"/>
          </w:tcPr>
          <w:p w14:paraId="18D54C2C"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Dose form:</w:t>
            </w:r>
          </w:p>
        </w:tc>
        <w:tc>
          <w:tcPr>
            <w:tcW w:w="3423" w:type="pct"/>
          </w:tcPr>
          <w:p w14:paraId="49D7ECB4" w14:textId="77777777" w:rsidR="00764D48" w:rsidRPr="00764D48" w:rsidRDefault="00764D48" w:rsidP="00764D48">
            <w:pPr>
              <w:spacing w:before="120" w:line="240" w:lineRule="atLeast"/>
              <w:rPr>
                <w:rFonts w:eastAsia="Cambria" w:cs="Times New Roman"/>
                <w:szCs w:val="22"/>
              </w:rPr>
            </w:pPr>
            <w:r w:rsidRPr="00764D48">
              <w:rPr>
                <w:rFonts w:eastAsia="Cambria" w:cs="Cambria"/>
                <w:szCs w:val="22"/>
              </w:rPr>
              <w:t>Nasal spray</w:t>
            </w:r>
          </w:p>
        </w:tc>
      </w:tr>
      <w:tr w:rsidR="00764D48" w:rsidRPr="00764D48" w14:paraId="517683BC" w14:textId="77777777" w:rsidTr="00D07F72">
        <w:tc>
          <w:tcPr>
            <w:tcW w:w="1577" w:type="pct"/>
          </w:tcPr>
          <w:p w14:paraId="5C865ADE"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Strength:</w:t>
            </w:r>
          </w:p>
        </w:tc>
        <w:tc>
          <w:tcPr>
            <w:tcW w:w="3423" w:type="pct"/>
          </w:tcPr>
          <w:p w14:paraId="2958DF2D"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Olopatadine 600 µg/actuation and</w:t>
            </w:r>
            <w:r w:rsidRPr="00764D48">
              <w:rPr>
                <w:rFonts w:eastAsia="Cambria" w:cs="Times New Roman"/>
                <w:szCs w:val="22"/>
              </w:rPr>
              <w:br/>
              <w:t>mometasone furoate 25 µg/actuation;</w:t>
            </w:r>
            <w:r w:rsidRPr="00764D48">
              <w:rPr>
                <w:rFonts w:eastAsia="Cambria" w:cs="Times New Roman"/>
                <w:szCs w:val="22"/>
                <w:vertAlign w:val="superscript"/>
              </w:rPr>
              <w:footnoteReference w:id="2"/>
            </w:r>
          </w:p>
        </w:tc>
      </w:tr>
      <w:tr w:rsidR="00764D48" w:rsidRPr="00764D48" w14:paraId="36FDB413" w14:textId="77777777" w:rsidTr="00D07F72">
        <w:tc>
          <w:tcPr>
            <w:tcW w:w="1577" w:type="pct"/>
          </w:tcPr>
          <w:p w14:paraId="4AA89A97"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Container:</w:t>
            </w:r>
          </w:p>
        </w:tc>
        <w:tc>
          <w:tcPr>
            <w:tcW w:w="3423" w:type="pct"/>
          </w:tcPr>
          <w:p w14:paraId="413F5DC9"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Bottle</w:t>
            </w:r>
          </w:p>
        </w:tc>
      </w:tr>
      <w:tr w:rsidR="00764D48" w:rsidRPr="00764D48" w14:paraId="62103F96" w14:textId="77777777" w:rsidTr="00D07F72">
        <w:tc>
          <w:tcPr>
            <w:tcW w:w="1577" w:type="pct"/>
          </w:tcPr>
          <w:p w14:paraId="3DF1FE64"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Pack sizes:</w:t>
            </w:r>
          </w:p>
        </w:tc>
        <w:tc>
          <w:tcPr>
            <w:tcW w:w="3423" w:type="pct"/>
          </w:tcPr>
          <w:p w14:paraId="07B912BB"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 xml:space="preserve">56, 120 and 240 metered doses </w:t>
            </w:r>
          </w:p>
        </w:tc>
      </w:tr>
      <w:tr w:rsidR="00764D48" w:rsidRPr="00764D48" w14:paraId="487F9A4F" w14:textId="77777777" w:rsidTr="00D07F72">
        <w:tc>
          <w:tcPr>
            <w:tcW w:w="1577" w:type="pct"/>
          </w:tcPr>
          <w:p w14:paraId="24644B6A"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Approved therapeutic use:</w:t>
            </w:r>
          </w:p>
        </w:tc>
        <w:tc>
          <w:tcPr>
            <w:tcW w:w="3423" w:type="pct"/>
          </w:tcPr>
          <w:p w14:paraId="36ADE6E4" w14:textId="77777777" w:rsidR="00764D48" w:rsidRPr="00764D48" w:rsidRDefault="00764D48" w:rsidP="00764D48">
            <w:pPr>
              <w:spacing w:before="120" w:line="240" w:lineRule="atLeast"/>
              <w:rPr>
                <w:rFonts w:eastAsia="Cambria" w:cs="Times New Roman"/>
                <w:i/>
                <w:iCs/>
                <w:szCs w:val="22"/>
              </w:rPr>
            </w:pPr>
            <w:proofErr w:type="spellStart"/>
            <w:r w:rsidRPr="00764D48">
              <w:rPr>
                <w:rFonts w:eastAsia="Cambria" w:cs="Times New Roman"/>
                <w:i/>
                <w:iCs/>
                <w:szCs w:val="22"/>
              </w:rPr>
              <w:t>Ryaltris</w:t>
            </w:r>
            <w:proofErr w:type="spellEnd"/>
            <w:r w:rsidRPr="00764D48">
              <w:rPr>
                <w:rFonts w:eastAsia="Cambria" w:cs="Times New Roman"/>
                <w:i/>
                <w:iCs/>
                <w:szCs w:val="22"/>
              </w:rPr>
              <w:t xml:space="preserve"> is indicated for the treatment of symptoms associated with allergic rhinitis and </w:t>
            </w:r>
            <w:proofErr w:type="spellStart"/>
            <w:r w:rsidRPr="00764D48">
              <w:rPr>
                <w:rFonts w:eastAsia="Cambria" w:cs="Times New Roman"/>
                <w:i/>
                <w:iCs/>
                <w:szCs w:val="22"/>
              </w:rPr>
              <w:t>rhinoconjunctivitis</w:t>
            </w:r>
            <w:proofErr w:type="spellEnd"/>
            <w:r w:rsidRPr="00764D48">
              <w:rPr>
                <w:rFonts w:eastAsia="Cambria" w:cs="Times New Roman"/>
                <w:i/>
                <w:iCs/>
                <w:szCs w:val="22"/>
              </w:rPr>
              <w:t xml:space="preserve"> in patients 6 years of age and older</w:t>
            </w:r>
          </w:p>
        </w:tc>
      </w:tr>
      <w:tr w:rsidR="00764D48" w:rsidRPr="00764D48" w14:paraId="2299A5A0" w14:textId="77777777" w:rsidTr="00D07F72">
        <w:tc>
          <w:tcPr>
            <w:tcW w:w="1577" w:type="pct"/>
          </w:tcPr>
          <w:p w14:paraId="624FAE9A"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Route of administration:</w:t>
            </w:r>
          </w:p>
        </w:tc>
        <w:tc>
          <w:tcPr>
            <w:tcW w:w="3423" w:type="pct"/>
          </w:tcPr>
          <w:p w14:paraId="25EA24FC"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Nasal</w:t>
            </w:r>
          </w:p>
        </w:tc>
      </w:tr>
      <w:tr w:rsidR="00764D48" w:rsidRPr="00764D48" w14:paraId="15D0ED81" w14:textId="77777777" w:rsidTr="00D07F72">
        <w:tc>
          <w:tcPr>
            <w:tcW w:w="1577" w:type="pct"/>
          </w:tcPr>
          <w:p w14:paraId="7B73A8F0"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Dosage:</w:t>
            </w:r>
          </w:p>
        </w:tc>
        <w:tc>
          <w:tcPr>
            <w:tcW w:w="3423" w:type="pct"/>
          </w:tcPr>
          <w:p w14:paraId="1F24F9C6"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 xml:space="preserve">Administer </w:t>
            </w:r>
            <w:proofErr w:type="spellStart"/>
            <w:r w:rsidRPr="00764D48">
              <w:rPr>
                <w:rFonts w:eastAsia="Cambria" w:cs="Times New Roman"/>
                <w:szCs w:val="22"/>
              </w:rPr>
              <w:t>Ryaltris</w:t>
            </w:r>
            <w:proofErr w:type="spellEnd"/>
            <w:r w:rsidRPr="00764D48">
              <w:rPr>
                <w:rFonts w:eastAsia="Cambria" w:cs="Times New Roman"/>
                <w:szCs w:val="22"/>
              </w:rPr>
              <w:t xml:space="preserve"> by the intranasal route only. Shake the bottle well before each use.</w:t>
            </w:r>
          </w:p>
          <w:p w14:paraId="688EDAB2"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lastRenderedPageBreak/>
              <w:t xml:space="preserve">See the Product Information for information on priming the product </w:t>
            </w:r>
            <w:r w:rsidRPr="00764D48">
              <w:rPr>
                <w:rFonts w:eastAsia="Cambria" w:cs="Times New Roman"/>
                <w:i/>
                <w:szCs w:val="22"/>
              </w:rPr>
              <w:t>before</w:t>
            </w:r>
            <w:r w:rsidRPr="00764D48">
              <w:rPr>
                <w:rFonts w:eastAsia="Cambria" w:cs="Times New Roman"/>
                <w:szCs w:val="22"/>
              </w:rPr>
              <w:t xml:space="preserve"> use, re</w:t>
            </w:r>
            <w:r w:rsidRPr="00764D48">
              <w:rPr>
                <w:rFonts w:eastAsia="Cambria" w:cs="Times New Roman"/>
                <w:szCs w:val="22"/>
              </w:rPr>
              <w:noBreakHyphen/>
              <w:t xml:space="preserve">priming the product </w:t>
            </w:r>
            <w:r w:rsidRPr="00764D48">
              <w:rPr>
                <w:rFonts w:eastAsia="Cambria" w:cs="Times New Roman"/>
                <w:i/>
                <w:szCs w:val="22"/>
              </w:rPr>
              <w:t>between</w:t>
            </w:r>
            <w:r w:rsidRPr="00764D48">
              <w:rPr>
                <w:rFonts w:eastAsia="Cambria" w:cs="Times New Roman"/>
                <w:szCs w:val="22"/>
              </w:rPr>
              <w:t xml:space="preserve"> uses and information on the in-use shelf life.</w:t>
            </w:r>
          </w:p>
          <w:p w14:paraId="4B68E097"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Adults and adolescents (12 years of age and older)</w:t>
            </w:r>
          </w:p>
          <w:p w14:paraId="117CD959"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The recommended dose is 2 sprays (2 actuations) in each nostril, twice daily.</w:t>
            </w:r>
          </w:p>
          <w:p w14:paraId="7DAAF2A9"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t>Children (6 to 11 years of age)</w:t>
            </w:r>
          </w:p>
          <w:p w14:paraId="222C3A9A"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The recommended dose is one spray (one actuation) in each nostril twice daily.</w:t>
            </w:r>
          </w:p>
        </w:tc>
      </w:tr>
      <w:tr w:rsidR="00764D48" w:rsidRPr="00764D48" w14:paraId="5CB52D56" w14:textId="77777777" w:rsidTr="00D07F72">
        <w:tc>
          <w:tcPr>
            <w:tcW w:w="1577" w:type="pct"/>
          </w:tcPr>
          <w:p w14:paraId="0B343340" w14:textId="77777777" w:rsidR="00764D48" w:rsidRPr="00764D48" w:rsidRDefault="00764D48" w:rsidP="00764D48">
            <w:pPr>
              <w:spacing w:before="120" w:line="240" w:lineRule="atLeast"/>
              <w:rPr>
                <w:rFonts w:eastAsia="Cambria" w:cs="Times New Roman"/>
                <w:i/>
                <w:szCs w:val="22"/>
              </w:rPr>
            </w:pPr>
            <w:r w:rsidRPr="00764D48">
              <w:rPr>
                <w:rFonts w:eastAsia="Cambria" w:cs="Times New Roman"/>
                <w:i/>
                <w:szCs w:val="22"/>
              </w:rPr>
              <w:lastRenderedPageBreak/>
              <w:t>Pregnancy category:</w:t>
            </w:r>
          </w:p>
        </w:tc>
        <w:tc>
          <w:tcPr>
            <w:tcW w:w="3423" w:type="pct"/>
          </w:tcPr>
          <w:p w14:paraId="6C9ED95E"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B3</w:t>
            </w:r>
          </w:p>
          <w:p w14:paraId="2505D10E"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 xml:space="preserve">Drugs which have been taken by only a limited number of pregnant women and women of childbearing age, without an increase in the frequency of malformation or other direct or indirect harmful effects on the human </w:t>
            </w:r>
            <w:proofErr w:type="spellStart"/>
            <w:r w:rsidRPr="00764D48">
              <w:rPr>
                <w:rFonts w:eastAsia="Cambria" w:cs="Times New Roman"/>
                <w:szCs w:val="22"/>
              </w:rPr>
              <w:t>fetus</w:t>
            </w:r>
            <w:proofErr w:type="spellEnd"/>
            <w:r w:rsidRPr="00764D48">
              <w:rPr>
                <w:rFonts w:eastAsia="Cambria" w:cs="Times New Roman"/>
                <w:szCs w:val="22"/>
              </w:rPr>
              <w:t xml:space="preserve"> having been observed.</w:t>
            </w:r>
          </w:p>
          <w:p w14:paraId="6B31BAC2"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 xml:space="preserve">Studies in animals have shown evidence of an increased occurrence of </w:t>
            </w:r>
            <w:proofErr w:type="spellStart"/>
            <w:r w:rsidRPr="00764D48">
              <w:rPr>
                <w:rFonts w:eastAsia="Cambria" w:cs="Times New Roman"/>
                <w:szCs w:val="22"/>
              </w:rPr>
              <w:t>fetal</w:t>
            </w:r>
            <w:proofErr w:type="spellEnd"/>
            <w:r w:rsidRPr="00764D48">
              <w:rPr>
                <w:rFonts w:eastAsia="Cambria" w:cs="Times New Roman"/>
                <w:szCs w:val="22"/>
              </w:rPr>
              <w:t xml:space="preserve"> damage, the significance of which is considered uncertain in humans.</w:t>
            </w:r>
          </w:p>
          <w:p w14:paraId="6DD698EA" w14:textId="77777777" w:rsidR="00764D48" w:rsidRPr="00764D48" w:rsidRDefault="00764D48" w:rsidP="00764D48">
            <w:pPr>
              <w:spacing w:before="120" w:line="240" w:lineRule="atLeast"/>
              <w:rPr>
                <w:rFonts w:eastAsia="Cambria" w:cs="Times New Roman"/>
                <w:szCs w:val="22"/>
              </w:rPr>
            </w:pPr>
            <w:r w:rsidRPr="00764D48">
              <w:rPr>
                <w:rFonts w:eastAsia="Cambria" w:cs="Times New Roman"/>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67A88C2" w14:textId="4FBE6434" w:rsidR="00324B33" w:rsidRDefault="00324B33" w:rsidP="00324B33"/>
    <w:p w14:paraId="51F2479F" w14:textId="77777777" w:rsidR="00324B33" w:rsidRDefault="00324B33" w:rsidP="00324B33">
      <w:pPr>
        <w:pStyle w:val="Heading3"/>
      </w:pPr>
      <w:bookmarkStart w:id="11" w:name="_Toc247691503"/>
      <w:bookmarkStart w:id="12" w:name="_Toc314842484"/>
      <w:bookmarkStart w:id="13" w:name="_Toc103679290"/>
      <w:bookmarkStart w:id="14" w:name="_Toc130459048"/>
      <w:r>
        <w:t>Product background</w:t>
      </w:r>
      <w:bookmarkEnd w:id="11"/>
      <w:bookmarkEnd w:id="12"/>
      <w:bookmarkEnd w:id="13"/>
      <w:bookmarkEnd w:id="14"/>
    </w:p>
    <w:p w14:paraId="064DD0FF" w14:textId="77777777" w:rsidR="00764D48" w:rsidRDefault="00764D48" w:rsidP="00764D48">
      <w:bookmarkStart w:id="15" w:name="_Toc314842485"/>
      <w:bookmarkStart w:id="16" w:name="_Toc247691504"/>
      <w:bookmarkStart w:id="17" w:name="_Toc103679291"/>
      <w:r w:rsidRPr="000A4A42">
        <w:t xml:space="preserve">This </w:t>
      </w:r>
      <w:proofErr w:type="spellStart"/>
      <w:r w:rsidRPr="000A4A42">
        <w:t>AusPAR</w:t>
      </w:r>
      <w:proofErr w:type="spellEnd"/>
      <w:r w:rsidRPr="000A4A42">
        <w:t xml:space="preserve"> describes the </w:t>
      </w:r>
      <w:r>
        <w:t>submission</w:t>
      </w:r>
      <w:r w:rsidRPr="000A4A42">
        <w:t xml:space="preserve"> by</w:t>
      </w:r>
      <w:r>
        <w:t xml:space="preserve"> </w:t>
      </w:r>
      <w:r w:rsidRPr="00BC5182">
        <w:t xml:space="preserve">Seqirus Pty Ltd </w:t>
      </w:r>
      <w:r w:rsidRPr="000A4A42">
        <w:t xml:space="preserve">(the sponsor) to register </w:t>
      </w:r>
      <w:proofErr w:type="spellStart"/>
      <w:r>
        <w:t>Ryaltris</w:t>
      </w:r>
      <w:proofErr w:type="spellEnd"/>
      <w:r>
        <w:t xml:space="preserve"> olopatadine 600 µg/actuation and mometasone furoate 25 µg/actuation nasal spray bottle</w:t>
      </w:r>
      <w:r w:rsidRPr="000A4A42">
        <w:t xml:space="preserve"> for the following proposed extension of indications:</w:t>
      </w:r>
    </w:p>
    <w:p w14:paraId="72576847" w14:textId="77777777" w:rsidR="00764D48" w:rsidRPr="00ED377F" w:rsidRDefault="00764D48" w:rsidP="00764D48">
      <w:pPr>
        <w:ind w:left="720"/>
        <w:rPr>
          <w:i/>
          <w:iCs/>
        </w:rPr>
      </w:pPr>
      <w:proofErr w:type="spellStart"/>
      <w:r>
        <w:rPr>
          <w:i/>
          <w:iCs/>
        </w:rPr>
        <w:t>Ryaltris</w:t>
      </w:r>
      <w:proofErr w:type="spellEnd"/>
      <w:r w:rsidRPr="00BC5182">
        <w:rPr>
          <w:i/>
          <w:iCs/>
        </w:rPr>
        <w:t xml:space="preserve"> is indicated for the treatment of symptoms associated with allergic rhinitis and </w:t>
      </w:r>
      <w:proofErr w:type="spellStart"/>
      <w:r w:rsidRPr="00BC5182">
        <w:rPr>
          <w:i/>
          <w:iCs/>
        </w:rPr>
        <w:t>rhinoconjunctivitis</w:t>
      </w:r>
      <w:proofErr w:type="spellEnd"/>
      <w:r w:rsidRPr="00BC5182">
        <w:rPr>
          <w:i/>
          <w:iCs/>
        </w:rPr>
        <w:t xml:space="preserve"> in patients 6 years of age and older.</w:t>
      </w:r>
    </w:p>
    <w:p w14:paraId="1E485AFD" w14:textId="77777777" w:rsidR="00764D48" w:rsidRDefault="00764D48" w:rsidP="00764D48">
      <w:pPr>
        <w:pStyle w:val="Heading4"/>
      </w:pPr>
      <w:bookmarkStart w:id="18" w:name="_Toc130459049"/>
      <w:r>
        <w:t>Allergic rhinitis</w:t>
      </w:r>
      <w:bookmarkEnd w:id="18"/>
    </w:p>
    <w:p w14:paraId="58D764AA" w14:textId="77777777" w:rsidR="00764D48" w:rsidRDefault="00764D48" w:rsidP="00764D48">
      <w:r>
        <w:t>Allergic rhinitis has been defined as an immunoglobulin E mediated inflammatory nasal condition resulting from allergen introduction in a sensitised individual.</w:t>
      </w:r>
      <w:r>
        <w:rPr>
          <w:rStyle w:val="FootnoteReference"/>
        </w:rPr>
        <w:footnoteReference w:id="3"/>
      </w:r>
      <w:r>
        <w:t xml:space="preserve"> Allergic conjunctivitis is a frequent comorbidity associated with allergic rhinitis, especially in children.</w:t>
      </w:r>
      <w:r>
        <w:rPr>
          <w:rStyle w:val="FootnoteReference"/>
        </w:rPr>
        <w:footnoteReference w:id="4"/>
      </w:r>
    </w:p>
    <w:p w14:paraId="5A3DB5E8" w14:textId="5F748E02" w:rsidR="00764D48" w:rsidRDefault="00764D48" w:rsidP="00764D48">
      <w:r>
        <w:t>A report from the Australian Institute of Health and Welfare,</w:t>
      </w:r>
      <w:r>
        <w:rPr>
          <w:rStyle w:val="FootnoteReference"/>
        </w:rPr>
        <w:footnoteReference w:id="5"/>
      </w:r>
      <w:r>
        <w:t xml:space="preserve"> indicated that allergic rhinitis affected 15% of the Australian population in 2007 to 2008. Peak incidence occurred in the 35 to </w:t>
      </w:r>
      <w:r>
        <w:lastRenderedPageBreak/>
        <w:t>44</w:t>
      </w:r>
      <w:r>
        <w:t xml:space="preserve"> </w:t>
      </w:r>
      <w:r>
        <w:t>years of age group and the condition was slightly more common in females. It is also very common in children with prevalence estimates of approximately 2% to 25%.</w:t>
      </w:r>
      <w:r>
        <w:rPr>
          <w:rStyle w:val="FootnoteReference"/>
        </w:rPr>
        <w:footnoteReference w:id="6"/>
      </w:r>
      <w:r>
        <w:t xml:space="preserve"> </w:t>
      </w:r>
    </w:p>
    <w:p w14:paraId="0C78718E" w14:textId="77777777" w:rsidR="00764D48" w:rsidRPr="005E2E0D" w:rsidRDefault="00764D48" w:rsidP="00764D48">
      <w:pPr>
        <w:pStyle w:val="Heading4"/>
      </w:pPr>
      <w:bookmarkStart w:id="19" w:name="_Toc130459050"/>
      <w:r w:rsidRPr="005E2E0D">
        <w:t>Seasonal versus perennial allergic rhinitis</w:t>
      </w:r>
      <w:bookmarkEnd w:id="19"/>
    </w:p>
    <w:p w14:paraId="03A91A20" w14:textId="77777777" w:rsidR="00764D48" w:rsidRDefault="00764D48" w:rsidP="00764D48">
      <w:r>
        <w:t>Seasonal allergic rhinitis is most often caused by outdoor allergens that usually occur in certain seasons, such as pollens or moulds.</w:t>
      </w:r>
    </w:p>
    <w:p w14:paraId="095BE052" w14:textId="77777777" w:rsidR="00764D48" w:rsidRDefault="00764D48" w:rsidP="00764D48">
      <w:r>
        <w:t>Perennial allergic rhinitis is usually caused by indoor allergens that are present throughout the year such as house dust mites, moulds, insects, and animal dander.</w:t>
      </w:r>
    </w:p>
    <w:p w14:paraId="24B96117" w14:textId="77777777" w:rsidR="00764D48" w:rsidRDefault="00764D48" w:rsidP="00764D48">
      <w:pPr>
        <w:pStyle w:val="Heading4"/>
      </w:pPr>
      <w:bookmarkStart w:id="20" w:name="_Toc130459051"/>
      <w:r w:rsidRPr="005E2E0D">
        <w:t>Current treatment options</w:t>
      </w:r>
      <w:bookmarkEnd w:id="20"/>
    </w:p>
    <w:p w14:paraId="76CE64C7" w14:textId="77777777" w:rsidR="00764D48" w:rsidRDefault="00764D48" w:rsidP="00764D48">
      <w:r>
        <w:t>Currently registered medicines for the treatment of allergic rhinitis in Australia include the following:</w:t>
      </w:r>
    </w:p>
    <w:p w14:paraId="66FD13B0" w14:textId="77777777" w:rsidR="00764D48" w:rsidRDefault="00764D48" w:rsidP="00764D48">
      <w:pPr>
        <w:pStyle w:val="ListBullet"/>
      </w:pPr>
      <w:r>
        <w:t>Topical decongestants such as oxymetazoline, xylometazoline and phenylephrine nasal sprays which are generally only recommended for short term use (less than one week)</w:t>
      </w:r>
    </w:p>
    <w:p w14:paraId="15E92846" w14:textId="77777777" w:rsidR="00764D48" w:rsidRDefault="00764D48" w:rsidP="00764D48">
      <w:pPr>
        <w:pStyle w:val="ListBullet"/>
      </w:pPr>
      <w:r>
        <w:t>Oral decongestants such as pseudoephedrine and phenylephrine</w:t>
      </w:r>
    </w:p>
    <w:p w14:paraId="2CBAB709" w14:textId="77777777" w:rsidR="00764D48" w:rsidRDefault="00764D48" w:rsidP="00764D48">
      <w:pPr>
        <w:pStyle w:val="ListBullet"/>
      </w:pPr>
      <w:r>
        <w:t xml:space="preserve">Topical antihistamines such as azelastine and </w:t>
      </w:r>
      <w:proofErr w:type="spellStart"/>
      <w:r>
        <w:t>levocabastine</w:t>
      </w:r>
      <w:proofErr w:type="spellEnd"/>
      <w:r>
        <w:t xml:space="preserve"> nasal sprays</w:t>
      </w:r>
    </w:p>
    <w:p w14:paraId="120C9130" w14:textId="77777777" w:rsidR="00764D48" w:rsidRDefault="00764D48" w:rsidP="00764D48">
      <w:pPr>
        <w:pStyle w:val="ListBullet"/>
      </w:pPr>
      <w:r>
        <w:t>Oral antihistamines, of which there are multiple formulations available in Australia, including first generation (sedating) and second generation (non-sedating) agents</w:t>
      </w:r>
    </w:p>
    <w:p w14:paraId="072AABC4" w14:textId="77777777" w:rsidR="00764D48" w:rsidRDefault="00764D48" w:rsidP="00764D48">
      <w:pPr>
        <w:pStyle w:val="ListBullet"/>
      </w:pPr>
      <w:r>
        <w:t xml:space="preserve">Topical corticosteroids including budesonide, fluticasone propionate, fluticasone furoate, beclomethasone, mometasone furoate and </w:t>
      </w:r>
      <w:proofErr w:type="spellStart"/>
      <w:r>
        <w:t>ciclesonide</w:t>
      </w:r>
      <w:proofErr w:type="spellEnd"/>
      <w:r>
        <w:t xml:space="preserve"> nasal sprays</w:t>
      </w:r>
    </w:p>
    <w:p w14:paraId="0B0C4311" w14:textId="77777777" w:rsidR="00764D48" w:rsidRDefault="00764D48" w:rsidP="00764D48">
      <w:pPr>
        <w:pStyle w:val="ListBullet"/>
      </w:pPr>
      <w:r>
        <w:t>Leukotriene receptor antagonists, namely montelukast, which is indicated for the treatment of seasonal allergic rhinitis</w:t>
      </w:r>
    </w:p>
    <w:p w14:paraId="707593E0" w14:textId="77777777" w:rsidR="00764D48" w:rsidRDefault="00764D48" w:rsidP="00764D48">
      <w:pPr>
        <w:pStyle w:val="ListBullet"/>
      </w:pPr>
      <w:r>
        <w:t>Short-acting muscarinic antagonists, namely ipratropium (nasal spray) which is indicated for the treatment of rhinorrhoea associated with perennial allergic rhinitis</w:t>
      </w:r>
    </w:p>
    <w:p w14:paraId="69B6FB1F" w14:textId="77777777" w:rsidR="00764D48" w:rsidRDefault="00764D48" w:rsidP="00764D48">
      <w:pPr>
        <w:pStyle w:val="ListBullet"/>
      </w:pPr>
      <w:r>
        <w:t>Immunotherapy with repeated administration of specific allergen extracts is generally reserved for subjects whose symptoms are not controlled with drug therapy</w:t>
      </w:r>
    </w:p>
    <w:p w14:paraId="2BCCD31E" w14:textId="77777777" w:rsidR="00764D48" w:rsidRDefault="00764D48" w:rsidP="00764D48">
      <w:r w:rsidRPr="005E2E0D">
        <w:t xml:space="preserve">Most of these products are registered for use in subjects aged </w:t>
      </w:r>
      <w:r>
        <w:t xml:space="preserve">from </w:t>
      </w:r>
      <w:r w:rsidRPr="005E2E0D">
        <w:t>6</w:t>
      </w:r>
      <w:r>
        <w:t xml:space="preserve"> to </w:t>
      </w:r>
      <w:r w:rsidRPr="005E2E0D">
        <w:t>11 years</w:t>
      </w:r>
      <w:r>
        <w:t>, which is the</w:t>
      </w:r>
      <w:r w:rsidRPr="005E2E0D">
        <w:t xml:space="preserve"> patient population </w:t>
      </w:r>
      <w:r>
        <w:t>proposed in the</w:t>
      </w:r>
      <w:r w:rsidRPr="005E2E0D">
        <w:t xml:space="preserve"> current submission. However, the following agents are not approved</w:t>
      </w:r>
      <w:r>
        <w:t xml:space="preserve"> or </w:t>
      </w:r>
      <w:r w:rsidRPr="005E2E0D">
        <w:t>registered for this age group:</w:t>
      </w:r>
    </w:p>
    <w:p w14:paraId="6BCBED3A" w14:textId="77777777" w:rsidR="00764D48" w:rsidRDefault="00764D48" w:rsidP="00764D48">
      <w:pPr>
        <w:pStyle w:val="ListBullet"/>
      </w:pPr>
      <w:r>
        <w:t>Oxymetazoline and xylometazoline nasal sprays</w:t>
      </w:r>
    </w:p>
    <w:p w14:paraId="0958C747" w14:textId="77777777" w:rsidR="00764D48" w:rsidRDefault="00764D48" w:rsidP="00764D48">
      <w:pPr>
        <w:pStyle w:val="ListBullet"/>
      </w:pPr>
      <w:r>
        <w:t>Fluticasone propionate and beclomethasone nasal sprays</w:t>
      </w:r>
    </w:p>
    <w:p w14:paraId="2DE1B65A" w14:textId="77777777" w:rsidR="00764D48" w:rsidRDefault="00764D48" w:rsidP="00764D48">
      <w:pPr>
        <w:pStyle w:val="ListBullet"/>
      </w:pPr>
      <w:r>
        <w:t>Ipratropium nasal spray</w:t>
      </w:r>
    </w:p>
    <w:p w14:paraId="471D6014" w14:textId="77777777" w:rsidR="00764D48" w:rsidRDefault="00764D48" w:rsidP="00764D48">
      <w:r w:rsidRPr="005E2E0D">
        <w:t xml:space="preserve">There is currently one other fixed </w:t>
      </w:r>
      <w:r>
        <w:t xml:space="preserve">dose </w:t>
      </w:r>
      <w:r w:rsidRPr="005E2E0D">
        <w:t xml:space="preserve">combination nasal spray product containing an antihistamine and a corticosteroid registered for the treatment of allergic rhinitis. This product </w:t>
      </w:r>
      <w:r w:rsidRPr="005E2E0D">
        <w:lastRenderedPageBreak/>
        <w:t>(</w:t>
      </w:r>
      <w:proofErr w:type="spellStart"/>
      <w:r w:rsidRPr="005E2E0D">
        <w:t>D</w:t>
      </w:r>
      <w:r>
        <w:t>ymista</w:t>
      </w:r>
      <w:proofErr w:type="spellEnd"/>
      <w:r w:rsidRPr="005E2E0D">
        <w:t xml:space="preserve">) contains </w:t>
      </w:r>
      <w:r>
        <w:t xml:space="preserve">the antihistamine </w:t>
      </w:r>
      <w:r w:rsidRPr="005E2E0D">
        <w:t xml:space="preserve">azelastine together with </w:t>
      </w:r>
      <w:r>
        <w:t xml:space="preserve">the corticosteroid </w:t>
      </w:r>
      <w:r w:rsidRPr="005E2E0D">
        <w:t xml:space="preserve">fluticasone. It is </w:t>
      </w:r>
      <w:r>
        <w:t>only approved for use in adults and children aged 12 years and older</w:t>
      </w:r>
      <w:r w:rsidRPr="005E2E0D">
        <w:t>.</w:t>
      </w:r>
      <w:r>
        <w:rPr>
          <w:rStyle w:val="FootnoteReference"/>
        </w:rPr>
        <w:footnoteReference w:id="7"/>
      </w:r>
    </w:p>
    <w:p w14:paraId="0D615854" w14:textId="77777777" w:rsidR="00324B33" w:rsidRPr="003F31A2" w:rsidRDefault="00324B33" w:rsidP="00324B33">
      <w:pPr>
        <w:pStyle w:val="Heading3"/>
      </w:pPr>
      <w:bookmarkStart w:id="21" w:name="_Toc130459052"/>
      <w:r>
        <w:t>Regulatory status</w:t>
      </w:r>
      <w:bookmarkEnd w:id="15"/>
      <w:bookmarkEnd w:id="16"/>
      <w:bookmarkEnd w:id="17"/>
      <w:bookmarkEnd w:id="21"/>
    </w:p>
    <w:p w14:paraId="493EC462" w14:textId="77777777" w:rsidR="00764D48" w:rsidRDefault="00764D48" w:rsidP="00764D48">
      <w:bookmarkStart w:id="22" w:name="_Ref99705479"/>
      <w:r>
        <w:t>The product received initial registration on the Australian Register of Therapeutic Goods (ARTG)</w:t>
      </w:r>
      <w:r>
        <w:rPr>
          <w:rStyle w:val="FootnoteReference"/>
        </w:rPr>
        <w:footnoteReference w:id="8"/>
      </w:r>
      <w:r>
        <w:t xml:space="preserve"> on 11 December 2019. The approved indication at the time was as follows:</w:t>
      </w:r>
    </w:p>
    <w:p w14:paraId="0800B367" w14:textId="77777777" w:rsidR="00764D48" w:rsidRPr="006B4553" w:rsidRDefault="00764D48" w:rsidP="00764D48">
      <w:pPr>
        <w:ind w:left="720"/>
        <w:rPr>
          <w:i/>
        </w:rPr>
      </w:pPr>
      <w:proofErr w:type="spellStart"/>
      <w:r w:rsidRPr="006B4553">
        <w:rPr>
          <w:i/>
        </w:rPr>
        <w:t>Ryaltris</w:t>
      </w:r>
      <w:proofErr w:type="spellEnd"/>
      <w:r w:rsidRPr="006B4553">
        <w:rPr>
          <w:i/>
        </w:rPr>
        <w:t xml:space="preserve"> (nasal spray) is indicated for the treatment of symptoms associated with allergic rhinitis and </w:t>
      </w:r>
      <w:proofErr w:type="spellStart"/>
      <w:r w:rsidRPr="006B4553">
        <w:rPr>
          <w:i/>
        </w:rPr>
        <w:t>rhinoconjunctivitis</w:t>
      </w:r>
      <w:proofErr w:type="spellEnd"/>
      <w:r w:rsidRPr="006B4553">
        <w:rPr>
          <w:i/>
        </w:rPr>
        <w:t xml:space="preserve"> in patients 12 years of age and older.</w:t>
      </w:r>
    </w:p>
    <w:p w14:paraId="1DEF3B0E" w14:textId="77777777" w:rsidR="00764D48" w:rsidRDefault="00764D48" w:rsidP="00764D48">
      <w:pPr>
        <w:numPr>
          <w:ilvl w:val="1"/>
          <w:numId w:val="0"/>
        </w:numPr>
      </w:pPr>
      <w:r>
        <w:t>Similar submissions have been submitted and approved in the United States of America (USA) (submitted May 2018, approved January 2022); the United Kingdom (submitted December 2019, approved May 2021); several member states of European Union (EU) (submitted December 2019, approved on an individual country-basis between April and July 2021). A further submission had been submitted in Canada (March 2020) and remained under consideration.</w:t>
      </w:r>
    </w:p>
    <w:p w14:paraId="7DB94A3F" w14:textId="77777777" w:rsidR="00764D48" w:rsidRDefault="00764D48" w:rsidP="00764D48">
      <w:r>
        <w:t>The following table summarises these submissions and provides the indications where approved.</w:t>
      </w:r>
    </w:p>
    <w:p w14:paraId="19B9E0AC" w14:textId="28E19F84" w:rsidR="00324B33" w:rsidRDefault="00324B33" w:rsidP="00324B33">
      <w:pPr>
        <w:pStyle w:val="TableTitle0"/>
      </w:pPr>
      <w:r>
        <w:t xml:space="preserve">Table </w:t>
      </w:r>
      <w:r w:rsidR="006412C5">
        <w:fldChar w:fldCharType="begin"/>
      </w:r>
      <w:r w:rsidR="006412C5">
        <w:instrText xml:space="preserve"> SEQ Table \* ARABIC </w:instrText>
      </w:r>
      <w:r w:rsidR="006412C5">
        <w:fldChar w:fldCharType="separate"/>
      </w:r>
      <w:r>
        <w:rPr>
          <w:noProof/>
        </w:rPr>
        <w:t>1</w:t>
      </w:r>
      <w:r w:rsidR="006412C5">
        <w:rPr>
          <w:noProof/>
        </w:rPr>
        <w:fldChar w:fldCharType="end"/>
      </w:r>
      <w:bookmarkEnd w:id="22"/>
      <w:r>
        <w:t>: International regulatory status</w:t>
      </w:r>
    </w:p>
    <w:tbl>
      <w:tblPr>
        <w:tblStyle w:val="TableTGAblue2023"/>
        <w:tblW w:w="0" w:type="auto"/>
        <w:tblLook w:val="04A0" w:firstRow="1" w:lastRow="0" w:firstColumn="1" w:lastColumn="0" w:noHBand="0" w:noVBand="1"/>
      </w:tblPr>
      <w:tblGrid>
        <w:gridCol w:w="1980"/>
        <w:gridCol w:w="1701"/>
        <w:gridCol w:w="1984"/>
        <w:gridCol w:w="3395"/>
      </w:tblGrid>
      <w:tr w:rsidR="00324B33" w14:paraId="405E5D78" w14:textId="16839333" w:rsidTr="00A8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5B099B" w14:textId="7A4C0E6C" w:rsidR="00324B33" w:rsidRDefault="00324B33" w:rsidP="00324B33">
            <w:r>
              <w:t>Region</w:t>
            </w:r>
          </w:p>
        </w:tc>
        <w:tc>
          <w:tcPr>
            <w:tcW w:w="1701" w:type="dxa"/>
          </w:tcPr>
          <w:p w14:paraId="778C35C7" w14:textId="52D23C85" w:rsidR="00324B33" w:rsidRDefault="00324B33" w:rsidP="00324B33">
            <w:pPr>
              <w:cnfStyle w:val="100000000000" w:firstRow="1" w:lastRow="0" w:firstColumn="0" w:lastColumn="0" w:oddVBand="0" w:evenVBand="0" w:oddHBand="0" w:evenHBand="0" w:firstRowFirstColumn="0" w:firstRowLastColumn="0" w:lastRowFirstColumn="0" w:lastRowLastColumn="0"/>
            </w:pPr>
            <w:r>
              <w:t>Submission date</w:t>
            </w:r>
          </w:p>
        </w:tc>
        <w:tc>
          <w:tcPr>
            <w:tcW w:w="1984" w:type="dxa"/>
          </w:tcPr>
          <w:p w14:paraId="58F81584" w14:textId="66689ABF" w:rsidR="00324B33" w:rsidRDefault="00324B33" w:rsidP="00324B33">
            <w:pPr>
              <w:cnfStyle w:val="100000000000" w:firstRow="1" w:lastRow="0" w:firstColumn="0" w:lastColumn="0" w:oddVBand="0" w:evenVBand="0" w:oddHBand="0" w:evenHBand="0" w:firstRowFirstColumn="0" w:firstRowLastColumn="0" w:lastRowFirstColumn="0" w:lastRowLastColumn="0"/>
            </w:pPr>
            <w:r>
              <w:t>Status</w:t>
            </w:r>
          </w:p>
        </w:tc>
        <w:tc>
          <w:tcPr>
            <w:tcW w:w="3395" w:type="dxa"/>
          </w:tcPr>
          <w:p w14:paraId="50B2D435" w14:textId="560588D2" w:rsidR="00324B33" w:rsidRDefault="00324B33" w:rsidP="00324B33">
            <w:pPr>
              <w:cnfStyle w:val="100000000000" w:firstRow="1" w:lastRow="0" w:firstColumn="0" w:lastColumn="0" w:oddVBand="0" w:evenVBand="0" w:oddHBand="0" w:evenHBand="0" w:firstRowFirstColumn="0" w:firstRowLastColumn="0" w:lastRowFirstColumn="0" w:lastRowLastColumn="0"/>
            </w:pPr>
            <w:r>
              <w:t>Approved indications</w:t>
            </w:r>
          </w:p>
        </w:tc>
      </w:tr>
      <w:tr w:rsidR="00764D48" w14:paraId="38D24E86" w14:textId="77777777" w:rsidTr="00A81EEF">
        <w:tc>
          <w:tcPr>
            <w:cnfStyle w:val="001000000000" w:firstRow="0" w:lastRow="0" w:firstColumn="1" w:lastColumn="0" w:oddVBand="0" w:evenVBand="0" w:oddHBand="0" w:evenHBand="0" w:firstRowFirstColumn="0" w:firstRowLastColumn="0" w:lastRowFirstColumn="0" w:lastRowLastColumn="0"/>
            <w:tcW w:w="1980" w:type="dxa"/>
          </w:tcPr>
          <w:p w14:paraId="4C540DE5" w14:textId="0BE55050" w:rsidR="00764D48" w:rsidRDefault="00764D48" w:rsidP="00764D48">
            <w:r w:rsidRPr="007D1FC1">
              <w:t>United States</w:t>
            </w:r>
            <w:r>
              <w:t xml:space="preserve"> of America</w:t>
            </w:r>
          </w:p>
        </w:tc>
        <w:tc>
          <w:tcPr>
            <w:tcW w:w="1701" w:type="dxa"/>
          </w:tcPr>
          <w:p w14:paraId="4FA5DDA9" w14:textId="7746B42C" w:rsidR="00764D48" w:rsidRDefault="00764D48" w:rsidP="00764D48">
            <w:pPr>
              <w:cnfStyle w:val="000000000000" w:firstRow="0" w:lastRow="0" w:firstColumn="0" w:lastColumn="0" w:oddVBand="0" w:evenVBand="0" w:oddHBand="0" w:evenHBand="0" w:firstRowFirstColumn="0" w:firstRowLastColumn="0" w:lastRowFirstColumn="0" w:lastRowLastColumn="0"/>
            </w:pPr>
            <w:r w:rsidRPr="007D1FC1">
              <w:t>May 2018</w:t>
            </w:r>
          </w:p>
        </w:tc>
        <w:tc>
          <w:tcPr>
            <w:tcW w:w="1984" w:type="dxa"/>
          </w:tcPr>
          <w:p w14:paraId="29358393" w14:textId="42573258" w:rsidR="00764D48" w:rsidRDefault="00764D48" w:rsidP="00764D48">
            <w:pPr>
              <w:cnfStyle w:val="000000000000" w:firstRow="0" w:lastRow="0" w:firstColumn="0" w:lastColumn="0" w:oddVBand="0" w:evenVBand="0" w:oddHBand="0" w:evenHBand="0" w:firstRowFirstColumn="0" w:firstRowLastColumn="0" w:lastRowFirstColumn="0" w:lastRowLastColumn="0"/>
            </w:pPr>
            <w:r>
              <w:t>Approved on 13</w:t>
            </w:r>
            <w:r>
              <w:t xml:space="preserve"> </w:t>
            </w:r>
            <w:r>
              <w:t>January</w:t>
            </w:r>
            <w:r>
              <w:t xml:space="preserve"> </w:t>
            </w:r>
            <w:r>
              <w:t>2022</w:t>
            </w:r>
          </w:p>
        </w:tc>
        <w:tc>
          <w:tcPr>
            <w:tcW w:w="3395" w:type="dxa"/>
          </w:tcPr>
          <w:p w14:paraId="05055674" w14:textId="2C449948" w:rsidR="00764D48" w:rsidRDefault="00764D48" w:rsidP="00764D48">
            <w:pPr>
              <w:cnfStyle w:val="000000000000" w:firstRow="0" w:lastRow="0" w:firstColumn="0" w:lastColumn="0" w:oddVBand="0" w:evenVBand="0" w:oddHBand="0" w:evenHBand="0" w:firstRowFirstColumn="0" w:firstRowLastColumn="0" w:lastRowFirstColumn="0" w:lastRowLastColumn="0"/>
            </w:pPr>
            <w:proofErr w:type="spellStart"/>
            <w:r>
              <w:rPr>
                <w:i/>
              </w:rPr>
              <w:t>Ryaltris</w:t>
            </w:r>
            <w:proofErr w:type="spellEnd"/>
            <w:r w:rsidRPr="00B20582">
              <w:rPr>
                <w:i/>
              </w:rPr>
              <w:t xml:space="preserve"> is indicated for the treatment of symptoms of seasonal allergic rhinitis in adult and </w:t>
            </w:r>
            <w:proofErr w:type="spellStart"/>
            <w:r w:rsidRPr="00B20582">
              <w:rPr>
                <w:i/>
              </w:rPr>
              <w:t>pediatric</w:t>
            </w:r>
            <w:proofErr w:type="spellEnd"/>
            <w:r w:rsidRPr="00B20582">
              <w:rPr>
                <w:i/>
              </w:rPr>
              <w:t xml:space="preserve"> patients 12</w:t>
            </w:r>
            <w:r>
              <w:rPr>
                <w:i/>
              </w:rPr>
              <w:t xml:space="preserve"> </w:t>
            </w:r>
            <w:r w:rsidRPr="00B20582">
              <w:rPr>
                <w:i/>
              </w:rPr>
              <w:t>years of age and older.</w:t>
            </w:r>
          </w:p>
        </w:tc>
      </w:tr>
      <w:tr w:rsidR="00764D48" w14:paraId="18B6E2AA" w14:textId="7783D66F" w:rsidTr="00A81EEF">
        <w:tc>
          <w:tcPr>
            <w:cnfStyle w:val="001000000000" w:firstRow="0" w:lastRow="0" w:firstColumn="1" w:lastColumn="0" w:oddVBand="0" w:evenVBand="0" w:oddHBand="0" w:evenHBand="0" w:firstRowFirstColumn="0" w:firstRowLastColumn="0" w:lastRowFirstColumn="0" w:lastRowLastColumn="0"/>
            <w:tcW w:w="1980" w:type="dxa"/>
          </w:tcPr>
          <w:p w14:paraId="7F348960" w14:textId="676D7F50" w:rsidR="00764D48" w:rsidRDefault="00764D48" w:rsidP="00764D48">
            <w:r w:rsidRPr="007D1FC1">
              <w:t>United Kingdom</w:t>
            </w:r>
          </w:p>
        </w:tc>
        <w:tc>
          <w:tcPr>
            <w:tcW w:w="1701" w:type="dxa"/>
          </w:tcPr>
          <w:p w14:paraId="1D871E57" w14:textId="6EBA073C" w:rsidR="00764D48" w:rsidRDefault="00764D48" w:rsidP="00764D48">
            <w:pPr>
              <w:cnfStyle w:val="000000000000" w:firstRow="0" w:lastRow="0" w:firstColumn="0" w:lastColumn="0" w:oddVBand="0" w:evenVBand="0" w:oddHBand="0" w:evenHBand="0" w:firstRowFirstColumn="0" w:firstRowLastColumn="0" w:lastRowFirstColumn="0" w:lastRowLastColumn="0"/>
            </w:pPr>
            <w:r w:rsidRPr="007D1FC1">
              <w:t>December 2019</w:t>
            </w:r>
          </w:p>
        </w:tc>
        <w:tc>
          <w:tcPr>
            <w:tcW w:w="1984" w:type="dxa"/>
          </w:tcPr>
          <w:p w14:paraId="63A3A9D3" w14:textId="054E026C" w:rsidR="00764D48" w:rsidRDefault="00764D48" w:rsidP="00764D48">
            <w:pPr>
              <w:cnfStyle w:val="000000000000" w:firstRow="0" w:lastRow="0" w:firstColumn="0" w:lastColumn="0" w:oddVBand="0" w:evenVBand="0" w:oddHBand="0" w:evenHBand="0" w:firstRowFirstColumn="0" w:firstRowLastColumn="0" w:lastRowFirstColumn="0" w:lastRowLastColumn="0"/>
            </w:pPr>
            <w:r w:rsidRPr="007D1FC1">
              <w:t>Approved on 11</w:t>
            </w:r>
            <w:r>
              <w:t xml:space="preserve"> </w:t>
            </w:r>
            <w:r w:rsidRPr="007D1FC1">
              <w:t>May</w:t>
            </w:r>
            <w:r>
              <w:t xml:space="preserve"> </w:t>
            </w:r>
            <w:r w:rsidRPr="007D1FC1">
              <w:t>2021</w:t>
            </w:r>
          </w:p>
        </w:tc>
        <w:tc>
          <w:tcPr>
            <w:tcW w:w="3395" w:type="dxa"/>
          </w:tcPr>
          <w:p w14:paraId="17C650B8" w14:textId="41B83910" w:rsidR="00764D48" w:rsidRDefault="00764D48" w:rsidP="00764D48">
            <w:pPr>
              <w:cnfStyle w:val="000000000000" w:firstRow="0" w:lastRow="0" w:firstColumn="0" w:lastColumn="0" w:oddVBand="0" w:evenVBand="0" w:oddHBand="0" w:evenHBand="0" w:firstRowFirstColumn="0" w:firstRowLastColumn="0" w:lastRowFirstColumn="0" w:lastRowLastColumn="0"/>
            </w:pPr>
            <w:proofErr w:type="spellStart"/>
            <w:r w:rsidRPr="007D1FC1">
              <w:rPr>
                <w:i/>
                <w:iCs/>
              </w:rPr>
              <w:t>Ryaltris</w:t>
            </w:r>
            <w:proofErr w:type="spellEnd"/>
            <w:r w:rsidRPr="007D1FC1">
              <w:rPr>
                <w:i/>
                <w:iCs/>
              </w:rPr>
              <w:t xml:space="preserve"> is indicated in adults and children 1</w:t>
            </w:r>
            <w:r>
              <w:rPr>
                <w:i/>
                <w:iCs/>
              </w:rPr>
              <w:t xml:space="preserve">2 </w:t>
            </w:r>
            <w:r w:rsidRPr="007D1FC1">
              <w:rPr>
                <w:i/>
                <w:iCs/>
              </w:rPr>
              <w:t>years of age and older for the treatment of moderate to severe nasal symptoms associated with allergic rhinitis.</w:t>
            </w:r>
          </w:p>
        </w:tc>
      </w:tr>
      <w:tr w:rsidR="00764D48" w14:paraId="1FA9240B" w14:textId="77777777" w:rsidTr="00A81EEF">
        <w:tc>
          <w:tcPr>
            <w:cnfStyle w:val="001000000000" w:firstRow="0" w:lastRow="0" w:firstColumn="1" w:lastColumn="0" w:oddVBand="0" w:evenVBand="0" w:oddHBand="0" w:evenHBand="0" w:firstRowFirstColumn="0" w:firstRowLastColumn="0" w:lastRowFirstColumn="0" w:lastRowLastColumn="0"/>
            <w:tcW w:w="1980" w:type="dxa"/>
          </w:tcPr>
          <w:p w14:paraId="36D88E97" w14:textId="77777777" w:rsidR="00764D48" w:rsidRDefault="00764D48" w:rsidP="00764D48">
            <w:pPr>
              <w:ind w:left="0"/>
            </w:pPr>
            <w:r w:rsidRPr="007D1FC1">
              <w:lastRenderedPageBreak/>
              <w:t xml:space="preserve">European Union </w:t>
            </w:r>
            <w:r>
              <w:t>(EU)</w:t>
            </w:r>
          </w:p>
          <w:p w14:paraId="2E646F66" w14:textId="2CE31378" w:rsidR="00764D48" w:rsidRPr="007D1FC1" w:rsidRDefault="00764D48" w:rsidP="00764D48">
            <w:r>
              <w:t xml:space="preserve">Approved by </w:t>
            </w:r>
            <w:r w:rsidRPr="007D1FC1">
              <w:t xml:space="preserve">several </w:t>
            </w:r>
            <w:r>
              <w:t xml:space="preserve">EU </w:t>
            </w:r>
            <w:r w:rsidRPr="007D1FC1">
              <w:t>countries</w:t>
            </w:r>
            <w:r>
              <w:t xml:space="preserve"> on an individual basis (decentralised procedure)</w:t>
            </w:r>
          </w:p>
        </w:tc>
        <w:tc>
          <w:tcPr>
            <w:tcW w:w="1701" w:type="dxa"/>
          </w:tcPr>
          <w:p w14:paraId="5E125F57" w14:textId="1E6EA98E" w:rsidR="00764D48" w:rsidRPr="007D1FC1" w:rsidRDefault="00764D48" w:rsidP="00764D48">
            <w:pPr>
              <w:cnfStyle w:val="000000000000" w:firstRow="0" w:lastRow="0" w:firstColumn="0" w:lastColumn="0" w:oddVBand="0" w:evenVBand="0" w:oddHBand="0" w:evenHBand="0" w:firstRowFirstColumn="0" w:firstRowLastColumn="0" w:lastRowFirstColumn="0" w:lastRowLastColumn="0"/>
            </w:pPr>
            <w:r w:rsidRPr="007D1FC1">
              <w:t>December 2019</w:t>
            </w:r>
          </w:p>
        </w:tc>
        <w:tc>
          <w:tcPr>
            <w:tcW w:w="1984" w:type="dxa"/>
          </w:tcPr>
          <w:p w14:paraId="01E06ACB" w14:textId="166B6097" w:rsidR="00764D48" w:rsidRPr="007D1FC1" w:rsidRDefault="00764D48" w:rsidP="00764D48">
            <w:pPr>
              <w:cnfStyle w:val="000000000000" w:firstRow="0" w:lastRow="0" w:firstColumn="0" w:lastColumn="0" w:oddVBand="0" w:evenVBand="0" w:oddHBand="0" w:evenHBand="0" w:firstRowFirstColumn="0" w:firstRowLastColumn="0" w:lastRowFirstColumn="0" w:lastRowLastColumn="0"/>
            </w:pPr>
            <w:r w:rsidRPr="007D1FC1">
              <w:t>Approved on various dates between 26</w:t>
            </w:r>
            <w:r>
              <w:t> </w:t>
            </w:r>
            <w:r w:rsidRPr="007D1FC1">
              <w:t>April</w:t>
            </w:r>
            <w:r>
              <w:t> </w:t>
            </w:r>
            <w:r w:rsidRPr="007D1FC1">
              <w:t xml:space="preserve">2021 and 9 July 2021 </w:t>
            </w:r>
            <w:r>
              <w:t>(</w:t>
            </w:r>
            <w:r w:rsidRPr="007D1FC1">
              <w:t>depending on the country</w:t>
            </w:r>
            <w:r>
              <w:t>)</w:t>
            </w:r>
          </w:p>
        </w:tc>
        <w:tc>
          <w:tcPr>
            <w:tcW w:w="3395" w:type="dxa"/>
          </w:tcPr>
          <w:p w14:paraId="196DAD96" w14:textId="30653695" w:rsidR="00764D48" w:rsidRPr="007D1FC1" w:rsidRDefault="00764D48" w:rsidP="00764D48">
            <w:pPr>
              <w:cnfStyle w:val="000000000000" w:firstRow="0" w:lastRow="0" w:firstColumn="0" w:lastColumn="0" w:oddVBand="0" w:evenVBand="0" w:oddHBand="0" w:evenHBand="0" w:firstRowFirstColumn="0" w:firstRowLastColumn="0" w:lastRowFirstColumn="0" w:lastRowLastColumn="0"/>
              <w:rPr>
                <w:i/>
                <w:iCs/>
              </w:rPr>
            </w:pPr>
            <w:proofErr w:type="spellStart"/>
            <w:r w:rsidRPr="007D1FC1">
              <w:rPr>
                <w:i/>
                <w:iCs/>
              </w:rPr>
              <w:t>Ryaltris</w:t>
            </w:r>
            <w:proofErr w:type="spellEnd"/>
            <w:r w:rsidRPr="007D1FC1">
              <w:rPr>
                <w:i/>
                <w:iCs/>
              </w:rPr>
              <w:t xml:space="preserve"> is indicated in adults and children 12</w:t>
            </w:r>
            <w:r>
              <w:rPr>
                <w:i/>
                <w:iCs/>
              </w:rPr>
              <w:t> </w:t>
            </w:r>
            <w:r w:rsidRPr="007D1FC1">
              <w:rPr>
                <w:i/>
                <w:iCs/>
              </w:rPr>
              <w:t>years of age and older for the treatment of moderate to severe nasal symptoms associated with allergic rhinitis.</w:t>
            </w:r>
          </w:p>
        </w:tc>
      </w:tr>
      <w:tr w:rsidR="00764D48" w14:paraId="06CA1030" w14:textId="77777777" w:rsidTr="00A81EEF">
        <w:tc>
          <w:tcPr>
            <w:cnfStyle w:val="001000000000" w:firstRow="0" w:lastRow="0" w:firstColumn="1" w:lastColumn="0" w:oddVBand="0" w:evenVBand="0" w:oddHBand="0" w:evenHBand="0" w:firstRowFirstColumn="0" w:firstRowLastColumn="0" w:lastRowFirstColumn="0" w:lastRowLastColumn="0"/>
            <w:tcW w:w="1980" w:type="dxa"/>
          </w:tcPr>
          <w:p w14:paraId="203DAAE4" w14:textId="10DBB2AB" w:rsidR="00764D48" w:rsidRPr="007D1FC1" w:rsidRDefault="00764D48" w:rsidP="00764D48">
            <w:r w:rsidRPr="007D1FC1">
              <w:t>Canada</w:t>
            </w:r>
          </w:p>
        </w:tc>
        <w:tc>
          <w:tcPr>
            <w:tcW w:w="1701" w:type="dxa"/>
          </w:tcPr>
          <w:p w14:paraId="78D1B92D" w14:textId="57620A8F" w:rsidR="00764D48" w:rsidRPr="007D1FC1" w:rsidRDefault="00764D48" w:rsidP="00764D48">
            <w:pPr>
              <w:cnfStyle w:val="000000000000" w:firstRow="0" w:lastRow="0" w:firstColumn="0" w:lastColumn="0" w:oddVBand="0" w:evenVBand="0" w:oddHBand="0" w:evenHBand="0" w:firstRowFirstColumn="0" w:firstRowLastColumn="0" w:lastRowFirstColumn="0" w:lastRowLastColumn="0"/>
            </w:pPr>
            <w:r w:rsidRPr="007D1FC1">
              <w:t>31 March 2020</w:t>
            </w:r>
          </w:p>
        </w:tc>
        <w:tc>
          <w:tcPr>
            <w:tcW w:w="1984" w:type="dxa"/>
          </w:tcPr>
          <w:p w14:paraId="20B9F713" w14:textId="673BF1E1" w:rsidR="00764D48" w:rsidRPr="007D1FC1" w:rsidRDefault="00764D48" w:rsidP="00764D48">
            <w:pPr>
              <w:cnfStyle w:val="000000000000" w:firstRow="0" w:lastRow="0" w:firstColumn="0" w:lastColumn="0" w:oddVBand="0" w:evenVBand="0" w:oddHBand="0" w:evenHBand="0" w:firstRowFirstColumn="0" w:firstRowLastColumn="0" w:lastRowFirstColumn="0" w:lastRowLastColumn="0"/>
            </w:pPr>
            <w:r w:rsidRPr="006B4553">
              <w:t>Under consideration</w:t>
            </w:r>
            <w:r>
              <w:t xml:space="preserve"> </w:t>
            </w:r>
          </w:p>
        </w:tc>
        <w:tc>
          <w:tcPr>
            <w:tcW w:w="3395" w:type="dxa"/>
          </w:tcPr>
          <w:p w14:paraId="194853F8" w14:textId="77777777" w:rsidR="00764D48" w:rsidRPr="007D1FC1" w:rsidRDefault="00764D48" w:rsidP="00764D48">
            <w:pPr>
              <w:cnfStyle w:val="000000000000" w:firstRow="0" w:lastRow="0" w:firstColumn="0" w:lastColumn="0" w:oddVBand="0" w:evenVBand="0" w:oddHBand="0" w:evenHBand="0" w:firstRowFirstColumn="0" w:firstRowLastColumn="0" w:lastRowFirstColumn="0" w:lastRowLastColumn="0"/>
              <w:rPr>
                <w:i/>
                <w:iCs/>
              </w:rPr>
            </w:pPr>
          </w:p>
        </w:tc>
      </w:tr>
    </w:tbl>
    <w:p w14:paraId="56170D8F" w14:textId="452C35F4" w:rsidR="00324B33" w:rsidRDefault="00324B33" w:rsidP="00324B33"/>
    <w:p w14:paraId="064CCADF" w14:textId="77777777" w:rsidR="00324B33" w:rsidRDefault="00324B33" w:rsidP="00324B33">
      <w:pPr>
        <w:pStyle w:val="Heading3"/>
      </w:pPr>
      <w:bookmarkStart w:id="23" w:name="_Toc103679292"/>
      <w:bookmarkStart w:id="24" w:name="_Toc130459053"/>
      <w:r>
        <w:t>Product Information</w:t>
      </w:r>
      <w:bookmarkEnd w:id="23"/>
      <w:bookmarkEnd w:id="24"/>
    </w:p>
    <w:p w14:paraId="30E70FD1" w14:textId="77777777" w:rsidR="00764D48" w:rsidRDefault="00764D48" w:rsidP="00764D48">
      <w:bookmarkStart w:id="25" w:name="_Toc504480011"/>
      <w:bookmarkStart w:id="26" w:name="_Toc103679293"/>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5" w:history="1">
        <w:r>
          <w:rPr>
            <w:rStyle w:val="Hyperlink"/>
          </w:rPr>
          <w:t>PI/CMI search facility</w:t>
        </w:r>
        <w:r w:rsidRPr="009556D7">
          <w:rPr>
            <w:rStyle w:val="Hyperlink"/>
            <w:color w:val="auto"/>
          </w:rPr>
          <w:t>.</w:t>
        </w:r>
      </w:hyperlink>
    </w:p>
    <w:p w14:paraId="6D92589C" w14:textId="77777777" w:rsidR="00324B33" w:rsidRDefault="00324B33" w:rsidP="00324B33">
      <w:pPr>
        <w:pStyle w:val="Heading2"/>
      </w:pPr>
      <w:bookmarkStart w:id="27" w:name="_Toc130459054"/>
      <w:r>
        <w:t>Registration timeline</w:t>
      </w:r>
      <w:bookmarkEnd w:id="25"/>
      <w:bookmarkEnd w:id="26"/>
      <w:bookmarkEnd w:id="27"/>
    </w:p>
    <w:p w14:paraId="260B8DDC" w14:textId="77777777" w:rsidR="00764D48" w:rsidRPr="00C93EC1" w:rsidRDefault="00764D48" w:rsidP="00764D48">
      <w:r w:rsidRPr="00C93EC1">
        <w:t xml:space="preserve">The following table captures the key steps and dates for this </w:t>
      </w:r>
      <w:r>
        <w:t>submission</w:t>
      </w:r>
      <w:r w:rsidRPr="00C93EC1">
        <w:t>.</w:t>
      </w:r>
    </w:p>
    <w:p w14:paraId="13AFE624" w14:textId="13AFF0A1" w:rsidR="00324B33" w:rsidRPr="00764D48" w:rsidRDefault="00324B33" w:rsidP="00764D48">
      <w:pPr>
        <w:pStyle w:val="TableTitle0"/>
      </w:pPr>
      <w:r>
        <w:t xml:space="preserve">Table </w:t>
      </w:r>
      <w:r w:rsidR="006412C5">
        <w:fldChar w:fldCharType="begin"/>
      </w:r>
      <w:r w:rsidR="006412C5">
        <w:instrText xml:space="preserve"> SEQ Table \* ARABIC </w:instrText>
      </w:r>
      <w:r w:rsidR="006412C5">
        <w:fldChar w:fldCharType="separate"/>
      </w:r>
      <w:r>
        <w:rPr>
          <w:noProof/>
        </w:rPr>
        <w:t>2</w:t>
      </w:r>
      <w:r w:rsidR="006412C5">
        <w:rPr>
          <w:noProof/>
        </w:rPr>
        <w:fldChar w:fldCharType="end"/>
      </w:r>
      <w:r>
        <w:t>:</w:t>
      </w:r>
      <w:r w:rsidRPr="006A58A8">
        <w:t xml:space="preserve"> Timeline for Submission </w:t>
      </w:r>
      <w:r w:rsidR="00764D48" w:rsidRPr="006A58A8">
        <w:t>PM-20</w:t>
      </w:r>
      <w:r w:rsidR="00764D48">
        <w:t>22-06532-1-5</w:t>
      </w:r>
    </w:p>
    <w:tbl>
      <w:tblPr>
        <w:tblStyle w:val="TableTGAblue2023"/>
        <w:tblW w:w="8642" w:type="dxa"/>
        <w:tblLook w:val="04A0" w:firstRow="1" w:lastRow="0" w:firstColumn="1" w:lastColumn="0" w:noHBand="0" w:noVBand="1"/>
      </w:tblPr>
      <w:tblGrid>
        <w:gridCol w:w="4390"/>
        <w:gridCol w:w="4252"/>
      </w:tblGrid>
      <w:tr w:rsidR="00324B33" w14:paraId="22105FA5"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4145EA" w14:textId="79FF0728" w:rsidR="00324B33" w:rsidRDefault="00324B33" w:rsidP="00324B33">
            <w:bookmarkStart w:id="28" w:name="_Hlk130458875"/>
            <w:r>
              <w:t>Description</w:t>
            </w:r>
          </w:p>
        </w:tc>
        <w:tc>
          <w:tcPr>
            <w:tcW w:w="4252" w:type="dxa"/>
          </w:tcPr>
          <w:p w14:paraId="5E24024A" w14:textId="47C29426" w:rsidR="00324B33" w:rsidRDefault="00324B33" w:rsidP="00324B33">
            <w:pPr>
              <w:cnfStyle w:val="100000000000" w:firstRow="1" w:lastRow="0" w:firstColumn="0" w:lastColumn="0" w:oddVBand="0" w:evenVBand="0" w:oddHBand="0" w:evenHBand="0" w:firstRowFirstColumn="0" w:firstRowLastColumn="0" w:lastRowFirstColumn="0" w:lastRowLastColumn="0"/>
            </w:pPr>
            <w:r>
              <w:t>Date</w:t>
            </w:r>
          </w:p>
        </w:tc>
      </w:tr>
      <w:tr w:rsidR="00764D48" w14:paraId="20717621"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09311DB" w14:textId="1542BC2B" w:rsidR="00764D48" w:rsidRDefault="00764D48" w:rsidP="00764D48">
            <w:r>
              <w:t>Submission dossier accepted and first round evaluation commenced</w:t>
            </w:r>
          </w:p>
        </w:tc>
        <w:tc>
          <w:tcPr>
            <w:tcW w:w="4252" w:type="dxa"/>
          </w:tcPr>
          <w:p w14:paraId="2520A047" w14:textId="3C396868" w:rsidR="00764D48" w:rsidRDefault="00764D48" w:rsidP="00764D48">
            <w:pPr>
              <w:cnfStyle w:val="000000000000" w:firstRow="0" w:lastRow="0" w:firstColumn="0" w:lastColumn="0" w:oddVBand="0" w:evenVBand="0" w:oddHBand="0" w:evenHBand="0" w:firstRowFirstColumn="0" w:firstRowLastColumn="0" w:lastRowFirstColumn="0" w:lastRowLastColumn="0"/>
            </w:pPr>
            <w:r>
              <w:t>1 February 2021</w:t>
            </w:r>
          </w:p>
        </w:tc>
      </w:tr>
      <w:tr w:rsidR="00764D48" w14:paraId="7407C589"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A77FE5C" w14:textId="6E2CD32F" w:rsidR="00764D48" w:rsidRDefault="00764D48" w:rsidP="00764D48">
            <w:r>
              <w:t>First round evaluation completed</w:t>
            </w:r>
          </w:p>
        </w:tc>
        <w:tc>
          <w:tcPr>
            <w:tcW w:w="4252" w:type="dxa"/>
          </w:tcPr>
          <w:p w14:paraId="3865B9E8" w14:textId="48AEA192" w:rsidR="00764D48" w:rsidRDefault="00764D48" w:rsidP="00764D48">
            <w:pPr>
              <w:cnfStyle w:val="000000000000" w:firstRow="0" w:lastRow="0" w:firstColumn="0" w:lastColumn="0" w:oddVBand="0" w:evenVBand="0" w:oddHBand="0" w:evenHBand="0" w:firstRowFirstColumn="0" w:firstRowLastColumn="0" w:lastRowFirstColumn="0" w:lastRowLastColumn="0"/>
            </w:pPr>
            <w:r>
              <w:t>30 June 2021</w:t>
            </w:r>
          </w:p>
        </w:tc>
      </w:tr>
      <w:tr w:rsidR="00764D48" w14:paraId="06E8B03B"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36BE94" w14:textId="38FA6016" w:rsidR="00764D48" w:rsidRDefault="00764D48" w:rsidP="00764D48">
            <w:r>
              <w:t>Sponsor provides responses on questions raised in first round evaluation</w:t>
            </w:r>
          </w:p>
        </w:tc>
        <w:tc>
          <w:tcPr>
            <w:tcW w:w="4252" w:type="dxa"/>
          </w:tcPr>
          <w:p w14:paraId="503A21C2" w14:textId="784504EE" w:rsidR="00764D48" w:rsidRDefault="00764D48" w:rsidP="00764D48">
            <w:pPr>
              <w:cnfStyle w:val="000000000000" w:firstRow="0" w:lastRow="0" w:firstColumn="0" w:lastColumn="0" w:oddVBand="0" w:evenVBand="0" w:oddHBand="0" w:evenHBand="0" w:firstRowFirstColumn="0" w:firstRowLastColumn="0" w:lastRowFirstColumn="0" w:lastRowLastColumn="0"/>
            </w:pPr>
            <w:r>
              <w:t>31 August 2021</w:t>
            </w:r>
          </w:p>
        </w:tc>
      </w:tr>
      <w:tr w:rsidR="00764D48" w14:paraId="4B38A369"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3D16EF29" w14:textId="10F26B94" w:rsidR="00764D48" w:rsidRDefault="00764D48" w:rsidP="00764D48">
            <w:r>
              <w:t>Second round evaluation completed</w:t>
            </w:r>
          </w:p>
        </w:tc>
        <w:tc>
          <w:tcPr>
            <w:tcW w:w="4252" w:type="dxa"/>
          </w:tcPr>
          <w:p w14:paraId="33E1DE2C" w14:textId="3F15BE12" w:rsidR="00764D48" w:rsidRDefault="00764D48" w:rsidP="00764D48">
            <w:pPr>
              <w:cnfStyle w:val="000000000000" w:firstRow="0" w:lastRow="0" w:firstColumn="0" w:lastColumn="0" w:oddVBand="0" w:evenVBand="0" w:oddHBand="0" w:evenHBand="0" w:firstRowFirstColumn="0" w:firstRowLastColumn="0" w:lastRowFirstColumn="0" w:lastRowLastColumn="0"/>
            </w:pPr>
            <w:r>
              <w:t>29 September 2021</w:t>
            </w:r>
          </w:p>
        </w:tc>
      </w:tr>
      <w:tr w:rsidR="00764D48" w14:paraId="77C4BC7A"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E6AF55" w14:textId="131E44BA" w:rsidR="00764D48" w:rsidRDefault="00764D48" w:rsidP="00764D48">
            <w:r>
              <w:t xml:space="preserve">Delegate’s Overall benefit-risk assessment </w:t>
            </w:r>
            <w:r w:rsidRPr="00AB35CC">
              <w:rPr>
                <w:color w:val="auto"/>
              </w:rPr>
              <w:t>and request for Advisory Committee advice</w:t>
            </w:r>
          </w:p>
        </w:tc>
        <w:tc>
          <w:tcPr>
            <w:tcW w:w="4252" w:type="dxa"/>
          </w:tcPr>
          <w:p w14:paraId="16E13602" w14:textId="0B3F56EF" w:rsidR="00764D48" w:rsidRDefault="00764D48" w:rsidP="00764D48">
            <w:pPr>
              <w:cnfStyle w:val="000000000000" w:firstRow="0" w:lastRow="0" w:firstColumn="0" w:lastColumn="0" w:oddVBand="0" w:evenVBand="0" w:oddHBand="0" w:evenHBand="0" w:firstRowFirstColumn="0" w:firstRowLastColumn="0" w:lastRowFirstColumn="0" w:lastRowLastColumn="0"/>
            </w:pPr>
            <w:r>
              <w:t>2 November 2021</w:t>
            </w:r>
          </w:p>
        </w:tc>
      </w:tr>
      <w:tr w:rsidR="00764D48" w14:paraId="5CE32D6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5D1DC48" w14:textId="723AE21D" w:rsidR="00764D48" w:rsidRDefault="00764D48" w:rsidP="00764D48">
            <w:r>
              <w:t>Sponsor’s pre-Advisory Committee response</w:t>
            </w:r>
          </w:p>
        </w:tc>
        <w:tc>
          <w:tcPr>
            <w:tcW w:w="4252" w:type="dxa"/>
          </w:tcPr>
          <w:p w14:paraId="3EFC9757" w14:textId="580169D2" w:rsidR="00764D48" w:rsidRDefault="00764D48" w:rsidP="00764D48">
            <w:pPr>
              <w:cnfStyle w:val="000000000000" w:firstRow="0" w:lastRow="0" w:firstColumn="0" w:lastColumn="0" w:oddVBand="0" w:evenVBand="0" w:oddHBand="0" w:evenHBand="0" w:firstRowFirstColumn="0" w:firstRowLastColumn="0" w:lastRowFirstColumn="0" w:lastRowLastColumn="0"/>
            </w:pPr>
            <w:r>
              <w:t>15 November 2021</w:t>
            </w:r>
          </w:p>
        </w:tc>
      </w:tr>
      <w:tr w:rsidR="00764D48" w14:paraId="24E88ECF"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1A6685F" w14:textId="09F4F348" w:rsidR="00764D48" w:rsidRDefault="00764D48" w:rsidP="00764D48">
            <w:r>
              <w:t>Advisory Committee meeting</w:t>
            </w:r>
          </w:p>
        </w:tc>
        <w:tc>
          <w:tcPr>
            <w:tcW w:w="4252" w:type="dxa"/>
          </w:tcPr>
          <w:p w14:paraId="47FEF787" w14:textId="1525D92A" w:rsidR="00764D48" w:rsidRDefault="00764D48" w:rsidP="00764D48">
            <w:pPr>
              <w:cnfStyle w:val="000000000000" w:firstRow="0" w:lastRow="0" w:firstColumn="0" w:lastColumn="0" w:oddVBand="0" w:evenVBand="0" w:oddHBand="0" w:evenHBand="0" w:firstRowFirstColumn="0" w:firstRowLastColumn="0" w:lastRowFirstColumn="0" w:lastRowLastColumn="0"/>
            </w:pPr>
            <w:r>
              <w:t>2 December 2021</w:t>
            </w:r>
          </w:p>
        </w:tc>
      </w:tr>
      <w:tr w:rsidR="00764D48" w14:paraId="5589FB3F"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AAA8ECC" w14:textId="38E2E01D" w:rsidR="00764D48" w:rsidRDefault="00764D48" w:rsidP="00764D48">
            <w:r>
              <w:t>Registration decision (Outcome)</w:t>
            </w:r>
          </w:p>
        </w:tc>
        <w:tc>
          <w:tcPr>
            <w:tcW w:w="4252" w:type="dxa"/>
          </w:tcPr>
          <w:p w14:paraId="2C35277D" w14:textId="72BC7A52" w:rsidR="00764D48" w:rsidRDefault="00764D48" w:rsidP="00764D48">
            <w:pPr>
              <w:cnfStyle w:val="000000000000" w:firstRow="0" w:lastRow="0" w:firstColumn="0" w:lastColumn="0" w:oddVBand="0" w:evenVBand="0" w:oddHBand="0" w:evenHBand="0" w:firstRowFirstColumn="0" w:firstRowLastColumn="0" w:lastRowFirstColumn="0" w:lastRowLastColumn="0"/>
            </w:pPr>
            <w:r>
              <w:t>28 January 2022</w:t>
            </w:r>
          </w:p>
        </w:tc>
      </w:tr>
      <w:tr w:rsidR="00764D48" w14:paraId="144911F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30FDB6E4" w14:textId="7349936B" w:rsidR="00764D48" w:rsidRDefault="00764D48" w:rsidP="00764D48">
            <w:r w:rsidRPr="005A79F5">
              <w:t>Completion of administrative activities and registration on the ARTG</w:t>
            </w:r>
          </w:p>
        </w:tc>
        <w:tc>
          <w:tcPr>
            <w:tcW w:w="4252" w:type="dxa"/>
          </w:tcPr>
          <w:p w14:paraId="105E12EF" w14:textId="68A96641" w:rsidR="00764D48" w:rsidRDefault="00764D48" w:rsidP="00764D48">
            <w:pPr>
              <w:cnfStyle w:val="000000000000" w:firstRow="0" w:lastRow="0" w:firstColumn="0" w:lastColumn="0" w:oddVBand="0" w:evenVBand="0" w:oddHBand="0" w:evenHBand="0" w:firstRowFirstColumn="0" w:firstRowLastColumn="0" w:lastRowFirstColumn="0" w:lastRowLastColumn="0"/>
            </w:pPr>
            <w:r>
              <w:t>8 February 2022</w:t>
            </w:r>
          </w:p>
        </w:tc>
      </w:tr>
      <w:tr w:rsidR="00764D48" w14:paraId="1EB0AE3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E282718" w14:textId="29C0631E" w:rsidR="00764D48" w:rsidRDefault="00764D48" w:rsidP="00764D48">
            <w:r>
              <w:lastRenderedPageBreak/>
              <w:t>Number of working days from submission dossier acceptance to registration decision*</w:t>
            </w:r>
          </w:p>
        </w:tc>
        <w:tc>
          <w:tcPr>
            <w:tcW w:w="4252" w:type="dxa"/>
          </w:tcPr>
          <w:p w14:paraId="1570B65D" w14:textId="54A73968" w:rsidR="00764D48" w:rsidRDefault="00764D48" w:rsidP="00764D48">
            <w:pPr>
              <w:cnfStyle w:val="000000000000" w:firstRow="0" w:lastRow="0" w:firstColumn="0" w:lastColumn="0" w:oddVBand="0" w:evenVBand="0" w:oddHBand="0" w:evenHBand="0" w:firstRowFirstColumn="0" w:firstRowLastColumn="0" w:lastRowFirstColumn="0" w:lastRowLastColumn="0"/>
            </w:pPr>
            <w:r>
              <w:t>201</w:t>
            </w:r>
          </w:p>
        </w:tc>
      </w:tr>
    </w:tbl>
    <w:bookmarkEnd w:id="28"/>
    <w:p w14:paraId="34E07584" w14:textId="5A2A508B" w:rsidR="00C22214" w:rsidRDefault="00324B33" w:rsidP="00C22214">
      <w:pPr>
        <w:pStyle w:val="TableDescription0"/>
      </w:pPr>
      <w:r>
        <w:t>*</w:t>
      </w:r>
      <w:r w:rsidRPr="00BF3774">
        <w:t xml:space="preserve">Statutory </w:t>
      </w:r>
      <w:r>
        <w:t>timeframe for standard submissions is 255 working days</w:t>
      </w:r>
    </w:p>
    <w:p w14:paraId="220925F1" w14:textId="77777777" w:rsidR="00C22214" w:rsidRPr="00792A32" w:rsidRDefault="00C22214" w:rsidP="00C22214">
      <w:pPr>
        <w:pStyle w:val="Heading2"/>
      </w:pPr>
      <w:bookmarkStart w:id="29" w:name="_Toc196046504"/>
      <w:bookmarkStart w:id="30" w:name="_Toc247691527"/>
      <w:bookmarkStart w:id="31" w:name="_Toc314842510"/>
      <w:bookmarkStart w:id="32" w:name="_Toc103679294"/>
      <w:bookmarkStart w:id="33" w:name="_Toc130459055"/>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9"/>
      <w:bookmarkEnd w:id="30"/>
      <w:bookmarkEnd w:id="31"/>
      <w:bookmarkEnd w:id="32"/>
      <w:bookmarkEnd w:id="33"/>
    </w:p>
    <w:p w14:paraId="27EF1AE8" w14:textId="77777777" w:rsidR="00764D48" w:rsidRDefault="00764D48" w:rsidP="00764D48">
      <w:pPr>
        <w:pStyle w:val="Instructions"/>
        <w:rPr>
          <w:i w:val="0"/>
          <w:color w:val="auto"/>
        </w:rPr>
      </w:pPr>
      <w:bookmarkStart w:id="34" w:name="_Toc247691528"/>
      <w:bookmarkStart w:id="35" w:name="_Toc314842511"/>
      <w:r w:rsidRPr="005A79F5">
        <w:rPr>
          <w:i w:val="0"/>
          <w:color w:val="auto"/>
        </w:rPr>
        <w:t>A summary of the TGA’s assessment for this submission is provided below</w:t>
      </w:r>
      <w:r>
        <w:rPr>
          <w:i w:val="0"/>
          <w:color w:val="auto"/>
        </w:rPr>
        <w:t>.</w:t>
      </w:r>
    </w:p>
    <w:p w14:paraId="1AE7F958" w14:textId="77777777" w:rsidR="00764D48" w:rsidRDefault="00764D48" w:rsidP="00764D48">
      <w:r>
        <w:t>The following guidance was relevant to this submission:</w:t>
      </w:r>
    </w:p>
    <w:p w14:paraId="50556E3F" w14:textId="77777777" w:rsidR="00764D48" w:rsidRDefault="00764D48" w:rsidP="00764D48">
      <w:pPr>
        <w:pStyle w:val="ListBullet"/>
        <w:spacing w:after="120"/>
      </w:pPr>
      <w:r w:rsidRPr="0097787F">
        <w:t>European Medicines Agency</w:t>
      </w:r>
      <w:r>
        <w:t xml:space="preserve"> (EMA):</w:t>
      </w:r>
      <w:r w:rsidRPr="0097787F">
        <w:t xml:space="preserve"> </w:t>
      </w:r>
      <w:hyperlink r:id="rId16" w:history="1">
        <w:r w:rsidRPr="0097787F">
          <w:rPr>
            <w:rStyle w:val="Hyperlink"/>
          </w:rPr>
          <w:t xml:space="preserve">Guideline on the Clinical Development of Medicinal Products for the Treatment of Allergic </w:t>
        </w:r>
        <w:proofErr w:type="spellStart"/>
        <w:r w:rsidRPr="0097787F">
          <w:rPr>
            <w:rStyle w:val="Hyperlink"/>
          </w:rPr>
          <w:t>Rhinoconjunctivitis</w:t>
        </w:r>
        <w:proofErr w:type="spellEnd"/>
      </w:hyperlink>
      <w:r>
        <w:t xml:space="preserve"> </w:t>
      </w:r>
      <w:r w:rsidRPr="0097787F">
        <w:t xml:space="preserve">(CHMP/EWP/2455/02). </w:t>
      </w:r>
      <w:r>
        <w:t xml:space="preserve">Published </w:t>
      </w:r>
      <w:r w:rsidRPr="0097787F">
        <w:t>2004</w:t>
      </w:r>
      <w:r>
        <w:t xml:space="preserve">; TGA-adopted, effective </w:t>
      </w:r>
      <w:r w:rsidRPr="0097787F">
        <w:t>28 July 2005.</w:t>
      </w:r>
    </w:p>
    <w:p w14:paraId="78735973" w14:textId="77777777" w:rsidR="00764D48" w:rsidRDefault="00764D48" w:rsidP="00764D48">
      <w:pPr>
        <w:pStyle w:val="ListBullet"/>
        <w:spacing w:after="120"/>
        <w:rPr>
          <w:lang w:val="en-GB"/>
        </w:rPr>
      </w:pPr>
      <w:r>
        <w:rPr>
          <w:lang w:val="en-GB"/>
        </w:rPr>
        <w:t xml:space="preserve">EMA: </w:t>
      </w:r>
      <w:hyperlink r:id="rId17" w:history="1">
        <w:r w:rsidRPr="004A77F8">
          <w:rPr>
            <w:rStyle w:val="Hyperlink"/>
            <w:lang w:val="en-GB"/>
          </w:rPr>
          <w:t>Guideline on clinical development of fixed combination medicinal products</w:t>
        </w:r>
      </w:hyperlink>
      <w:r>
        <w:rPr>
          <w:lang w:val="en-GB"/>
        </w:rPr>
        <w:t xml:space="preserve"> (EMA/CHMP/158268/2017). Published 2017; TGA-adopted, effective </w:t>
      </w:r>
      <w:r w:rsidRPr="004A77F8">
        <w:rPr>
          <w:lang w:val="en-GB"/>
        </w:rPr>
        <w:t>12 Dec</w:t>
      </w:r>
      <w:r>
        <w:rPr>
          <w:lang w:val="en-GB"/>
        </w:rPr>
        <w:t>ember</w:t>
      </w:r>
      <w:r w:rsidRPr="004A77F8">
        <w:rPr>
          <w:lang w:val="en-GB"/>
        </w:rPr>
        <w:t xml:space="preserve"> 2017</w:t>
      </w:r>
    </w:p>
    <w:p w14:paraId="7C3B8690" w14:textId="77777777" w:rsidR="00764D48" w:rsidRPr="004A77F8" w:rsidRDefault="00764D48" w:rsidP="00764D48">
      <w:pPr>
        <w:pStyle w:val="ListBullet"/>
        <w:spacing w:after="120"/>
      </w:pPr>
      <w:r>
        <w:t xml:space="preserve">EMA: </w:t>
      </w:r>
      <w:hyperlink r:id="rId18" w:history="1">
        <w:r>
          <w:rPr>
            <w:rStyle w:val="Hyperlink"/>
          </w:rPr>
          <w:t>ICH topic E; N</w:t>
        </w:r>
        <w:r w:rsidRPr="004A77F8">
          <w:rPr>
            <w:rStyle w:val="Hyperlink"/>
          </w:rPr>
          <w:t>ote for guidance on clinical investigation of medicinal products in the paediatric population</w:t>
        </w:r>
      </w:hyperlink>
      <w:r w:rsidRPr="004A77F8">
        <w:t xml:space="preserve"> (CPMP/ICH/2711/99)</w:t>
      </w:r>
      <w:r>
        <w:t xml:space="preserve">. TGA-adopted, effective: </w:t>
      </w:r>
      <w:r w:rsidRPr="004A77F8">
        <w:t>19 Apr</w:t>
      </w:r>
      <w:r>
        <w:t>il</w:t>
      </w:r>
      <w:r w:rsidRPr="004A77F8">
        <w:t xml:space="preserve"> 2001</w:t>
      </w:r>
    </w:p>
    <w:p w14:paraId="12A630D6" w14:textId="77777777" w:rsidR="00764D48" w:rsidRPr="006B4553" w:rsidRDefault="00764D48" w:rsidP="00764D48">
      <w:pPr>
        <w:pStyle w:val="ListBullet"/>
        <w:spacing w:after="120"/>
        <w:rPr>
          <w:i/>
          <w:lang w:val="en-GB"/>
        </w:rPr>
      </w:pPr>
      <w:r>
        <w:rPr>
          <w:lang w:val="en-GB"/>
        </w:rPr>
        <w:t xml:space="preserve">EMA: </w:t>
      </w:r>
      <w:hyperlink r:id="rId19" w:history="1">
        <w:r w:rsidRPr="004A77F8">
          <w:rPr>
            <w:rStyle w:val="Hyperlink"/>
            <w:lang w:val="en-GB"/>
          </w:rPr>
          <w:t>Note for guidance on the clinical requirements for locally applied, locally acting products containing known constituents</w:t>
        </w:r>
      </w:hyperlink>
      <w:r>
        <w:rPr>
          <w:lang w:val="en-GB"/>
        </w:rPr>
        <w:t xml:space="preserve"> (CPMP/EWP/239/95 final). Published 1995; TGA-adopted, effective 1 August 1997.</w:t>
      </w:r>
    </w:p>
    <w:p w14:paraId="0CAC3239" w14:textId="77777777" w:rsidR="00764D48" w:rsidRDefault="00764D48" w:rsidP="00764D48">
      <w:pPr>
        <w:pStyle w:val="Heading3"/>
      </w:pPr>
      <w:bookmarkStart w:id="36" w:name="_Toc125470005"/>
      <w:bookmarkStart w:id="37" w:name="_Toc130459056"/>
      <w:r>
        <w:t>Quality</w:t>
      </w:r>
      <w:bookmarkEnd w:id="34"/>
      <w:bookmarkEnd w:id="35"/>
      <w:bookmarkEnd w:id="36"/>
      <w:bookmarkEnd w:id="37"/>
    </w:p>
    <w:p w14:paraId="450F7C30" w14:textId="77777777" w:rsidR="00764D48" w:rsidRDefault="00764D48" w:rsidP="00764D48">
      <w:r>
        <w:t xml:space="preserve">Quality data is generally not required for this type of submission. A full quality evaluation was conducted at the time this product received initial registration. </w:t>
      </w:r>
    </w:p>
    <w:p w14:paraId="7E1C2236" w14:textId="77777777" w:rsidR="00764D48" w:rsidRDefault="00764D48" w:rsidP="00764D48">
      <w:proofErr w:type="spellStart"/>
      <w:r>
        <w:t>Ryaltris</w:t>
      </w:r>
      <w:proofErr w:type="spellEnd"/>
      <w:r>
        <w:t xml:space="preserve"> </w:t>
      </w:r>
      <w:r w:rsidRPr="0062099F">
        <w:t xml:space="preserve">contains mometasone furoate monohydrate </w:t>
      </w:r>
      <w:r>
        <w:t xml:space="preserve">and </w:t>
      </w:r>
      <w:r w:rsidRPr="0062099F">
        <w:t>olopatadine hydrochloride</w:t>
      </w:r>
      <w:r>
        <w:t xml:space="preserve">. </w:t>
      </w:r>
      <w:r>
        <w:fldChar w:fldCharType="begin"/>
      </w:r>
      <w:r>
        <w:instrText xml:space="preserve"> REF _Ref129774014 \h </w:instrText>
      </w:r>
      <w:r>
        <w:fldChar w:fldCharType="separate"/>
      </w:r>
      <w:r>
        <w:t xml:space="preserve">Figure </w:t>
      </w:r>
      <w:r>
        <w:rPr>
          <w:noProof/>
        </w:rPr>
        <w:t>1</w:t>
      </w:r>
      <w:r>
        <w:fldChar w:fldCharType="end"/>
      </w:r>
      <w:r>
        <w:t>, shown below, provides a representation of the skeletal formulae for both active ingredients.</w:t>
      </w:r>
    </w:p>
    <w:p w14:paraId="18597D96" w14:textId="77777777" w:rsidR="00764D48" w:rsidRDefault="00764D48" w:rsidP="00764D48">
      <w:pPr>
        <w:pStyle w:val="FigureTitle"/>
      </w:pPr>
      <w:bookmarkStart w:id="38" w:name="_Ref129774014"/>
      <w:r>
        <w:t xml:space="preserve">Figure </w:t>
      </w:r>
      <w:r>
        <w:fldChar w:fldCharType="begin"/>
      </w:r>
      <w:r>
        <w:instrText xml:space="preserve"> SEQ Figure \* ARABIC </w:instrText>
      </w:r>
      <w:r>
        <w:fldChar w:fldCharType="separate"/>
      </w:r>
      <w:r>
        <w:rPr>
          <w:noProof/>
        </w:rPr>
        <w:t>1</w:t>
      </w:r>
      <w:r>
        <w:rPr>
          <w:noProof/>
        </w:rPr>
        <w:fldChar w:fldCharType="end"/>
      </w:r>
      <w:bookmarkEnd w:id="38"/>
      <w:r>
        <w:t>: Skeletal formulae for mometasone furoate monohydrate and olopatadine hydrochloride</w:t>
      </w:r>
    </w:p>
    <w:tbl>
      <w:tblPr>
        <w:tblStyle w:val="TableGrid"/>
        <w:tblW w:w="0" w:type="auto"/>
        <w:tblLook w:val="04A0" w:firstRow="1" w:lastRow="0" w:firstColumn="1" w:lastColumn="0" w:noHBand="0" w:noVBand="1"/>
      </w:tblPr>
      <w:tblGrid>
        <w:gridCol w:w="4506"/>
        <w:gridCol w:w="4247"/>
      </w:tblGrid>
      <w:tr w:rsidR="00764D48" w14:paraId="5EBBB489" w14:textId="77777777" w:rsidTr="00D07F72">
        <w:tc>
          <w:tcPr>
            <w:tcW w:w="4247" w:type="dxa"/>
          </w:tcPr>
          <w:p w14:paraId="3C33A2A8" w14:textId="77777777" w:rsidR="00764D48" w:rsidRDefault="00764D48" w:rsidP="00D07F72">
            <w:pPr>
              <w:pStyle w:val="FigureTitle"/>
            </w:pPr>
            <w:r>
              <w:rPr>
                <w:noProof/>
                <w:lang w:val="en-GB" w:eastAsia="en-GB"/>
              </w:rPr>
              <w:drawing>
                <wp:inline distT="0" distB="0" distL="0" distR="0" wp14:anchorId="4806156A" wp14:editId="2C7054F5">
                  <wp:extent cx="2721535" cy="1447333"/>
                  <wp:effectExtent l="0" t="0" r="3175" b="635"/>
                  <wp:docPr id="10" name="Picture 10" descr="mometasone furoate monohyd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47642" b="16771"/>
                          <a:stretch/>
                        </pic:blipFill>
                        <pic:spPr bwMode="auto">
                          <a:xfrm>
                            <a:off x="0" y="0"/>
                            <a:ext cx="2744955" cy="1459788"/>
                          </a:xfrm>
                          <a:prstGeom prst="rect">
                            <a:avLst/>
                          </a:prstGeom>
                          <a:ln>
                            <a:noFill/>
                          </a:ln>
                          <a:extLst>
                            <a:ext uri="{53640926-AAD7-44D8-BBD7-CCE9431645EC}">
                              <a14:shadowObscured xmlns:a14="http://schemas.microsoft.com/office/drawing/2010/main"/>
                            </a:ext>
                          </a:extLst>
                        </pic:spPr>
                      </pic:pic>
                    </a:graphicData>
                  </a:graphic>
                </wp:inline>
              </w:drawing>
            </w:r>
          </w:p>
        </w:tc>
        <w:tc>
          <w:tcPr>
            <w:tcW w:w="4247" w:type="dxa"/>
          </w:tcPr>
          <w:p w14:paraId="23F3E598" w14:textId="77777777" w:rsidR="00764D48" w:rsidRDefault="00764D48" w:rsidP="00D07F72">
            <w:pPr>
              <w:pStyle w:val="FigureTitle"/>
            </w:pPr>
            <w:r>
              <w:rPr>
                <w:noProof/>
                <w:lang w:val="en-GB" w:eastAsia="en-GB"/>
              </w:rPr>
              <w:drawing>
                <wp:inline distT="0" distB="0" distL="0" distR="0" wp14:anchorId="6C77FF7C" wp14:editId="529138FF">
                  <wp:extent cx="2521139" cy="1469772"/>
                  <wp:effectExtent l="0" t="0" r="0" b="0"/>
                  <wp:docPr id="24" name="Picture 24" descr="olopatadine hydro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696" b="14083"/>
                          <a:stretch/>
                        </pic:blipFill>
                        <pic:spPr bwMode="auto">
                          <a:xfrm>
                            <a:off x="0" y="0"/>
                            <a:ext cx="2530214" cy="1475063"/>
                          </a:xfrm>
                          <a:prstGeom prst="rect">
                            <a:avLst/>
                          </a:prstGeom>
                          <a:ln>
                            <a:noFill/>
                          </a:ln>
                          <a:extLst>
                            <a:ext uri="{53640926-AAD7-44D8-BBD7-CCE9431645EC}">
                              <a14:shadowObscured xmlns:a14="http://schemas.microsoft.com/office/drawing/2010/main"/>
                            </a:ext>
                          </a:extLst>
                        </pic:spPr>
                      </pic:pic>
                    </a:graphicData>
                  </a:graphic>
                </wp:inline>
              </w:drawing>
            </w:r>
          </w:p>
        </w:tc>
      </w:tr>
      <w:tr w:rsidR="00764D48" w14:paraId="2EDD9E01" w14:textId="77777777" w:rsidTr="00D07F72">
        <w:tc>
          <w:tcPr>
            <w:tcW w:w="4247" w:type="dxa"/>
            <w:vAlign w:val="center"/>
          </w:tcPr>
          <w:p w14:paraId="6209CE13" w14:textId="77777777" w:rsidR="00764D48" w:rsidRDefault="00764D48" w:rsidP="00D07F72">
            <w:pPr>
              <w:pStyle w:val="FigureTitle"/>
              <w:jc w:val="center"/>
            </w:pPr>
            <w:r w:rsidRPr="0062099F">
              <w:t>mometasone furoate monohydrate</w:t>
            </w:r>
          </w:p>
        </w:tc>
        <w:tc>
          <w:tcPr>
            <w:tcW w:w="4247" w:type="dxa"/>
            <w:vAlign w:val="center"/>
          </w:tcPr>
          <w:p w14:paraId="2D3394BB" w14:textId="77777777" w:rsidR="00764D48" w:rsidRDefault="00764D48" w:rsidP="00D07F72">
            <w:pPr>
              <w:pStyle w:val="FigureTitle"/>
              <w:jc w:val="center"/>
            </w:pPr>
            <w:r w:rsidRPr="0062099F">
              <w:t>olopatadine hydrochloride</w:t>
            </w:r>
          </w:p>
        </w:tc>
      </w:tr>
    </w:tbl>
    <w:p w14:paraId="07035E90" w14:textId="77777777" w:rsidR="00764D48" w:rsidRDefault="00764D48" w:rsidP="00764D48">
      <w:r w:rsidRPr="0062099F">
        <w:t>The 240 metered</w:t>
      </w:r>
      <w:r>
        <w:t xml:space="preserve"> </w:t>
      </w:r>
      <w:r w:rsidRPr="0062099F">
        <w:t>dose</w:t>
      </w:r>
      <w:r>
        <w:t xml:space="preserve"> </w:t>
      </w:r>
      <w:r w:rsidRPr="0062099F">
        <w:t xml:space="preserve">presentation of </w:t>
      </w:r>
      <w:proofErr w:type="spellStart"/>
      <w:r w:rsidRPr="0062099F">
        <w:t>Ryaltris</w:t>
      </w:r>
      <w:proofErr w:type="spellEnd"/>
      <w:r w:rsidRPr="0062099F">
        <w:t xml:space="preserve"> nasal spray is supplied in a 30 mL white opaque high-density polyethylene bottle. The 56 and 120 metered</w:t>
      </w:r>
      <w:r>
        <w:t xml:space="preserve"> </w:t>
      </w:r>
      <w:r w:rsidRPr="0062099F">
        <w:t xml:space="preserve">dose presentations of </w:t>
      </w:r>
      <w:proofErr w:type="spellStart"/>
      <w:r w:rsidRPr="0062099F">
        <w:t>Ryaltris</w:t>
      </w:r>
      <w:proofErr w:type="spellEnd"/>
      <w:r w:rsidRPr="0062099F">
        <w:t xml:space="preserve"> nasal spray are supplied in a 20 mL white opaque high</w:t>
      </w:r>
      <w:r>
        <w:t xml:space="preserve"> </w:t>
      </w:r>
      <w:r w:rsidRPr="0062099F">
        <w:t>density polyethylene bottle.</w:t>
      </w:r>
    </w:p>
    <w:p w14:paraId="274F77C1" w14:textId="77777777" w:rsidR="00764D48" w:rsidRPr="0062099F" w:rsidRDefault="00764D48" w:rsidP="00764D48">
      <w:r>
        <w:t>Both sizes of bottles are crimped with the same spray pump and nasal actuator. A plastic cap covers the nasal actuator.</w:t>
      </w:r>
    </w:p>
    <w:p w14:paraId="2EB1FEDB" w14:textId="77777777" w:rsidR="00764D48" w:rsidRPr="0062099F" w:rsidRDefault="00764D48" w:rsidP="00764D48">
      <w:r w:rsidRPr="0062099F">
        <w:lastRenderedPageBreak/>
        <w:t xml:space="preserve">Each spray </w:t>
      </w:r>
      <w:r>
        <w:t xml:space="preserve">(actuation) </w:t>
      </w:r>
      <w:r w:rsidRPr="0062099F">
        <w:t>from the bottle delivers a volume of 0.1 mL suspension containing 665</w:t>
      </w:r>
      <w:r>
        <w:t> µg (</w:t>
      </w:r>
      <w:r w:rsidRPr="00D7513E">
        <w:t>0.6%</w:t>
      </w:r>
      <w:r>
        <w:t> </w:t>
      </w:r>
      <w:r w:rsidRPr="00D7513E">
        <w:t xml:space="preserve">w/v) </w:t>
      </w:r>
      <w:r w:rsidRPr="0062099F">
        <w:t xml:space="preserve">of olopatadine hydrochloride equivalent to 600 </w:t>
      </w:r>
      <w:r>
        <w:t>µg</w:t>
      </w:r>
      <w:r w:rsidRPr="0062099F">
        <w:t xml:space="preserve"> of olopatadine base</w:t>
      </w:r>
      <w:r>
        <w:t>,</w:t>
      </w:r>
      <w:r w:rsidRPr="0062099F">
        <w:t xml:space="preserve"> and </w:t>
      </w:r>
      <w:r>
        <w:t>25.86</w:t>
      </w:r>
      <w:r w:rsidRPr="0062099F">
        <w:t xml:space="preserve"> </w:t>
      </w:r>
      <w:r>
        <w:t>µg</w:t>
      </w:r>
      <w:r w:rsidRPr="0062099F">
        <w:t xml:space="preserve"> mometasone furoate monohydrate equivalent to 25 </w:t>
      </w:r>
      <w:r>
        <w:t>µg</w:t>
      </w:r>
      <w:r w:rsidRPr="0062099F">
        <w:t xml:space="preserve"> </w:t>
      </w:r>
      <w:r w:rsidRPr="00D7513E">
        <w:t xml:space="preserve">(0.025% w/v) </w:t>
      </w:r>
      <w:r w:rsidRPr="0062099F">
        <w:t>of mometasone furoate</w:t>
      </w:r>
      <w:r>
        <w:t>.</w:t>
      </w:r>
    </w:p>
    <w:p w14:paraId="7D8AE5EE" w14:textId="77777777" w:rsidR="00764D48" w:rsidRPr="00A32217" w:rsidRDefault="00764D48" w:rsidP="00764D48">
      <w:r w:rsidRPr="0062099F">
        <w:t xml:space="preserve">In addition to the active ingredients olopatadine hydrochloride and mometasone furoate monohydrate, the nasal spray also contains benzalkonium chloride, </w:t>
      </w:r>
      <w:proofErr w:type="spellStart"/>
      <w:r w:rsidRPr="0062099F">
        <w:t>carmellose</w:t>
      </w:r>
      <w:proofErr w:type="spellEnd"/>
      <w:r w:rsidRPr="0062099F">
        <w:t xml:space="preserve"> sodium, dibasic sodium</w:t>
      </w:r>
      <w:r w:rsidRPr="00A32217">
        <w:t xml:space="preserve"> </w:t>
      </w:r>
      <w:r w:rsidRPr="0062099F">
        <w:t>phosphate heptahydrate, disodium edetate, hydrochloric acid, dispersible cellulose,</w:t>
      </w:r>
      <w:r w:rsidRPr="00A32217">
        <w:t xml:space="preserve"> polysorbate 80, sodium chloride, sodium hydroxide, and water for injection</w:t>
      </w:r>
      <w:r>
        <w:t xml:space="preserve"> as excipients</w:t>
      </w:r>
      <w:r w:rsidRPr="00A32217">
        <w:t>.</w:t>
      </w:r>
    </w:p>
    <w:p w14:paraId="54A3DB83" w14:textId="77777777" w:rsidR="00764D48" w:rsidRPr="0062099F" w:rsidRDefault="00764D48" w:rsidP="00764D48">
      <w:proofErr w:type="spellStart"/>
      <w:r w:rsidRPr="00A32217">
        <w:t>Ryaltris</w:t>
      </w:r>
      <w:proofErr w:type="spellEnd"/>
      <w:r w:rsidRPr="00A32217">
        <w:t xml:space="preserve"> </w:t>
      </w:r>
      <w:r>
        <w:t xml:space="preserve">should be stored with the </w:t>
      </w:r>
      <w:r w:rsidRPr="00A32217">
        <w:t>bottle</w:t>
      </w:r>
      <w:r>
        <w:t xml:space="preserve"> kept</w:t>
      </w:r>
      <w:r w:rsidRPr="00A32217">
        <w:t xml:space="preserve"> upright with the dust cap on below 30</w:t>
      </w:r>
      <w:r>
        <w:rPr>
          <w:rFonts w:hint="eastAsia"/>
        </w:rPr>
        <w:t xml:space="preserve"> </w:t>
      </w:r>
      <w:r>
        <w:t>°C</w:t>
      </w:r>
      <w:r w:rsidRPr="0062099F">
        <w:t>. Do</w:t>
      </w:r>
      <w:r>
        <w:t> </w:t>
      </w:r>
      <w:r w:rsidRPr="0062099F">
        <w:t>not store in a freezer or refrigerator.</w:t>
      </w:r>
    </w:p>
    <w:p w14:paraId="2D291AC4" w14:textId="77777777" w:rsidR="00764D48" w:rsidRDefault="00764D48" w:rsidP="00764D48">
      <w:r w:rsidRPr="00A32217">
        <w:t>The expiry date can be found on the packaging.</w:t>
      </w:r>
      <w:r>
        <w:t xml:space="preserve"> Depending on the presentation, the bottle should be discarded after 240 sprays (30 days usage for adults and adolescents 12 years and older </w:t>
      </w:r>
      <w:r w:rsidRPr="006B4553">
        <w:rPr>
          <w:i/>
        </w:rPr>
        <w:t>or</w:t>
      </w:r>
      <w:r>
        <w:t xml:space="preserve"> 60 days usage for children 6 to 11 years old), 120 sprays (15 days usage for adults and adolescents 12 years and older </w:t>
      </w:r>
      <w:r w:rsidRPr="006B4553">
        <w:rPr>
          <w:i/>
        </w:rPr>
        <w:t>or</w:t>
      </w:r>
      <w:r>
        <w:t xml:space="preserve"> 30 days usage for children 6 to 11 years old) or 56 sprays (7 days usage for adults and adolescents 12 years and older </w:t>
      </w:r>
      <w:r w:rsidRPr="006B4553">
        <w:rPr>
          <w:i/>
        </w:rPr>
        <w:t>or</w:t>
      </w:r>
      <w:r>
        <w:t xml:space="preserve"> 14 days usage for children 6 to 11 years old). The correct amount of remaining medication in each spray cannot be assured beyond the initial priming and 240, 120 or 56 sprays (depending on the bottle presentation), even though the bottle appears not being completely empty.</w:t>
      </w:r>
    </w:p>
    <w:p w14:paraId="1CF49371" w14:textId="77777777" w:rsidR="00764D48" w:rsidRDefault="00764D48" w:rsidP="00764D48">
      <w:pPr>
        <w:pStyle w:val="Heading3"/>
      </w:pPr>
      <w:bookmarkStart w:id="39" w:name="_Toc314842512"/>
      <w:bookmarkStart w:id="40" w:name="_Toc125470006"/>
      <w:bookmarkStart w:id="41" w:name="_Toc130459057"/>
      <w:r>
        <w:t>Non-clinical</w:t>
      </w:r>
      <w:bookmarkEnd w:id="39"/>
      <w:bookmarkEnd w:id="40"/>
      <w:bookmarkEnd w:id="41"/>
    </w:p>
    <w:p w14:paraId="6DC91F67" w14:textId="77777777" w:rsidR="00764D48" w:rsidRPr="0074163C" w:rsidRDefault="00764D48" w:rsidP="00764D48">
      <w:r>
        <w:t>A full nonclinical evaluation was conducted at the time this product received initial registration.</w:t>
      </w:r>
    </w:p>
    <w:p w14:paraId="57C6ABF3" w14:textId="77777777" w:rsidR="00764D48" w:rsidRDefault="00764D48" w:rsidP="00764D48">
      <w:r>
        <w:t xml:space="preserve">The sponsor is basing this submission on the original non-clinical data submitted for registration, in which the toxicity profile of olopatadine hydrochloride and mometasone furoate was extensively characterised. While a juvenile toxicity study in rats or dogs is theoretically possible, the sponsor outlined multiple technical issues (dose volume, frequency of dosing, tolerability of high frequency intranasal dosing) that would render such studies impractical. Moreover, the nasal cavity of obligate nose breathers is well developed at birth, with structure </w:t>
      </w:r>
      <w:proofErr w:type="gramStart"/>
      <w:r>
        <w:t>similar to</w:t>
      </w:r>
      <w:proofErr w:type="gramEnd"/>
      <w:r>
        <w:t xml:space="preserve"> that in the adult rat by 21 days of age. Given this, and the fact that negligible systemic exposure is anticipated in rats and dogs when olopatadine and mometasone is administered by the intranasal route, it is acceptable that no additional safety information besides that shown in the adult animals has been provided. The sponsor also conducted clinical studies in which the safety and efficacy of the </w:t>
      </w:r>
      <w:proofErr w:type="spellStart"/>
      <w:r>
        <w:t>Ryaltris</w:t>
      </w:r>
      <w:proofErr w:type="spellEnd"/>
      <w:r>
        <w:t xml:space="preserve"> formulation was evaluated in patients aged 6 to 11 years (Study GSP 301-305) and stated that the safety profile was comparable to that for patients 12 years and over.</w:t>
      </w:r>
    </w:p>
    <w:p w14:paraId="7BBF7B17" w14:textId="77777777" w:rsidR="00764D48" w:rsidRDefault="00764D48" w:rsidP="00764D48">
      <w:r>
        <w:t xml:space="preserve">Therefore, the safety and efficacy of </w:t>
      </w:r>
      <w:proofErr w:type="spellStart"/>
      <w:r>
        <w:t>Ryaltris</w:t>
      </w:r>
      <w:proofErr w:type="spellEnd"/>
      <w:r>
        <w:t xml:space="preserve"> in the proposed paediatric population will need to be established by the submitted clinical data.</w:t>
      </w:r>
    </w:p>
    <w:p w14:paraId="7BE21E2F" w14:textId="77777777" w:rsidR="00764D48" w:rsidRDefault="00764D48" w:rsidP="00764D48">
      <w:pPr>
        <w:pStyle w:val="Heading3"/>
      </w:pPr>
      <w:bookmarkStart w:id="42" w:name="_Toc247691530"/>
      <w:bookmarkStart w:id="43" w:name="_Toc314842513"/>
      <w:bookmarkStart w:id="44" w:name="_Toc125470007"/>
      <w:bookmarkStart w:id="45" w:name="_Toc130459058"/>
      <w:r>
        <w:t>Clinical</w:t>
      </w:r>
      <w:bookmarkEnd w:id="42"/>
      <w:bookmarkEnd w:id="43"/>
      <w:bookmarkEnd w:id="44"/>
      <w:bookmarkEnd w:id="45"/>
    </w:p>
    <w:p w14:paraId="2CACE298" w14:textId="77777777" w:rsidR="00764D48" w:rsidRDefault="00764D48" w:rsidP="00764D48">
      <w:pPr>
        <w:pStyle w:val="Heading4"/>
      </w:pPr>
      <w:bookmarkStart w:id="46" w:name="_Toc98931928"/>
      <w:bookmarkStart w:id="47" w:name="_Toc130459059"/>
      <w:r>
        <w:t>Summary of clinical studies</w:t>
      </w:r>
      <w:bookmarkEnd w:id="46"/>
      <w:bookmarkEnd w:id="47"/>
    </w:p>
    <w:p w14:paraId="7F7D9BE2" w14:textId="77777777" w:rsidR="00764D48" w:rsidRDefault="00764D48" w:rsidP="00764D48">
      <w:r>
        <w:t>The sponsor submitted the following as evidence for the clinical evaluation of this submission:</w:t>
      </w:r>
    </w:p>
    <w:p w14:paraId="10D235ED" w14:textId="77777777" w:rsidR="00764D48" w:rsidRDefault="00764D48" w:rsidP="00764D48">
      <w:pPr>
        <w:pStyle w:val="ListBullet"/>
        <w:spacing w:after="120"/>
      </w:pPr>
      <w:r>
        <w:t xml:space="preserve">Study </w:t>
      </w:r>
      <w:r w:rsidRPr="008E447A">
        <w:rPr>
          <w:rFonts w:asciiTheme="minorHAnsi" w:hAnsiTheme="minorHAnsi"/>
        </w:rPr>
        <w:t>GSP 301–305</w:t>
      </w:r>
      <w:r>
        <w:rPr>
          <w:rFonts w:asciiTheme="minorHAnsi" w:hAnsiTheme="minorHAnsi"/>
        </w:rPr>
        <w:t xml:space="preserve">, a </w:t>
      </w:r>
      <w:r>
        <w:t xml:space="preserve">Phase III, </w:t>
      </w:r>
      <w:r w:rsidRPr="00294547">
        <w:t xml:space="preserve">randomised, double-blind, placebo-controlled trial of </w:t>
      </w:r>
      <w:proofErr w:type="spellStart"/>
      <w:r w:rsidRPr="00294547">
        <w:t>Ryaltris</w:t>
      </w:r>
      <w:proofErr w:type="spellEnd"/>
      <w:r w:rsidRPr="00294547">
        <w:t xml:space="preserve"> in ch</w:t>
      </w:r>
      <w:r>
        <w:t xml:space="preserve">ildren aged 6 to </w:t>
      </w:r>
      <w:r w:rsidRPr="00294547">
        <w:t>11 years. The study provi</w:t>
      </w:r>
      <w:r>
        <w:t xml:space="preserve">ded data on efficacy and safety. The sponsor submitted the full study report, and this study </w:t>
      </w:r>
      <w:proofErr w:type="gramStart"/>
      <w:r>
        <w:t>was considered to be</w:t>
      </w:r>
      <w:proofErr w:type="gramEnd"/>
      <w:r>
        <w:t xml:space="preserve"> pivotal for this submission.</w:t>
      </w:r>
    </w:p>
    <w:p w14:paraId="6B6B6C48" w14:textId="77777777" w:rsidR="00764D48" w:rsidRDefault="00764D48" w:rsidP="00764D48">
      <w:pPr>
        <w:pStyle w:val="ListBullet"/>
        <w:spacing w:after="120"/>
      </w:pPr>
      <w:r w:rsidRPr="00C716BD">
        <w:lastRenderedPageBreak/>
        <w:t>A population pharmacokinetic</w:t>
      </w:r>
      <w:r>
        <w:t xml:space="preserve"> </w:t>
      </w:r>
      <w:r w:rsidRPr="00C716BD">
        <w:t xml:space="preserve">report presenting simulations of </w:t>
      </w:r>
      <w:r>
        <w:t xml:space="preserve">pharmacokinetic </w:t>
      </w:r>
      <w:r w:rsidRPr="00C716BD">
        <w:t>data in children aged 6</w:t>
      </w:r>
      <w:r>
        <w:t xml:space="preserve"> to </w:t>
      </w:r>
      <w:r w:rsidRPr="00C716BD">
        <w:t>11 years</w:t>
      </w:r>
      <w:r>
        <w:t>.</w:t>
      </w:r>
    </w:p>
    <w:p w14:paraId="13260649" w14:textId="77777777" w:rsidR="00764D48" w:rsidRDefault="00764D48" w:rsidP="00764D48">
      <w:pPr>
        <w:pStyle w:val="ListBullet"/>
        <w:spacing w:after="120"/>
      </w:pPr>
      <w:r>
        <w:t>Two periodic safety update reports (PSURs).</w:t>
      </w:r>
    </w:p>
    <w:p w14:paraId="34CBE960" w14:textId="77777777" w:rsidR="00764D48" w:rsidRPr="00C716BD" w:rsidRDefault="00764D48" w:rsidP="00764D48">
      <w:pPr>
        <w:pStyle w:val="ListBullet"/>
        <w:spacing w:after="120"/>
      </w:pPr>
      <w:r>
        <w:t>Literature references.</w:t>
      </w:r>
    </w:p>
    <w:p w14:paraId="0DC4CCF6" w14:textId="77777777" w:rsidR="00764D48" w:rsidRDefault="00764D48" w:rsidP="00764D48">
      <w:pPr>
        <w:pStyle w:val="Heading4"/>
      </w:pPr>
      <w:bookmarkStart w:id="48" w:name="_Toc130459060"/>
      <w:r>
        <w:t>Pharmacology</w:t>
      </w:r>
      <w:bookmarkEnd w:id="48"/>
    </w:p>
    <w:p w14:paraId="51F7BEFA" w14:textId="77777777" w:rsidR="00764D48" w:rsidRDefault="00764D48" w:rsidP="00764D48">
      <w:pPr>
        <w:pStyle w:val="Heading5"/>
      </w:pPr>
      <w:r>
        <w:t>Pharmacokinetics</w:t>
      </w:r>
    </w:p>
    <w:p w14:paraId="28664CD8" w14:textId="77777777" w:rsidR="00764D48" w:rsidRDefault="00764D48" w:rsidP="00764D48">
      <w:r>
        <w:t xml:space="preserve">Pharmacokinetic (PK) sampling was not performed in Study </w:t>
      </w:r>
      <w:r w:rsidRPr="008E447A">
        <w:rPr>
          <w:rFonts w:asciiTheme="minorHAnsi" w:hAnsiTheme="minorHAnsi"/>
        </w:rPr>
        <w:t>GSP 301–305</w:t>
      </w:r>
      <w:r>
        <w:t>.</w:t>
      </w:r>
    </w:p>
    <w:p w14:paraId="779ED401" w14:textId="77777777" w:rsidR="00764D48" w:rsidRDefault="00764D48" w:rsidP="00764D48">
      <w:r>
        <w:t>The submission included one report describing simulation of systemic olopatadine and mometasone exposures in children aged 6 to younger than 12 years, using a previously developed population PK model. The model was developed using PK data from adults and adolescents only, and any covariate effects of age younger than 12 years were therefore not explored.</w:t>
      </w:r>
    </w:p>
    <w:p w14:paraId="23382CE4" w14:textId="77777777" w:rsidR="00764D48" w:rsidRPr="00485567" w:rsidRDefault="00764D48" w:rsidP="00764D48">
      <w:r>
        <w:t xml:space="preserve">Assuming that the model was applicable to children aged younger than 12 years, the simulations suggested that systemic olopatadine and mometasone exposures obtained in children using the proposed paediatric dosage regimen were </w:t>
      </w:r>
      <w:proofErr w:type="gramStart"/>
      <w:r>
        <w:t>similar to</w:t>
      </w:r>
      <w:proofErr w:type="gramEnd"/>
      <w:r>
        <w:t xml:space="preserve"> those obtained in adults using the approved adult and adolescent regimen.</w:t>
      </w:r>
    </w:p>
    <w:p w14:paraId="3D1EEA7D" w14:textId="77777777" w:rsidR="00764D48" w:rsidRDefault="00764D48" w:rsidP="00764D48">
      <w:pPr>
        <w:pStyle w:val="Heading5"/>
      </w:pPr>
      <w:r>
        <w:t>Pharmacodynamics</w:t>
      </w:r>
    </w:p>
    <w:p w14:paraId="66169812" w14:textId="77777777" w:rsidR="00764D48" w:rsidRDefault="00764D48" w:rsidP="00764D48">
      <w:r w:rsidRPr="00485567">
        <w:t>No new pharmacodynamic data were included in the submission.</w:t>
      </w:r>
    </w:p>
    <w:p w14:paraId="0BD4E281" w14:textId="77777777" w:rsidR="00764D48" w:rsidRDefault="00764D48" w:rsidP="00764D48">
      <w:pPr>
        <w:pStyle w:val="Heading4"/>
      </w:pPr>
      <w:bookmarkStart w:id="49" w:name="_Toc130459061"/>
      <w:r>
        <w:t>Efficacy</w:t>
      </w:r>
      <w:bookmarkEnd w:id="49"/>
    </w:p>
    <w:p w14:paraId="01021AED" w14:textId="77777777" w:rsidR="00764D48" w:rsidRPr="00485567" w:rsidRDefault="00764D48" w:rsidP="00764D48">
      <w:r>
        <w:t>The p</w:t>
      </w:r>
      <w:r w:rsidRPr="001C776A">
        <w:t>ivotal Study GSP 301</w:t>
      </w:r>
      <w:r>
        <w:t>-</w:t>
      </w:r>
      <w:r w:rsidRPr="001C776A">
        <w:t>305 was the only study submitted to support the proposed extension of indication to</w:t>
      </w:r>
      <w:r>
        <w:t xml:space="preserve"> treat children aged from</w:t>
      </w:r>
      <w:r w:rsidRPr="001C776A">
        <w:t xml:space="preserve"> 6</w:t>
      </w:r>
      <w:r>
        <w:t xml:space="preserve"> to </w:t>
      </w:r>
      <w:r w:rsidRPr="001C776A">
        <w:t>11 year</w:t>
      </w:r>
      <w:r>
        <w:t>s old</w:t>
      </w:r>
      <w:r w:rsidRPr="001C776A">
        <w:t>.</w:t>
      </w:r>
    </w:p>
    <w:p w14:paraId="48CFA215" w14:textId="77777777" w:rsidR="00764D48" w:rsidRDefault="00764D48" w:rsidP="00764D48">
      <w:pPr>
        <w:pStyle w:val="Heading5"/>
      </w:pPr>
      <w:bookmarkStart w:id="50" w:name="_Ref243301615"/>
      <w:bookmarkStart w:id="51" w:name="_Ref271040927"/>
      <w:bookmarkStart w:id="52" w:name="_Ref271040932"/>
      <w:bookmarkStart w:id="53" w:name="_Toc272414653"/>
      <w:bookmarkStart w:id="54" w:name="_Toc290888501"/>
      <w:bookmarkStart w:id="55" w:name="_Toc416353717"/>
      <w:bookmarkStart w:id="56" w:name="_Toc82707542"/>
      <w:r w:rsidRPr="008E447A">
        <w:t xml:space="preserve">Study </w:t>
      </w:r>
      <w:bookmarkEnd w:id="50"/>
      <w:bookmarkEnd w:id="51"/>
      <w:bookmarkEnd w:id="52"/>
      <w:bookmarkEnd w:id="53"/>
      <w:bookmarkEnd w:id="54"/>
      <w:bookmarkEnd w:id="55"/>
      <w:r w:rsidRPr="008E447A">
        <w:t>GSP 301-305</w:t>
      </w:r>
      <w:bookmarkEnd w:id="56"/>
    </w:p>
    <w:p w14:paraId="6089CB02" w14:textId="77777777" w:rsidR="00764D48" w:rsidRPr="00652213" w:rsidRDefault="00764D48" w:rsidP="00764D48">
      <w:pPr>
        <w:pStyle w:val="Heading6"/>
      </w:pPr>
      <w:r>
        <w:t>Study overview</w:t>
      </w:r>
    </w:p>
    <w:p w14:paraId="213DE6B1" w14:textId="77777777" w:rsidR="00764D48" w:rsidRDefault="00764D48" w:rsidP="00764D48">
      <w:r>
        <w:t>The study was a Phase III, randomised, double blind, placebo-controlled trial with two parallel groups (</w:t>
      </w:r>
      <w:proofErr w:type="spellStart"/>
      <w:r>
        <w:t>Ryaltris</w:t>
      </w:r>
      <w:proofErr w:type="spellEnd"/>
      <w:r>
        <w:t xml:space="preserve"> versus placebo).</w:t>
      </w:r>
    </w:p>
    <w:p w14:paraId="5EC7DB68" w14:textId="77777777" w:rsidR="00764D48" w:rsidRDefault="00764D48" w:rsidP="00764D48">
      <w:r>
        <w:t xml:space="preserve">Subjects attended an initial screening visit (Visit 1; on Day -10 to -7). In eligible subjects this was followed by a single blind, placebo run-in period of 7 to 10 days duration. Subjects were then randomised at Day 0 (Visit 2) to either </w:t>
      </w:r>
      <w:proofErr w:type="spellStart"/>
      <w:r>
        <w:t>Ryaltris</w:t>
      </w:r>
      <w:proofErr w:type="spellEnd"/>
      <w:r>
        <w:t xml:space="preserve"> or placebo for a period of 14 days. An on-treatment visit (Visit 3) was scheduled for </w:t>
      </w:r>
      <w:proofErr w:type="spellStart"/>
      <w:r>
        <w:t>Day</w:t>
      </w:r>
      <w:proofErr w:type="spellEnd"/>
      <w:r>
        <w:t xml:space="preserve"> 8 and a final visit (Visit 4) scheduled on Day 15.</w:t>
      </w:r>
    </w:p>
    <w:p w14:paraId="34390D15" w14:textId="77777777" w:rsidR="00764D48" w:rsidRDefault="00764D48" w:rsidP="00764D48">
      <w:pPr>
        <w:pStyle w:val="TableTitle0"/>
      </w:pPr>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Pr="003D6008">
        <w:t>Study GSP 301-305 Study schema</w:t>
      </w:r>
    </w:p>
    <w:p w14:paraId="0BB7B27A" w14:textId="77777777" w:rsidR="00764D48" w:rsidRPr="00652213" w:rsidRDefault="00764D48" w:rsidP="00764D48">
      <w:pPr>
        <w:pStyle w:val="FigureDescription"/>
      </w:pPr>
      <w:r w:rsidRPr="00330B6B">
        <w:rPr>
          <w:noProof/>
          <w:lang w:val="en-GB" w:eastAsia="en-GB"/>
        </w:rPr>
        <w:drawing>
          <wp:inline distT="0" distB="0" distL="0" distR="0" wp14:anchorId="28447FB5" wp14:editId="66E3F9E6">
            <wp:extent cx="5262887" cy="3098042"/>
            <wp:effectExtent l="0" t="0" r="0" b="7620"/>
            <wp:docPr id="14" name="Picture 14" descr="Figure 1 is a study schema showing the run-period for screening (Visit 1) and randomisation (Visit 2), followed by a 14 day treatment period with either a twice a day dose of 660 microgram olopatidine and 25 microgram of mometasone, or a twice a day placebo dose, and a final discontinuation visit (Visi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is a study schema showing the run-period for screening and randomisation, followed by a 14 day treatment period with either a twice a day dose of 660 microgram olopatidine and 25 microgram of mometasone, or a twice a day placebo dose, and a final discontinuation visit."/>
                    <pic:cNvPicPr/>
                  </pic:nvPicPr>
                  <pic:blipFill>
                    <a:blip r:embed="rId21">
                      <a:grayscl/>
                      <a:extLst>
                        <a:ext uri="{BEBA8EAE-BF5A-486C-A8C5-ECC9F3942E4B}">
                          <a14:imgProps xmlns:a14="http://schemas.microsoft.com/office/drawing/2010/main">
                            <a14:imgLayer r:embed="rId22">
                              <a14:imgEffect>
                                <a14:sharpenSoften amount="50000"/>
                              </a14:imgEffect>
                              <a14:imgEffect>
                                <a14:brightnessContrast bright="20000"/>
                              </a14:imgEffect>
                            </a14:imgLayer>
                          </a14:imgProps>
                        </a:ext>
                      </a:extLst>
                    </a:blip>
                    <a:stretch>
                      <a:fillRect/>
                    </a:stretch>
                  </pic:blipFill>
                  <pic:spPr>
                    <a:xfrm>
                      <a:off x="0" y="0"/>
                      <a:ext cx="5295884" cy="3117466"/>
                    </a:xfrm>
                    <a:prstGeom prst="rect">
                      <a:avLst/>
                    </a:prstGeom>
                  </pic:spPr>
                </pic:pic>
              </a:graphicData>
            </a:graphic>
          </wp:inline>
        </w:drawing>
      </w:r>
      <w:r w:rsidRPr="00652213">
        <w:t xml:space="preserve">Abbreviations: BID = twice daily; HCl </w:t>
      </w:r>
      <w:r>
        <w:t>=</w:t>
      </w:r>
      <w:r w:rsidRPr="00652213">
        <w:t xml:space="preserve"> hydrochloride; NS = nasal spray</w:t>
      </w:r>
    </w:p>
    <w:p w14:paraId="2146AF9D" w14:textId="77777777" w:rsidR="00764D48" w:rsidRDefault="00764D48" w:rsidP="00764D48">
      <w:r>
        <w:t>The study was conducted at 32 centres in the USA between March and November 2018.</w:t>
      </w:r>
    </w:p>
    <w:p w14:paraId="2FCBE3D7" w14:textId="77777777" w:rsidR="00764D48" w:rsidRDefault="00764D48" w:rsidP="00764D48">
      <w:r>
        <w:t xml:space="preserve">The primary objective of the study was to compare the efficacy of </w:t>
      </w:r>
      <w:proofErr w:type="spellStart"/>
      <w:r>
        <w:t>Ryaltris</w:t>
      </w:r>
      <w:proofErr w:type="spellEnd"/>
      <w:r>
        <w:t xml:space="preserve"> (administered as one spray per nostril twice daily with placebo nasal spray over 14 days in paediatric subjects (aged 6 to younger than 12 years) with seasonal allergic rhinitis.</w:t>
      </w:r>
    </w:p>
    <w:p w14:paraId="3BF085B9" w14:textId="77777777" w:rsidR="00764D48" w:rsidRDefault="00764D48" w:rsidP="00764D48">
      <w:r>
        <w:t>The secondary objective was to assess the safety and tolerability over 14 days of study drug in paediatric subjects (aged 6 to younger than 12 years) with seasonal allergic rhinitis.</w:t>
      </w:r>
    </w:p>
    <w:p w14:paraId="1546E326" w14:textId="77777777" w:rsidR="00764D48" w:rsidRDefault="00764D48" w:rsidP="00764D48">
      <w:pPr>
        <w:pStyle w:val="Heading6"/>
      </w:pPr>
      <w:r>
        <w:t>Primary efficacy endpoint</w:t>
      </w:r>
    </w:p>
    <w:p w14:paraId="5B84F395" w14:textId="77777777" w:rsidR="00764D48" w:rsidRPr="006B4553" w:rsidRDefault="00764D48" w:rsidP="00764D48">
      <w:pPr>
        <w:rPr>
          <w:vertAlign w:val="superscript"/>
        </w:rPr>
      </w:pPr>
      <w:r>
        <w:t xml:space="preserve">The primary efficacy endpoint was a change from Baseline in average morning (AM) and evening (PM) </w:t>
      </w:r>
      <w:proofErr w:type="gramStart"/>
      <w:r>
        <w:t>12 hour</w:t>
      </w:r>
      <w:proofErr w:type="gramEnd"/>
      <w:r>
        <w:t xml:space="preserve"> </w:t>
      </w:r>
      <w:r w:rsidRPr="006B4553">
        <w:rPr>
          <w:i/>
        </w:rPr>
        <w:t>reflective</w:t>
      </w:r>
      <w:r>
        <w:t xml:space="preserve"> Total Nasal Symptom Score (TNSS) over the 14 day treatment period.</w:t>
      </w:r>
      <w:bookmarkStart w:id="57" w:name="_Ref129779954"/>
      <w:r>
        <w:rPr>
          <w:rStyle w:val="FootnoteReference"/>
        </w:rPr>
        <w:footnoteReference w:id="9"/>
      </w:r>
      <w:bookmarkEnd w:id="57"/>
      <w:r>
        <w:rPr>
          <w:vertAlign w:val="superscript"/>
        </w:rPr>
        <w:t>,</w:t>
      </w:r>
      <w:bookmarkStart w:id="58" w:name="_Ref129782896"/>
      <w:r>
        <w:rPr>
          <w:rStyle w:val="FootnoteReference"/>
        </w:rPr>
        <w:footnoteReference w:id="10"/>
      </w:r>
      <w:bookmarkEnd w:id="58"/>
    </w:p>
    <w:p w14:paraId="16817F9C" w14:textId="77777777" w:rsidR="00764D48" w:rsidRDefault="00764D48" w:rsidP="00764D48">
      <w:r>
        <w:t xml:space="preserve">The Baseline reflective TNSS was defined as the average of the last eight consecutive AM and PM assessments during the last four days of the </w:t>
      </w:r>
      <w:proofErr w:type="gramStart"/>
      <w:r>
        <w:t>run in</w:t>
      </w:r>
      <w:proofErr w:type="gramEnd"/>
      <w:r>
        <w:t xml:space="preserve"> period (from the Day 4 PM assessment to the AM assessment on the day of randomisation). At least six out of eight reading scores had to be available </w:t>
      </w:r>
      <w:proofErr w:type="gramStart"/>
      <w:r>
        <w:t>in order to</w:t>
      </w:r>
      <w:proofErr w:type="gramEnd"/>
      <w:r>
        <w:t xml:space="preserve"> calculate the Baseline score.</w:t>
      </w:r>
    </w:p>
    <w:p w14:paraId="01094D68" w14:textId="77777777" w:rsidR="00764D48" w:rsidRDefault="00764D48" w:rsidP="00764D48">
      <w:r>
        <w:t>The Day 1 reflective TNSS was derived as the average of Day 1 PM score and Day 2 AM score. Subsequent daily scores were calculated in the same manner.</w:t>
      </w:r>
    </w:p>
    <w:p w14:paraId="5CEB3811" w14:textId="77777777" w:rsidR="00764D48" w:rsidRDefault="00764D48" w:rsidP="00764D48">
      <w:pPr>
        <w:pStyle w:val="Heading6"/>
      </w:pPr>
      <w:r w:rsidRPr="00C328B2">
        <w:lastRenderedPageBreak/>
        <w:t xml:space="preserve">Secondary </w:t>
      </w:r>
      <w:r>
        <w:t>e</w:t>
      </w:r>
      <w:r w:rsidRPr="00C328B2">
        <w:t xml:space="preserve">fficacy </w:t>
      </w:r>
      <w:r>
        <w:t>e</w:t>
      </w:r>
      <w:r w:rsidRPr="00C328B2">
        <w:t>ndpoints</w:t>
      </w:r>
    </w:p>
    <w:p w14:paraId="46D2C13D" w14:textId="77777777" w:rsidR="00764D48" w:rsidRPr="00C328B2" w:rsidRDefault="00764D48" w:rsidP="00764D48">
      <w:r>
        <w:t>The secondary efficacy endpoints were:</w:t>
      </w:r>
    </w:p>
    <w:p w14:paraId="1E4C1708" w14:textId="77777777" w:rsidR="00764D48" w:rsidRDefault="00764D48" w:rsidP="00764D48">
      <w:pPr>
        <w:pStyle w:val="ListBullet"/>
        <w:spacing w:after="120"/>
      </w:pPr>
      <w:r>
        <w:t xml:space="preserve">Change from Baseline in average AM and PM </w:t>
      </w:r>
      <w:r w:rsidRPr="006B4553">
        <w:rPr>
          <w:i/>
        </w:rPr>
        <w:t>instantaneous</w:t>
      </w:r>
      <w:r>
        <w:t xml:space="preserve"> TNSS over the </w:t>
      </w:r>
      <w:proofErr w:type="gramStart"/>
      <w:r>
        <w:t>14 day</w:t>
      </w:r>
      <w:proofErr w:type="gramEnd"/>
      <w:r>
        <w:t xml:space="preserve"> treatment period.</w:t>
      </w:r>
      <w:r w:rsidRPr="006B4553">
        <w:rPr>
          <w:vertAlign w:val="superscript"/>
        </w:rPr>
        <w:fldChar w:fldCharType="begin"/>
      </w:r>
      <w:r w:rsidRPr="006B4553">
        <w:rPr>
          <w:vertAlign w:val="superscript"/>
        </w:rPr>
        <w:instrText xml:space="preserve"> NOTEREF _Ref129779954 \h </w:instrText>
      </w:r>
      <w:r>
        <w:rPr>
          <w:vertAlign w:val="superscript"/>
        </w:rPr>
        <w:instrText xml:space="preserve"> \* MERGEFORMAT </w:instrText>
      </w:r>
      <w:r w:rsidRPr="006B4553">
        <w:rPr>
          <w:vertAlign w:val="superscript"/>
        </w:rPr>
      </w:r>
      <w:r w:rsidRPr="006B4553">
        <w:rPr>
          <w:vertAlign w:val="superscript"/>
        </w:rPr>
        <w:fldChar w:fldCharType="separate"/>
      </w:r>
      <w:r w:rsidRPr="006B4553">
        <w:rPr>
          <w:vertAlign w:val="superscript"/>
        </w:rPr>
        <w:t>12</w:t>
      </w:r>
      <w:r w:rsidRPr="006B4553">
        <w:rPr>
          <w:vertAlign w:val="superscript"/>
        </w:rPr>
        <w:fldChar w:fldCharType="end"/>
      </w:r>
      <w:r w:rsidRPr="006B4553">
        <w:rPr>
          <w:vertAlign w:val="superscript"/>
        </w:rPr>
        <w:t>,</w:t>
      </w:r>
      <w:bookmarkStart w:id="59" w:name="_Ref129781338"/>
      <w:r w:rsidRPr="00652213">
        <w:rPr>
          <w:rStyle w:val="FootnoteReference"/>
        </w:rPr>
        <w:footnoteReference w:id="11"/>
      </w:r>
      <w:bookmarkEnd w:id="59"/>
    </w:p>
    <w:p w14:paraId="681C4786" w14:textId="77777777" w:rsidR="00764D48" w:rsidRDefault="00764D48" w:rsidP="00764D48">
      <w:pPr>
        <w:pStyle w:val="ListBullet"/>
        <w:spacing w:after="120"/>
      </w:pPr>
      <w:r>
        <w:t xml:space="preserve">Change from Baseline in average AM and PM </w:t>
      </w:r>
      <w:proofErr w:type="gramStart"/>
      <w:r>
        <w:t>12 hour</w:t>
      </w:r>
      <w:proofErr w:type="gramEnd"/>
      <w:r>
        <w:t xml:space="preserve"> </w:t>
      </w:r>
      <w:r w:rsidRPr="006B4553">
        <w:rPr>
          <w:i/>
        </w:rPr>
        <w:t>reflective</w:t>
      </w:r>
      <w:r>
        <w:t xml:space="preserve"> Total Ocular Symptom Score (TOSS) over the 14 day treatment period.</w:t>
      </w:r>
      <w:bookmarkStart w:id="60" w:name="_Ref129781287"/>
      <w:r>
        <w:rPr>
          <w:rStyle w:val="FootnoteReference"/>
        </w:rPr>
        <w:footnoteReference w:id="12"/>
      </w:r>
      <w:bookmarkEnd w:id="60"/>
      <w:r>
        <w:rPr>
          <w:vertAlign w:val="superscript"/>
        </w:rPr>
        <w:t>,</w:t>
      </w:r>
      <w:r>
        <w:rPr>
          <w:rStyle w:val="FootnoteReference"/>
        </w:rPr>
        <w:footnoteReference w:id="13"/>
      </w:r>
    </w:p>
    <w:p w14:paraId="1FF0D3AC" w14:textId="77777777" w:rsidR="00764D48" w:rsidRDefault="00764D48" w:rsidP="00764D48">
      <w:pPr>
        <w:pStyle w:val="ListBullet"/>
        <w:spacing w:after="120"/>
      </w:pPr>
      <w:r>
        <w:t xml:space="preserve">Change from Baseline in the Paediatric </w:t>
      </w:r>
      <w:proofErr w:type="spellStart"/>
      <w:r>
        <w:t>Rhinoconjunctivitis</w:t>
      </w:r>
      <w:proofErr w:type="spellEnd"/>
      <w:r>
        <w:t xml:space="preserve"> Quality of Life Questionnaire (PRQLQ) overall score on Day 15 (Visit 4) between treatment groups.</w:t>
      </w:r>
      <w:bookmarkStart w:id="61" w:name="_Ref129781171"/>
      <w:r>
        <w:rPr>
          <w:rStyle w:val="FootnoteReference"/>
        </w:rPr>
        <w:footnoteReference w:id="14"/>
      </w:r>
      <w:bookmarkEnd w:id="61"/>
    </w:p>
    <w:p w14:paraId="74F527DA" w14:textId="77777777" w:rsidR="00764D48" w:rsidRDefault="00764D48" w:rsidP="00764D48">
      <w:pPr>
        <w:pStyle w:val="Heading6"/>
      </w:pPr>
      <w:bookmarkStart w:id="62" w:name="_Ref129861249"/>
      <w:r>
        <w:t xml:space="preserve">Other efficacy </w:t>
      </w:r>
      <w:r w:rsidRPr="002F2A00">
        <w:t>endpoints</w:t>
      </w:r>
      <w:bookmarkEnd w:id="62"/>
    </w:p>
    <w:p w14:paraId="7C06C323" w14:textId="77777777" w:rsidR="00764D48" w:rsidRDefault="00764D48" w:rsidP="00764D48">
      <w:r>
        <w:t>Most of these endpoints were based on symptom severity scores.</w:t>
      </w:r>
    </w:p>
    <w:p w14:paraId="2A791A1D" w14:textId="77777777" w:rsidR="00764D48" w:rsidRDefault="00764D48" w:rsidP="00764D48">
      <w:r>
        <w:t xml:space="preserve">The </w:t>
      </w:r>
      <w:r w:rsidRPr="006B4553">
        <w:rPr>
          <w:i/>
        </w:rPr>
        <w:t>physician-assessed</w:t>
      </w:r>
      <w:r>
        <w:t xml:space="preserve"> Total Nasal Symptom Score was derived from the combined intensity of the following nasal symptoms, as assessed by the treating investigator: rhinorrhoea, nasal congestion, nasal </w:t>
      </w:r>
      <w:proofErr w:type="gramStart"/>
      <w:r>
        <w:t>itching</w:t>
      </w:r>
      <w:proofErr w:type="gramEnd"/>
      <w:r>
        <w:t xml:space="preserve"> and sneezing. Investigators assessed the severity of each of these symptoms using a four-point scale (0 absent, 1 mild, 2 moderate, 3 severe). The </w:t>
      </w:r>
      <w:r w:rsidRPr="00B9612E">
        <w:rPr>
          <w:i/>
        </w:rPr>
        <w:t>physician</w:t>
      </w:r>
      <w:r>
        <w:rPr>
          <w:i/>
        </w:rPr>
        <w:noBreakHyphen/>
      </w:r>
      <w:r w:rsidRPr="00B9612E">
        <w:rPr>
          <w:i/>
        </w:rPr>
        <w:t>assessed</w:t>
      </w:r>
      <w:r>
        <w:t xml:space="preserve"> TNSS was to be based on questioning of the subjects (overall feeling since last visit) and on the ear, nose and throat examination and other observations by the physician. The </w:t>
      </w:r>
      <w:proofErr w:type="gramStart"/>
      <w:r w:rsidRPr="00B9612E">
        <w:rPr>
          <w:i/>
        </w:rPr>
        <w:t>physician-assessed</w:t>
      </w:r>
      <w:proofErr w:type="gramEnd"/>
      <w:r>
        <w:t xml:space="preserve"> TNSS score was the sum of the four individual scores, with a possible range of 0 to 12. In this study the </w:t>
      </w:r>
      <w:proofErr w:type="gramStart"/>
      <w:r w:rsidRPr="00B9612E">
        <w:rPr>
          <w:i/>
        </w:rPr>
        <w:t>physician-assessed</w:t>
      </w:r>
      <w:proofErr w:type="gramEnd"/>
      <w:r>
        <w:t xml:space="preserve"> TNSS was assessed at randomisation (Day 1) and at the final visit (Day 15).</w:t>
      </w:r>
    </w:p>
    <w:p w14:paraId="02EBA2E1" w14:textId="77777777" w:rsidR="00764D48" w:rsidRDefault="00764D48" w:rsidP="00764D48">
      <w:pPr>
        <w:pStyle w:val="Heading6"/>
      </w:pPr>
      <w:r>
        <w:t xml:space="preserve">Study </w:t>
      </w:r>
      <w:r w:rsidRPr="002F2A00">
        <w:t>treatments</w:t>
      </w:r>
    </w:p>
    <w:p w14:paraId="24D44B23" w14:textId="77777777" w:rsidR="00764D48" w:rsidRDefault="00764D48" w:rsidP="00764D48">
      <w:r>
        <w:t>Subjects were randomised (1:1) to receive one of the following treatments:</w:t>
      </w:r>
    </w:p>
    <w:p w14:paraId="7F53366F" w14:textId="77777777" w:rsidR="00764D48" w:rsidRDefault="00764D48" w:rsidP="00764D48">
      <w:pPr>
        <w:pStyle w:val="ListBullet"/>
        <w:spacing w:after="120"/>
      </w:pPr>
      <w:proofErr w:type="spellStart"/>
      <w:r>
        <w:t>Ryaltris</w:t>
      </w:r>
      <w:proofErr w:type="spellEnd"/>
      <w:r>
        <w:t xml:space="preserve"> nasal spray: one spray in each nostril twice daily (morning and evening) for 14 days</w:t>
      </w:r>
    </w:p>
    <w:p w14:paraId="365C446C" w14:textId="77777777" w:rsidR="00764D48" w:rsidRDefault="00764D48" w:rsidP="00764D48">
      <w:pPr>
        <w:pStyle w:val="ListBullet"/>
        <w:spacing w:after="120"/>
      </w:pPr>
      <w:r>
        <w:t>Placebo nasal spray: one spray in each nostril twice daily (morning and evening) for 14 days</w:t>
      </w:r>
    </w:p>
    <w:p w14:paraId="0CB9C611" w14:textId="77777777" w:rsidR="00764D48" w:rsidRDefault="00764D48" w:rsidP="00764D48">
      <w:r>
        <w:t>The placebo nasal spray was prepared using the same vehicle as the active product.</w:t>
      </w:r>
    </w:p>
    <w:p w14:paraId="4DF0440E" w14:textId="77777777" w:rsidR="00764D48" w:rsidRDefault="00764D48" w:rsidP="00764D48">
      <w:pPr>
        <w:pStyle w:val="Heading6"/>
      </w:pPr>
      <w:r>
        <w:lastRenderedPageBreak/>
        <w:t>Diagnosis and main inclusion and exclusion criteria</w:t>
      </w:r>
    </w:p>
    <w:p w14:paraId="156FAAAD" w14:textId="77777777" w:rsidR="00764D48" w:rsidRDefault="00764D48" w:rsidP="00764D48">
      <w:r>
        <w:t>This study enrolled subjects aged 6 to younger than 12 years with seasonal allergic rhinitis with exacerbations requiring treatment during the allergy season. The subjects had a 12</w:t>
      </w:r>
      <w:r>
        <w:noBreakHyphen/>
        <w:t>hour reflective TNSS greater than or equal to 6 (out of a possible 12) for the AM assessment at the screening visit.</w:t>
      </w:r>
    </w:p>
    <w:p w14:paraId="77F35D4D" w14:textId="77777777" w:rsidR="00764D48" w:rsidRDefault="00764D48" w:rsidP="00764D48">
      <w:r>
        <w:t xml:space="preserve">The subjects did not have known failure to show symptom improvement with any approved or marketed monotherapy component of </w:t>
      </w:r>
      <w:proofErr w:type="spellStart"/>
      <w:r>
        <w:t>Ryaltris</w:t>
      </w:r>
      <w:proofErr w:type="spellEnd"/>
      <w:r>
        <w:t xml:space="preserve"> (that is, either olopatadine, or mometasone furoate).</w:t>
      </w:r>
    </w:p>
    <w:p w14:paraId="4E4F447D" w14:textId="77777777" w:rsidR="00764D48" w:rsidRDefault="00764D48" w:rsidP="00764D48">
      <w:r>
        <w:t>Other key exclusion criteria included dependence on decongestants (nasal, oral, or ocular), nasal topical antihistamine, or nasal steroids, common cold, upper respiratory infections, otitis, lower respiratory infections or acute sinusitis during the screening and placebo run in periods, posterior sub-capsular cataracts, glaucoma or any other ocular disturbances, hypothalamic pituitary adrenal axis impairment and nasal structure defects that would interfere with taking the study medication.</w:t>
      </w:r>
    </w:p>
    <w:p w14:paraId="52035071" w14:textId="77777777" w:rsidR="00764D48" w:rsidRDefault="00764D48" w:rsidP="00764D48">
      <w:pPr>
        <w:pStyle w:val="Heading6"/>
      </w:pPr>
      <w:r>
        <w:t>Analysis populations</w:t>
      </w:r>
    </w:p>
    <w:p w14:paraId="6431E181" w14:textId="77777777" w:rsidR="00764D48" w:rsidRDefault="00764D48" w:rsidP="00764D48">
      <w:r>
        <w:t>The following analysis populations were defined:</w:t>
      </w:r>
    </w:p>
    <w:p w14:paraId="68A505A0" w14:textId="77777777" w:rsidR="00764D48" w:rsidRDefault="00764D48" w:rsidP="00764D48">
      <w:pPr>
        <w:pStyle w:val="ListBullet"/>
        <w:spacing w:after="120"/>
      </w:pPr>
      <w:r>
        <w:t xml:space="preserve">The </w:t>
      </w:r>
      <w:proofErr w:type="gramStart"/>
      <w:r>
        <w:t>run in</w:t>
      </w:r>
      <w:proofErr w:type="gramEnd"/>
      <w:r>
        <w:t xml:space="preserve"> analysis set consisted of subjects enrolled in the placebo run in period (between the subjects signing informed consent and administration of the first dose of the randomised study medication) and was used for presenting run in period adverse events (AEs), concomitant medications and protocol deviations.</w:t>
      </w:r>
    </w:p>
    <w:p w14:paraId="1DD5BD51" w14:textId="77777777" w:rsidR="00764D48" w:rsidRDefault="00764D48" w:rsidP="00764D48">
      <w:pPr>
        <w:pStyle w:val="ListBullet"/>
        <w:spacing w:after="120"/>
      </w:pPr>
      <w:r>
        <w:t>The full analysis set (FAS) consisted of all subjects who were randomised and received at least one dose of randomised study drug (</w:t>
      </w:r>
      <w:proofErr w:type="spellStart"/>
      <w:r>
        <w:t>Ryaltris</w:t>
      </w:r>
      <w:proofErr w:type="spellEnd"/>
      <w:r>
        <w:t xml:space="preserve"> or placebo) and had at least one post Baseline primary efficacy assessment. This was the primary analysis set for efficacy analyses. The interpretation of results from statistical tests were based on the FAS (see </w:t>
      </w:r>
      <w:r>
        <w:fldChar w:fldCharType="begin"/>
      </w:r>
      <w:r>
        <w:instrText xml:space="preserve"> REF _Ref129781538 \h </w:instrText>
      </w:r>
      <w:r>
        <w:fldChar w:fldCharType="separate"/>
      </w:r>
      <w:r>
        <w:t xml:space="preserve">Table </w:t>
      </w:r>
      <w:r>
        <w:rPr>
          <w:noProof/>
        </w:rPr>
        <w:t>3</w:t>
      </w:r>
      <w:r>
        <w:fldChar w:fldCharType="end"/>
      </w:r>
      <w:r>
        <w:t>, below).</w:t>
      </w:r>
    </w:p>
    <w:p w14:paraId="2BCC9F5F" w14:textId="77777777" w:rsidR="00764D48" w:rsidRDefault="00764D48" w:rsidP="00764D48">
      <w:pPr>
        <w:pStyle w:val="ListBullet"/>
        <w:spacing w:after="120"/>
      </w:pPr>
      <w:r>
        <w:t>The per protocol set (PPS) consisted of the subset of the FAS who did not meet criteria for PPS exclusion. The PPS exclusion criteria captured relevant non-adherence to the protocol (defined as a major deviation, especially those that affected interpretation of the primary endpoint). The PPS was the secondary analysis set for efficacy analyses (excluding the PRQLQ).</w:t>
      </w:r>
      <w:r w:rsidRPr="006B4553">
        <w:rPr>
          <w:vertAlign w:val="superscript"/>
        </w:rPr>
        <w:fldChar w:fldCharType="begin"/>
      </w:r>
      <w:r w:rsidRPr="006B4553">
        <w:rPr>
          <w:vertAlign w:val="superscript"/>
        </w:rPr>
        <w:instrText xml:space="preserve"> NOTEREF _Ref129781171 \h </w:instrText>
      </w:r>
      <w:r>
        <w:rPr>
          <w:vertAlign w:val="superscript"/>
        </w:rPr>
        <w:instrText xml:space="preserve"> \* MERGEFORMAT </w:instrText>
      </w:r>
      <w:r w:rsidRPr="006B4553">
        <w:rPr>
          <w:vertAlign w:val="superscript"/>
        </w:rPr>
      </w:r>
      <w:r w:rsidRPr="006B4553">
        <w:rPr>
          <w:vertAlign w:val="superscript"/>
        </w:rPr>
        <w:fldChar w:fldCharType="separate"/>
      </w:r>
      <w:r w:rsidRPr="006B4553">
        <w:rPr>
          <w:vertAlign w:val="superscript"/>
        </w:rPr>
        <w:t>16</w:t>
      </w:r>
      <w:r w:rsidRPr="006B4553">
        <w:rPr>
          <w:vertAlign w:val="superscript"/>
        </w:rPr>
        <w:fldChar w:fldCharType="end"/>
      </w:r>
      <w:r>
        <w:t xml:space="preserve"> The PPS was used to assess the robustness of the results from the statistical tests based on the FAS.</w:t>
      </w:r>
    </w:p>
    <w:p w14:paraId="640ADC45" w14:textId="77777777" w:rsidR="00764D48" w:rsidRDefault="00764D48" w:rsidP="00764D48">
      <w:pPr>
        <w:pStyle w:val="ListBullet"/>
        <w:spacing w:after="120"/>
      </w:pPr>
      <w:r>
        <w:t>The safety analysis set consisted of all subjects who were randomised and received at least one dose of study drug following randomisation. This was the analysis set used for all safety analyses.</w:t>
      </w:r>
    </w:p>
    <w:p w14:paraId="0FB13E54" w14:textId="77777777" w:rsidR="00764D48" w:rsidRDefault="00764D48" w:rsidP="00764D48">
      <w:pPr>
        <w:pStyle w:val="Heading6"/>
      </w:pPr>
      <w:r>
        <w:t>Sample size</w:t>
      </w:r>
    </w:p>
    <w:p w14:paraId="1DB0C847" w14:textId="77777777" w:rsidR="00764D48" w:rsidRDefault="00764D48" w:rsidP="00764D48">
      <w:r>
        <w:t>It was calculated that a sample size of 392 evaluable subjects, randomised in a 1:1 ratio, would provide the study with 90% power to detect a between group mean difference of 1.0 points in the primary endpoint, assuming a 2-sided alpha of 5%. A standard deviation of 3.0 points for the primary endpoint was assumed. Assuming a dropout rate of 15%, a total of approximately 450 subjects were planned to be randomised (225 subjects in each treatment group).</w:t>
      </w:r>
    </w:p>
    <w:p w14:paraId="22000245" w14:textId="77777777" w:rsidR="00764D48" w:rsidRDefault="00764D48" w:rsidP="00764D48">
      <w:pPr>
        <w:pStyle w:val="Heading6"/>
      </w:pPr>
      <w:r>
        <w:t>Statistical methods</w:t>
      </w:r>
    </w:p>
    <w:p w14:paraId="7563C690" w14:textId="77777777" w:rsidR="00764D48" w:rsidRDefault="00764D48" w:rsidP="00764D48">
      <w:r>
        <w:t xml:space="preserve">The primary efficacy endpoint was to be analysed using a mixed effect repeated measures model. The model was adjusted for study treatment, site, baseline 12-hour reflective TNSS and study day as the within subject effect. Any missing data were assumed to be missing at random. Site by treatment and Baseline by treatment interactions were investigated separately using two </w:t>
      </w:r>
      <w:r>
        <w:lastRenderedPageBreak/>
        <w:t>independent models and only included in the final model if they were statistically significant at the alpha = 5% level.</w:t>
      </w:r>
    </w:p>
    <w:p w14:paraId="0FC576AE" w14:textId="77777777" w:rsidR="00764D48" w:rsidRDefault="00764D48" w:rsidP="00764D48">
      <w:r>
        <w:t xml:space="preserve">The primary analysis was based on the FAS with a supportive analysis based on the PPS. Efficacy was also analysed in </w:t>
      </w:r>
      <w:proofErr w:type="gramStart"/>
      <w:r>
        <w:t>a number of</w:t>
      </w:r>
      <w:proofErr w:type="gramEnd"/>
      <w:r>
        <w:t xml:space="preserve"> prespecified subgroups of clinical interest.</w:t>
      </w:r>
    </w:p>
    <w:p w14:paraId="2566A823" w14:textId="77777777" w:rsidR="00764D48" w:rsidRDefault="00764D48" w:rsidP="00764D48">
      <w:r>
        <w:t>Similar methods were used for the analysis of the secondary endpoints of instantaneous TNSS;</w:t>
      </w:r>
      <w:r w:rsidRPr="006B4553">
        <w:rPr>
          <w:vertAlign w:val="superscript"/>
        </w:rPr>
        <w:fldChar w:fldCharType="begin"/>
      </w:r>
      <w:r w:rsidRPr="006B4553">
        <w:rPr>
          <w:vertAlign w:val="superscript"/>
        </w:rPr>
        <w:instrText xml:space="preserve"> NOTEREF _Ref129781338 \h </w:instrText>
      </w:r>
      <w:r>
        <w:rPr>
          <w:vertAlign w:val="superscript"/>
        </w:rPr>
        <w:instrText xml:space="preserve"> \* MERGEFORMAT </w:instrText>
      </w:r>
      <w:r w:rsidRPr="006B4553">
        <w:rPr>
          <w:vertAlign w:val="superscript"/>
        </w:rPr>
      </w:r>
      <w:r w:rsidRPr="006B4553">
        <w:rPr>
          <w:vertAlign w:val="superscript"/>
        </w:rPr>
        <w:fldChar w:fldCharType="separate"/>
      </w:r>
      <w:r w:rsidRPr="006B4553">
        <w:rPr>
          <w:vertAlign w:val="superscript"/>
        </w:rPr>
        <w:t>14</w:t>
      </w:r>
      <w:r w:rsidRPr="006B4553">
        <w:rPr>
          <w:vertAlign w:val="superscript"/>
        </w:rPr>
        <w:fldChar w:fldCharType="end"/>
      </w:r>
      <w:r>
        <w:t xml:space="preserve"> and reflective TOSS.</w:t>
      </w:r>
      <w:r w:rsidRPr="006B4553">
        <w:rPr>
          <w:vertAlign w:val="superscript"/>
        </w:rPr>
        <w:fldChar w:fldCharType="begin"/>
      </w:r>
      <w:r w:rsidRPr="006B4553">
        <w:rPr>
          <w:vertAlign w:val="superscript"/>
        </w:rPr>
        <w:instrText xml:space="preserve"> NOTEREF _Ref129781287 \h </w:instrText>
      </w:r>
      <w:r>
        <w:rPr>
          <w:vertAlign w:val="superscript"/>
        </w:rPr>
        <w:instrText xml:space="preserve"> \* MERGEFORMAT </w:instrText>
      </w:r>
      <w:r w:rsidRPr="006B4553">
        <w:rPr>
          <w:vertAlign w:val="superscript"/>
        </w:rPr>
      </w:r>
      <w:r w:rsidRPr="006B4553">
        <w:rPr>
          <w:vertAlign w:val="superscript"/>
        </w:rPr>
        <w:fldChar w:fldCharType="separate"/>
      </w:r>
      <w:r w:rsidRPr="006B4553">
        <w:rPr>
          <w:vertAlign w:val="superscript"/>
        </w:rPr>
        <w:t>15</w:t>
      </w:r>
      <w:r w:rsidRPr="006B4553">
        <w:rPr>
          <w:vertAlign w:val="superscript"/>
        </w:rPr>
        <w:fldChar w:fldCharType="end"/>
      </w:r>
    </w:p>
    <w:p w14:paraId="6E4CFFA8" w14:textId="77777777" w:rsidR="00764D48" w:rsidRDefault="00764D48" w:rsidP="00764D48">
      <w:r>
        <w:t xml:space="preserve">The other secondary endpoint of change from Baseline in PRQLQ at Day 15 was analysed for the FAS using an analysis of covariance model adjusting for treatment group, </w:t>
      </w:r>
      <w:proofErr w:type="gramStart"/>
      <w:r>
        <w:t>site</w:t>
      </w:r>
      <w:proofErr w:type="gramEnd"/>
      <w:r>
        <w:t xml:space="preserve"> and Baseline PRQLQ.</w:t>
      </w:r>
      <w:r w:rsidRPr="006B4553">
        <w:rPr>
          <w:vertAlign w:val="superscript"/>
        </w:rPr>
        <w:fldChar w:fldCharType="begin"/>
      </w:r>
      <w:r w:rsidRPr="006B4553">
        <w:rPr>
          <w:vertAlign w:val="superscript"/>
        </w:rPr>
        <w:instrText xml:space="preserve"> NOTEREF _Ref129781171 \h </w:instrText>
      </w:r>
      <w:r>
        <w:rPr>
          <w:vertAlign w:val="superscript"/>
        </w:rPr>
        <w:instrText xml:space="preserve"> \* MERGEFORMAT </w:instrText>
      </w:r>
      <w:r w:rsidRPr="006B4553">
        <w:rPr>
          <w:vertAlign w:val="superscript"/>
        </w:rPr>
      </w:r>
      <w:r w:rsidRPr="006B4553">
        <w:rPr>
          <w:vertAlign w:val="superscript"/>
        </w:rPr>
        <w:fldChar w:fldCharType="separate"/>
      </w:r>
      <w:r w:rsidRPr="006B4553">
        <w:rPr>
          <w:vertAlign w:val="superscript"/>
        </w:rPr>
        <w:t>16</w:t>
      </w:r>
      <w:r w:rsidRPr="006B4553">
        <w:rPr>
          <w:vertAlign w:val="superscript"/>
        </w:rPr>
        <w:fldChar w:fldCharType="end"/>
      </w:r>
    </w:p>
    <w:p w14:paraId="1AF8D209" w14:textId="77777777" w:rsidR="00764D48" w:rsidRDefault="00764D48" w:rsidP="00764D48">
      <w:r>
        <w:t xml:space="preserve">Methods used for analysing the other efficacy endpoints were </w:t>
      </w:r>
      <w:proofErr w:type="gramStart"/>
      <w:r>
        <w:t>similar to</w:t>
      </w:r>
      <w:proofErr w:type="gramEnd"/>
      <w:r>
        <w:t xml:space="preserve"> those employed for the primary and secondary endpoints.</w:t>
      </w:r>
    </w:p>
    <w:p w14:paraId="569E5C70" w14:textId="77777777" w:rsidR="00764D48" w:rsidRDefault="00764D48" w:rsidP="00764D48">
      <w:r>
        <w:t>A hierarchical testing procedure was employed to maintain the overall alpha at 5% across all comparisons for the primary and secondary endpoints. The primary endpoint (reflective TNSS) was analysed first, followed by the secondary endpoints in the following order of clinical importance: instantaneous TNSS, then PRQLQ and then reflective TOSS. No controls for multiplicity of testing were employed for the other efficacy endpoints.</w:t>
      </w:r>
    </w:p>
    <w:p w14:paraId="144D253C" w14:textId="77777777" w:rsidR="00764D48" w:rsidRDefault="00764D48" w:rsidP="00764D48">
      <w:r>
        <w:t>No interim analyses were performed.</w:t>
      </w:r>
    </w:p>
    <w:p w14:paraId="6E9A1B87" w14:textId="77777777" w:rsidR="00764D48" w:rsidRDefault="00764D48" w:rsidP="00764D48">
      <w:pPr>
        <w:pStyle w:val="Heading6"/>
      </w:pPr>
      <w:r>
        <w:t xml:space="preserve">Participant flow </w:t>
      </w:r>
    </w:p>
    <w:p w14:paraId="291EF4BE" w14:textId="77777777" w:rsidR="00764D48" w:rsidRDefault="00764D48" w:rsidP="00764D48">
      <w:r>
        <w:t xml:space="preserve">A total of 446 subjects were randomised, 221 to placebo and 225 to </w:t>
      </w:r>
      <w:proofErr w:type="spellStart"/>
      <w:r>
        <w:t>Ryaltris</w:t>
      </w:r>
      <w:proofErr w:type="spellEnd"/>
      <w:r>
        <w:t xml:space="preserve">. 96.6% of subjects completed the study. </w:t>
      </w:r>
      <w:r>
        <w:fldChar w:fldCharType="begin"/>
      </w:r>
      <w:r>
        <w:instrText xml:space="preserve"> REF _Ref129781538 \h </w:instrText>
      </w:r>
      <w:r>
        <w:fldChar w:fldCharType="separate"/>
      </w:r>
      <w:r>
        <w:t xml:space="preserve">Table </w:t>
      </w:r>
      <w:r>
        <w:rPr>
          <w:noProof/>
        </w:rPr>
        <w:t>3</w:t>
      </w:r>
      <w:r>
        <w:fldChar w:fldCharType="end"/>
      </w:r>
      <w:r>
        <w:t>, shown below, summarises the participant flow across this study.</w:t>
      </w:r>
    </w:p>
    <w:p w14:paraId="239FE9AD" w14:textId="77777777" w:rsidR="00764D48" w:rsidRDefault="00764D48" w:rsidP="00764D48">
      <w:r>
        <w:t>Of the 446 randomised subjects, 441 were included in the FAS. The other five subjects did not have at least one post Baseline primary efficacy assessment. 431 subjects were included in the PPS. The 15 subjects excluded from the PPS included the five without a post Baseline assessment and another 10 with major protocol deviations.</w:t>
      </w:r>
    </w:p>
    <w:p w14:paraId="48D464B8" w14:textId="77777777" w:rsidR="00764D48" w:rsidRDefault="00764D48" w:rsidP="00764D48">
      <w:pPr>
        <w:pStyle w:val="TableTitle0"/>
      </w:pPr>
      <w:bookmarkStart w:id="63" w:name="_Ref129781538"/>
      <w:r>
        <w:t xml:space="preserve">Table </w:t>
      </w:r>
      <w:r>
        <w:fldChar w:fldCharType="begin"/>
      </w:r>
      <w:r>
        <w:rPr>
          <w:noProof/>
        </w:rPr>
        <w:instrText xml:space="preserve"> SEQ Table \* ARABIC </w:instrText>
      </w:r>
      <w:r>
        <w:fldChar w:fldCharType="separate"/>
      </w:r>
      <w:r>
        <w:rPr>
          <w:noProof/>
        </w:rPr>
        <w:t>3</w:t>
      </w:r>
      <w:r>
        <w:fldChar w:fldCharType="end"/>
      </w:r>
      <w:bookmarkEnd w:id="63"/>
      <w:r>
        <w:t>: Study GSP 301-305 Subject disposition (all subjects)</w:t>
      </w:r>
    </w:p>
    <w:p w14:paraId="1728BCA4" w14:textId="77777777" w:rsidR="00764D48" w:rsidRDefault="00764D48" w:rsidP="00764D48">
      <w:pPr>
        <w:pStyle w:val="TableTitle0"/>
      </w:pPr>
      <w:r>
        <w:rPr>
          <w:noProof/>
          <w:lang w:val="en-GB" w:eastAsia="en-GB"/>
        </w:rPr>
        <w:drawing>
          <wp:inline distT="0" distB="0" distL="0" distR="0" wp14:anchorId="52F6E0C5" wp14:editId="6419B4D7">
            <wp:extent cx="4942472" cy="3224463"/>
            <wp:effectExtent l="0" t="0" r="0" b="0"/>
            <wp:docPr id="17" name="Picture 17" descr="Table 2 describes Study GSP 301-305 - Subject dispositions by status of placebo and Ryalt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2 describes Study GSP 301-305 - Subject dispositions by status of placebo and Ryaltris. "/>
                    <pic:cNvPicPr/>
                  </pic:nvPicPr>
                  <pic:blipFill>
                    <a:blip r:embed="rId23"/>
                    <a:stretch>
                      <a:fillRect/>
                    </a:stretch>
                  </pic:blipFill>
                  <pic:spPr>
                    <a:xfrm>
                      <a:off x="0" y="0"/>
                      <a:ext cx="4957076" cy="3233991"/>
                    </a:xfrm>
                    <a:prstGeom prst="rect">
                      <a:avLst/>
                    </a:prstGeom>
                  </pic:spPr>
                </pic:pic>
              </a:graphicData>
            </a:graphic>
          </wp:inline>
        </w:drawing>
      </w:r>
    </w:p>
    <w:p w14:paraId="10D9923C" w14:textId="77777777" w:rsidR="00764D48" w:rsidRDefault="00764D48" w:rsidP="00764D48">
      <w:pPr>
        <w:pStyle w:val="TableDescription0"/>
      </w:pPr>
      <w:r>
        <w:t>Abbreviation: NS = nasal spray</w:t>
      </w:r>
    </w:p>
    <w:p w14:paraId="05CBB32F" w14:textId="77777777" w:rsidR="00764D48" w:rsidRDefault="00764D48" w:rsidP="00764D48">
      <w:pPr>
        <w:pStyle w:val="TableDescription0"/>
      </w:pPr>
      <w:r>
        <w:t>Note: Percentages are based on the number of randomised subjects</w:t>
      </w:r>
    </w:p>
    <w:p w14:paraId="72A5CC11" w14:textId="77777777" w:rsidR="00764D48" w:rsidRDefault="00764D48" w:rsidP="00764D48">
      <w:pPr>
        <w:pStyle w:val="Heading6"/>
      </w:pPr>
      <w:r>
        <w:lastRenderedPageBreak/>
        <w:t>Major protocol violations and deviations</w:t>
      </w:r>
    </w:p>
    <w:p w14:paraId="5D9298A4" w14:textId="77777777" w:rsidR="00764D48" w:rsidRDefault="00764D48" w:rsidP="00764D48">
      <w:r>
        <w:t xml:space="preserve">Major protocol violations and deviations occurred more frequently in the </w:t>
      </w:r>
      <w:proofErr w:type="spellStart"/>
      <w:r>
        <w:t>Ryaltris</w:t>
      </w:r>
      <w:proofErr w:type="spellEnd"/>
      <w:r>
        <w:t xml:space="preserve"> arm than the placebo arm (3.1% versus 1.4% of subjects); see </w:t>
      </w:r>
      <w:r>
        <w:fldChar w:fldCharType="begin"/>
      </w:r>
      <w:r>
        <w:instrText xml:space="preserve"> REF _Ref129781721 \h </w:instrText>
      </w:r>
      <w:r>
        <w:fldChar w:fldCharType="separate"/>
      </w:r>
      <w:r>
        <w:t xml:space="preserve">Table </w:t>
      </w:r>
      <w:r>
        <w:rPr>
          <w:noProof/>
        </w:rPr>
        <w:t>4</w:t>
      </w:r>
      <w:r>
        <w:fldChar w:fldCharType="end"/>
      </w:r>
      <w:r>
        <w:t xml:space="preserve">, below. The most common type of deviation in the </w:t>
      </w:r>
      <w:proofErr w:type="spellStart"/>
      <w:r>
        <w:t>Ryaltris</w:t>
      </w:r>
      <w:proofErr w:type="spellEnd"/>
      <w:r>
        <w:t xml:space="preserve"> arm was use of a prohibited medication (6 subjects).</w:t>
      </w:r>
    </w:p>
    <w:p w14:paraId="5BF6BE24" w14:textId="77777777" w:rsidR="00764D48" w:rsidRDefault="00764D48" w:rsidP="00764D48">
      <w:pPr>
        <w:pStyle w:val="TableTitle0"/>
      </w:pPr>
      <w:r>
        <w:t xml:space="preserve"> </w:t>
      </w:r>
      <w:bookmarkStart w:id="64" w:name="_Ref129781721"/>
      <w:r>
        <w:t xml:space="preserve">Table </w:t>
      </w:r>
      <w:r>
        <w:fldChar w:fldCharType="begin"/>
      </w:r>
      <w:r>
        <w:instrText xml:space="preserve"> SEQ Table \* ARABIC </w:instrText>
      </w:r>
      <w:r>
        <w:fldChar w:fldCharType="separate"/>
      </w:r>
      <w:r>
        <w:rPr>
          <w:noProof/>
        </w:rPr>
        <w:t>4</w:t>
      </w:r>
      <w:r>
        <w:rPr>
          <w:noProof/>
        </w:rPr>
        <w:fldChar w:fldCharType="end"/>
      </w:r>
      <w:bookmarkEnd w:id="64"/>
      <w:r>
        <w:t xml:space="preserve">: </w:t>
      </w:r>
      <w:r w:rsidRPr="00543AAE">
        <w:t xml:space="preserve">Study GSP 301-305 </w:t>
      </w:r>
      <w:r>
        <w:t>M</w:t>
      </w:r>
      <w:r w:rsidRPr="00543AAE">
        <w:t>ajor protocol deviations</w:t>
      </w:r>
    </w:p>
    <w:p w14:paraId="23E960DE" w14:textId="77777777" w:rsidR="00764D48" w:rsidRDefault="00764D48" w:rsidP="00764D48">
      <w:pPr>
        <w:pStyle w:val="TableTitle0"/>
      </w:pPr>
      <w:r>
        <w:rPr>
          <w:noProof/>
          <w:lang w:val="en-GB" w:eastAsia="en-GB"/>
        </w:rPr>
        <w:drawing>
          <wp:inline distT="0" distB="0" distL="0" distR="0" wp14:anchorId="493B7CB0" wp14:editId="0A2B4AF3">
            <wp:extent cx="5400040" cy="2195830"/>
            <wp:effectExtent l="0" t="0" r="0" b="0"/>
            <wp:docPr id="2" name="Picture 2" descr="This table describes Study GSO 3-1-305 - major protocol deviations for subjects administered the placebo and Ryalt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table describes Study GSO 3-1-305 - major protocol deviations for subjects administered the placebo and Ryaltris. "/>
                    <pic:cNvPicPr/>
                  </pic:nvPicPr>
                  <pic:blipFill>
                    <a:blip r:embed="rId24"/>
                    <a:stretch>
                      <a:fillRect/>
                    </a:stretch>
                  </pic:blipFill>
                  <pic:spPr>
                    <a:xfrm>
                      <a:off x="0" y="0"/>
                      <a:ext cx="5400040" cy="2195830"/>
                    </a:xfrm>
                    <a:prstGeom prst="rect">
                      <a:avLst/>
                    </a:prstGeom>
                  </pic:spPr>
                </pic:pic>
              </a:graphicData>
            </a:graphic>
          </wp:inline>
        </w:drawing>
      </w:r>
    </w:p>
    <w:p w14:paraId="4B35ECCE" w14:textId="77777777" w:rsidR="00764D48" w:rsidRDefault="00764D48" w:rsidP="00764D48">
      <w:pPr>
        <w:pStyle w:val="TableDescription0"/>
      </w:pPr>
      <w:r>
        <w:t>Abbreviations: IP = investigational product; N = number of subjects in the treatment group; NS = nasal spray</w:t>
      </w:r>
    </w:p>
    <w:p w14:paraId="6ECA719A" w14:textId="77777777" w:rsidR="00764D48" w:rsidRDefault="00764D48" w:rsidP="00764D48">
      <w:pPr>
        <w:pStyle w:val="TableDescription0"/>
      </w:pPr>
      <w:r>
        <w:t>Note: The same subject may have had more than one major protocol deviation</w:t>
      </w:r>
    </w:p>
    <w:p w14:paraId="677507D2" w14:textId="77777777" w:rsidR="00764D48" w:rsidRPr="002657F2" w:rsidRDefault="00764D48" w:rsidP="00764D48">
      <w:pPr>
        <w:pStyle w:val="Heading6"/>
      </w:pPr>
      <w:r w:rsidRPr="002657F2">
        <w:t>Baseline data</w:t>
      </w:r>
    </w:p>
    <w:p w14:paraId="0FB9EC44" w14:textId="77777777" w:rsidR="00764D48" w:rsidRDefault="00764D48" w:rsidP="00764D48">
      <w:r>
        <w:t xml:space="preserve">The mean age for the study population was 8.7 years (range 6 to 11 years). The gender composition was 53.4% were male and 46.6% were female. 76.5% White and 21.1% African American. The two treatment groups were reasonably well balanced with respect to these characteristics. Baseline demographic data is shown in </w:t>
      </w:r>
      <w:r>
        <w:fldChar w:fldCharType="begin"/>
      </w:r>
      <w:r>
        <w:instrText xml:space="preserve"> REF _Ref121753508 \h </w:instrText>
      </w:r>
      <w:r>
        <w:fldChar w:fldCharType="separate"/>
      </w:r>
      <w:r>
        <w:t xml:space="preserve">Table </w:t>
      </w:r>
      <w:r>
        <w:rPr>
          <w:noProof/>
        </w:rPr>
        <w:t>5</w:t>
      </w:r>
      <w:r>
        <w:fldChar w:fldCharType="end"/>
      </w:r>
      <w:r>
        <w:t>, below.</w:t>
      </w:r>
    </w:p>
    <w:p w14:paraId="6AA9B289" w14:textId="77777777" w:rsidR="00764D48" w:rsidRDefault="00764D48" w:rsidP="00764D48">
      <w:pPr>
        <w:pStyle w:val="TableTitle0"/>
      </w:pPr>
      <w:bookmarkStart w:id="65" w:name="_Ref121753508"/>
      <w:r>
        <w:lastRenderedPageBreak/>
        <w:t xml:space="preserve">Table </w:t>
      </w:r>
      <w:r>
        <w:fldChar w:fldCharType="begin"/>
      </w:r>
      <w:r>
        <w:rPr>
          <w:noProof/>
        </w:rPr>
        <w:instrText xml:space="preserve"> SEQ Table \* ARABIC </w:instrText>
      </w:r>
      <w:r>
        <w:fldChar w:fldCharType="separate"/>
      </w:r>
      <w:r>
        <w:rPr>
          <w:noProof/>
        </w:rPr>
        <w:t>5</w:t>
      </w:r>
      <w:r>
        <w:fldChar w:fldCharType="end"/>
      </w:r>
      <w:bookmarkEnd w:id="65"/>
      <w:r>
        <w:t>: Study GSP 301-305 Baseline demographic characteristics</w:t>
      </w:r>
    </w:p>
    <w:p w14:paraId="0B3316B4" w14:textId="77777777" w:rsidR="00764D48" w:rsidRDefault="00764D48" w:rsidP="00764D48">
      <w:pPr>
        <w:pStyle w:val="TableTitle0"/>
      </w:pPr>
      <w:r>
        <w:rPr>
          <w:noProof/>
          <w:lang w:val="en-GB" w:eastAsia="en-GB"/>
        </w:rPr>
        <w:drawing>
          <wp:inline distT="0" distB="0" distL="0" distR="0" wp14:anchorId="39E70C0B" wp14:editId="6FC5CB93">
            <wp:extent cx="4923692" cy="3776722"/>
            <wp:effectExtent l="0" t="0" r="0" b="0"/>
            <wp:docPr id="3" name="Picture 3" descr="This table describes Study GSP 301-015 baseline demographic characteristics by age, age groups, gender, race and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table describes Study GSP 301-015 baseline demographic characteristics by age, age groups, gender, race and ethnicity. "/>
                    <pic:cNvPicPr/>
                  </pic:nvPicPr>
                  <pic:blipFill>
                    <a:blip r:embed="rId25"/>
                    <a:stretch>
                      <a:fillRect/>
                    </a:stretch>
                  </pic:blipFill>
                  <pic:spPr>
                    <a:xfrm>
                      <a:off x="0" y="0"/>
                      <a:ext cx="5004000" cy="3838322"/>
                    </a:xfrm>
                    <a:prstGeom prst="rect">
                      <a:avLst/>
                    </a:prstGeom>
                  </pic:spPr>
                </pic:pic>
              </a:graphicData>
            </a:graphic>
          </wp:inline>
        </w:drawing>
      </w:r>
    </w:p>
    <w:p w14:paraId="41FA9E34" w14:textId="77777777" w:rsidR="00764D48" w:rsidRDefault="00764D48" w:rsidP="00764D48">
      <w:pPr>
        <w:pStyle w:val="TableDescription0"/>
      </w:pPr>
      <w:r>
        <w:t>Abbreviations: Max = maximum; Min = minimum; N = number of subjects in the treatment group;</w:t>
      </w:r>
      <w:r>
        <w:br/>
        <w:t>n (%) = number (percentage) of subjects; NS = nasal spray; SD = standard deviation</w:t>
      </w:r>
    </w:p>
    <w:p w14:paraId="46940E2D" w14:textId="77777777" w:rsidR="00764D48" w:rsidRPr="002F2A00" w:rsidRDefault="00764D48" w:rsidP="00764D48">
      <w:pPr>
        <w:pStyle w:val="Heading6"/>
      </w:pPr>
      <w:r>
        <w:t>Results for the p</w:t>
      </w:r>
      <w:r w:rsidRPr="002F2A00">
        <w:t xml:space="preserve">rimary efficacy endpoint </w:t>
      </w:r>
    </w:p>
    <w:p w14:paraId="38F0B3A8" w14:textId="77777777" w:rsidR="00764D48" w:rsidRDefault="00764D48" w:rsidP="00764D48">
      <w:r>
        <w:t>At Baseline, mean (± standard deviation (SD)) values for the reflective TNSS;</w:t>
      </w:r>
      <w:r w:rsidRPr="006B4553">
        <w:rPr>
          <w:vertAlign w:val="superscript"/>
        </w:rPr>
        <w:fldChar w:fldCharType="begin"/>
      </w:r>
      <w:r w:rsidRPr="006B4553">
        <w:rPr>
          <w:vertAlign w:val="superscript"/>
        </w:rPr>
        <w:instrText xml:space="preserve"> NOTEREF _Ref129782896 \h </w:instrText>
      </w:r>
      <w:r>
        <w:rPr>
          <w:vertAlign w:val="superscript"/>
        </w:rPr>
        <w:instrText xml:space="preserve"> \* MERGEFORMAT </w:instrText>
      </w:r>
      <w:r w:rsidRPr="006B4553">
        <w:rPr>
          <w:vertAlign w:val="superscript"/>
        </w:rPr>
      </w:r>
      <w:r w:rsidRPr="006B4553">
        <w:rPr>
          <w:vertAlign w:val="superscript"/>
        </w:rPr>
        <w:fldChar w:fldCharType="separate"/>
      </w:r>
      <w:r w:rsidRPr="006B4553">
        <w:rPr>
          <w:vertAlign w:val="superscript"/>
        </w:rPr>
        <w:t>13</w:t>
      </w:r>
      <w:r w:rsidRPr="006B4553">
        <w:rPr>
          <w:vertAlign w:val="superscript"/>
        </w:rPr>
        <w:fldChar w:fldCharType="end"/>
      </w:r>
      <w:r>
        <w:t xml:space="preserve"> were similar: 8.84 (± 1.66) in the placebo arm and 8.83 (± 1.41) in the </w:t>
      </w:r>
      <w:proofErr w:type="spellStart"/>
      <w:r>
        <w:t>Ryaltris</w:t>
      </w:r>
      <w:proofErr w:type="spellEnd"/>
      <w:r>
        <w:t xml:space="preserve"> arm. In both arms baseline values ranged from 6.0 to 12.0.</w:t>
      </w:r>
    </w:p>
    <w:p w14:paraId="05290FAC" w14:textId="77777777" w:rsidR="00764D48" w:rsidRDefault="00764D48" w:rsidP="00764D48">
      <w:r>
        <w:t xml:space="preserve">At Day 14 the mean (± SD) change from Baseline was -2.55 (± 3.31) for the placebo group compared with -3.93 (± 3.41) for the </w:t>
      </w:r>
      <w:proofErr w:type="spellStart"/>
      <w:r>
        <w:t>Ryaltris</w:t>
      </w:r>
      <w:proofErr w:type="spellEnd"/>
      <w:r>
        <w:t xml:space="preserve"> group.</w:t>
      </w:r>
    </w:p>
    <w:p w14:paraId="134AF295" w14:textId="77777777" w:rsidR="00764D48" w:rsidRDefault="00764D48" w:rsidP="00764D48">
      <w:r>
        <w:t xml:space="preserve">The difference between treatments for the average of all AM and PM reflective TNSS measurements over the whole </w:t>
      </w:r>
      <w:proofErr w:type="gramStart"/>
      <w:r>
        <w:t>14 day</w:t>
      </w:r>
      <w:proofErr w:type="gramEnd"/>
      <w:r>
        <w:t xml:space="preserve"> randomised treatment period is summarised in </w:t>
      </w:r>
      <w:r>
        <w:fldChar w:fldCharType="begin"/>
      </w:r>
      <w:r>
        <w:instrText xml:space="preserve"> REF _Ref121835611 \h </w:instrText>
      </w:r>
      <w:r>
        <w:fldChar w:fldCharType="separate"/>
      </w:r>
      <w:r>
        <w:t xml:space="preserve">Table </w:t>
      </w:r>
      <w:r>
        <w:rPr>
          <w:noProof/>
        </w:rPr>
        <w:t>6</w:t>
      </w:r>
      <w:r>
        <w:fldChar w:fldCharType="end"/>
      </w:r>
      <w:r>
        <w:t xml:space="preserve"> (see below). Compared to placebo treatment, </w:t>
      </w:r>
      <w:proofErr w:type="spellStart"/>
      <w:r>
        <w:t>Ryaltris</w:t>
      </w:r>
      <w:proofErr w:type="spellEnd"/>
      <w:r>
        <w:t xml:space="preserve"> treatment was associated with a significantly greater reduction in least squares (LS) mean reflective TNSS (-2.2 versus -1.6 points, p = 0.001).</w:t>
      </w:r>
    </w:p>
    <w:p w14:paraId="3D490157" w14:textId="77777777" w:rsidR="00764D48" w:rsidRDefault="00764D48" w:rsidP="00764D48">
      <w:r>
        <w:t>Results were similar in the PPS population (-2.3 versus -1.7 points, p = 0.001).</w:t>
      </w:r>
    </w:p>
    <w:p w14:paraId="34C53DD3" w14:textId="77777777" w:rsidR="00764D48" w:rsidRDefault="00764D48" w:rsidP="00764D48">
      <w:r>
        <w:t>The LS mean difference between treatments in the reduction in reflective TNSS was -0.6 points (95% confidence interval -0.9 to -0.2). The sponsor cited evidence from the literature,</w:t>
      </w:r>
      <w:r w:rsidRPr="008E447A">
        <w:rPr>
          <w:rStyle w:val="FootnoteReference"/>
          <w:rFonts w:asciiTheme="minorHAnsi" w:hAnsiTheme="minorHAnsi"/>
        </w:rPr>
        <w:footnoteReference w:id="15"/>
      </w:r>
      <w:r w:rsidRPr="006B4553">
        <w:rPr>
          <w:rFonts w:asciiTheme="minorHAnsi" w:hAnsiTheme="minorHAnsi"/>
          <w:vertAlign w:val="superscript"/>
        </w:rPr>
        <w:t>,</w:t>
      </w:r>
      <w:r w:rsidRPr="008E447A">
        <w:rPr>
          <w:rStyle w:val="FootnoteReference"/>
          <w:rFonts w:asciiTheme="minorHAnsi" w:hAnsiTheme="minorHAnsi"/>
        </w:rPr>
        <w:footnoteReference w:id="16"/>
      </w:r>
      <w:r>
        <w:rPr>
          <w:rFonts w:asciiTheme="minorHAnsi" w:hAnsiTheme="minorHAnsi"/>
        </w:rPr>
        <w:t xml:space="preserve"> </w:t>
      </w:r>
      <w:r>
        <w:t>to support the minimal clinically important difference for TNSS being as low as 0.23 points.</w:t>
      </w:r>
    </w:p>
    <w:p w14:paraId="0DE18B9E" w14:textId="77777777" w:rsidR="00764D48" w:rsidRDefault="00764D48" w:rsidP="00764D48">
      <w:r>
        <w:t xml:space="preserve">Subgroup analyses were presented for the following: those aged 6 to younger than 9 years; and aged 9 to younger than 12 years; males and females; White, African American, </w:t>
      </w:r>
      <w:proofErr w:type="gramStart"/>
      <w:r>
        <w:t>Asian</w:t>
      </w:r>
      <w:proofErr w:type="gramEnd"/>
      <w:r>
        <w:t xml:space="preserve"> and ‘other’ </w:t>
      </w:r>
      <w:r>
        <w:lastRenderedPageBreak/>
        <w:t>race, Hispanic/Latino, and non</w:t>
      </w:r>
      <w:r>
        <w:noBreakHyphen/>
        <w:t xml:space="preserve">Hispanic/Latino ethnicity. The data generally demonstrated numerically greater improvements with </w:t>
      </w:r>
      <w:proofErr w:type="spellStart"/>
      <w:r>
        <w:t>Ryaltris</w:t>
      </w:r>
      <w:proofErr w:type="spellEnd"/>
      <w:r>
        <w:t xml:space="preserve"> compared to placebo in these subgroups.</w:t>
      </w:r>
    </w:p>
    <w:p w14:paraId="20B5D636"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6</w:t>
      </w:r>
      <w:r>
        <w:rPr>
          <w:noProof/>
        </w:rPr>
        <w:fldChar w:fldCharType="end"/>
      </w:r>
      <w:r>
        <w:t xml:space="preserve">: </w:t>
      </w:r>
      <w:r w:rsidRPr="00CE6CCD">
        <w:t xml:space="preserve">Study GSP 301-305 Average </w:t>
      </w:r>
      <w:r>
        <w:t>morning</w:t>
      </w:r>
      <w:r w:rsidRPr="00CE6CCD">
        <w:t xml:space="preserve"> </w:t>
      </w:r>
      <w:r>
        <w:t xml:space="preserve">(AM) </w:t>
      </w:r>
      <w:r w:rsidRPr="00CE6CCD">
        <w:t xml:space="preserve">and </w:t>
      </w:r>
      <w:r>
        <w:t>evening</w:t>
      </w:r>
      <w:r w:rsidRPr="00CE6CCD">
        <w:t xml:space="preserve"> </w:t>
      </w:r>
      <w:r>
        <w:t xml:space="preserve">(PM) </w:t>
      </w:r>
      <w:r w:rsidRPr="00CE6CCD">
        <w:t xml:space="preserve">reflective </w:t>
      </w:r>
      <w:r>
        <w:t xml:space="preserve">total nasal symptom score </w:t>
      </w:r>
      <w:r w:rsidRPr="00CE6CCD">
        <w:t>over the 14</w:t>
      </w:r>
      <w:r>
        <w:t>-day</w:t>
      </w:r>
      <w:r w:rsidRPr="00CE6CCD">
        <w:t xml:space="preserve"> treatment period</w:t>
      </w:r>
      <w:r>
        <w:t xml:space="preserve"> for the full analysis set population</w:t>
      </w:r>
    </w:p>
    <w:p w14:paraId="7AE796BA" w14:textId="77777777" w:rsidR="00764D48" w:rsidRDefault="00764D48" w:rsidP="00764D48">
      <w:pPr>
        <w:pStyle w:val="TableTitle0"/>
      </w:pPr>
      <w:r>
        <w:rPr>
          <w:noProof/>
          <w:lang w:val="en-GB" w:eastAsia="en-GB"/>
        </w:rPr>
        <w:drawing>
          <wp:inline distT="0" distB="0" distL="0" distR="0" wp14:anchorId="121FAE7B" wp14:editId="647563B2">
            <wp:extent cx="4833257" cy="1174998"/>
            <wp:effectExtent l="0" t="0" r="5715" b="6350"/>
            <wp:docPr id="6" name="Picture 6" descr="This table describes Study GSP 301-305 - average morning and evening reflective total nasal symptom score over the 14 day treatment period for th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table describes Study GSP 301-305 - average morning and evening reflective total nasal symptom score over the 14 day treatment period for the full analysis set."/>
                    <pic:cNvPicPr/>
                  </pic:nvPicPr>
                  <pic:blipFill rotWithShape="1">
                    <a:blip r:embed="rId26"/>
                    <a:srcRect t="11503"/>
                    <a:stretch/>
                  </pic:blipFill>
                  <pic:spPr bwMode="auto">
                    <a:xfrm>
                      <a:off x="0" y="0"/>
                      <a:ext cx="4895337" cy="1190090"/>
                    </a:xfrm>
                    <a:prstGeom prst="rect">
                      <a:avLst/>
                    </a:prstGeom>
                    <a:ln>
                      <a:noFill/>
                    </a:ln>
                    <a:extLst>
                      <a:ext uri="{53640926-AAD7-44D8-BBD7-CCE9431645EC}">
                        <a14:shadowObscured xmlns:a14="http://schemas.microsoft.com/office/drawing/2010/main"/>
                      </a:ext>
                    </a:extLst>
                  </pic:spPr>
                </pic:pic>
              </a:graphicData>
            </a:graphic>
          </wp:inline>
        </w:drawing>
      </w:r>
    </w:p>
    <w:p w14:paraId="218E57DB" w14:textId="77777777" w:rsidR="00764D48" w:rsidRDefault="00764D48" w:rsidP="00764D48">
      <w:pPr>
        <w:pStyle w:val="TableDescription0"/>
      </w:pPr>
      <w:r w:rsidRPr="007F7CB3">
        <w:rPr>
          <w:i/>
        </w:rPr>
        <w:t>Note</w:t>
      </w:r>
      <w:r>
        <w:t>: Baseline score is derived as the mean of the last eight consecutive reading scores including the AM assessment on the day of randomisation. Day 1 is derived as the average of Day 1 PM and Day 2 AM assessments, and so on for the rest of the treatment period.</w:t>
      </w:r>
    </w:p>
    <w:p w14:paraId="6CCD30D1" w14:textId="77777777" w:rsidR="00764D48" w:rsidRDefault="00764D48" w:rsidP="00764D48">
      <w:pPr>
        <w:pStyle w:val="TableDescription0"/>
      </w:pPr>
      <w:r>
        <w:t>Abbreviations: CI = confidence interval; n = number of subjects with data available; NS = nasal spray; LS = least squares; SE = standard error.</w:t>
      </w:r>
    </w:p>
    <w:p w14:paraId="16D6ADFA" w14:textId="77777777" w:rsidR="00764D48" w:rsidRDefault="00764D48" w:rsidP="00764D48">
      <w:pPr>
        <w:pStyle w:val="TableDescription0"/>
      </w:pPr>
      <w:r w:rsidRPr="007F7CB3">
        <w:rPr>
          <w:i/>
        </w:rPr>
        <w:t>Statistical analysis model</w:t>
      </w:r>
      <w:r>
        <w:t>: mixed effect repeated measures model with change from Baseline as the dependent variable, treatment group and site as fixed effects, baseline score as covariate and study day as the within subject effect. Covariance structure ‘unstructured’ (UN) is assumed in the model. Day is an unordered categorical variable and treatment by day interaction is fitted in the model for the Day 1 to Day 14 analyses.</w:t>
      </w:r>
    </w:p>
    <w:p w14:paraId="44DD0099" w14:textId="77777777" w:rsidR="00764D48" w:rsidRPr="002F2A00" w:rsidRDefault="00764D48" w:rsidP="00764D48">
      <w:pPr>
        <w:pStyle w:val="Heading6"/>
      </w:pPr>
      <w:r>
        <w:t>Results for the secondary efficacy endpoints</w:t>
      </w:r>
    </w:p>
    <w:p w14:paraId="6D6CD0EF" w14:textId="77777777" w:rsidR="00764D48" w:rsidRPr="00AC6E98" w:rsidRDefault="00764D48" w:rsidP="00764D48">
      <w:pPr>
        <w:pStyle w:val="Heading7"/>
        <w:rPr>
          <w:szCs w:val="22"/>
        </w:rPr>
      </w:pPr>
      <w:r w:rsidRPr="00AC6E98">
        <w:rPr>
          <w:szCs w:val="22"/>
        </w:rPr>
        <w:t xml:space="preserve">Instantaneous </w:t>
      </w:r>
      <w:r>
        <w:rPr>
          <w:szCs w:val="22"/>
        </w:rPr>
        <w:t>T</w:t>
      </w:r>
      <w:r w:rsidRPr="00AC6E98">
        <w:rPr>
          <w:szCs w:val="22"/>
        </w:rPr>
        <w:t xml:space="preserve">otal </w:t>
      </w:r>
      <w:r>
        <w:rPr>
          <w:szCs w:val="22"/>
        </w:rPr>
        <w:t>N</w:t>
      </w:r>
      <w:r w:rsidRPr="00AC6E98">
        <w:rPr>
          <w:szCs w:val="22"/>
        </w:rPr>
        <w:t xml:space="preserve">asal </w:t>
      </w:r>
      <w:r>
        <w:rPr>
          <w:szCs w:val="22"/>
        </w:rPr>
        <w:t>S</w:t>
      </w:r>
      <w:r w:rsidRPr="00AC6E98">
        <w:rPr>
          <w:szCs w:val="22"/>
        </w:rPr>
        <w:t xml:space="preserve">ymptom </w:t>
      </w:r>
      <w:r>
        <w:rPr>
          <w:szCs w:val="22"/>
        </w:rPr>
        <w:t>S</w:t>
      </w:r>
      <w:r w:rsidRPr="00AC6E98">
        <w:rPr>
          <w:szCs w:val="22"/>
        </w:rPr>
        <w:t>core</w:t>
      </w:r>
      <w:r>
        <w:rPr>
          <w:szCs w:val="22"/>
        </w:rPr>
        <w:t xml:space="preserve"> (TNSS)</w:t>
      </w:r>
    </w:p>
    <w:p w14:paraId="02985B7C" w14:textId="77777777" w:rsidR="00764D48" w:rsidRDefault="00764D48" w:rsidP="00764D48">
      <w:r>
        <w:t>At Baseline, mean (± SD) values for instantaneous TNSS;</w:t>
      </w:r>
      <w:r w:rsidRPr="007F7CB3">
        <w:rPr>
          <w:vertAlign w:val="superscript"/>
        </w:rPr>
        <w:fldChar w:fldCharType="begin"/>
      </w:r>
      <w:r w:rsidRPr="007F7CB3">
        <w:rPr>
          <w:vertAlign w:val="superscript"/>
        </w:rPr>
        <w:instrText xml:space="preserve"> NOTEREF _Ref129781338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14</w:t>
      </w:r>
      <w:r w:rsidRPr="007F7CB3">
        <w:rPr>
          <w:vertAlign w:val="superscript"/>
        </w:rPr>
        <w:fldChar w:fldCharType="end"/>
      </w:r>
      <w:r>
        <w:t xml:space="preserve"> were also similar: 7.82 (± 2.04) in the placebo arm and 7.89 (± 1.93) in the </w:t>
      </w:r>
      <w:proofErr w:type="spellStart"/>
      <w:r>
        <w:t>Ryaltris</w:t>
      </w:r>
      <w:proofErr w:type="spellEnd"/>
      <w:r>
        <w:t xml:space="preserve"> arm. Baseline values ranged from 3.1 to 12.0 in the placebo arm and from 2.1 to 12.0 in the </w:t>
      </w:r>
      <w:proofErr w:type="spellStart"/>
      <w:r>
        <w:t>Ryaltris</w:t>
      </w:r>
      <w:proofErr w:type="spellEnd"/>
      <w:r>
        <w:t xml:space="preserve"> arm.</w:t>
      </w:r>
    </w:p>
    <w:p w14:paraId="29FA64DD" w14:textId="77777777" w:rsidR="00764D48" w:rsidRDefault="00764D48" w:rsidP="00764D48">
      <w:r>
        <w:t xml:space="preserve">At Day 14 the mean (± SD) change from Baseline was -1.96 (± 3.09) in the placebo group compared with -3.44 (± 3.23) for the </w:t>
      </w:r>
      <w:proofErr w:type="spellStart"/>
      <w:r>
        <w:t>Ryaltris</w:t>
      </w:r>
      <w:proofErr w:type="spellEnd"/>
      <w:r>
        <w:t xml:space="preserve"> group.</w:t>
      </w:r>
    </w:p>
    <w:p w14:paraId="05FC2A56" w14:textId="77777777" w:rsidR="00764D48" w:rsidRDefault="00764D48" w:rsidP="00764D48">
      <w:r>
        <w:t xml:space="preserve">The difference between treatments for the average AM and PM instantaneous TNSS over the whole </w:t>
      </w:r>
      <w:proofErr w:type="gramStart"/>
      <w:r>
        <w:t>14 day</w:t>
      </w:r>
      <w:proofErr w:type="gramEnd"/>
      <w:r>
        <w:t xml:space="preserve"> randomised treatment period in the FAS population is summarised in </w:t>
      </w:r>
      <w:r>
        <w:fldChar w:fldCharType="begin"/>
      </w:r>
      <w:r>
        <w:instrText xml:space="preserve"> REF _Ref121835241 \h  \* MERGEFORMAT </w:instrText>
      </w:r>
      <w:r>
        <w:fldChar w:fldCharType="separate"/>
      </w:r>
      <w:r>
        <w:t xml:space="preserve">Table </w:t>
      </w:r>
      <w:r>
        <w:rPr>
          <w:noProof/>
        </w:rPr>
        <w:t>7</w:t>
      </w:r>
      <w:r>
        <w:fldChar w:fldCharType="end"/>
      </w:r>
      <w:r>
        <w:t xml:space="preserve">. Compared to placebo treatment, </w:t>
      </w:r>
      <w:proofErr w:type="spellStart"/>
      <w:r>
        <w:t>Ryaltris</w:t>
      </w:r>
      <w:proofErr w:type="spellEnd"/>
      <w:r>
        <w:t xml:space="preserve"> treatment was associated with a significantly greater reduction in LS mean instantaneous TNSS (-1.8 versus -1.1 points, p &lt; 0.001). Results were similar in the PPS population (-1.9 versus -1.2 points, p &lt; 0.001).</w:t>
      </w:r>
    </w:p>
    <w:p w14:paraId="35F0EAA0"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7</w:t>
      </w:r>
      <w:r>
        <w:rPr>
          <w:noProof/>
        </w:rPr>
        <w:fldChar w:fldCharType="end"/>
      </w:r>
      <w:r>
        <w:t xml:space="preserve">: </w:t>
      </w:r>
      <w:r w:rsidRPr="00881BA1">
        <w:t xml:space="preserve">Study GSP 301-305 </w:t>
      </w:r>
      <w:r>
        <w:t>A</w:t>
      </w:r>
      <w:r w:rsidRPr="00881BA1">
        <w:t xml:space="preserve">verage </w:t>
      </w:r>
      <w:r>
        <w:t xml:space="preserve">morning (AM) and evening (PM) </w:t>
      </w:r>
      <w:r w:rsidRPr="00881BA1">
        <w:t>instantaneous</w:t>
      </w:r>
      <w:r>
        <w:t xml:space="preserve"> Total Nasal Symptom Score</w:t>
      </w:r>
      <w:r w:rsidRPr="00881BA1">
        <w:t xml:space="preserve"> over the 14</w:t>
      </w:r>
      <w:r>
        <w:t>-</w:t>
      </w:r>
      <w:r w:rsidRPr="00881BA1">
        <w:t xml:space="preserve">day treatment period </w:t>
      </w:r>
      <w:r>
        <w:t>for the full analysis set population</w:t>
      </w:r>
    </w:p>
    <w:p w14:paraId="7665DD9B" w14:textId="77777777" w:rsidR="00764D48" w:rsidRDefault="00764D48" w:rsidP="00764D48">
      <w:pPr>
        <w:pStyle w:val="TableTitle0"/>
      </w:pPr>
      <w:r>
        <w:rPr>
          <w:noProof/>
          <w:lang w:val="en-GB" w:eastAsia="en-GB"/>
        </w:rPr>
        <w:drawing>
          <wp:inline distT="0" distB="0" distL="0" distR="0" wp14:anchorId="067E9AA7" wp14:editId="41FFBD3A">
            <wp:extent cx="4821381" cy="1077214"/>
            <wp:effectExtent l="0" t="0" r="0" b="8890"/>
            <wp:docPr id="7" name="Picture 7" descr="This table describes Study GSP 301-305 average morning and evening instantaneous total nasal symptom score over the 14 day treatment period for the full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table describes Study GSP 301-305 average morning and evening instantaneous total nasal symptom score over the 14 day treatment period for the full analysis set.  "/>
                    <pic:cNvPicPr/>
                  </pic:nvPicPr>
                  <pic:blipFill>
                    <a:blip r:embed="rId27"/>
                    <a:stretch>
                      <a:fillRect/>
                    </a:stretch>
                  </pic:blipFill>
                  <pic:spPr>
                    <a:xfrm>
                      <a:off x="0" y="0"/>
                      <a:ext cx="4850566" cy="1083735"/>
                    </a:xfrm>
                    <a:prstGeom prst="rect">
                      <a:avLst/>
                    </a:prstGeom>
                  </pic:spPr>
                </pic:pic>
              </a:graphicData>
            </a:graphic>
          </wp:inline>
        </w:drawing>
      </w:r>
    </w:p>
    <w:p w14:paraId="3CF36936" w14:textId="77777777" w:rsidR="00764D48" w:rsidRDefault="00764D48" w:rsidP="00764D48">
      <w:pPr>
        <w:pStyle w:val="TableDescription0"/>
      </w:pPr>
      <w:r>
        <w:t>Note: Baseline score is derived as the mean of the last eight consecutive reading scores including the AM assessment on the day of randomisation. Day 1 is derived as the average of Day 1 PM and Day 2 AM assessments, and so on for the rest of the treatment period.</w:t>
      </w:r>
    </w:p>
    <w:p w14:paraId="611817A7" w14:textId="77777777" w:rsidR="00764D48" w:rsidRDefault="00764D48" w:rsidP="00764D48">
      <w:pPr>
        <w:pStyle w:val="TableDescription0"/>
      </w:pPr>
      <w:r>
        <w:t>Abbreviations: n = number of subjects with data available; LS = least squares; SE = standard error</w:t>
      </w:r>
    </w:p>
    <w:p w14:paraId="7450561B" w14:textId="77777777" w:rsidR="00764D48" w:rsidRDefault="00764D48" w:rsidP="00764D48">
      <w:pPr>
        <w:pStyle w:val="TableDescription0"/>
      </w:pPr>
      <w:r>
        <w:t xml:space="preserve">Statistical analysis mode: mixed effect repeated measures model with change from Baseline as the dependent variable, treatment group and site as fixed effects, baseline scare as covariate and study day as the within </w:t>
      </w:r>
      <w:r>
        <w:lastRenderedPageBreak/>
        <w:t>subject effect. Covariance structure ‘unstructured’ (UN) is assumed in the model. Day 1 is an unordered categorical variable and treatment by interaction is fitted in the model for the Day 1 to Day 14 analyses.</w:t>
      </w:r>
    </w:p>
    <w:p w14:paraId="49042DFD" w14:textId="77777777" w:rsidR="00764D48" w:rsidRPr="005E7F50" w:rsidRDefault="00764D48" w:rsidP="00764D48">
      <w:pPr>
        <w:pStyle w:val="Heading7"/>
        <w:rPr>
          <w:szCs w:val="22"/>
        </w:rPr>
      </w:pPr>
      <w:r w:rsidRPr="005E7F50">
        <w:rPr>
          <w:szCs w:val="22"/>
        </w:rPr>
        <w:t>12</w:t>
      </w:r>
      <w:r>
        <w:rPr>
          <w:szCs w:val="22"/>
        </w:rPr>
        <w:t>-</w:t>
      </w:r>
      <w:r w:rsidRPr="005E7F50">
        <w:rPr>
          <w:szCs w:val="22"/>
        </w:rPr>
        <w:t xml:space="preserve">hour reflective </w:t>
      </w:r>
      <w:r>
        <w:rPr>
          <w:szCs w:val="22"/>
        </w:rPr>
        <w:t>T</w:t>
      </w:r>
      <w:r w:rsidRPr="005E7F50">
        <w:rPr>
          <w:szCs w:val="22"/>
        </w:rPr>
        <w:t xml:space="preserve">otal </w:t>
      </w:r>
      <w:r>
        <w:rPr>
          <w:szCs w:val="22"/>
        </w:rPr>
        <w:t>O</w:t>
      </w:r>
      <w:r w:rsidRPr="005E7F50">
        <w:rPr>
          <w:szCs w:val="22"/>
        </w:rPr>
        <w:t xml:space="preserve">cular </w:t>
      </w:r>
      <w:r>
        <w:rPr>
          <w:szCs w:val="22"/>
        </w:rPr>
        <w:t>S</w:t>
      </w:r>
      <w:r w:rsidRPr="005E7F50">
        <w:rPr>
          <w:szCs w:val="22"/>
        </w:rPr>
        <w:t xml:space="preserve">ymptom </w:t>
      </w:r>
      <w:r>
        <w:rPr>
          <w:szCs w:val="22"/>
        </w:rPr>
        <w:t>S</w:t>
      </w:r>
      <w:r w:rsidRPr="005E7F50">
        <w:rPr>
          <w:szCs w:val="22"/>
        </w:rPr>
        <w:t>core</w:t>
      </w:r>
      <w:r>
        <w:rPr>
          <w:szCs w:val="22"/>
        </w:rPr>
        <w:t xml:space="preserve"> (TOSS)</w:t>
      </w:r>
    </w:p>
    <w:p w14:paraId="40651734" w14:textId="77777777" w:rsidR="00764D48" w:rsidRDefault="00764D48" w:rsidP="00764D48">
      <w:r>
        <w:t>At Baseline, mean (± SD) values for the reflective TOSS;</w:t>
      </w:r>
      <w:r w:rsidRPr="007F7CB3">
        <w:rPr>
          <w:vertAlign w:val="superscript"/>
        </w:rPr>
        <w:fldChar w:fldCharType="begin"/>
      </w:r>
      <w:r w:rsidRPr="007F7CB3">
        <w:rPr>
          <w:vertAlign w:val="superscript"/>
        </w:rPr>
        <w:instrText xml:space="preserve"> NOTEREF _Ref129781287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15</w:t>
      </w:r>
      <w:r w:rsidRPr="007F7CB3">
        <w:rPr>
          <w:vertAlign w:val="superscript"/>
        </w:rPr>
        <w:fldChar w:fldCharType="end"/>
      </w:r>
      <w:r>
        <w:t xml:space="preserve"> were again similar: 3.59 (± 2.52) in the placebo arm and 3.84 (± 2.45) in the </w:t>
      </w:r>
      <w:proofErr w:type="spellStart"/>
      <w:r>
        <w:t>Ryaltris</w:t>
      </w:r>
      <w:proofErr w:type="spellEnd"/>
      <w:r>
        <w:t xml:space="preserve"> arm. In both arms Baseline values ranged from 0.0 to 9.0.</w:t>
      </w:r>
    </w:p>
    <w:p w14:paraId="01380CFF" w14:textId="77777777" w:rsidR="00764D48" w:rsidRDefault="00764D48" w:rsidP="00764D48">
      <w:r>
        <w:t xml:space="preserve">At Day 14 the mean (± SD) change from Baseline was -0.96 (± 2.16) in the placebo group compared with -1.65 (± 2.22) for the </w:t>
      </w:r>
      <w:proofErr w:type="spellStart"/>
      <w:r>
        <w:t>Ryaltris</w:t>
      </w:r>
      <w:proofErr w:type="spellEnd"/>
      <w:r>
        <w:t xml:space="preserve"> group.</w:t>
      </w:r>
    </w:p>
    <w:p w14:paraId="5E5743B7" w14:textId="77777777" w:rsidR="00764D48" w:rsidRDefault="00764D48" w:rsidP="00764D48">
      <w:r>
        <w:t xml:space="preserve">The difference between treatments for the average AM and PM reflective TOSS over the whole </w:t>
      </w:r>
      <w:proofErr w:type="gramStart"/>
      <w:r>
        <w:t>14 day</w:t>
      </w:r>
      <w:proofErr w:type="gramEnd"/>
      <w:r>
        <w:t xml:space="preserve"> randomised treatment period in the FAS population is summarised in </w:t>
      </w:r>
      <w:r>
        <w:rPr>
          <w:highlight w:val="yellow"/>
        </w:rPr>
        <w:fldChar w:fldCharType="begin"/>
      </w:r>
      <w:r>
        <w:instrText xml:space="preserve"> REF _Ref121757596 \h </w:instrText>
      </w:r>
      <w:r>
        <w:rPr>
          <w:highlight w:val="yellow"/>
        </w:rPr>
      </w:r>
      <w:r>
        <w:rPr>
          <w:highlight w:val="yellow"/>
        </w:rPr>
        <w:fldChar w:fldCharType="separate"/>
      </w:r>
      <w:r>
        <w:t>Table </w:t>
      </w:r>
      <w:r>
        <w:rPr>
          <w:noProof/>
        </w:rPr>
        <w:t>22</w:t>
      </w:r>
      <w:r>
        <w:rPr>
          <w:highlight w:val="yellow"/>
        </w:rPr>
        <w:fldChar w:fldCharType="end"/>
      </w:r>
      <w:r>
        <w:t xml:space="preserve"> in the </w:t>
      </w:r>
      <w:r>
        <w:fldChar w:fldCharType="begin"/>
      </w:r>
      <w:r>
        <w:instrText xml:space="preserve"> REF _Ref129783093 \h  \* MERGEFORMAT </w:instrText>
      </w:r>
      <w:r>
        <w:fldChar w:fldCharType="separate"/>
      </w:r>
      <w:r w:rsidRPr="007F7CB3">
        <w:rPr>
          <w:i/>
        </w:rPr>
        <w:t>Risk-benefit analysi</w:t>
      </w:r>
      <w:r>
        <w:t>s</w:t>
      </w:r>
      <w:r>
        <w:fldChar w:fldCharType="end"/>
      </w:r>
      <w:r>
        <w:t xml:space="preserve"> section below. There was no significant difference between treatment arms in LS mean reduction in reflective TOSS (-0.8 versus -0.6 points, p = 0.233).</w:t>
      </w:r>
    </w:p>
    <w:p w14:paraId="54CD9C58" w14:textId="77777777" w:rsidR="00764D48" w:rsidRDefault="00764D48" w:rsidP="00764D48">
      <w:r>
        <w:t>Results were similar in the PPS population (-0.9 versus -0.6 points, p = 0.092).</w:t>
      </w:r>
    </w:p>
    <w:p w14:paraId="6EF3D19B" w14:textId="77777777" w:rsidR="00764D48" w:rsidRPr="005E7F50" w:rsidRDefault="00764D48" w:rsidP="00764D48">
      <w:pPr>
        <w:pStyle w:val="Heading7"/>
        <w:rPr>
          <w:szCs w:val="22"/>
        </w:rPr>
      </w:pPr>
      <w:r w:rsidRPr="005E7F50">
        <w:rPr>
          <w:szCs w:val="22"/>
        </w:rPr>
        <w:t>Change from Baseline in the PRQLQ overall score on Day 15</w:t>
      </w:r>
    </w:p>
    <w:p w14:paraId="1ABD07E5" w14:textId="77777777" w:rsidR="00764D48" w:rsidRDefault="00764D48" w:rsidP="00764D48">
      <w:r>
        <w:t>Mean PRQLQ;</w:t>
      </w:r>
      <w:r w:rsidRPr="007F7CB3">
        <w:rPr>
          <w:vertAlign w:val="superscript"/>
        </w:rPr>
        <w:fldChar w:fldCharType="begin"/>
      </w:r>
      <w:r w:rsidRPr="007F7CB3">
        <w:rPr>
          <w:vertAlign w:val="superscript"/>
        </w:rPr>
        <w:instrText xml:space="preserve"> NOTEREF _Ref129781171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16</w:t>
      </w:r>
      <w:r w:rsidRPr="007F7CB3">
        <w:rPr>
          <w:vertAlign w:val="superscript"/>
        </w:rPr>
        <w:fldChar w:fldCharType="end"/>
      </w:r>
      <w:r>
        <w:t xml:space="preserve"> overall scores at Baseline were similar (2.42 in the placebo arm and 2.51 in the </w:t>
      </w:r>
      <w:proofErr w:type="spellStart"/>
      <w:r>
        <w:t>Ryaltris</w:t>
      </w:r>
      <w:proofErr w:type="spellEnd"/>
      <w:r>
        <w:t xml:space="preserve"> arm). The mean (± SD) change from Baseline on Day 15 in the FAS population was -0.64 (± 1.072) for the placebo arm compared with -0.99 (± 1.242) for the </w:t>
      </w:r>
      <w:proofErr w:type="spellStart"/>
      <w:r>
        <w:t>Ryaltris</w:t>
      </w:r>
      <w:proofErr w:type="spellEnd"/>
      <w:r>
        <w:t xml:space="preserve"> arm. The difference was statistically significant (p &lt; 0.001).</w:t>
      </w:r>
    </w:p>
    <w:p w14:paraId="60E494E9" w14:textId="77777777" w:rsidR="00764D48" w:rsidRDefault="00764D48" w:rsidP="00764D48">
      <w:r>
        <w:t>The LS mean difference between treatments for the reduction in overall PRQLQ score was -0.3 points (95% confidence interval -0.5 to -0.1). It appears that a minimal clinically important difference for overall PRQLQ score has not been established, and therefore the clinical significance of this finding is unknown.</w:t>
      </w:r>
    </w:p>
    <w:p w14:paraId="3C319BBE" w14:textId="77777777" w:rsidR="00764D48" w:rsidRPr="0084565A" w:rsidRDefault="00764D48" w:rsidP="00764D48">
      <w:pPr>
        <w:pStyle w:val="Heading7"/>
        <w:rPr>
          <w:szCs w:val="22"/>
        </w:rPr>
      </w:pPr>
      <w:r>
        <w:t>Other</w:t>
      </w:r>
      <w:r w:rsidRPr="0084565A">
        <w:rPr>
          <w:szCs w:val="22"/>
        </w:rPr>
        <w:t xml:space="preserve"> nasal symptom endpoints</w:t>
      </w:r>
    </w:p>
    <w:p w14:paraId="56308D7B" w14:textId="77777777" w:rsidR="00764D48" w:rsidRPr="00330B6B" w:rsidRDefault="00764D48" w:rsidP="00764D48">
      <w:r w:rsidRPr="007F7CB3">
        <w:fldChar w:fldCharType="begin"/>
      </w:r>
      <w:r w:rsidRPr="00652213">
        <w:instrText xml:space="preserve"> REF _Ref121754492 \h </w:instrText>
      </w:r>
      <w:r w:rsidRPr="007F7CB3">
        <w:fldChar w:fldCharType="separate"/>
      </w:r>
      <w:r w:rsidRPr="00652213">
        <w:t xml:space="preserve">Table </w:t>
      </w:r>
      <w:r w:rsidRPr="007F7CB3">
        <w:t>8</w:t>
      </w:r>
      <w:r w:rsidRPr="007F7CB3">
        <w:fldChar w:fldCharType="end"/>
      </w:r>
      <w:r w:rsidRPr="00652213">
        <w:t xml:space="preserve"> and </w:t>
      </w:r>
      <w:r w:rsidRPr="007F7CB3">
        <w:fldChar w:fldCharType="begin"/>
      </w:r>
      <w:r w:rsidRPr="00652213">
        <w:instrText xml:space="preserve"> REF _Ref124492789 \h </w:instrText>
      </w:r>
      <w:r w:rsidRPr="007F7CB3">
        <w:fldChar w:fldCharType="separate"/>
      </w:r>
      <w:r w:rsidRPr="00652213">
        <w:t xml:space="preserve">Table </w:t>
      </w:r>
      <w:r w:rsidRPr="007F7CB3">
        <w:t>9</w:t>
      </w:r>
      <w:r w:rsidRPr="007F7CB3">
        <w:fldChar w:fldCharType="end"/>
      </w:r>
      <w:r w:rsidRPr="00652213">
        <w:t xml:space="preserve"> show results for the differences between treatment arms in the change from Baseline in TNSS scores for AM assessments only and PM assessments only.</w:t>
      </w:r>
      <w:r>
        <w:t xml:space="preserve"> </w:t>
      </w:r>
      <w:r w:rsidRPr="008162C8">
        <w:t>The results</w:t>
      </w:r>
      <w:r w:rsidRPr="00652213">
        <w:t xml:space="preserve"> </w:t>
      </w:r>
      <w:r w:rsidRPr="008162C8">
        <w:t xml:space="preserve">suggested a beneficial effect of </w:t>
      </w:r>
      <w:proofErr w:type="spellStart"/>
      <w:r w:rsidRPr="008162C8">
        <w:t>Ryaltris</w:t>
      </w:r>
      <w:proofErr w:type="spellEnd"/>
      <w:r w:rsidRPr="00652213">
        <w:t xml:space="preserve"> over placebo, as the differences were all greater than the minimal clinically important difference of 0.23 points. P</w:t>
      </w:r>
      <w:r>
        <w:noBreakHyphen/>
      </w:r>
      <w:r w:rsidRPr="008162C8">
        <w:t>values were also presented (all &lt; 0.05) alth</w:t>
      </w:r>
      <w:r w:rsidRPr="00652213">
        <w:t>ough none of the statistical comparisons were adjusted for multiplicity</w:t>
      </w:r>
    </w:p>
    <w:p w14:paraId="1FB09023"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8</w:t>
      </w:r>
      <w:r>
        <w:rPr>
          <w:noProof/>
        </w:rPr>
        <w:fldChar w:fldCharType="end"/>
      </w:r>
      <w:r>
        <w:t xml:space="preserve">: </w:t>
      </w:r>
      <w:r w:rsidRPr="00E05CC9">
        <w:t xml:space="preserve">Study GSP 301-305 </w:t>
      </w:r>
      <w:r>
        <w:t>Morning (AM) and evening (PM)</w:t>
      </w:r>
      <w:r w:rsidRPr="00E05CC9">
        <w:t xml:space="preserve"> scores for</w:t>
      </w:r>
      <w:r>
        <w:t xml:space="preserve"> reflective Total Nasal Symptom Score</w:t>
      </w:r>
    </w:p>
    <w:p w14:paraId="53964A22" w14:textId="77777777" w:rsidR="00764D48" w:rsidRDefault="00764D48" w:rsidP="00764D48">
      <w:pPr>
        <w:pStyle w:val="TableTitle0"/>
      </w:pPr>
      <w:r>
        <w:rPr>
          <w:noProof/>
          <w:lang w:val="en-GB" w:eastAsia="en-GB"/>
        </w:rPr>
        <w:drawing>
          <wp:inline distT="0" distB="0" distL="0" distR="0" wp14:anchorId="0B0B3BA1" wp14:editId="48FB55FF">
            <wp:extent cx="5400040" cy="1187420"/>
            <wp:effectExtent l="0" t="0" r="0" b="0"/>
            <wp:docPr id="9" name="Picture 9" descr="This table shows reflective total nasal symptom scores for morning and evening between the treatment 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table shows reflective total nasal symptom scores for morning and evening between the treatment arms. "/>
                    <pic:cNvPicPr/>
                  </pic:nvPicPr>
                  <pic:blipFill>
                    <a:blip r:embed="rId28"/>
                    <a:stretch>
                      <a:fillRect/>
                    </a:stretch>
                  </pic:blipFill>
                  <pic:spPr>
                    <a:xfrm>
                      <a:off x="0" y="0"/>
                      <a:ext cx="5438128" cy="1195795"/>
                    </a:xfrm>
                    <a:prstGeom prst="rect">
                      <a:avLst/>
                    </a:prstGeom>
                  </pic:spPr>
                </pic:pic>
              </a:graphicData>
            </a:graphic>
          </wp:inline>
        </w:drawing>
      </w:r>
    </w:p>
    <w:p w14:paraId="47A6D5C4" w14:textId="77777777" w:rsidR="00764D48" w:rsidRDefault="00764D48" w:rsidP="00764D48">
      <w:pPr>
        <w:pStyle w:val="TableDescription0"/>
      </w:pPr>
      <w:r>
        <w:t xml:space="preserve">Abbreviations: AM = morning; CI = confidence interval; FAS = full analysis set; LS = least square; NS = nasal spray; PM = evening; </w:t>
      </w:r>
      <w:proofErr w:type="spellStart"/>
      <w:r>
        <w:t>rTNSS</w:t>
      </w:r>
      <w:proofErr w:type="spellEnd"/>
      <w:r>
        <w:t xml:space="preserve"> = reflective total nasal symptom score</w:t>
      </w:r>
    </w:p>
    <w:p w14:paraId="66638AC1" w14:textId="77777777" w:rsidR="00764D48" w:rsidRDefault="00764D48" w:rsidP="00764D48">
      <w:pPr>
        <w:pStyle w:val="TableDescription0"/>
      </w:pPr>
      <w:r>
        <w:t>*Statistically significant (P &lt; 0.05)</w:t>
      </w:r>
    </w:p>
    <w:p w14:paraId="13CF040E" w14:textId="77777777" w:rsidR="00764D48" w:rsidRDefault="00764D48" w:rsidP="00764D48">
      <w:pPr>
        <w:pStyle w:val="TableTitle0"/>
      </w:pPr>
      <w:r>
        <w:lastRenderedPageBreak/>
        <w:t xml:space="preserve">Table </w:t>
      </w:r>
      <w:r>
        <w:fldChar w:fldCharType="begin"/>
      </w:r>
      <w:r>
        <w:instrText xml:space="preserve"> SEQ Table \* ARABIC </w:instrText>
      </w:r>
      <w:r>
        <w:fldChar w:fldCharType="separate"/>
      </w:r>
      <w:r>
        <w:rPr>
          <w:noProof/>
        </w:rPr>
        <w:t>9</w:t>
      </w:r>
      <w:r>
        <w:rPr>
          <w:noProof/>
        </w:rPr>
        <w:fldChar w:fldCharType="end"/>
      </w:r>
      <w:r>
        <w:t xml:space="preserve">: </w:t>
      </w:r>
      <w:r w:rsidRPr="00E05CC9">
        <w:t xml:space="preserve">Study GSP 301-305 </w:t>
      </w:r>
      <w:r>
        <w:t xml:space="preserve">Morning (AM) and evening (PM) </w:t>
      </w:r>
      <w:r w:rsidRPr="00E05CC9">
        <w:t>scores for</w:t>
      </w:r>
      <w:r>
        <w:t xml:space="preserve"> instantaneous Total Nasal Symptom Score</w:t>
      </w:r>
    </w:p>
    <w:p w14:paraId="07DB3CD2" w14:textId="77777777" w:rsidR="00764D48" w:rsidRDefault="00764D48" w:rsidP="00764D48">
      <w:pPr>
        <w:pStyle w:val="TableTitle0"/>
      </w:pPr>
      <w:r>
        <w:rPr>
          <w:noProof/>
          <w:lang w:val="en-GB" w:eastAsia="en-GB"/>
        </w:rPr>
        <w:drawing>
          <wp:inline distT="0" distB="0" distL="0" distR="0" wp14:anchorId="6D1EEE8D" wp14:editId="56B28C09">
            <wp:extent cx="5318928" cy="1022742"/>
            <wp:effectExtent l="0" t="0" r="0" b="6350"/>
            <wp:docPr id="1" name="Picture 1" descr="This table shows instantaneous total nasal symptom scores for morning and evening between the treatment a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table shows instantaneous total nasal symptom scores for morning and evening between the treatment arms. "/>
                    <pic:cNvPicPr/>
                  </pic:nvPicPr>
                  <pic:blipFill>
                    <a:blip r:embed="rId29"/>
                    <a:stretch>
                      <a:fillRect/>
                    </a:stretch>
                  </pic:blipFill>
                  <pic:spPr>
                    <a:xfrm>
                      <a:off x="0" y="0"/>
                      <a:ext cx="5401515" cy="1038622"/>
                    </a:xfrm>
                    <a:prstGeom prst="rect">
                      <a:avLst/>
                    </a:prstGeom>
                  </pic:spPr>
                </pic:pic>
              </a:graphicData>
            </a:graphic>
          </wp:inline>
        </w:drawing>
      </w:r>
    </w:p>
    <w:p w14:paraId="00B8EC74" w14:textId="77777777" w:rsidR="00764D48" w:rsidRDefault="00764D48" w:rsidP="00764D48">
      <w:pPr>
        <w:pStyle w:val="TableDescription0"/>
      </w:pPr>
      <w:r>
        <w:t xml:space="preserve">Abbreviations: AM = morning; CI = confidence interval; FAS = full analysis set; LS = least square; NS = nasal spray; PM = evening; </w:t>
      </w:r>
      <w:proofErr w:type="spellStart"/>
      <w:r>
        <w:t>iTNSS</w:t>
      </w:r>
      <w:proofErr w:type="spellEnd"/>
      <w:r>
        <w:t xml:space="preserve"> = instantaneous total nasal symptom score</w:t>
      </w:r>
    </w:p>
    <w:p w14:paraId="5153DF67" w14:textId="77777777" w:rsidR="00764D48" w:rsidRDefault="00764D48" w:rsidP="00764D48">
      <w:pPr>
        <w:pStyle w:val="TableDescription0"/>
      </w:pPr>
      <w:r>
        <w:t>*Statistically significant (P &lt; 0.05)</w:t>
      </w:r>
    </w:p>
    <w:p w14:paraId="19AE5447" w14:textId="77777777" w:rsidR="00764D48" w:rsidRDefault="00764D48" w:rsidP="00764D48">
      <w:r>
        <w:t>Results for individual nasal symptoms showed</w:t>
      </w:r>
      <w:r w:rsidRPr="00413B55">
        <w:t xml:space="preserve"> </w:t>
      </w:r>
      <w:r>
        <w:t xml:space="preserve">are shown in </w:t>
      </w:r>
      <w:r>
        <w:fldChar w:fldCharType="begin"/>
      </w:r>
      <w:r>
        <w:instrText xml:space="preserve"> REF _Ref121754576 \h </w:instrText>
      </w:r>
      <w:r>
        <w:fldChar w:fldCharType="separate"/>
      </w:r>
      <w:r>
        <w:t xml:space="preserve">Table </w:t>
      </w:r>
      <w:r>
        <w:rPr>
          <w:noProof/>
        </w:rPr>
        <w:t>10</w:t>
      </w:r>
      <w:r>
        <w:fldChar w:fldCharType="end"/>
      </w:r>
      <w:r>
        <w:t xml:space="preserve">. Reductions from Baseline were greater with </w:t>
      </w:r>
      <w:proofErr w:type="spellStart"/>
      <w:r>
        <w:t>Ryaltris</w:t>
      </w:r>
      <w:proofErr w:type="spellEnd"/>
      <w:r>
        <w:t xml:space="preserve"> than with placebo for all these measurements, and the differences were nominally statistically significant for most comparisons.</w:t>
      </w:r>
    </w:p>
    <w:p w14:paraId="4FE3EF46"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10</w:t>
      </w:r>
      <w:r>
        <w:rPr>
          <w:noProof/>
        </w:rPr>
        <w:fldChar w:fldCharType="end"/>
      </w:r>
      <w:r>
        <w:t xml:space="preserve">: </w:t>
      </w:r>
      <w:r w:rsidRPr="002B79B2">
        <w:t xml:space="preserve">Study GSP 301-305 </w:t>
      </w:r>
      <w:r>
        <w:t>I</w:t>
      </w:r>
      <w:r w:rsidRPr="002B79B2">
        <w:t>ndividual nasal symptom scores</w:t>
      </w:r>
    </w:p>
    <w:p w14:paraId="765F3535" w14:textId="77777777" w:rsidR="00764D48" w:rsidRDefault="00764D48" w:rsidP="00764D48">
      <w:pPr>
        <w:pStyle w:val="TableTitle0"/>
      </w:pPr>
      <w:r>
        <w:rPr>
          <w:noProof/>
          <w:lang w:val="en-GB" w:eastAsia="en-GB"/>
        </w:rPr>
        <w:drawing>
          <wp:inline distT="0" distB="0" distL="0" distR="0" wp14:anchorId="1AB31601" wp14:editId="635FEAF2">
            <wp:extent cx="5399405" cy="4962388"/>
            <wp:effectExtent l="0" t="0" r="0" b="0"/>
            <wp:docPr id="5" name="Picture 5" descr="This table describes Study GSP 301-305 individual morning and evening reflective and instantaneous nasal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table describes Study GSP 301-305 individual morning and evening reflective and instantaneous nasal scores."/>
                    <pic:cNvPicPr/>
                  </pic:nvPicPr>
                  <pic:blipFill rotWithShape="1">
                    <a:blip r:embed="rId30"/>
                    <a:srcRect b="245"/>
                    <a:stretch/>
                  </pic:blipFill>
                  <pic:spPr bwMode="auto">
                    <a:xfrm>
                      <a:off x="0" y="0"/>
                      <a:ext cx="5399890" cy="4962834"/>
                    </a:xfrm>
                    <a:prstGeom prst="rect">
                      <a:avLst/>
                    </a:prstGeom>
                    <a:ln>
                      <a:noFill/>
                    </a:ln>
                    <a:extLst>
                      <a:ext uri="{53640926-AAD7-44D8-BBD7-CCE9431645EC}">
                        <a14:shadowObscured xmlns:a14="http://schemas.microsoft.com/office/drawing/2010/main"/>
                      </a:ext>
                    </a:extLst>
                  </pic:spPr>
                </pic:pic>
              </a:graphicData>
            </a:graphic>
          </wp:inline>
        </w:drawing>
      </w:r>
    </w:p>
    <w:p w14:paraId="3D8917DB" w14:textId="77777777" w:rsidR="00764D48" w:rsidRDefault="00764D48" w:rsidP="00764D48">
      <w:pPr>
        <w:pStyle w:val="TableDescription0"/>
      </w:pPr>
      <w:r>
        <w:t>Abbreviations: AM = morning; CI = confidence interval; FAS = full analysis set; LS = least square; NS = nasal spray; PM = evening</w:t>
      </w:r>
    </w:p>
    <w:p w14:paraId="4F651216" w14:textId="77777777" w:rsidR="00764D48" w:rsidRDefault="00764D48" w:rsidP="00764D48">
      <w:pPr>
        <w:pStyle w:val="TableDescription0"/>
      </w:pPr>
      <w:r>
        <w:t>*Statistically significant (P &lt; 0.05).</w:t>
      </w:r>
    </w:p>
    <w:p w14:paraId="7373B48D" w14:textId="77777777" w:rsidR="00764D48" w:rsidRDefault="00764D48" w:rsidP="00764D48">
      <w:r>
        <w:t xml:space="preserve">The change from Baseline in the average of AM and PM measurements of reflective TNSS for each day is illustrated in </w:t>
      </w:r>
      <w:r>
        <w:fldChar w:fldCharType="begin"/>
      </w:r>
      <w:r>
        <w:instrText xml:space="preserve"> REF _Ref124493346 \h </w:instrText>
      </w:r>
      <w:r>
        <w:fldChar w:fldCharType="separate"/>
      </w:r>
      <w:r>
        <w:t xml:space="preserve">Figure </w:t>
      </w:r>
      <w:r>
        <w:rPr>
          <w:noProof/>
        </w:rPr>
        <w:t>3</w:t>
      </w:r>
      <w:r>
        <w:fldChar w:fldCharType="end"/>
      </w:r>
      <w:r>
        <w:t xml:space="preserve">. Differences between </w:t>
      </w:r>
      <w:proofErr w:type="spellStart"/>
      <w:r>
        <w:t>Ryaltris</w:t>
      </w:r>
      <w:proofErr w:type="spellEnd"/>
      <w:r>
        <w:t xml:space="preserve"> and placebo were nominally clinically significant by Day 3. Results were similar for daily AM measurements and daily PM measurements of reflective TNSS, and for daily measurements of instantaneous TNSS.</w:t>
      </w:r>
    </w:p>
    <w:p w14:paraId="38E267E7" w14:textId="77777777" w:rsidR="00764D48" w:rsidRDefault="00764D48" w:rsidP="00764D48">
      <w:pPr>
        <w:pStyle w:val="FigureTitle"/>
      </w:pPr>
      <w:bookmarkStart w:id="66" w:name="_Ref124493346"/>
      <w:bookmarkStart w:id="67" w:name="_Ref121754705"/>
      <w:r>
        <w:lastRenderedPageBreak/>
        <w:t xml:space="preserve">Figure </w:t>
      </w:r>
      <w:r>
        <w:fldChar w:fldCharType="begin"/>
      </w:r>
      <w:r>
        <w:rPr>
          <w:noProof/>
        </w:rPr>
        <w:instrText xml:space="preserve"> SEQ Figure \* ARABIC </w:instrText>
      </w:r>
      <w:r>
        <w:fldChar w:fldCharType="separate"/>
      </w:r>
      <w:r>
        <w:rPr>
          <w:noProof/>
        </w:rPr>
        <w:t>3</w:t>
      </w:r>
      <w:r>
        <w:fldChar w:fldCharType="end"/>
      </w:r>
      <w:bookmarkEnd w:id="66"/>
      <w:r>
        <w:t xml:space="preserve">: </w:t>
      </w:r>
      <w:r w:rsidRPr="00093072">
        <w:t xml:space="preserve">Study GSP 301-305 </w:t>
      </w:r>
      <w:r>
        <w:t>D</w:t>
      </w:r>
      <w:r w:rsidRPr="00093072">
        <w:t xml:space="preserve">aily </w:t>
      </w:r>
      <w:r>
        <w:t>change</w:t>
      </w:r>
      <w:r w:rsidRPr="00093072">
        <w:t xml:space="preserve"> </w:t>
      </w:r>
      <w:r>
        <w:t xml:space="preserve">from Baseline in average morning (AM) and evening (PM) </w:t>
      </w:r>
      <w:r w:rsidRPr="00093072">
        <w:t xml:space="preserve">reflective </w:t>
      </w:r>
      <w:r>
        <w:t>total nasal symptom score (LS means) for the full analysis set</w:t>
      </w:r>
      <w:bookmarkEnd w:id="67"/>
      <w:r>
        <w:t xml:space="preserve"> population</w:t>
      </w:r>
    </w:p>
    <w:p w14:paraId="60B8EB4C" w14:textId="77777777" w:rsidR="00764D48" w:rsidRDefault="00764D48" w:rsidP="00764D48">
      <w:pPr>
        <w:pStyle w:val="FigureTitle"/>
      </w:pPr>
      <w:r>
        <w:rPr>
          <w:noProof/>
          <w:lang w:val="en-GB" w:eastAsia="en-GB"/>
        </w:rPr>
        <w:drawing>
          <wp:inline distT="0" distB="0" distL="0" distR="0" wp14:anchorId="71C523CC" wp14:editId="32FB39CD">
            <wp:extent cx="5320610" cy="2146300"/>
            <wp:effectExtent l="0" t="0" r="0" b="6350"/>
            <wp:docPr id="4" name="Picture 4" descr="This figure is a plot of Study GSP 301-305  daily average of morning and evening reflective total nasal symptom score for th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is a plot of Study GSP 301-305  daily average of morning and evening reflective total nasal symptom score for the full analysis set"/>
                    <pic:cNvPicPr/>
                  </pic:nvPicPr>
                  <pic:blipFill rotWithShape="1">
                    <a:blip r:embed="rId31"/>
                    <a:srcRect l="5057" t="12845"/>
                    <a:stretch/>
                  </pic:blipFill>
                  <pic:spPr bwMode="auto">
                    <a:xfrm>
                      <a:off x="0" y="0"/>
                      <a:ext cx="5324068" cy="2147695"/>
                    </a:xfrm>
                    <a:prstGeom prst="rect">
                      <a:avLst/>
                    </a:prstGeom>
                    <a:ln>
                      <a:noFill/>
                    </a:ln>
                    <a:extLst>
                      <a:ext uri="{53640926-AAD7-44D8-BBD7-CCE9431645EC}">
                        <a14:shadowObscured xmlns:a14="http://schemas.microsoft.com/office/drawing/2010/main"/>
                      </a:ext>
                    </a:extLst>
                  </pic:spPr>
                </pic:pic>
              </a:graphicData>
            </a:graphic>
          </wp:inline>
        </w:drawing>
      </w:r>
    </w:p>
    <w:p w14:paraId="3127AF68" w14:textId="77777777" w:rsidR="00764D48" w:rsidRDefault="00764D48" w:rsidP="00764D48">
      <w:pPr>
        <w:pStyle w:val="TableDescription0"/>
      </w:pPr>
      <w:r>
        <w:t>Abbreviations: AM = morning; CI = confidence interval; FAS = full analysis set; LS = least square;</w:t>
      </w:r>
      <w:r>
        <w:br/>
        <w:t xml:space="preserve">PM = evening; </w:t>
      </w:r>
      <w:proofErr w:type="spellStart"/>
      <w:r>
        <w:t>rTNSS</w:t>
      </w:r>
      <w:proofErr w:type="spellEnd"/>
      <w:r>
        <w:t xml:space="preserve"> = reflective total nasal symptom score.</w:t>
      </w:r>
    </w:p>
    <w:p w14:paraId="5A80F8BA" w14:textId="77777777" w:rsidR="00764D48" w:rsidRDefault="00764D48" w:rsidP="00764D48">
      <w:pPr>
        <w:pStyle w:val="TableDescription0"/>
      </w:pPr>
      <w:r>
        <w:t>*Statistically significant (p &lt; 0.05).</w:t>
      </w:r>
    </w:p>
    <w:p w14:paraId="20D2F082" w14:textId="77777777" w:rsidR="00764D48" w:rsidRDefault="00764D48" w:rsidP="00764D48">
      <w:pPr>
        <w:pStyle w:val="TableDescription0"/>
      </w:pPr>
      <w:r>
        <w:t>Vertical lines (whiskers) denote upper and lower bounds of 95% confidence interval.</w:t>
      </w:r>
    </w:p>
    <w:p w14:paraId="57616525" w14:textId="77777777" w:rsidR="00764D48" w:rsidRPr="007F7CB3" w:rsidRDefault="00764D48" w:rsidP="00764D48">
      <w:pPr>
        <w:pStyle w:val="Heading7"/>
        <w:rPr>
          <w:i w:val="0"/>
        </w:rPr>
      </w:pPr>
      <w:r w:rsidRPr="007F7CB3">
        <w:t>Instantaneous total ocular symptom score</w:t>
      </w:r>
    </w:p>
    <w:p w14:paraId="4E7225F1" w14:textId="77777777" w:rsidR="00764D48" w:rsidRDefault="00764D48" w:rsidP="00764D48">
      <w:r>
        <w:t>At Baseline, mean (± SD) values for instantaneous TOSS</w:t>
      </w:r>
      <w:r w:rsidRPr="00F01DB2">
        <w:t xml:space="preserve"> </w:t>
      </w:r>
      <w:r>
        <w:t xml:space="preserve">were similar: 3.26 (± 2.46) in the placebo arm and 3.54 (± 2.40) in the </w:t>
      </w:r>
      <w:proofErr w:type="spellStart"/>
      <w:r>
        <w:t>Ryaltris</w:t>
      </w:r>
      <w:proofErr w:type="spellEnd"/>
      <w:r>
        <w:t xml:space="preserve"> arm. In both arms, baseline values ranged from 0.0 to 9.0.</w:t>
      </w:r>
    </w:p>
    <w:p w14:paraId="0C265ECD" w14:textId="77777777" w:rsidR="00764D48" w:rsidRDefault="00764D48" w:rsidP="00764D48">
      <w:r>
        <w:t xml:space="preserve">At Day 14 the mean (± SD) change from Baseline was </w:t>
      </w:r>
      <w:bookmarkStart w:id="68" w:name="_Hlk125470716"/>
      <w:r>
        <w:t xml:space="preserve">-0.88 (± 1.94) </w:t>
      </w:r>
      <w:bookmarkEnd w:id="68"/>
      <w:r>
        <w:t xml:space="preserve">in the placebo group compared with -1.43 (± 2.12) for the </w:t>
      </w:r>
      <w:proofErr w:type="spellStart"/>
      <w:r>
        <w:t>Ryaltris</w:t>
      </w:r>
      <w:proofErr w:type="spellEnd"/>
      <w:r>
        <w:t xml:space="preserve"> group.</w:t>
      </w:r>
    </w:p>
    <w:p w14:paraId="370FA68E" w14:textId="77777777" w:rsidR="00764D48" w:rsidRDefault="00764D48" w:rsidP="00764D48">
      <w:r>
        <w:t xml:space="preserve">The difference between treatments for the average AM and PM reflective TOSS over the whole </w:t>
      </w:r>
      <w:proofErr w:type="gramStart"/>
      <w:r>
        <w:t>14 day</w:t>
      </w:r>
      <w:proofErr w:type="gramEnd"/>
      <w:r>
        <w:t xml:space="preserve"> randomised treatment period in the FAS population is summarised </w:t>
      </w:r>
      <w:r>
        <w:fldChar w:fldCharType="begin"/>
      </w:r>
      <w:r>
        <w:instrText xml:space="preserve"> REF _Ref121757749 \h </w:instrText>
      </w:r>
      <w:r>
        <w:fldChar w:fldCharType="separate"/>
      </w:r>
      <w:r>
        <w:t xml:space="preserve">Table </w:t>
      </w:r>
      <w:r>
        <w:rPr>
          <w:noProof/>
        </w:rPr>
        <w:t>23</w:t>
      </w:r>
      <w:r>
        <w:fldChar w:fldCharType="end"/>
      </w:r>
      <w:r>
        <w:t>. There was no significant difference between treatment arms in LS mean reduction in reflective TOSS (-0.6 versus -0.6 points, p = 0.588).</w:t>
      </w:r>
    </w:p>
    <w:p w14:paraId="6E756562" w14:textId="77777777" w:rsidR="00764D48" w:rsidRDefault="00764D48" w:rsidP="00764D48">
      <w:r>
        <w:t>An analysis for the PPS population was not presented.</w:t>
      </w:r>
    </w:p>
    <w:p w14:paraId="28BF4B9A" w14:textId="77777777" w:rsidR="00764D48" w:rsidRPr="007F7CB3" w:rsidRDefault="00764D48" w:rsidP="00764D48">
      <w:pPr>
        <w:pStyle w:val="Heading7"/>
        <w:rPr>
          <w:i w:val="0"/>
        </w:rPr>
      </w:pPr>
      <w:r w:rsidRPr="007F7CB3">
        <w:t xml:space="preserve">Other ocular symptom endpoints </w:t>
      </w:r>
    </w:p>
    <w:p w14:paraId="4DC4151B" w14:textId="77777777" w:rsidR="00764D48" w:rsidRDefault="00764D48" w:rsidP="00764D48">
      <w:r>
        <w:fldChar w:fldCharType="begin"/>
      </w:r>
      <w:r>
        <w:instrText xml:space="preserve"> REF _Ref121755008 \h </w:instrText>
      </w:r>
      <w:r>
        <w:fldChar w:fldCharType="separate"/>
      </w:r>
      <w:r>
        <w:t xml:space="preserve">Table </w:t>
      </w:r>
      <w:r>
        <w:rPr>
          <w:noProof/>
        </w:rPr>
        <w:t>11</w:t>
      </w:r>
      <w:r>
        <w:fldChar w:fldCharType="end"/>
      </w:r>
      <w:r>
        <w:t xml:space="preserve"> and </w:t>
      </w:r>
      <w:r>
        <w:fldChar w:fldCharType="begin"/>
      </w:r>
      <w:r>
        <w:instrText xml:space="preserve"> REF _Ref124494937 \h </w:instrText>
      </w:r>
      <w:r>
        <w:fldChar w:fldCharType="separate"/>
      </w:r>
      <w:r>
        <w:t xml:space="preserve">Table </w:t>
      </w:r>
      <w:r>
        <w:rPr>
          <w:noProof/>
        </w:rPr>
        <w:t>12</w:t>
      </w:r>
      <w:r>
        <w:fldChar w:fldCharType="end"/>
      </w:r>
      <w:r>
        <w:t xml:space="preserve"> show results for the differences between treatment arms in the change from Baseline in TOSS scores for AM assessments only and evening (PM) assessments only. The results did not indicate a beneficial effect of </w:t>
      </w:r>
      <w:proofErr w:type="spellStart"/>
      <w:r>
        <w:t>Ryaltris</w:t>
      </w:r>
      <w:proofErr w:type="spellEnd"/>
      <w:r>
        <w:t xml:space="preserve"> over placebo.</w:t>
      </w:r>
    </w:p>
    <w:p w14:paraId="766A958E"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575288">
        <w:t xml:space="preserve">Study GSP 301-305 </w:t>
      </w:r>
      <w:r>
        <w:t>Morning (AM) and evening (PM) reflective Total Ocular Symptom Scores</w:t>
      </w:r>
    </w:p>
    <w:p w14:paraId="71F8663D" w14:textId="77777777" w:rsidR="00764D48" w:rsidRDefault="00764D48" w:rsidP="00764D48">
      <w:pPr>
        <w:pStyle w:val="TableTitle0"/>
      </w:pPr>
      <w:r>
        <w:rPr>
          <w:noProof/>
          <w:lang w:val="en-GB" w:eastAsia="en-GB"/>
        </w:rPr>
        <w:drawing>
          <wp:inline distT="0" distB="0" distL="0" distR="0" wp14:anchorId="6AE54E81" wp14:editId="7A018D51">
            <wp:extent cx="4453871" cy="1060046"/>
            <wp:effectExtent l="0" t="0" r="4445" b="6985"/>
            <wp:docPr id="8" name="Picture 8" descr="This table shows the morning and evening reflective total ocular symptom scores for Ryaltris and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table shows the morning and evening reflective total ocular symptom scores for Ryaltris and placebo. "/>
                    <pic:cNvPicPr/>
                  </pic:nvPicPr>
                  <pic:blipFill>
                    <a:blip r:embed="rId32"/>
                    <a:stretch>
                      <a:fillRect/>
                    </a:stretch>
                  </pic:blipFill>
                  <pic:spPr>
                    <a:xfrm>
                      <a:off x="0" y="0"/>
                      <a:ext cx="4482229" cy="1066795"/>
                    </a:xfrm>
                    <a:prstGeom prst="rect">
                      <a:avLst/>
                    </a:prstGeom>
                  </pic:spPr>
                </pic:pic>
              </a:graphicData>
            </a:graphic>
          </wp:inline>
        </w:drawing>
      </w:r>
    </w:p>
    <w:p w14:paraId="61772386" w14:textId="77777777" w:rsidR="00764D48" w:rsidRDefault="00764D48" w:rsidP="00764D48">
      <w:pPr>
        <w:pStyle w:val="TableDescription0"/>
      </w:pPr>
      <w:r>
        <w:t xml:space="preserve">Abbreviations: AM = morning; CI = confidence interval; FAS = full analysis set; LS = least square; NS = nasal spray; PM = evening; </w:t>
      </w:r>
      <w:proofErr w:type="spellStart"/>
      <w:r>
        <w:t>rTOSS</w:t>
      </w:r>
      <w:proofErr w:type="spellEnd"/>
      <w:r>
        <w:t xml:space="preserve"> = reflective total ocular symptom score</w:t>
      </w:r>
    </w:p>
    <w:p w14:paraId="329AC524" w14:textId="77777777" w:rsidR="00764D48" w:rsidRDefault="00764D48" w:rsidP="00764D48">
      <w:pPr>
        <w:pStyle w:val="TableTitle0"/>
      </w:pPr>
      <w:r>
        <w:lastRenderedPageBreak/>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575288">
        <w:t xml:space="preserve">Study GSP 301-305 </w:t>
      </w:r>
      <w:r>
        <w:t>Morning (AM) and evening (PM) instantaneous</w:t>
      </w:r>
      <w:r w:rsidRPr="00575288">
        <w:t xml:space="preserve"> </w:t>
      </w:r>
      <w:r>
        <w:t xml:space="preserve">Total Ocular Symptom Scores </w:t>
      </w:r>
    </w:p>
    <w:p w14:paraId="7689BA69" w14:textId="77777777" w:rsidR="00764D48" w:rsidRDefault="00764D48" w:rsidP="00764D48">
      <w:pPr>
        <w:pStyle w:val="TableTitle0"/>
      </w:pPr>
      <w:r>
        <w:rPr>
          <w:noProof/>
          <w:lang w:val="en-GB" w:eastAsia="en-GB"/>
        </w:rPr>
        <w:drawing>
          <wp:inline distT="0" distB="0" distL="0" distR="0" wp14:anchorId="28975057" wp14:editId="4FF1F372">
            <wp:extent cx="4313867" cy="1047016"/>
            <wp:effectExtent l="0" t="0" r="0" b="1270"/>
            <wp:docPr id="15" name="Picture 15" descr="This table shows the morning and evening instantaneous total ocular symptom scores for Ryaltris and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table shows the morning and evening instantaneous total ocular symptom scores for Ryaltris and placebo.  "/>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347579" cy="1055198"/>
                    </a:xfrm>
                    <a:prstGeom prst="rect">
                      <a:avLst/>
                    </a:prstGeom>
                  </pic:spPr>
                </pic:pic>
              </a:graphicData>
            </a:graphic>
          </wp:inline>
        </w:drawing>
      </w:r>
    </w:p>
    <w:p w14:paraId="1CC14129" w14:textId="77777777" w:rsidR="00764D48" w:rsidRDefault="00764D48" w:rsidP="00764D48">
      <w:pPr>
        <w:pStyle w:val="TableDescription0"/>
      </w:pPr>
      <w:r>
        <w:t xml:space="preserve">Abbreviations: AM = morning; CI = confidence interval; FAS = full analysis set; LS = least square; NS = nasal spray; PM = evening; </w:t>
      </w:r>
      <w:proofErr w:type="spellStart"/>
      <w:r>
        <w:t>iTOSS</w:t>
      </w:r>
      <w:proofErr w:type="spellEnd"/>
      <w:r>
        <w:t xml:space="preserve"> = instantaneous total ocular symptom score.</w:t>
      </w:r>
    </w:p>
    <w:p w14:paraId="3CED94D7" w14:textId="77777777" w:rsidR="00764D48" w:rsidRDefault="00764D48" w:rsidP="00764D48">
      <w:r w:rsidRPr="00C170F6">
        <w:t xml:space="preserve">Results for individual ocular symptoms are shown in </w:t>
      </w:r>
      <w:r>
        <w:fldChar w:fldCharType="begin"/>
      </w:r>
      <w:r>
        <w:instrText xml:space="preserve"> REF _Ref121755131 \h </w:instrText>
      </w:r>
      <w:r>
        <w:fldChar w:fldCharType="separate"/>
      </w:r>
      <w:r>
        <w:t xml:space="preserve">Table </w:t>
      </w:r>
      <w:r>
        <w:rPr>
          <w:noProof/>
        </w:rPr>
        <w:t>13</w:t>
      </w:r>
      <w:r>
        <w:fldChar w:fldCharType="end"/>
      </w:r>
      <w:r w:rsidRPr="00C170F6">
        <w:t>. Overall</w:t>
      </w:r>
      <w:r>
        <w:t>,</w:t>
      </w:r>
      <w:r w:rsidRPr="00C170F6">
        <w:t xml:space="preserve"> these results may suggest a beneficial effect of </w:t>
      </w:r>
      <w:proofErr w:type="spellStart"/>
      <w:r>
        <w:t>Ryaltris</w:t>
      </w:r>
      <w:proofErr w:type="spellEnd"/>
      <w:r w:rsidRPr="00C170F6">
        <w:t xml:space="preserve"> on tearing</w:t>
      </w:r>
      <w:r>
        <w:t xml:space="preserve"> and </w:t>
      </w:r>
      <w:r w:rsidRPr="00C170F6">
        <w:t>watering. However, none of the statistical comparisons were adjusted for multiplicity of testing.</w:t>
      </w:r>
    </w:p>
    <w:p w14:paraId="0173D8DF"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31249A">
        <w:t xml:space="preserve">Study GSP 301-305 </w:t>
      </w:r>
      <w:r>
        <w:t>I</w:t>
      </w:r>
      <w:r w:rsidRPr="0031249A">
        <w:t>ndividual ocular symptom scores</w:t>
      </w:r>
    </w:p>
    <w:p w14:paraId="5453918B" w14:textId="77777777" w:rsidR="00764D48" w:rsidRDefault="00764D48" w:rsidP="00764D48">
      <w:pPr>
        <w:pStyle w:val="TableTitle0"/>
      </w:pPr>
      <w:r>
        <w:rPr>
          <w:noProof/>
          <w:lang w:val="en-GB" w:eastAsia="en-GB"/>
        </w:rPr>
        <w:drawing>
          <wp:inline distT="0" distB="0" distL="0" distR="0" wp14:anchorId="10152E17" wp14:editId="1795DB62">
            <wp:extent cx="5100029" cy="4519499"/>
            <wp:effectExtent l="0" t="0" r="5715" b="0"/>
            <wp:docPr id="16" name="Picture 16" descr="This table describes Study GSP 301-305 individual  reflective and instantaneous ocular symptom scores in the morning and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table describes Study GSP 301-305 individual  reflective and instantaneous ocular symptom scores in the morning and evening."/>
                    <pic:cNvPicPr/>
                  </pic:nvPicPr>
                  <pic:blipFill>
                    <a:blip r:embed="rId35"/>
                    <a:stretch>
                      <a:fillRect/>
                    </a:stretch>
                  </pic:blipFill>
                  <pic:spPr>
                    <a:xfrm>
                      <a:off x="0" y="0"/>
                      <a:ext cx="5104374" cy="4523350"/>
                    </a:xfrm>
                    <a:prstGeom prst="rect">
                      <a:avLst/>
                    </a:prstGeom>
                  </pic:spPr>
                </pic:pic>
              </a:graphicData>
            </a:graphic>
          </wp:inline>
        </w:drawing>
      </w:r>
    </w:p>
    <w:p w14:paraId="2503539F" w14:textId="77777777" w:rsidR="00764D48" w:rsidRDefault="00764D48" w:rsidP="00764D48">
      <w:pPr>
        <w:pStyle w:val="TableDescription0"/>
      </w:pPr>
      <w:r>
        <w:t>Abbreviations: AM = morning; CI = confidence interval; FAS = full analysis set; LS = least square; NS = nasal spray; PM = evening</w:t>
      </w:r>
    </w:p>
    <w:p w14:paraId="0BABBCB4" w14:textId="77777777" w:rsidR="00764D48" w:rsidRDefault="00764D48" w:rsidP="00764D48">
      <w:pPr>
        <w:pStyle w:val="TableDescription0"/>
      </w:pPr>
      <w:r>
        <w:t>*Statistically significant (p &lt; 0.05)</w:t>
      </w:r>
    </w:p>
    <w:p w14:paraId="5672F2DF" w14:textId="77777777" w:rsidR="00764D48" w:rsidRDefault="00764D48" w:rsidP="00764D48">
      <w:r w:rsidRPr="00C170F6">
        <w:t xml:space="preserve">The change from </w:t>
      </w:r>
      <w:r>
        <w:t>Baseline</w:t>
      </w:r>
      <w:r w:rsidRPr="00C170F6">
        <w:t xml:space="preserve"> in the average of AM and PM measurements of r</w:t>
      </w:r>
      <w:r>
        <w:t xml:space="preserve">eflective </w:t>
      </w:r>
      <w:r w:rsidRPr="00C170F6">
        <w:t xml:space="preserve">TOSS for each day is illustrated in </w:t>
      </w:r>
      <w:r>
        <w:fldChar w:fldCharType="begin"/>
      </w:r>
      <w:r>
        <w:instrText xml:space="preserve"> REF _Ref121755224 \h </w:instrText>
      </w:r>
      <w:r>
        <w:fldChar w:fldCharType="separate"/>
      </w:r>
      <w:r>
        <w:t xml:space="preserve">Figure </w:t>
      </w:r>
      <w:r>
        <w:rPr>
          <w:noProof/>
        </w:rPr>
        <w:t>4</w:t>
      </w:r>
      <w:r>
        <w:fldChar w:fldCharType="end"/>
      </w:r>
      <w:r w:rsidRPr="00C170F6">
        <w:t xml:space="preserve">. The analysis suggested some benefit of </w:t>
      </w:r>
      <w:proofErr w:type="spellStart"/>
      <w:r>
        <w:t>Ryaltris</w:t>
      </w:r>
      <w:proofErr w:type="spellEnd"/>
      <w:r w:rsidRPr="00C170F6">
        <w:t xml:space="preserve"> over placebo in the latter half of the 14</w:t>
      </w:r>
      <w:r>
        <w:t>-day</w:t>
      </w:r>
      <w:r w:rsidRPr="00C170F6">
        <w:t xml:space="preserve"> treatment period. No benefit was observed on an analysis of the average of AM and PM measurements of i</w:t>
      </w:r>
      <w:r>
        <w:t xml:space="preserve">nstantaneous </w:t>
      </w:r>
      <w:r w:rsidRPr="00C170F6">
        <w:t>TOSS for each day.</w:t>
      </w:r>
    </w:p>
    <w:p w14:paraId="12DC38AB" w14:textId="77777777" w:rsidR="00764D48" w:rsidRDefault="00764D48" w:rsidP="00764D48">
      <w:pPr>
        <w:pStyle w:val="FigureTitle"/>
      </w:pPr>
      <w:bookmarkStart w:id="69" w:name="_Ref121755224"/>
      <w:bookmarkStart w:id="70" w:name="_Ref121755219"/>
      <w:r>
        <w:lastRenderedPageBreak/>
        <w:t xml:space="preserve">Figure </w:t>
      </w:r>
      <w:r>
        <w:fldChar w:fldCharType="begin"/>
      </w:r>
      <w:r>
        <w:rPr>
          <w:noProof/>
        </w:rPr>
        <w:instrText xml:space="preserve"> SEQ Figure \* ARABIC </w:instrText>
      </w:r>
      <w:r>
        <w:fldChar w:fldCharType="separate"/>
      </w:r>
      <w:r>
        <w:rPr>
          <w:noProof/>
        </w:rPr>
        <w:t>4</w:t>
      </w:r>
      <w:r>
        <w:fldChar w:fldCharType="end"/>
      </w:r>
      <w:bookmarkEnd w:id="69"/>
      <w:r>
        <w:t xml:space="preserve">: </w:t>
      </w:r>
      <w:r w:rsidRPr="00A06765">
        <w:t xml:space="preserve">Study GSP 301-305 </w:t>
      </w:r>
      <w:r>
        <w:t>D</w:t>
      </w:r>
      <w:r w:rsidRPr="00A06765">
        <w:t xml:space="preserve">aily average of </w:t>
      </w:r>
      <w:r>
        <w:t>morning (AM) and evening (PM) r</w:t>
      </w:r>
      <w:r w:rsidRPr="00A06765">
        <w:t xml:space="preserve">eflective </w:t>
      </w:r>
      <w:r>
        <w:t>Total Ocular Symptom Score for the full analysis set</w:t>
      </w:r>
      <w:bookmarkEnd w:id="70"/>
      <w:r>
        <w:t xml:space="preserve"> population</w:t>
      </w:r>
    </w:p>
    <w:p w14:paraId="2576C1ED" w14:textId="77777777" w:rsidR="00764D48" w:rsidRDefault="00764D48" w:rsidP="00764D48">
      <w:pPr>
        <w:pStyle w:val="FigureTitle"/>
      </w:pPr>
      <w:r>
        <w:rPr>
          <w:noProof/>
          <w:lang w:val="en-GB" w:eastAsia="en-GB"/>
        </w:rPr>
        <w:drawing>
          <wp:inline distT="0" distB="0" distL="0" distR="0" wp14:anchorId="6B0E0CD3" wp14:editId="150EECC5">
            <wp:extent cx="5062013" cy="2069687"/>
            <wp:effectExtent l="0" t="0" r="5715" b="6985"/>
            <wp:docPr id="32" name="Picture 32" descr="This figure displays the Study GSP 301-305 daily average of morning and evening reflective total ocular symptom score for the full analysis set over 14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displays the Study GSP 301-305 daily average of morning and evening reflective total ocular symptom score for the full analysis set over 14 days.  "/>
                    <pic:cNvPicPr/>
                  </pic:nvPicPr>
                  <pic:blipFill>
                    <a:blip r:embed="rId36"/>
                    <a:stretch>
                      <a:fillRect/>
                    </a:stretch>
                  </pic:blipFill>
                  <pic:spPr>
                    <a:xfrm>
                      <a:off x="0" y="0"/>
                      <a:ext cx="5079519" cy="2076845"/>
                    </a:xfrm>
                    <a:prstGeom prst="rect">
                      <a:avLst/>
                    </a:prstGeom>
                  </pic:spPr>
                </pic:pic>
              </a:graphicData>
            </a:graphic>
          </wp:inline>
        </w:drawing>
      </w:r>
    </w:p>
    <w:p w14:paraId="57FA77B7" w14:textId="77777777" w:rsidR="00764D48" w:rsidRDefault="00764D48" w:rsidP="00764D48">
      <w:pPr>
        <w:pStyle w:val="FigureDescription"/>
      </w:pPr>
      <w:r>
        <w:t xml:space="preserve">Abbreviations: AM = morning; CI = confidence interval; FAS = full analysis set; LS = least square; PM = evening; </w:t>
      </w:r>
      <w:proofErr w:type="spellStart"/>
      <w:r>
        <w:t>rTOSS</w:t>
      </w:r>
      <w:proofErr w:type="spellEnd"/>
      <w:r>
        <w:t xml:space="preserve"> = reflective total ocular symptom score.</w:t>
      </w:r>
    </w:p>
    <w:p w14:paraId="3ECF806C" w14:textId="77777777" w:rsidR="00764D48" w:rsidRPr="00FC588F" w:rsidRDefault="00764D48" w:rsidP="00764D48">
      <w:pPr>
        <w:pStyle w:val="FigureDescription"/>
      </w:pPr>
      <w:r w:rsidRPr="00FC588F">
        <w:t>*Statistically significant (</w:t>
      </w:r>
      <w:r>
        <w:t>p</w:t>
      </w:r>
      <w:r w:rsidRPr="00FC588F">
        <w:t xml:space="preserve"> &lt; 0.05)</w:t>
      </w:r>
    </w:p>
    <w:p w14:paraId="397E7A03" w14:textId="77777777" w:rsidR="00764D48" w:rsidRPr="00330B6B" w:rsidRDefault="00764D48" w:rsidP="00764D48">
      <w:pPr>
        <w:pStyle w:val="Heading7"/>
      </w:pPr>
      <w:r w:rsidRPr="007F7CB3">
        <w:t>Non-nasal symptoms scores</w:t>
      </w:r>
    </w:p>
    <w:p w14:paraId="441BA992" w14:textId="77777777" w:rsidR="00764D48" w:rsidRDefault="00764D48" w:rsidP="00764D48">
      <w:r>
        <w:t>Results for total non-nasal symptom scores (TNNSS);</w:t>
      </w:r>
      <w:r>
        <w:rPr>
          <w:rStyle w:val="FootnoteReference"/>
        </w:rPr>
        <w:footnoteReference w:id="17"/>
      </w:r>
      <w:r>
        <w:t xml:space="preserve"> are summarised in </w:t>
      </w:r>
      <w:r>
        <w:fldChar w:fldCharType="begin"/>
      </w:r>
      <w:r>
        <w:instrText xml:space="preserve"> REF _Ref121835411 \h </w:instrText>
      </w:r>
      <w:r>
        <w:fldChar w:fldCharType="separate"/>
      </w:r>
      <w:r>
        <w:t xml:space="preserve">Table </w:t>
      </w:r>
      <w:r>
        <w:rPr>
          <w:noProof/>
        </w:rPr>
        <w:t>14</w:t>
      </w:r>
      <w:r>
        <w:fldChar w:fldCharType="end"/>
      </w:r>
      <w:r>
        <w:t xml:space="preserve">, </w:t>
      </w:r>
      <w:r>
        <w:fldChar w:fldCharType="begin"/>
      </w:r>
      <w:r>
        <w:instrText xml:space="preserve"> REF _Ref124498368 \h </w:instrText>
      </w:r>
      <w:r>
        <w:fldChar w:fldCharType="separate"/>
      </w:r>
      <w:r>
        <w:t xml:space="preserve">Table </w:t>
      </w:r>
      <w:r>
        <w:rPr>
          <w:noProof/>
        </w:rPr>
        <w:t>15</w:t>
      </w:r>
      <w:r>
        <w:fldChar w:fldCharType="end"/>
      </w:r>
      <w:r>
        <w:t xml:space="preserve"> and </w:t>
      </w:r>
      <w:r>
        <w:fldChar w:fldCharType="begin"/>
      </w:r>
      <w:r>
        <w:instrText xml:space="preserve"> REF _Ref124498375 \h </w:instrText>
      </w:r>
      <w:r>
        <w:fldChar w:fldCharType="separate"/>
      </w:r>
      <w:r>
        <w:t xml:space="preserve">Table </w:t>
      </w:r>
      <w:r>
        <w:rPr>
          <w:noProof/>
        </w:rPr>
        <w:t>16</w:t>
      </w:r>
      <w:r>
        <w:fldChar w:fldCharType="end"/>
      </w:r>
      <w:r>
        <w:t xml:space="preserve">. Consistent with the findings for ocular symptoms </w:t>
      </w:r>
      <w:proofErr w:type="spellStart"/>
      <w:r>
        <w:t>Ryaltris</w:t>
      </w:r>
      <w:proofErr w:type="spellEnd"/>
      <w:r>
        <w:t xml:space="preserve"> did not demonstrate any significant improvement over placebo treatment. There was no significant benefit for the symptom of itching of the ears or palate.</w:t>
      </w:r>
    </w:p>
    <w:p w14:paraId="74450FC4" w14:textId="77777777" w:rsidR="00764D48" w:rsidRDefault="00764D48" w:rsidP="00764D48">
      <w:r>
        <w:t xml:space="preserve">Daily results for reflective TNNSS and instantaneous TNNSS were </w:t>
      </w:r>
      <w:proofErr w:type="gramStart"/>
      <w:r>
        <w:t>similar to</w:t>
      </w:r>
      <w:proofErr w:type="gramEnd"/>
      <w:r>
        <w:t xml:space="preserve"> those observed for reflective TOSS and instantaneous TOSS respectively.</w:t>
      </w:r>
    </w:p>
    <w:p w14:paraId="187AC838"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14</w:t>
      </w:r>
      <w:r>
        <w:rPr>
          <w:noProof/>
        </w:rPr>
        <w:fldChar w:fldCharType="end"/>
      </w:r>
      <w:r>
        <w:t xml:space="preserve">: </w:t>
      </w:r>
      <w:r w:rsidRPr="00CC76E3">
        <w:t xml:space="preserve">Study GSP 301-305 </w:t>
      </w:r>
      <w:r>
        <w:t>Average morning (AM) and evening (PM) scores for T</w:t>
      </w:r>
      <w:r w:rsidRPr="00CC76E3">
        <w:t xml:space="preserve">otal </w:t>
      </w:r>
      <w:r>
        <w:t>N</w:t>
      </w:r>
      <w:r w:rsidRPr="00CC76E3">
        <w:t>on-</w:t>
      </w:r>
      <w:r>
        <w:t>N</w:t>
      </w:r>
      <w:r w:rsidRPr="00CC76E3">
        <w:t xml:space="preserve">asal </w:t>
      </w:r>
      <w:r>
        <w:t>S</w:t>
      </w:r>
      <w:r w:rsidRPr="00CC76E3">
        <w:t xml:space="preserve">ymptom </w:t>
      </w:r>
      <w:r>
        <w:t>S</w:t>
      </w:r>
      <w:r w:rsidRPr="00CC76E3">
        <w:t>cores</w:t>
      </w:r>
    </w:p>
    <w:p w14:paraId="395FC31E" w14:textId="77777777" w:rsidR="00764D48" w:rsidRDefault="00764D48" w:rsidP="00764D48">
      <w:pPr>
        <w:pStyle w:val="TableTitle0"/>
      </w:pPr>
      <w:r>
        <w:rPr>
          <w:noProof/>
          <w:lang w:val="en-GB" w:eastAsia="en-GB"/>
        </w:rPr>
        <w:drawing>
          <wp:inline distT="0" distB="0" distL="0" distR="0" wp14:anchorId="789E0D9E" wp14:editId="627D4E3F">
            <wp:extent cx="4493247" cy="1040359"/>
            <wp:effectExtent l="0" t="0" r="3175" b="7620"/>
            <wp:docPr id="20" name="Picture 20" descr="This table shows average morning and evening reflective and instantaneous total non-nasal symptom sc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table shows average morning and evening reflective and instantaneous total non-nasal symptom scores. "/>
                    <pic:cNvPicPr/>
                  </pic:nvPicPr>
                  <pic:blipFill>
                    <a:blip r:embed="rId37"/>
                    <a:stretch>
                      <a:fillRect/>
                    </a:stretch>
                  </pic:blipFill>
                  <pic:spPr>
                    <a:xfrm>
                      <a:off x="0" y="0"/>
                      <a:ext cx="4524562" cy="1047610"/>
                    </a:xfrm>
                    <a:prstGeom prst="rect">
                      <a:avLst/>
                    </a:prstGeom>
                  </pic:spPr>
                </pic:pic>
              </a:graphicData>
            </a:graphic>
          </wp:inline>
        </w:drawing>
      </w:r>
    </w:p>
    <w:p w14:paraId="29CD2746" w14:textId="77777777" w:rsidR="00764D48" w:rsidRDefault="00764D48" w:rsidP="00764D48">
      <w:pPr>
        <w:pStyle w:val="TableDescription0"/>
      </w:pPr>
      <w:r>
        <w:t xml:space="preserve">Abbreviations: AM = morning; CI = confidence interval; FAS = full analysis set; </w:t>
      </w:r>
      <w:proofErr w:type="spellStart"/>
      <w:r>
        <w:t>iTNNSS</w:t>
      </w:r>
      <w:proofErr w:type="spellEnd"/>
      <w:r>
        <w:t xml:space="preserve"> = instantaneous total non-nasal symptom score; LS = least square; NS = nasal spray; PM = evening; </w:t>
      </w:r>
      <w:proofErr w:type="spellStart"/>
      <w:r>
        <w:t>rTNNSS</w:t>
      </w:r>
      <w:proofErr w:type="spellEnd"/>
      <w:r>
        <w:t xml:space="preserve"> = reflective total non-nasal symptom score.</w:t>
      </w:r>
    </w:p>
    <w:p w14:paraId="3E6865F2"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15</w:t>
      </w:r>
      <w:r>
        <w:rPr>
          <w:noProof/>
        </w:rPr>
        <w:fldChar w:fldCharType="end"/>
      </w:r>
      <w:r>
        <w:t xml:space="preserve">: </w:t>
      </w:r>
      <w:r w:rsidRPr="00CC76E3">
        <w:t xml:space="preserve">Study GSP 301-305 </w:t>
      </w:r>
      <w:r>
        <w:t>Morning (AM) and evening (PM) scores for T</w:t>
      </w:r>
      <w:r w:rsidRPr="00CC76E3">
        <w:t xml:space="preserve">otal </w:t>
      </w:r>
      <w:r>
        <w:t>N</w:t>
      </w:r>
      <w:r w:rsidRPr="00CC76E3">
        <w:t>on</w:t>
      </w:r>
      <w:r>
        <w:noBreakHyphen/>
        <w:t>N</w:t>
      </w:r>
      <w:r w:rsidRPr="00CC76E3">
        <w:t xml:space="preserve">asal </w:t>
      </w:r>
      <w:r>
        <w:t>S</w:t>
      </w:r>
      <w:r w:rsidRPr="00CC76E3">
        <w:t xml:space="preserve">ymptom </w:t>
      </w:r>
      <w:r>
        <w:t>S</w:t>
      </w:r>
      <w:r w:rsidRPr="00CC76E3">
        <w:t>cores</w:t>
      </w:r>
    </w:p>
    <w:p w14:paraId="461BD3A0" w14:textId="77777777" w:rsidR="00764D48" w:rsidRDefault="00764D48" w:rsidP="00764D48">
      <w:pPr>
        <w:pStyle w:val="TableDescription0"/>
      </w:pPr>
      <w:r>
        <w:rPr>
          <w:noProof/>
          <w:lang w:val="en-GB" w:eastAsia="en-GB"/>
        </w:rPr>
        <w:drawing>
          <wp:inline distT="0" distB="0" distL="0" distR="0" wp14:anchorId="7C2FBDCB" wp14:editId="4E911F10">
            <wp:extent cx="4615751" cy="1306457"/>
            <wp:effectExtent l="0" t="0" r="0" b="8255"/>
            <wp:docPr id="21" name="Picture 21" descr="This table shows average morning and evening reflective and instantaneous total non-nasal symptom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table shows average morning and evening reflective and instantaneous total non-nasal symptom scores."/>
                    <pic:cNvPicPr/>
                  </pic:nvPicPr>
                  <pic:blipFill>
                    <a:blip r:embed="rId38"/>
                    <a:stretch>
                      <a:fillRect/>
                    </a:stretch>
                  </pic:blipFill>
                  <pic:spPr>
                    <a:xfrm>
                      <a:off x="0" y="0"/>
                      <a:ext cx="4643533" cy="1314321"/>
                    </a:xfrm>
                    <a:prstGeom prst="rect">
                      <a:avLst/>
                    </a:prstGeom>
                  </pic:spPr>
                </pic:pic>
              </a:graphicData>
            </a:graphic>
          </wp:inline>
        </w:drawing>
      </w:r>
    </w:p>
    <w:p w14:paraId="34926B61" w14:textId="77777777" w:rsidR="00764D48" w:rsidRDefault="00764D48" w:rsidP="00764D48">
      <w:pPr>
        <w:pStyle w:val="TableDescription0"/>
      </w:pPr>
      <w:r>
        <w:lastRenderedPageBreak/>
        <w:t xml:space="preserve">Abbreviations: AM = morning; CI = confidence interval; FAS = full analysis set; </w:t>
      </w:r>
      <w:proofErr w:type="spellStart"/>
      <w:r>
        <w:t>iTNNSS</w:t>
      </w:r>
      <w:proofErr w:type="spellEnd"/>
      <w:r>
        <w:t xml:space="preserve"> = instantaneous total non-nasal symptom score; LS = least square; NS = nasal spray; PM = evening; </w:t>
      </w:r>
      <w:proofErr w:type="spellStart"/>
      <w:r>
        <w:t>rTNNSS</w:t>
      </w:r>
      <w:proofErr w:type="spellEnd"/>
      <w:r>
        <w:t xml:space="preserve"> = reflective total non-nasal symptom score.</w:t>
      </w:r>
    </w:p>
    <w:p w14:paraId="702E424D"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16</w:t>
      </w:r>
      <w:r>
        <w:rPr>
          <w:noProof/>
        </w:rPr>
        <w:fldChar w:fldCharType="end"/>
      </w:r>
      <w:r>
        <w:t xml:space="preserve">: </w:t>
      </w:r>
      <w:r w:rsidRPr="00CC76E3">
        <w:t xml:space="preserve">Study GSP 301-305 </w:t>
      </w:r>
      <w:r>
        <w:t>Scores for itching of ears and palate</w:t>
      </w:r>
    </w:p>
    <w:p w14:paraId="39B26A8D" w14:textId="77777777" w:rsidR="00764D48" w:rsidRDefault="00764D48" w:rsidP="00764D48">
      <w:pPr>
        <w:pStyle w:val="TableDescription0"/>
      </w:pPr>
      <w:r>
        <w:rPr>
          <w:noProof/>
          <w:lang w:val="en-GB" w:eastAsia="en-GB"/>
        </w:rPr>
        <w:drawing>
          <wp:inline distT="0" distB="0" distL="0" distR="0" wp14:anchorId="30618EA4" wp14:editId="29A9FDA6">
            <wp:extent cx="5049990" cy="1833175"/>
            <wp:effectExtent l="0" t="0" r="0" b="0"/>
            <wp:docPr id="22" name="Picture 22" descr="This table shows the scores for itching of ears and pa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table shows the scores for itching of ears and palate."/>
                    <pic:cNvPicPr/>
                  </pic:nvPicPr>
                  <pic:blipFill>
                    <a:blip r:embed="rId39"/>
                    <a:stretch>
                      <a:fillRect/>
                    </a:stretch>
                  </pic:blipFill>
                  <pic:spPr>
                    <a:xfrm>
                      <a:off x="0" y="0"/>
                      <a:ext cx="5056380" cy="1835495"/>
                    </a:xfrm>
                    <a:prstGeom prst="rect">
                      <a:avLst/>
                    </a:prstGeom>
                  </pic:spPr>
                </pic:pic>
              </a:graphicData>
            </a:graphic>
          </wp:inline>
        </w:drawing>
      </w:r>
      <w:r>
        <w:t xml:space="preserve">Abbreviations: AM = morning; CI = confidence interval; FAS = full analysis </w:t>
      </w:r>
      <w:proofErr w:type="gramStart"/>
      <w:r>
        <w:t>set;;</w:t>
      </w:r>
      <w:proofErr w:type="gramEnd"/>
      <w:r>
        <w:t xml:space="preserve"> LS = least square; NS = nasal spray; PM = evening</w:t>
      </w:r>
    </w:p>
    <w:p w14:paraId="0CAE7054" w14:textId="77777777" w:rsidR="00764D48" w:rsidRDefault="00764D48" w:rsidP="00764D48">
      <w:pPr>
        <w:pStyle w:val="Heading6"/>
      </w:pPr>
      <w:r>
        <w:t>Results for other endpoints</w:t>
      </w:r>
    </w:p>
    <w:p w14:paraId="1B17F679" w14:textId="2D91A689" w:rsidR="00764D48" w:rsidRPr="007F7CB3" w:rsidRDefault="00764D48" w:rsidP="00764D48">
      <w:pPr>
        <w:pStyle w:val="Heading7"/>
        <w:rPr>
          <w:sz w:val="24"/>
          <w:lang w:eastAsia="ja-JP"/>
        </w:rPr>
      </w:pPr>
      <w:r w:rsidRPr="007F7CB3">
        <w:rPr>
          <w:lang w:eastAsia="ja-JP"/>
        </w:rPr>
        <w:t>Physician assessed nasal symptom score</w:t>
      </w:r>
    </w:p>
    <w:p w14:paraId="01573D07" w14:textId="77777777" w:rsidR="00764D48" w:rsidRDefault="00764D48" w:rsidP="00764D48">
      <w:pPr>
        <w:rPr>
          <w:lang w:eastAsia="ja-JP"/>
        </w:rPr>
      </w:pPr>
      <w:r>
        <w:rPr>
          <w:lang w:eastAsia="ja-JP"/>
        </w:rPr>
        <w:t xml:space="preserve">See </w:t>
      </w:r>
      <w:r w:rsidRPr="007F7CB3">
        <w:rPr>
          <w:i/>
          <w:lang w:eastAsia="ja-JP"/>
        </w:rPr>
        <w:fldChar w:fldCharType="begin"/>
      </w:r>
      <w:r w:rsidRPr="007F7CB3">
        <w:rPr>
          <w:i/>
          <w:lang w:eastAsia="ja-JP"/>
        </w:rPr>
        <w:instrText xml:space="preserve"> REF _Ref129861249 \h </w:instrText>
      </w:r>
      <w:r>
        <w:rPr>
          <w:i/>
          <w:lang w:eastAsia="ja-JP"/>
        </w:rPr>
        <w:instrText xml:space="preserve"> \* MERGEFORMAT </w:instrText>
      </w:r>
      <w:r w:rsidRPr="007F7CB3">
        <w:rPr>
          <w:i/>
          <w:lang w:eastAsia="ja-JP"/>
        </w:rPr>
      </w:r>
      <w:r w:rsidRPr="007F7CB3">
        <w:rPr>
          <w:i/>
          <w:lang w:eastAsia="ja-JP"/>
        </w:rPr>
        <w:fldChar w:fldCharType="separate"/>
      </w:r>
      <w:r w:rsidRPr="007F7CB3">
        <w:rPr>
          <w:i/>
        </w:rPr>
        <w:t>Other efficacy endpoints</w:t>
      </w:r>
      <w:r w:rsidRPr="007F7CB3">
        <w:rPr>
          <w:i/>
          <w:lang w:eastAsia="ja-JP"/>
        </w:rPr>
        <w:fldChar w:fldCharType="end"/>
      </w:r>
      <w:r>
        <w:rPr>
          <w:lang w:eastAsia="ja-JP"/>
        </w:rPr>
        <w:t xml:space="preserve"> for more information. The mean overall scores at Baseline were similar (7.8 ± 2.2 in the placebo arm and 7.8 ± 0.23 in the </w:t>
      </w:r>
      <w:proofErr w:type="spellStart"/>
      <w:r>
        <w:t>Ryaltris</w:t>
      </w:r>
      <w:proofErr w:type="spellEnd"/>
      <w:r>
        <w:rPr>
          <w:lang w:eastAsia="ja-JP"/>
        </w:rPr>
        <w:t xml:space="preserve"> arm). In both groups, Baseline scores ranged from 0 to 12. The mean (±SD) change from Baseline on Day 15 in the FAS population was -2.6 (± 3.3) for the placebo arm compared with –3.7 (± 3.0) for the </w:t>
      </w:r>
      <w:proofErr w:type="spellStart"/>
      <w:r>
        <w:t>Ryaltris</w:t>
      </w:r>
      <w:proofErr w:type="spellEnd"/>
      <w:r>
        <w:rPr>
          <w:lang w:eastAsia="ja-JP"/>
        </w:rPr>
        <w:t xml:space="preserve"> arm. The difference was nominally statistically significant (p = 0.010).</w:t>
      </w:r>
    </w:p>
    <w:p w14:paraId="0ACCEA72" w14:textId="77777777" w:rsidR="00764D48" w:rsidRPr="007F7CB3" w:rsidRDefault="00764D48" w:rsidP="00764D48">
      <w:pPr>
        <w:pStyle w:val="Heading7"/>
        <w:rPr>
          <w:iCs w:val="0"/>
          <w:lang w:eastAsia="ja-JP"/>
        </w:rPr>
      </w:pPr>
      <w:r w:rsidRPr="007F7CB3">
        <w:rPr>
          <w:lang w:eastAsia="ja-JP"/>
        </w:rPr>
        <w:t xml:space="preserve">Individual domain scores for the </w:t>
      </w:r>
      <w:r w:rsidRPr="007F7CB3">
        <w:t xml:space="preserve">Paediatric </w:t>
      </w:r>
      <w:proofErr w:type="spellStart"/>
      <w:r w:rsidRPr="007F7CB3">
        <w:t>Rhinoconjunctivitis</w:t>
      </w:r>
      <w:proofErr w:type="spellEnd"/>
      <w:r w:rsidRPr="007F7CB3">
        <w:t xml:space="preserve"> Quality of Life Questionnaire (PRQLQ)</w:t>
      </w:r>
    </w:p>
    <w:p w14:paraId="724AD408" w14:textId="77777777" w:rsidR="00764D48" w:rsidRDefault="00764D48" w:rsidP="00764D48">
      <w:pPr>
        <w:rPr>
          <w:lang w:eastAsia="ja-JP"/>
        </w:rPr>
      </w:pPr>
      <w:r>
        <w:rPr>
          <w:lang w:eastAsia="ja-JP"/>
        </w:rPr>
        <w:t>Improvement in PRQLQ;</w:t>
      </w:r>
      <w:r w:rsidRPr="007F7CB3">
        <w:rPr>
          <w:vertAlign w:val="superscript"/>
          <w:lang w:eastAsia="ja-JP"/>
        </w:rPr>
        <w:fldChar w:fldCharType="begin"/>
      </w:r>
      <w:r w:rsidRPr="007F7CB3">
        <w:rPr>
          <w:vertAlign w:val="superscript"/>
          <w:lang w:eastAsia="ja-JP"/>
        </w:rPr>
        <w:instrText xml:space="preserve"> NOTEREF _Ref129781171 \h </w:instrText>
      </w:r>
      <w:r>
        <w:rPr>
          <w:vertAlign w:val="superscript"/>
          <w:lang w:eastAsia="ja-JP"/>
        </w:rPr>
        <w:instrText xml:space="preserve"> \* MERGEFORMAT </w:instrText>
      </w:r>
      <w:r w:rsidRPr="007F7CB3">
        <w:rPr>
          <w:vertAlign w:val="superscript"/>
          <w:lang w:eastAsia="ja-JP"/>
        </w:rPr>
      </w:r>
      <w:r w:rsidRPr="007F7CB3">
        <w:rPr>
          <w:vertAlign w:val="superscript"/>
          <w:lang w:eastAsia="ja-JP"/>
        </w:rPr>
        <w:fldChar w:fldCharType="separate"/>
      </w:r>
      <w:r w:rsidRPr="007F7CB3">
        <w:rPr>
          <w:vertAlign w:val="superscript"/>
          <w:lang w:eastAsia="ja-JP"/>
        </w:rPr>
        <w:t>16</w:t>
      </w:r>
      <w:r w:rsidRPr="007F7CB3">
        <w:rPr>
          <w:vertAlign w:val="superscript"/>
          <w:lang w:eastAsia="ja-JP"/>
        </w:rPr>
        <w:fldChar w:fldCharType="end"/>
      </w:r>
      <w:r>
        <w:rPr>
          <w:lang w:eastAsia="ja-JP"/>
        </w:rPr>
        <w:t xml:space="preserve"> from Baseline was significantly greater in the </w:t>
      </w:r>
      <w:proofErr w:type="spellStart"/>
      <w:r>
        <w:t>Ryaltris</w:t>
      </w:r>
      <w:proofErr w:type="spellEnd"/>
      <w:r>
        <w:rPr>
          <w:lang w:eastAsia="ja-JP"/>
        </w:rPr>
        <w:t xml:space="preserve"> arm for four of the five individual domain scores (see </w:t>
      </w:r>
      <w:r>
        <w:rPr>
          <w:lang w:eastAsia="ja-JP"/>
        </w:rPr>
        <w:fldChar w:fldCharType="begin"/>
      </w:r>
      <w:r>
        <w:rPr>
          <w:lang w:eastAsia="ja-JP"/>
        </w:rPr>
        <w:instrText xml:space="preserve"> REF _Ref121755941 \h </w:instrText>
      </w:r>
      <w:r>
        <w:rPr>
          <w:lang w:eastAsia="ja-JP"/>
        </w:rPr>
      </w:r>
      <w:r>
        <w:rPr>
          <w:lang w:eastAsia="ja-JP"/>
        </w:rPr>
        <w:fldChar w:fldCharType="separate"/>
      </w:r>
      <w:r>
        <w:t xml:space="preserve">Table </w:t>
      </w:r>
      <w:r>
        <w:rPr>
          <w:noProof/>
        </w:rPr>
        <w:t>17</w:t>
      </w:r>
      <w:r>
        <w:rPr>
          <w:lang w:eastAsia="ja-JP"/>
        </w:rPr>
        <w:fldChar w:fldCharType="end"/>
      </w:r>
      <w:r>
        <w:rPr>
          <w:lang w:eastAsia="ja-JP"/>
        </w:rPr>
        <w:t>).</w:t>
      </w:r>
    </w:p>
    <w:p w14:paraId="3BB51A39" w14:textId="47E54F2F" w:rsidR="00764D48" w:rsidRDefault="00764D48" w:rsidP="00764D48">
      <w:pPr>
        <w:pStyle w:val="TableTitle0"/>
      </w:pPr>
      <w:r>
        <w:t xml:space="preserve">Table </w:t>
      </w:r>
      <w:r>
        <w:fldChar w:fldCharType="begin"/>
      </w:r>
      <w:r>
        <w:instrText xml:space="preserve"> SEQ Table \* ARABIC </w:instrText>
      </w:r>
      <w:r>
        <w:fldChar w:fldCharType="separate"/>
      </w:r>
      <w:r>
        <w:rPr>
          <w:noProof/>
        </w:rPr>
        <w:t>17</w:t>
      </w:r>
      <w:r>
        <w:rPr>
          <w:noProof/>
        </w:rPr>
        <w:fldChar w:fldCharType="end"/>
      </w:r>
      <w:r>
        <w:t xml:space="preserve">: </w:t>
      </w:r>
      <w:r w:rsidRPr="00CC76E3">
        <w:t>Study GSP 301-305</w:t>
      </w:r>
      <w:r>
        <w:t xml:space="preserve"> Paediatric </w:t>
      </w:r>
      <w:proofErr w:type="spellStart"/>
      <w:r>
        <w:t>Rhinoconjunctivitis</w:t>
      </w:r>
      <w:proofErr w:type="spellEnd"/>
      <w:r>
        <w:t xml:space="preserve"> Quality of Life Questionnaire (PRQLQ) domain scores</w:t>
      </w:r>
    </w:p>
    <w:tbl>
      <w:tblPr>
        <w:tblStyle w:val="TableTGAblue2023"/>
        <w:tblW w:w="9060" w:type="dxa"/>
        <w:tblLook w:val="04A0" w:firstRow="1" w:lastRow="0" w:firstColumn="1" w:lastColumn="0" w:noHBand="0" w:noVBand="1"/>
      </w:tblPr>
      <w:tblGrid>
        <w:gridCol w:w="3326"/>
        <w:gridCol w:w="2974"/>
        <w:gridCol w:w="2760"/>
      </w:tblGrid>
      <w:tr w:rsidR="00A81EEF" w14:paraId="02F8595E" w14:textId="6EBAAD57" w:rsidTr="00A8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6" w:type="dxa"/>
          </w:tcPr>
          <w:p w14:paraId="0B436E16" w14:textId="64F86867" w:rsidR="00A81EEF" w:rsidRDefault="00A81EEF" w:rsidP="00D07F72">
            <w:r w:rsidRPr="00A81EEF">
              <w:t>Domain score</w:t>
            </w:r>
          </w:p>
        </w:tc>
        <w:tc>
          <w:tcPr>
            <w:tcW w:w="2974" w:type="dxa"/>
          </w:tcPr>
          <w:p w14:paraId="34E2FC5D" w14:textId="27E6DF7A" w:rsidR="00A81EEF" w:rsidRDefault="00A81EEF" w:rsidP="00D07F72">
            <w:pPr>
              <w:cnfStyle w:val="100000000000" w:firstRow="1" w:lastRow="0" w:firstColumn="0" w:lastColumn="0" w:oddVBand="0" w:evenVBand="0" w:oddHBand="0" w:evenHBand="0" w:firstRowFirstColumn="0" w:firstRowLastColumn="0" w:lastRowFirstColumn="0" w:lastRowLastColumn="0"/>
            </w:pPr>
            <w:r w:rsidRPr="00A81EEF">
              <w:t>LS mean</w:t>
            </w:r>
          </w:p>
        </w:tc>
        <w:tc>
          <w:tcPr>
            <w:tcW w:w="2760" w:type="dxa"/>
          </w:tcPr>
          <w:p w14:paraId="0A98D6F9" w14:textId="475CB9C3" w:rsidR="00A81EEF" w:rsidRDefault="00A81EEF" w:rsidP="00D07F72">
            <w:pPr>
              <w:cnfStyle w:val="100000000000" w:firstRow="1" w:lastRow="0" w:firstColumn="0" w:lastColumn="0" w:oddVBand="0" w:evenVBand="0" w:oddHBand="0" w:evenHBand="0" w:firstRowFirstColumn="0" w:firstRowLastColumn="0" w:lastRowFirstColumn="0" w:lastRowLastColumn="0"/>
            </w:pPr>
            <w:r w:rsidRPr="00A81EEF">
              <w:t>p-value</w:t>
            </w:r>
          </w:p>
        </w:tc>
      </w:tr>
      <w:tr w:rsidR="00A81EEF" w14:paraId="5D12EC11" w14:textId="247BC562" w:rsidTr="00A81EEF">
        <w:tc>
          <w:tcPr>
            <w:cnfStyle w:val="001000000000" w:firstRow="0" w:lastRow="0" w:firstColumn="1" w:lastColumn="0" w:oddVBand="0" w:evenVBand="0" w:oddHBand="0" w:evenHBand="0" w:firstRowFirstColumn="0" w:firstRowLastColumn="0" w:lastRowFirstColumn="0" w:lastRowLastColumn="0"/>
            <w:tcW w:w="3326" w:type="dxa"/>
          </w:tcPr>
          <w:p w14:paraId="0C890A5C" w14:textId="001D9CE8" w:rsidR="00A81EEF" w:rsidRDefault="00A81EEF" w:rsidP="00A81EEF">
            <w:r w:rsidRPr="00624054">
              <w:t>Activities</w:t>
            </w:r>
          </w:p>
        </w:tc>
        <w:tc>
          <w:tcPr>
            <w:tcW w:w="2974" w:type="dxa"/>
          </w:tcPr>
          <w:p w14:paraId="005F24C9" w14:textId="0B1920FD"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-0.7 versus -0.5</w:t>
            </w:r>
          </w:p>
        </w:tc>
        <w:tc>
          <w:tcPr>
            <w:tcW w:w="2760" w:type="dxa"/>
          </w:tcPr>
          <w:p w14:paraId="3B4FF98C" w14:textId="5E133FEF"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p = 0.043</w:t>
            </w:r>
          </w:p>
        </w:tc>
      </w:tr>
      <w:tr w:rsidR="00A81EEF" w14:paraId="41BE9461" w14:textId="06254B80" w:rsidTr="00A81EEF">
        <w:tc>
          <w:tcPr>
            <w:cnfStyle w:val="001000000000" w:firstRow="0" w:lastRow="0" w:firstColumn="1" w:lastColumn="0" w:oddVBand="0" w:evenVBand="0" w:oddHBand="0" w:evenHBand="0" w:firstRowFirstColumn="0" w:firstRowLastColumn="0" w:lastRowFirstColumn="0" w:lastRowLastColumn="0"/>
            <w:tcW w:w="3326" w:type="dxa"/>
          </w:tcPr>
          <w:p w14:paraId="39F73231" w14:textId="23889A9E" w:rsidR="00A81EEF" w:rsidRDefault="00A81EEF" w:rsidP="00A81EEF">
            <w:r w:rsidRPr="00624054">
              <w:t>Practical problems</w:t>
            </w:r>
          </w:p>
        </w:tc>
        <w:tc>
          <w:tcPr>
            <w:tcW w:w="2974" w:type="dxa"/>
          </w:tcPr>
          <w:p w14:paraId="5B4D5B90" w14:textId="4AA0720B"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-0.8 versus -0.5</w:t>
            </w:r>
          </w:p>
        </w:tc>
        <w:tc>
          <w:tcPr>
            <w:tcW w:w="2760" w:type="dxa"/>
          </w:tcPr>
          <w:p w14:paraId="5FCE2698" w14:textId="0843F740"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p = 0.006</w:t>
            </w:r>
          </w:p>
        </w:tc>
      </w:tr>
      <w:tr w:rsidR="00A81EEF" w14:paraId="6A3A4438" w14:textId="02AB7ECC" w:rsidTr="00A81EEF">
        <w:tc>
          <w:tcPr>
            <w:cnfStyle w:val="001000000000" w:firstRow="0" w:lastRow="0" w:firstColumn="1" w:lastColumn="0" w:oddVBand="0" w:evenVBand="0" w:oddHBand="0" w:evenHBand="0" w:firstRowFirstColumn="0" w:firstRowLastColumn="0" w:lastRowFirstColumn="0" w:lastRowLastColumn="0"/>
            <w:tcW w:w="3326" w:type="dxa"/>
          </w:tcPr>
          <w:p w14:paraId="474F2AC0" w14:textId="32711144" w:rsidR="00A81EEF" w:rsidRDefault="00A81EEF" w:rsidP="00A81EEF">
            <w:r w:rsidRPr="00624054">
              <w:t>Nose symptoms</w:t>
            </w:r>
          </w:p>
        </w:tc>
        <w:tc>
          <w:tcPr>
            <w:tcW w:w="2974" w:type="dxa"/>
          </w:tcPr>
          <w:p w14:paraId="4327D59A" w14:textId="36B02E54"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-1.1 versus -0.4</w:t>
            </w:r>
          </w:p>
        </w:tc>
        <w:tc>
          <w:tcPr>
            <w:tcW w:w="2760" w:type="dxa"/>
          </w:tcPr>
          <w:p w14:paraId="082C08F7" w14:textId="1FEE1114"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p &lt; 0.001</w:t>
            </w:r>
          </w:p>
        </w:tc>
      </w:tr>
      <w:tr w:rsidR="00A81EEF" w14:paraId="0180A0F1" w14:textId="1C60AFB2" w:rsidTr="00A81EEF">
        <w:tc>
          <w:tcPr>
            <w:cnfStyle w:val="001000000000" w:firstRow="0" w:lastRow="0" w:firstColumn="1" w:lastColumn="0" w:oddVBand="0" w:evenVBand="0" w:oddHBand="0" w:evenHBand="0" w:firstRowFirstColumn="0" w:firstRowLastColumn="0" w:lastRowFirstColumn="0" w:lastRowLastColumn="0"/>
            <w:tcW w:w="3326" w:type="dxa"/>
          </w:tcPr>
          <w:p w14:paraId="5857F8ED" w14:textId="0B11E776" w:rsidR="00A81EEF" w:rsidRDefault="00A81EEF" w:rsidP="00A81EEF">
            <w:r w:rsidRPr="00624054">
              <w:t>Eye symptoms</w:t>
            </w:r>
          </w:p>
        </w:tc>
        <w:tc>
          <w:tcPr>
            <w:tcW w:w="2974" w:type="dxa"/>
          </w:tcPr>
          <w:p w14:paraId="41F57B1B" w14:textId="48E96060"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-0.5 versus -0.3</w:t>
            </w:r>
          </w:p>
        </w:tc>
        <w:tc>
          <w:tcPr>
            <w:tcW w:w="2760" w:type="dxa"/>
          </w:tcPr>
          <w:p w14:paraId="44410078" w14:textId="3C2319CB"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p = 0.203</w:t>
            </w:r>
          </w:p>
        </w:tc>
      </w:tr>
      <w:tr w:rsidR="00A81EEF" w14:paraId="3B873F90" w14:textId="0CBBCAC2" w:rsidTr="00A81EEF">
        <w:tc>
          <w:tcPr>
            <w:cnfStyle w:val="001000000000" w:firstRow="0" w:lastRow="0" w:firstColumn="1" w:lastColumn="0" w:oddVBand="0" w:evenVBand="0" w:oddHBand="0" w:evenHBand="0" w:firstRowFirstColumn="0" w:firstRowLastColumn="0" w:lastRowFirstColumn="0" w:lastRowLastColumn="0"/>
            <w:tcW w:w="3326" w:type="dxa"/>
          </w:tcPr>
          <w:p w14:paraId="3EAAE0C4" w14:textId="29A14F33" w:rsidR="00A81EEF" w:rsidRDefault="00A81EEF" w:rsidP="00A81EEF">
            <w:r w:rsidRPr="00624054">
              <w:t>Other symptoms</w:t>
            </w:r>
          </w:p>
        </w:tc>
        <w:tc>
          <w:tcPr>
            <w:tcW w:w="2974" w:type="dxa"/>
          </w:tcPr>
          <w:p w14:paraId="3C7DA748" w14:textId="2C6811D3"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-0.7 versus -0.5</w:t>
            </w:r>
          </w:p>
        </w:tc>
        <w:tc>
          <w:tcPr>
            <w:tcW w:w="2760" w:type="dxa"/>
          </w:tcPr>
          <w:p w14:paraId="1B5E3777" w14:textId="2F808B45" w:rsidR="00A81EEF" w:rsidRDefault="00A81EEF" w:rsidP="00A81EEF">
            <w:pPr>
              <w:cnfStyle w:val="000000000000" w:firstRow="0" w:lastRow="0" w:firstColumn="0" w:lastColumn="0" w:oddVBand="0" w:evenVBand="0" w:oddHBand="0" w:evenHBand="0" w:firstRowFirstColumn="0" w:firstRowLastColumn="0" w:lastRowFirstColumn="0" w:lastRowLastColumn="0"/>
            </w:pPr>
            <w:r w:rsidRPr="00624054">
              <w:t>p = 0.025</w:t>
            </w:r>
          </w:p>
        </w:tc>
      </w:tr>
    </w:tbl>
    <w:p w14:paraId="4C7EAC39" w14:textId="77777777" w:rsidR="00764D48" w:rsidRDefault="00764D48" w:rsidP="00764D48">
      <w:pPr>
        <w:pStyle w:val="Heading4"/>
        <w:rPr>
          <w:lang w:eastAsia="ja-JP"/>
        </w:rPr>
      </w:pPr>
      <w:bookmarkStart w:id="71" w:name="_Toc130459062"/>
      <w:r w:rsidRPr="005619F9">
        <w:rPr>
          <w:lang w:eastAsia="ja-JP"/>
        </w:rPr>
        <w:t>Safety</w:t>
      </w:r>
      <w:bookmarkEnd w:id="71"/>
    </w:p>
    <w:p w14:paraId="32A1EA5D" w14:textId="77777777" w:rsidR="00764D48" w:rsidRPr="008162C8" w:rsidRDefault="00764D48" w:rsidP="00764D48">
      <w:pPr>
        <w:pStyle w:val="Heading5"/>
        <w:rPr>
          <w:lang w:eastAsia="ja-JP"/>
        </w:rPr>
      </w:pPr>
      <w:r>
        <w:rPr>
          <w:lang w:eastAsia="ja-JP"/>
        </w:rPr>
        <w:t>Study GSP 301-305</w:t>
      </w:r>
    </w:p>
    <w:p w14:paraId="08A8BB98" w14:textId="77777777" w:rsidR="00764D48" w:rsidRDefault="00764D48" w:rsidP="00764D48">
      <w:pPr>
        <w:rPr>
          <w:lang w:eastAsia="ja-JP"/>
        </w:rPr>
      </w:pPr>
      <w:r>
        <w:rPr>
          <w:lang w:eastAsia="ja-JP"/>
        </w:rPr>
        <w:t>Study GSP 301-305 was the only new trial in the submission that provided evaluable safety data.</w:t>
      </w:r>
    </w:p>
    <w:p w14:paraId="4C316679" w14:textId="77777777" w:rsidR="00764D48" w:rsidRDefault="00764D48" w:rsidP="00764D48">
      <w:pPr>
        <w:pStyle w:val="Heading5"/>
        <w:rPr>
          <w:lang w:eastAsia="ja-JP"/>
        </w:rPr>
      </w:pPr>
      <w:r>
        <w:rPr>
          <w:lang w:eastAsia="ja-JP"/>
        </w:rPr>
        <w:t>Exposure</w:t>
      </w:r>
    </w:p>
    <w:p w14:paraId="1E3508E6" w14:textId="77777777" w:rsidR="00764D48" w:rsidRDefault="00764D48" w:rsidP="00764D48">
      <w:pPr>
        <w:rPr>
          <w:lang w:eastAsia="ja-JP"/>
        </w:rPr>
      </w:pPr>
      <w:r>
        <w:rPr>
          <w:lang w:eastAsia="ja-JP"/>
        </w:rPr>
        <w:t xml:space="preserve">In Study GSP 301-305 a total of 225 subjects were treated with </w:t>
      </w:r>
      <w:proofErr w:type="spellStart"/>
      <w:r>
        <w:t>Ryaltris</w:t>
      </w:r>
      <w:proofErr w:type="spellEnd"/>
      <w:r>
        <w:rPr>
          <w:lang w:eastAsia="ja-JP"/>
        </w:rPr>
        <w:t xml:space="preserve"> and 221 with placebo. Extent of exposure is summarised in the following table (see </w:t>
      </w:r>
      <w:r>
        <w:rPr>
          <w:lang w:eastAsia="ja-JP"/>
        </w:rPr>
        <w:fldChar w:fldCharType="begin"/>
      </w:r>
      <w:r>
        <w:rPr>
          <w:lang w:eastAsia="ja-JP"/>
        </w:rPr>
        <w:instrText xml:space="preserve"> REF _Ref125470934 \h </w:instrText>
      </w:r>
      <w:r>
        <w:rPr>
          <w:lang w:eastAsia="ja-JP"/>
        </w:rPr>
      </w:r>
      <w:r>
        <w:rPr>
          <w:lang w:eastAsia="ja-JP"/>
        </w:rPr>
        <w:fldChar w:fldCharType="separate"/>
      </w:r>
      <w:r>
        <w:t xml:space="preserve">Table </w:t>
      </w:r>
      <w:r>
        <w:rPr>
          <w:noProof/>
        </w:rPr>
        <w:t>18</w:t>
      </w:r>
      <w:r>
        <w:rPr>
          <w:lang w:eastAsia="ja-JP"/>
        </w:rPr>
        <w:fldChar w:fldCharType="end"/>
      </w:r>
      <w:r>
        <w:rPr>
          <w:lang w:eastAsia="ja-JP"/>
        </w:rPr>
        <w:t>). Extent of exposure was comparable in the two treatment arms.</w:t>
      </w:r>
    </w:p>
    <w:p w14:paraId="73A32A55" w14:textId="77777777" w:rsidR="00764D48" w:rsidRDefault="00764D48" w:rsidP="00764D48">
      <w:pPr>
        <w:pStyle w:val="TableTitle0"/>
      </w:pPr>
      <w:bookmarkStart w:id="72" w:name="_Ref125470934"/>
      <w:r>
        <w:lastRenderedPageBreak/>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bookmarkEnd w:id="72"/>
      <w:r>
        <w:t xml:space="preserve">: </w:t>
      </w:r>
      <w:r w:rsidRPr="009C097E">
        <w:t>Study GSP 301-305</w:t>
      </w:r>
      <w:r>
        <w:t xml:space="preserve"> </w:t>
      </w:r>
      <w:r w:rsidRPr="009C097E">
        <w:t xml:space="preserve">Exposure to </w:t>
      </w:r>
      <w:proofErr w:type="spellStart"/>
      <w:r>
        <w:t>Ryaltris</w:t>
      </w:r>
      <w:proofErr w:type="spellEnd"/>
      <w:r w:rsidRPr="009C097E">
        <w:t xml:space="preserve"> and </w:t>
      </w:r>
      <w:r>
        <w:t>placebo</w:t>
      </w:r>
    </w:p>
    <w:p w14:paraId="559BE35B" w14:textId="77777777" w:rsidR="00764D48" w:rsidRDefault="00764D48" w:rsidP="00764D48">
      <w:pPr>
        <w:pStyle w:val="TableTitle0"/>
      </w:pPr>
      <w:r>
        <w:rPr>
          <w:noProof/>
          <w:lang w:val="en-GB" w:eastAsia="en-GB"/>
        </w:rPr>
        <w:drawing>
          <wp:inline distT="0" distB="0" distL="0" distR="0" wp14:anchorId="79749B7F" wp14:editId="097E614F">
            <wp:extent cx="4596675" cy="1968804"/>
            <wp:effectExtent l="0" t="0" r="0" b="0"/>
            <wp:docPr id="41" name="Picture 41" descr="This table describes the exposure to Ryaltris and placebo in Study GSP 301-3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table describes the exposure to Ryaltris and placebo in Study GSP 301-305. "/>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4610870" cy="1974884"/>
                    </a:xfrm>
                    <a:prstGeom prst="rect">
                      <a:avLst/>
                    </a:prstGeom>
                  </pic:spPr>
                </pic:pic>
              </a:graphicData>
            </a:graphic>
          </wp:inline>
        </w:drawing>
      </w:r>
    </w:p>
    <w:p w14:paraId="586E0A3A" w14:textId="77777777" w:rsidR="00764D48" w:rsidRDefault="00764D48" w:rsidP="00764D48">
      <w:pPr>
        <w:pStyle w:val="TableDescription0"/>
      </w:pPr>
      <w:r>
        <w:t>Abbreviations: Max = maximum; N = number of subjects in the treatment group; NS = nasal spray; SD = standard deviation</w:t>
      </w:r>
    </w:p>
    <w:p w14:paraId="108B29B1" w14:textId="77777777" w:rsidR="00764D48" w:rsidRPr="00997432" w:rsidRDefault="00764D48" w:rsidP="00764D48">
      <w:pPr>
        <w:pStyle w:val="TableDescription0"/>
      </w:pPr>
      <w:proofErr w:type="spellStart"/>
      <w:r>
        <w:rPr>
          <w:vertAlign w:val="superscript"/>
        </w:rPr>
        <w:t>a</w:t>
      </w:r>
      <w:r>
        <w:t>Number</w:t>
      </w:r>
      <w:proofErr w:type="spellEnd"/>
      <w:r>
        <w:t xml:space="preserve"> of days on study = end of study date – enrolment date (screening visit) + 1</w:t>
      </w:r>
    </w:p>
    <w:p w14:paraId="45CB1DE1" w14:textId="77777777" w:rsidR="00764D48" w:rsidRDefault="00764D48" w:rsidP="00764D48">
      <w:pPr>
        <w:pStyle w:val="Heading5"/>
        <w:rPr>
          <w:rFonts w:eastAsia="MS Mincho"/>
          <w:lang w:eastAsia="ja-JP"/>
        </w:rPr>
      </w:pPr>
      <w:bookmarkStart w:id="73" w:name="_Ref272317284"/>
      <w:bookmarkStart w:id="74" w:name="_Ref272333565"/>
      <w:bookmarkStart w:id="75" w:name="_Toc272414664"/>
      <w:bookmarkStart w:id="76" w:name="_Toc290888528"/>
      <w:bookmarkStart w:id="77" w:name="_Toc416353744"/>
      <w:bookmarkStart w:id="78" w:name="_Toc421005287"/>
      <w:bookmarkStart w:id="79" w:name="_Toc432079164"/>
      <w:bookmarkStart w:id="80" w:name="_Toc432080737"/>
      <w:r w:rsidRPr="008E447A">
        <w:rPr>
          <w:rFonts w:eastAsia="MS Mincho"/>
          <w:lang w:eastAsia="ja-JP"/>
        </w:rPr>
        <w:t xml:space="preserve">All adverse events </w:t>
      </w:r>
      <w:bookmarkEnd w:id="73"/>
      <w:bookmarkEnd w:id="74"/>
      <w:bookmarkEnd w:id="75"/>
      <w:bookmarkEnd w:id="76"/>
      <w:bookmarkEnd w:id="77"/>
      <w:bookmarkEnd w:id="78"/>
      <w:bookmarkEnd w:id="79"/>
      <w:bookmarkEnd w:id="80"/>
    </w:p>
    <w:p w14:paraId="1C460B85" w14:textId="77777777" w:rsidR="00764D48" w:rsidRPr="00AF0147" w:rsidRDefault="00764D48" w:rsidP="00764D48">
      <w:pPr>
        <w:rPr>
          <w:lang w:eastAsia="ja-JP"/>
        </w:rPr>
      </w:pPr>
      <w:r w:rsidRPr="00AF0147">
        <w:rPr>
          <w:lang w:eastAsia="ja-JP"/>
        </w:rPr>
        <w:t>The overall incidence of treatment</w:t>
      </w:r>
      <w:r>
        <w:rPr>
          <w:lang w:eastAsia="ja-JP"/>
        </w:rPr>
        <w:noBreakHyphen/>
      </w:r>
      <w:r w:rsidRPr="00AF0147">
        <w:rPr>
          <w:lang w:eastAsia="ja-JP"/>
        </w:rPr>
        <w:t>emergent</w:t>
      </w:r>
      <w:r>
        <w:rPr>
          <w:lang w:eastAsia="ja-JP"/>
        </w:rPr>
        <w:t xml:space="preserve"> adverse events</w:t>
      </w:r>
      <w:r w:rsidRPr="00AF0147">
        <w:rPr>
          <w:lang w:eastAsia="ja-JP"/>
        </w:rPr>
        <w:t xml:space="preserve"> </w:t>
      </w:r>
      <w:r>
        <w:rPr>
          <w:lang w:eastAsia="ja-JP"/>
        </w:rPr>
        <w:t>(TE</w:t>
      </w:r>
      <w:r w:rsidRPr="00AF0147">
        <w:rPr>
          <w:lang w:eastAsia="ja-JP"/>
        </w:rPr>
        <w:t>AEs</w:t>
      </w:r>
      <w:r>
        <w:rPr>
          <w:lang w:eastAsia="ja-JP"/>
        </w:rPr>
        <w:t>)</w:t>
      </w:r>
      <w:r w:rsidRPr="00AF0147">
        <w:rPr>
          <w:lang w:eastAsia="ja-JP"/>
        </w:rPr>
        <w:t xml:space="preserve"> </w:t>
      </w:r>
      <w:r>
        <w:rPr>
          <w:lang w:eastAsia="ja-JP"/>
        </w:rPr>
        <w:t xml:space="preserve">irrespective of relationship to study treatment, </w:t>
      </w:r>
      <w:r w:rsidRPr="00AF0147">
        <w:rPr>
          <w:lang w:eastAsia="ja-JP"/>
        </w:rPr>
        <w:t xml:space="preserve">was 10.4% in the placebo arm and 12.0% in the </w:t>
      </w:r>
      <w:proofErr w:type="spellStart"/>
      <w:r>
        <w:t>Ryaltris</w:t>
      </w:r>
      <w:proofErr w:type="spellEnd"/>
      <w:r w:rsidRPr="00AF0147">
        <w:rPr>
          <w:lang w:eastAsia="ja-JP"/>
        </w:rPr>
        <w:t xml:space="preserve"> arm.</w:t>
      </w:r>
      <w:r>
        <w:rPr>
          <w:lang w:eastAsia="ja-JP"/>
        </w:rPr>
        <w:t xml:space="preserve"> </w:t>
      </w:r>
      <w:r w:rsidRPr="00AF0147">
        <w:rPr>
          <w:lang w:eastAsia="ja-JP"/>
        </w:rPr>
        <w:t>These are summarised in</w:t>
      </w:r>
      <w:r>
        <w:rPr>
          <w:lang w:eastAsia="ja-JP"/>
        </w:rPr>
        <w:t xml:space="preserve"> </w:t>
      </w:r>
      <w:r>
        <w:rPr>
          <w:lang w:eastAsia="ja-JP"/>
        </w:rPr>
        <w:fldChar w:fldCharType="begin"/>
      </w:r>
      <w:r>
        <w:rPr>
          <w:lang w:eastAsia="ja-JP"/>
        </w:rPr>
        <w:instrText xml:space="preserve"> REF _Ref121756281 \h </w:instrText>
      </w:r>
      <w:r>
        <w:rPr>
          <w:lang w:eastAsia="ja-JP"/>
        </w:rPr>
      </w:r>
      <w:r>
        <w:rPr>
          <w:lang w:eastAsia="ja-JP"/>
        </w:rPr>
        <w:fldChar w:fldCharType="separate"/>
      </w:r>
      <w:r>
        <w:t xml:space="preserve">Table </w:t>
      </w:r>
      <w:r>
        <w:rPr>
          <w:noProof/>
        </w:rPr>
        <w:t>19</w:t>
      </w:r>
      <w:r>
        <w:rPr>
          <w:lang w:eastAsia="ja-JP"/>
        </w:rPr>
        <w:fldChar w:fldCharType="end"/>
      </w:r>
      <w:r w:rsidRPr="00AF0147">
        <w:rPr>
          <w:lang w:eastAsia="ja-JP"/>
        </w:rPr>
        <w:t xml:space="preserve">. Dysgeusia (unpleasant taste) was more common in the </w:t>
      </w:r>
      <w:proofErr w:type="spellStart"/>
      <w:r>
        <w:t>Ryaltris</w:t>
      </w:r>
      <w:proofErr w:type="spellEnd"/>
      <w:r w:rsidRPr="00AF0147">
        <w:rPr>
          <w:lang w:eastAsia="ja-JP"/>
        </w:rPr>
        <w:t xml:space="preserve"> arm (1.3% v</w:t>
      </w:r>
      <w:r>
        <w:rPr>
          <w:lang w:eastAsia="ja-JP"/>
        </w:rPr>
        <w:t>ersus</w:t>
      </w:r>
      <w:r w:rsidRPr="00AF0147">
        <w:rPr>
          <w:lang w:eastAsia="ja-JP"/>
        </w:rPr>
        <w:t xml:space="preserve"> 0%) whereas epistaxis </w:t>
      </w:r>
      <w:r>
        <w:rPr>
          <w:lang w:eastAsia="ja-JP"/>
        </w:rPr>
        <w:t xml:space="preserve">(nose bleeds) </w:t>
      </w:r>
      <w:r w:rsidRPr="00AF0147">
        <w:rPr>
          <w:lang w:eastAsia="ja-JP"/>
        </w:rPr>
        <w:t>was more common in the placebo arm (0.9% v</w:t>
      </w:r>
      <w:r>
        <w:rPr>
          <w:lang w:eastAsia="ja-JP"/>
        </w:rPr>
        <w:t>ersus</w:t>
      </w:r>
      <w:r w:rsidRPr="00AF0147">
        <w:rPr>
          <w:lang w:eastAsia="ja-JP"/>
        </w:rPr>
        <w:t xml:space="preserve"> 2.3%). </w:t>
      </w:r>
      <w:proofErr w:type="gramStart"/>
      <w:r w:rsidRPr="00AF0147">
        <w:rPr>
          <w:lang w:eastAsia="ja-JP"/>
        </w:rPr>
        <w:t>Otherwise</w:t>
      </w:r>
      <w:proofErr w:type="gramEnd"/>
      <w:r w:rsidRPr="00AF0147">
        <w:rPr>
          <w:lang w:eastAsia="ja-JP"/>
        </w:rPr>
        <w:t xml:space="preserve"> there were no notable differences in the incidence of individual </w:t>
      </w:r>
      <w:r>
        <w:rPr>
          <w:lang w:eastAsia="ja-JP"/>
        </w:rPr>
        <w:t>adverse event (</w:t>
      </w:r>
      <w:r w:rsidRPr="00AF0147">
        <w:rPr>
          <w:lang w:eastAsia="ja-JP"/>
        </w:rPr>
        <w:t>AE</w:t>
      </w:r>
      <w:r>
        <w:rPr>
          <w:lang w:eastAsia="ja-JP"/>
        </w:rPr>
        <w:t>)</w:t>
      </w:r>
      <w:r w:rsidRPr="00AF0147">
        <w:rPr>
          <w:lang w:eastAsia="ja-JP"/>
        </w:rPr>
        <w:t xml:space="preserve"> terms.</w:t>
      </w:r>
    </w:p>
    <w:p w14:paraId="4634AB6F" w14:textId="77777777" w:rsidR="00764D48" w:rsidRDefault="00764D48" w:rsidP="00764D48">
      <w:pPr>
        <w:pStyle w:val="Tabletitle"/>
      </w:pPr>
      <w:r>
        <w:lastRenderedPageBreak/>
        <w:t xml:space="preserve">Table </w:t>
      </w:r>
      <w:r>
        <w:fldChar w:fldCharType="begin"/>
      </w:r>
      <w:r>
        <w:instrText xml:space="preserve"> SEQ Table \* ARABIC </w:instrText>
      </w:r>
      <w:r>
        <w:fldChar w:fldCharType="separate"/>
      </w:r>
      <w:r>
        <w:rPr>
          <w:noProof/>
        </w:rPr>
        <w:t>19</w:t>
      </w:r>
      <w:r>
        <w:rPr>
          <w:noProof/>
        </w:rPr>
        <w:fldChar w:fldCharType="end"/>
      </w:r>
      <w:r>
        <w:t xml:space="preserve">: </w:t>
      </w:r>
      <w:r w:rsidRPr="00A05AB5">
        <w:t xml:space="preserve">Study GSP 301-305 </w:t>
      </w:r>
      <w:r>
        <w:t>T</w:t>
      </w:r>
      <w:r w:rsidRPr="00A05AB5">
        <w:t>reatment</w:t>
      </w:r>
      <w:r>
        <w:noBreakHyphen/>
      </w:r>
      <w:r w:rsidRPr="00A05AB5">
        <w:t xml:space="preserve">emergent </w:t>
      </w:r>
      <w:r>
        <w:t>adverse event</w:t>
      </w:r>
      <w:r w:rsidRPr="00A05AB5">
        <w:t>s</w:t>
      </w:r>
      <w:r w:rsidRPr="00997432">
        <w:rPr>
          <w:noProof/>
        </w:rPr>
        <w:t xml:space="preserve"> </w:t>
      </w:r>
      <w:r>
        <w:rPr>
          <w:noProof/>
        </w:rPr>
        <w:t>by System Organ Class and Preferred Term (safety population)</w:t>
      </w:r>
    </w:p>
    <w:p w14:paraId="6DA18B0D" w14:textId="77777777" w:rsidR="00764D48" w:rsidRDefault="00764D48" w:rsidP="00764D48">
      <w:r w:rsidRPr="00330B6B">
        <w:rPr>
          <w:noProof/>
          <w:lang w:val="en-GB" w:eastAsia="en-GB"/>
        </w:rPr>
        <w:drawing>
          <wp:inline distT="0" distB="0" distL="0" distR="0" wp14:anchorId="5067C514" wp14:editId="38005EA4">
            <wp:extent cx="4786380" cy="7818079"/>
            <wp:effectExtent l="0" t="0" r="0" b="0"/>
            <wp:docPr id="28" name="Picture 28" descr="This table lists the number of treatment emergent adverse events by System Organ Class and Preferred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table lists the number of treatment emergent adverse events by System Organ Class and Preferred Term. "/>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4804094" cy="7847014"/>
                    </a:xfrm>
                    <a:prstGeom prst="rect">
                      <a:avLst/>
                    </a:prstGeom>
                  </pic:spPr>
                </pic:pic>
              </a:graphicData>
            </a:graphic>
          </wp:inline>
        </w:drawing>
      </w:r>
    </w:p>
    <w:p w14:paraId="3278746F" w14:textId="4D24D5E5" w:rsidR="00764D48" w:rsidRDefault="00764D48" w:rsidP="00764D48">
      <w:pPr>
        <w:pStyle w:val="TableDescription0"/>
      </w:pPr>
      <w:r>
        <w:t>Abbreviations: N = number of subjects in the treatment group; NS = nasal spray; TEAE = treatment emergent adverse event.</w:t>
      </w:r>
    </w:p>
    <w:p w14:paraId="521797B2" w14:textId="77777777" w:rsidR="00764D48" w:rsidRDefault="00764D48" w:rsidP="00764D48">
      <w:pPr>
        <w:pStyle w:val="Heading5"/>
      </w:pPr>
      <w:r>
        <w:lastRenderedPageBreak/>
        <w:t xml:space="preserve">Treatment-related adverse events </w:t>
      </w:r>
    </w:p>
    <w:p w14:paraId="6E236B8A" w14:textId="77777777" w:rsidR="00764D48" w:rsidRDefault="00764D48" w:rsidP="00764D48">
      <w:r>
        <w:t xml:space="preserve">The overall incidence of treatment-related AEs was 2.7% in the placebo arm and 3.1% in the </w:t>
      </w:r>
      <w:proofErr w:type="spellStart"/>
      <w:r>
        <w:t>Ryaltris</w:t>
      </w:r>
      <w:proofErr w:type="spellEnd"/>
      <w:r>
        <w:t xml:space="preserve"> arm (</w:t>
      </w:r>
      <w:r>
        <w:fldChar w:fldCharType="begin"/>
      </w:r>
      <w:r>
        <w:instrText xml:space="preserve"> REF _Ref124507040 \h </w:instrText>
      </w:r>
      <w:r>
        <w:fldChar w:fldCharType="separate"/>
      </w:r>
      <w:r>
        <w:t xml:space="preserve">Table </w:t>
      </w:r>
      <w:r>
        <w:rPr>
          <w:noProof/>
        </w:rPr>
        <w:t>20</w:t>
      </w:r>
      <w:r>
        <w:fldChar w:fldCharType="end"/>
      </w:r>
      <w:r>
        <w:t>). Apart from dysgeusia and epistaxis, there were no notable differences between treatment arms in the incidence of individual AE terms.</w:t>
      </w:r>
    </w:p>
    <w:p w14:paraId="5FE19234" w14:textId="77777777" w:rsidR="00764D48" w:rsidRDefault="00764D48" w:rsidP="00764D48">
      <w:pPr>
        <w:pStyle w:val="TableTitle0"/>
      </w:pPr>
      <w:r>
        <w:t xml:space="preserve">Table </w:t>
      </w:r>
      <w:r>
        <w:fldChar w:fldCharType="begin"/>
      </w:r>
      <w:r>
        <w:instrText xml:space="preserve"> SEQ Table \* ARABIC </w:instrText>
      </w:r>
      <w:r>
        <w:fldChar w:fldCharType="separate"/>
      </w:r>
      <w:r>
        <w:rPr>
          <w:noProof/>
        </w:rPr>
        <w:t>20</w:t>
      </w:r>
      <w:r>
        <w:rPr>
          <w:noProof/>
        </w:rPr>
        <w:fldChar w:fldCharType="end"/>
      </w:r>
      <w:r>
        <w:t xml:space="preserve">: </w:t>
      </w:r>
      <w:r w:rsidRPr="006A1C07">
        <w:t xml:space="preserve">Study GSP 301-305 </w:t>
      </w:r>
      <w:r>
        <w:t>T</w:t>
      </w:r>
      <w:r w:rsidRPr="006A1C07">
        <w:t>reatment</w:t>
      </w:r>
      <w:r>
        <w:t>-</w:t>
      </w:r>
      <w:r w:rsidRPr="006A1C07">
        <w:t xml:space="preserve">emergent </w:t>
      </w:r>
      <w:r>
        <w:t>adverse event</w:t>
      </w:r>
      <w:r w:rsidRPr="006A1C07">
        <w:t>s</w:t>
      </w:r>
      <w:r>
        <w:t xml:space="preserve"> by System Organ Class and Preferred Terms </w:t>
      </w:r>
      <w:r>
        <w:rPr>
          <w:noProof/>
        </w:rPr>
        <w:t>(safety population)</w:t>
      </w:r>
    </w:p>
    <w:p w14:paraId="6BB2C581" w14:textId="77777777" w:rsidR="00764D48" w:rsidRDefault="00764D48" w:rsidP="00764D48">
      <w:pPr>
        <w:pStyle w:val="TableTitle0"/>
      </w:pPr>
      <w:r>
        <w:rPr>
          <w:noProof/>
          <w:lang w:val="en-GB" w:eastAsia="en-GB"/>
        </w:rPr>
        <w:drawing>
          <wp:inline distT="0" distB="0" distL="0" distR="0" wp14:anchorId="013B9345" wp14:editId="658D81CD">
            <wp:extent cx="4696184" cy="2148184"/>
            <wp:effectExtent l="0" t="0" r="0" b="5080"/>
            <wp:docPr id="29" name="Picture 29" descr="This table lists the number of subjects that experience any related treatment emergent advers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table lists the number of subjects that experience any related treatment emergent adverse events. "/>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4704719" cy="2152088"/>
                    </a:xfrm>
                    <a:prstGeom prst="rect">
                      <a:avLst/>
                    </a:prstGeom>
                  </pic:spPr>
                </pic:pic>
              </a:graphicData>
            </a:graphic>
          </wp:inline>
        </w:drawing>
      </w:r>
    </w:p>
    <w:p w14:paraId="444FE64A" w14:textId="77777777" w:rsidR="00764D48" w:rsidRDefault="00764D48" w:rsidP="00764D48">
      <w:pPr>
        <w:pStyle w:val="TableDescription0"/>
      </w:pPr>
      <w:r>
        <w:t>Abbreviations: N = number of subjects in the treatment group; NS = nasal spray; TEAE = treatment emergent adverse event.</w:t>
      </w:r>
    </w:p>
    <w:p w14:paraId="48428B9C" w14:textId="77777777" w:rsidR="00764D48" w:rsidRDefault="00764D48" w:rsidP="00764D48">
      <w:pPr>
        <w:pStyle w:val="Heading5"/>
      </w:pPr>
      <w:r>
        <w:t>Deaths and other serious adverse events</w:t>
      </w:r>
    </w:p>
    <w:p w14:paraId="3BF2BAA3" w14:textId="77777777" w:rsidR="00764D48" w:rsidRDefault="00764D48" w:rsidP="00764D48">
      <w:r>
        <w:t>There were no deaths in the study.</w:t>
      </w:r>
    </w:p>
    <w:p w14:paraId="69EEC652" w14:textId="77777777" w:rsidR="00764D48" w:rsidRDefault="00764D48" w:rsidP="00764D48">
      <w:r>
        <w:t>There was only one serious AE reported which was a case of viral meningitis in an </w:t>
      </w:r>
      <w:proofErr w:type="gramStart"/>
      <w:r>
        <w:t>8 year old</w:t>
      </w:r>
      <w:proofErr w:type="gramEnd"/>
      <w:r>
        <w:t xml:space="preserve"> boy in the placebo arm. This was also the only severe AE reported in the study.</w:t>
      </w:r>
    </w:p>
    <w:p w14:paraId="083B2018" w14:textId="77777777" w:rsidR="00764D48" w:rsidRDefault="00764D48" w:rsidP="00764D48">
      <w:pPr>
        <w:pStyle w:val="Heading5"/>
      </w:pPr>
      <w:r>
        <w:t>Discontinuations due to adverse events</w:t>
      </w:r>
    </w:p>
    <w:p w14:paraId="5F4AE633" w14:textId="77777777" w:rsidR="00764D48" w:rsidRDefault="00764D48" w:rsidP="00764D48">
      <w:r>
        <w:t xml:space="preserve">The overall incidence of AEs leading to discontinuation was 0.5% in the placebo arm and 1.8% in the </w:t>
      </w:r>
      <w:proofErr w:type="spellStart"/>
      <w:r>
        <w:t>Ryaltris</w:t>
      </w:r>
      <w:proofErr w:type="spellEnd"/>
      <w:r>
        <w:t xml:space="preserve"> arm (</w:t>
      </w:r>
      <w:r>
        <w:fldChar w:fldCharType="begin"/>
      </w:r>
      <w:r>
        <w:instrText xml:space="preserve"> REF _Ref124507018 \h </w:instrText>
      </w:r>
      <w:r>
        <w:fldChar w:fldCharType="separate"/>
      </w:r>
      <w:r>
        <w:t xml:space="preserve">Table </w:t>
      </w:r>
      <w:r>
        <w:rPr>
          <w:noProof/>
        </w:rPr>
        <w:t>21</w:t>
      </w:r>
      <w:r>
        <w:fldChar w:fldCharType="end"/>
      </w:r>
      <w:r>
        <w:t xml:space="preserve">). Only one of these AEs (a case of oropharyngeal pain in the </w:t>
      </w:r>
      <w:proofErr w:type="spellStart"/>
      <w:r>
        <w:t>Ryaltris</w:t>
      </w:r>
      <w:proofErr w:type="spellEnd"/>
      <w:r>
        <w:t xml:space="preserve"> arm) was assessed as being related to study treatment.</w:t>
      </w:r>
    </w:p>
    <w:p w14:paraId="576E162E" w14:textId="77777777" w:rsidR="00764D48" w:rsidRDefault="00764D48" w:rsidP="00764D48">
      <w:pPr>
        <w:pStyle w:val="TableTitle0"/>
      </w:pPr>
      <w:bookmarkStart w:id="81" w:name="_Ref124507018"/>
      <w:r>
        <w:lastRenderedPageBreak/>
        <w:t xml:space="preserve">Table </w:t>
      </w:r>
      <w:r>
        <w:rPr>
          <w:b w:val="0"/>
        </w:rPr>
        <w:fldChar w:fldCharType="begin"/>
      </w:r>
      <w:r>
        <w:rPr>
          <w:noProof/>
        </w:rPr>
        <w:instrText xml:space="preserve"> SEQ Table \* ARABIC </w:instrText>
      </w:r>
      <w:r>
        <w:rPr>
          <w:b w:val="0"/>
        </w:rPr>
        <w:fldChar w:fldCharType="separate"/>
      </w:r>
      <w:r>
        <w:rPr>
          <w:noProof/>
        </w:rPr>
        <w:t>21</w:t>
      </w:r>
      <w:r>
        <w:rPr>
          <w:b w:val="0"/>
        </w:rPr>
        <w:fldChar w:fldCharType="end"/>
      </w:r>
      <w:bookmarkEnd w:id="81"/>
      <w:r>
        <w:t xml:space="preserve">: </w:t>
      </w:r>
      <w:r w:rsidRPr="00BE4871">
        <w:t xml:space="preserve">Study GSP 301-305 </w:t>
      </w:r>
      <w:r>
        <w:t>Adverse event</w:t>
      </w:r>
      <w:r w:rsidRPr="00BE4871">
        <w:t>s leading to discontinuation</w:t>
      </w:r>
      <w:r>
        <w:t xml:space="preserve"> by System Organ Class and Preferred Term (safety population)</w:t>
      </w:r>
    </w:p>
    <w:p w14:paraId="3555D2E1" w14:textId="77777777" w:rsidR="00764D48" w:rsidRDefault="00764D48" w:rsidP="00764D48">
      <w:pPr>
        <w:pStyle w:val="TableTitle0"/>
      </w:pPr>
      <w:r>
        <w:rPr>
          <w:b w:val="0"/>
          <w:noProof/>
          <w:lang w:val="en-GB" w:eastAsia="en-GB"/>
        </w:rPr>
        <w:drawing>
          <wp:inline distT="0" distB="0" distL="0" distR="0" wp14:anchorId="00B9771C" wp14:editId="661B1FBF">
            <wp:extent cx="4607001" cy="2769402"/>
            <wp:effectExtent l="0" t="0" r="3175" b="0"/>
            <wp:docPr id="44" name="Picture 44" descr="This table lists the number of treatment emergent adverse events leading to discontinuation for both the placebo and Ryalt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table lists the number of treatment emergent adverse events leading to discontinuation for both the placebo and Ryaltris. "/>
                    <pic:cNvPicPr/>
                  </pic:nvPicPr>
                  <pic:blipFill>
                    <a:blip r:embed="rId46"/>
                    <a:stretch>
                      <a:fillRect/>
                    </a:stretch>
                  </pic:blipFill>
                  <pic:spPr>
                    <a:xfrm>
                      <a:off x="0" y="0"/>
                      <a:ext cx="4662475" cy="2802749"/>
                    </a:xfrm>
                    <a:prstGeom prst="rect">
                      <a:avLst/>
                    </a:prstGeom>
                  </pic:spPr>
                </pic:pic>
              </a:graphicData>
            </a:graphic>
          </wp:inline>
        </w:drawing>
      </w:r>
    </w:p>
    <w:p w14:paraId="3887D85B" w14:textId="77777777" w:rsidR="00764D48" w:rsidRDefault="00764D48" w:rsidP="00764D48">
      <w:pPr>
        <w:pStyle w:val="TableDescription0"/>
      </w:pPr>
      <w:r>
        <w:t>Abbreviations: N = number of subjects in SAS treatment; percentages are based on N</w:t>
      </w:r>
    </w:p>
    <w:p w14:paraId="4E83F3FF" w14:textId="77777777" w:rsidR="00764D48" w:rsidRDefault="00764D48" w:rsidP="00764D48">
      <w:pPr>
        <w:pStyle w:val="TableDescription0"/>
      </w:pPr>
      <w:r>
        <w:t>[a] Number (%) of subjects with AEs, sorted on international order for System Organ Class and alphabetically for Preferred Term</w:t>
      </w:r>
    </w:p>
    <w:p w14:paraId="37346EC8" w14:textId="77777777" w:rsidR="00764D48" w:rsidRDefault="00764D48" w:rsidP="00764D48">
      <w:pPr>
        <w:pStyle w:val="TableDescription0"/>
      </w:pPr>
      <w:r>
        <w:t>[b] Number of subjects with AEs divided by the total duration (day) of treatment across all subjects in given treatment group, multiplied by 100.</w:t>
      </w:r>
    </w:p>
    <w:p w14:paraId="718AACC5" w14:textId="77777777" w:rsidR="00764D48" w:rsidRDefault="00764D48" w:rsidP="00764D48">
      <w:pPr>
        <w:pStyle w:val="TableDescription0"/>
      </w:pPr>
      <w:r>
        <w:t xml:space="preserve">The total number of TEAEs counts all TEAEs for subjects. At each level, a subject is counted once if the subject reported one or more events. </w:t>
      </w:r>
    </w:p>
    <w:p w14:paraId="7012F1A8" w14:textId="77777777" w:rsidR="00764D48" w:rsidRDefault="00764D48" w:rsidP="00764D48">
      <w:pPr>
        <w:pStyle w:val="Heading5"/>
      </w:pPr>
      <w:r>
        <w:t>Other safety issues</w:t>
      </w:r>
    </w:p>
    <w:p w14:paraId="21CDB00C" w14:textId="77777777" w:rsidR="00764D48" w:rsidRDefault="00764D48" w:rsidP="00764D48">
      <w:pPr>
        <w:pStyle w:val="Heading6"/>
      </w:pPr>
      <w:r>
        <w:t>Safety in special populations</w:t>
      </w:r>
    </w:p>
    <w:p w14:paraId="6AE77321" w14:textId="77777777" w:rsidR="00764D48" w:rsidRDefault="00764D48" w:rsidP="00764D48">
      <w:r>
        <w:t xml:space="preserve">Subgroup analyses, for example, by age groups, sex, race </w:t>
      </w:r>
      <w:r w:rsidRPr="002657F2">
        <w:t xml:space="preserve">and so on, </w:t>
      </w:r>
      <w:r>
        <w:t>were not performed on the safety data generated in Study GSP 301-305.</w:t>
      </w:r>
    </w:p>
    <w:p w14:paraId="4C38B0B9" w14:textId="77777777" w:rsidR="00764D48" w:rsidRDefault="00764D48" w:rsidP="00764D48">
      <w:pPr>
        <w:pStyle w:val="Heading6"/>
      </w:pPr>
      <w:r>
        <w:t>Safety related to drug-drug interactions and other interactions</w:t>
      </w:r>
    </w:p>
    <w:p w14:paraId="35E08D3D" w14:textId="77777777" w:rsidR="00764D48" w:rsidRDefault="00764D48" w:rsidP="00764D48">
      <w:r>
        <w:t>No new data were submitted.</w:t>
      </w:r>
    </w:p>
    <w:p w14:paraId="02972372" w14:textId="77777777" w:rsidR="00764D48" w:rsidRDefault="00764D48" w:rsidP="00764D48">
      <w:pPr>
        <w:pStyle w:val="Heading5"/>
      </w:pPr>
      <w:r>
        <w:t>Post-marketing experience</w:t>
      </w:r>
    </w:p>
    <w:p w14:paraId="7B378E6C" w14:textId="77777777" w:rsidR="00764D48" w:rsidRDefault="00764D48" w:rsidP="00764D48">
      <w:r>
        <w:t>The submission included two periodic safety update reports. The international birthdate for the product was 26 February 2019, the date of first marketing approval (in Cambodia).</w:t>
      </w:r>
    </w:p>
    <w:p w14:paraId="1D5FC66A" w14:textId="77777777" w:rsidR="00764D48" w:rsidRDefault="00764D48" w:rsidP="00764D48">
      <w:r>
        <w:t>Although not stated, this post marketing exposure probably reflects use in adults and adolescents and hence is unlikely to be relevant to the current submission.</w:t>
      </w:r>
    </w:p>
    <w:p w14:paraId="7E4BA0C1" w14:textId="77777777" w:rsidR="00764D48" w:rsidRDefault="00764D48" w:rsidP="00764D48">
      <w:pPr>
        <w:pStyle w:val="Heading3"/>
        <w:rPr>
          <w:lang w:eastAsia="en-AU"/>
        </w:rPr>
      </w:pPr>
      <w:bookmarkStart w:id="82" w:name="_Toc314842514"/>
      <w:bookmarkStart w:id="83" w:name="_Toc125470008"/>
      <w:bookmarkStart w:id="84" w:name="_Toc130459063"/>
      <w:r>
        <w:rPr>
          <w:lang w:eastAsia="en-AU"/>
        </w:rPr>
        <w:t>Risk management plan</w:t>
      </w:r>
      <w:bookmarkEnd w:id="82"/>
      <w:bookmarkEnd w:id="83"/>
      <w:bookmarkEnd w:id="84"/>
    </w:p>
    <w:p w14:paraId="3662FA8F" w14:textId="77777777" w:rsidR="00764D48" w:rsidRDefault="00764D48" w:rsidP="00764D48">
      <w:bookmarkStart w:id="85" w:name="_Toc247691531"/>
      <w:bookmarkStart w:id="86" w:name="_Toc314842515"/>
      <w:bookmarkStart w:id="87" w:name="_Toc196046505"/>
      <w:bookmarkStart w:id="88" w:name="_Toc196046949"/>
      <w:r>
        <w:t>The sponsor is required to comply with agreed</w:t>
      </w:r>
      <w:r w:rsidRPr="008964B6">
        <w:t xml:space="preserve"> product vigilance and risk minimisation requirements</w:t>
      </w:r>
      <w:r>
        <w:t>.</w:t>
      </w:r>
    </w:p>
    <w:p w14:paraId="0E330FE7" w14:textId="77777777" w:rsidR="00764D48" w:rsidRPr="008E447A" w:rsidRDefault="00764D48" w:rsidP="00764D48">
      <w:pPr>
        <w:rPr>
          <w:lang w:eastAsia="ja-JP"/>
        </w:rPr>
      </w:pPr>
      <w:r w:rsidRPr="00A342B2">
        <w:rPr>
          <w:lang w:eastAsia="ja-JP"/>
        </w:rPr>
        <w:t xml:space="preserve">Further information regarding the TGA’s risk management approach can be found in </w:t>
      </w:r>
      <w:hyperlink r:id="rId47" w:history="1">
        <w:r w:rsidRPr="00A342B2">
          <w:rPr>
            <w:rStyle w:val="Hyperlink"/>
            <w:lang w:eastAsia="ja-JP"/>
          </w:rPr>
          <w:t>risk management plans for medicines and biologicals</w:t>
        </w:r>
      </w:hyperlink>
      <w:r w:rsidRPr="00A342B2">
        <w:rPr>
          <w:lang w:eastAsia="ja-JP"/>
        </w:rPr>
        <w:t xml:space="preserve"> and </w:t>
      </w:r>
      <w:hyperlink r:id="rId48" w:history="1">
        <w:r w:rsidRPr="00A342B2">
          <w:rPr>
            <w:rStyle w:val="Hyperlink"/>
            <w:lang w:eastAsia="ja-JP"/>
          </w:rPr>
          <w:t>the TGA's risk management approach</w:t>
        </w:r>
      </w:hyperlink>
      <w:r w:rsidRPr="00A342B2">
        <w:rPr>
          <w:lang w:eastAsia="ja-JP"/>
        </w:rPr>
        <w:t>.</w:t>
      </w:r>
    </w:p>
    <w:p w14:paraId="57F5BD20" w14:textId="77777777" w:rsidR="00764D48" w:rsidRDefault="00764D48" w:rsidP="00764D48">
      <w:pPr>
        <w:pStyle w:val="Heading3"/>
      </w:pPr>
      <w:bookmarkStart w:id="89" w:name="_Toc125470009"/>
      <w:bookmarkStart w:id="90" w:name="_Ref129783093"/>
      <w:bookmarkStart w:id="91" w:name="_Toc130459064"/>
      <w:r>
        <w:lastRenderedPageBreak/>
        <w:t>Risk-benefit analysis</w:t>
      </w:r>
      <w:bookmarkEnd w:id="85"/>
      <w:bookmarkEnd w:id="86"/>
      <w:bookmarkEnd w:id="89"/>
      <w:bookmarkEnd w:id="90"/>
      <w:bookmarkEnd w:id="91"/>
    </w:p>
    <w:p w14:paraId="096554E9" w14:textId="77777777" w:rsidR="00764D48" w:rsidRDefault="00764D48" w:rsidP="00764D48">
      <w:pPr>
        <w:pStyle w:val="Heading4"/>
      </w:pPr>
      <w:bookmarkStart w:id="92" w:name="_Toc98931932"/>
      <w:bookmarkStart w:id="93" w:name="_Toc130459065"/>
      <w:r>
        <w:t>Delegate’s considerations</w:t>
      </w:r>
      <w:bookmarkEnd w:id="92"/>
      <w:bookmarkEnd w:id="93"/>
    </w:p>
    <w:p w14:paraId="0F7731C9" w14:textId="77777777" w:rsidR="00764D48" w:rsidRDefault="00764D48" w:rsidP="00764D48">
      <w:pPr>
        <w:pStyle w:val="Heading5"/>
      </w:pPr>
      <w:r>
        <w:t>Efficacy comments</w:t>
      </w:r>
    </w:p>
    <w:p w14:paraId="6ABD95E7" w14:textId="77777777" w:rsidR="00764D48" w:rsidRDefault="00764D48" w:rsidP="00764D48">
      <w:r>
        <w:t xml:space="preserve">The current submission seeks approval to extend the indications of the product to include children aged 6 to 11 years. As evidence of efficacy the sponsor has submitted a single Phase III, randomised, double blind, </w:t>
      </w:r>
      <w:proofErr w:type="gramStart"/>
      <w:r>
        <w:t>placebo controlled</w:t>
      </w:r>
      <w:proofErr w:type="gramEnd"/>
      <w:r>
        <w:t xml:space="preserve"> trial.</w:t>
      </w:r>
    </w:p>
    <w:p w14:paraId="062CAD5E" w14:textId="77777777" w:rsidR="00764D48" w:rsidRDefault="00764D48" w:rsidP="00764D48">
      <w:r>
        <w:t xml:space="preserve">The trial was generally well designed and conducted satisfactorily. There were only two treatment arms in the study: </w:t>
      </w:r>
      <w:proofErr w:type="spellStart"/>
      <w:r>
        <w:t>Ryaltris</w:t>
      </w:r>
      <w:proofErr w:type="spellEnd"/>
      <w:r>
        <w:t xml:space="preserve"> versus placebo. The study was not designed to examine the effect of each of the individual components of </w:t>
      </w:r>
      <w:proofErr w:type="spellStart"/>
      <w:r>
        <w:t>Ryaltris</w:t>
      </w:r>
      <w:proofErr w:type="spellEnd"/>
      <w:r>
        <w:t xml:space="preserve"> (that is, olopatadine and mometasone furoate). However, the original submission to register </w:t>
      </w:r>
      <w:proofErr w:type="spellStart"/>
      <w:r>
        <w:t>Ryaltris</w:t>
      </w:r>
      <w:proofErr w:type="spellEnd"/>
      <w:r>
        <w:t xml:space="preserve"> included two Phase III, randomised controlled trials conducted in adults and adolescents which demonstrated superiority of </w:t>
      </w:r>
      <w:proofErr w:type="spellStart"/>
      <w:r>
        <w:t>Ryaltris</w:t>
      </w:r>
      <w:proofErr w:type="spellEnd"/>
      <w:r>
        <w:t xml:space="preserve"> over both mometasone and olopatadine monotherapies. </w:t>
      </w:r>
      <w:r w:rsidRPr="00180BB8">
        <w:t>European Medicines Agency</w:t>
      </w:r>
      <w:r>
        <w:t xml:space="preserve"> (EMA)</w:t>
      </w:r>
      <w:r w:rsidRPr="00180BB8">
        <w:t xml:space="preserve"> </w:t>
      </w:r>
      <w:r>
        <w:t>/ International Council for Harmonisation (ICH) guidance;</w:t>
      </w:r>
      <w:bookmarkStart w:id="94" w:name="_Ref129850265"/>
      <w:r>
        <w:rPr>
          <w:rStyle w:val="FootnoteReference"/>
        </w:rPr>
        <w:footnoteReference w:id="18"/>
      </w:r>
      <w:bookmarkEnd w:id="94"/>
      <w:r>
        <w:t xml:space="preserve"> supports the extrapolation of efficacy data from adults and adolescents to children provided the disease process in question is similar and the outcome of therapy is likely to be comparable. It is therefore reasonable to extrapolate the findings of the </w:t>
      </w:r>
      <w:proofErr w:type="spellStart"/>
      <w:r>
        <w:t>Ryaltris</w:t>
      </w:r>
      <w:proofErr w:type="spellEnd"/>
      <w:r>
        <w:t xml:space="preserve"> adult and adolescent studies to children with respect to superiority of the fixed combination over the individual components.</w:t>
      </w:r>
    </w:p>
    <w:p w14:paraId="7B039895" w14:textId="77777777" w:rsidR="00764D48" w:rsidRDefault="00764D48" w:rsidP="00764D48">
      <w:r>
        <w:t xml:space="preserve">The study limited enrolment to subjects with seasonal allergic rhinitis, and treatment duration was limited to two weeks. Long-term efficacy in perennial allergic rhinitis has therefore not been studied in the proposed age group. However, the original </w:t>
      </w:r>
      <w:proofErr w:type="spellStart"/>
      <w:r>
        <w:t>Ryaltris</w:t>
      </w:r>
      <w:proofErr w:type="spellEnd"/>
      <w:r>
        <w:t xml:space="preserve"> submission included a 52-week study in adult and adolescent subjects with perennial allergic rhinitis. Extrapolation of efficacy data from this study to children is acceptable.</w:t>
      </w:r>
    </w:p>
    <w:p w14:paraId="54017720" w14:textId="77777777" w:rsidR="00764D48" w:rsidRDefault="00764D48" w:rsidP="00764D48">
      <w:r>
        <w:t xml:space="preserve">The study demonstrated statistically and clinically significant benefit for treatment with </w:t>
      </w:r>
      <w:proofErr w:type="spellStart"/>
      <w:r>
        <w:t>Ryaltris</w:t>
      </w:r>
      <w:proofErr w:type="spellEnd"/>
      <w:r>
        <w:t xml:space="preserve"> compared to placebo in terms of nasal symptoms. However, results for ocular symptoms were generally negative, with no benefit demonstrated on the secondary endpoint of average </w:t>
      </w:r>
      <w:r w:rsidRPr="007F7CB3">
        <w:rPr>
          <w:i/>
        </w:rPr>
        <w:t>reflective</w:t>
      </w:r>
      <w:r>
        <w:t xml:space="preserve"> Total Ocular Symptom Score (TOSS);</w:t>
      </w:r>
      <w:r w:rsidRPr="007F7CB3">
        <w:rPr>
          <w:vertAlign w:val="superscript"/>
        </w:rPr>
        <w:fldChar w:fldCharType="begin"/>
      </w:r>
      <w:r w:rsidRPr="007F7CB3">
        <w:rPr>
          <w:vertAlign w:val="superscript"/>
        </w:rPr>
        <w:instrText xml:space="preserve"> NOTEREF _Ref129781287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15</w:t>
      </w:r>
      <w:r w:rsidRPr="007F7CB3">
        <w:rPr>
          <w:vertAlign w:val="superscript"/>
        </w:rPr>
        <w:fldChar w:fldCharType="end"/>
      </w:r>
      <w:r>
        <w:t xml:space="preserve"> over the 14 day treatment period (see </w:t>
      </w:r>
      <w:r>
        <w:fldChar w:fldCharType="begin"/>
      </w:r>
      <w:r>
        <w:instrText xml:space="preserve"> REF _Ref121757596 \h </w:instrText>
      </w:r>
      <w:r>
        <w:fldChar w:fldCharType="separate"/>
      </w:r>
      <w:r>
        <w:t xml:space="preserve">Table </w:t>
      </w:r>
      <w:r>
        <w:rPr>
          <w:noProof/>
        </w:rPr>
        <w:t>22</w:t>
      </w:r>
      <w:r>
        <w:fldChar w:fldCharType="end"/>
      </w:r>
      <w:r>
        <w:t xml:space="preserve">) or the ‘other’ endpoint of average </w:t>
      </w:r>
      <w:r w:rsidRPr="007F7CB3">
        <w:rPr>
          <w:i/>
        </w:rPr>
        <w:t>instantaneous</w:t>
      </w:r>
      <w:r>
        <w:t xml:space="preserve"> TOSS over the 14 day treatment period (see </w:t>
      </w:r>
      <w:r>
        <w:fldChar w:fldCharType="begin"/>
      </w:r>
      <w:r>
        <w:instrText xml:space="preserve"> REF _Ref121757749 \h </w:instrText>
      </w:r>
      <w:r>
        <w:fldChar w:fldCharType="separate"/>
      </w:r>
      <w:r>
        <w:t xml:space="preserve">Table </w:t>
      </w:r>
      <w:r>
        <w:rPr>
          <w:noProof/>
        </w:rPr>
        <w:t>23</w:t>
      </w:r>
      <w:r>
        <w:fldChar w:fldCharType="end"/>
      </w:r>
      <w:r>
        <w:t xml:space="preserve">). The indication proposed for children is the same as that approved for adults/adolescents, that is, allergic rhinitis and </w:t>
      </w:r>
      <w:proofErr w:type="spellStart"/>
      <w:r>
        <w:t>rhinoconjunctivitis</w:t>
      </w:r>
      <w:proofErr w:type="spellEnd"/>
      <w:r>
        <w:t>, and these findings might suggest that any approval for children be restricted to allergic rhinitis.</w:t>
      </w:r>
    </w:p>
    <w:p w14:paraId="5743EF26" w14:textId="77777777" w:rsidR="00764D48" w:rsidRDefault="00764D48" w:rsidP="00764D48">
      <w:pPr>
        <w:pStyle w:val="TableTitle0"/>
      </w:pPr>
      <w:bookmarkStart w:id="95" w:name="_Ref121757596"/>
      <w:r>
        <w:t xml:space="preserve">Table </w:t>
      </w:r>
      <w:r>
        <w:fldChar w:fldCharType="begin"/>
      </w:r>
      <w:r>
        <w:rPr>
          <w:noProof/>
        </w:rPr>
        <w:instrText xml:space="preserve"> SEQ Table \* ARABIC </w:instrText>
      </w:r>
      <w:r>
        <w:fldChar w:fldCharType="separate"/>
      </w:r>
      <w:r>
        <w:rPr>
          <w:noProof/>
        </w:rPr>
        <w:t>22</w:t>
      </w:r>
      <w:r>
        <w:fldChar w:fldCharType="end"/>
      </w:r>
      <w:bookmarkEnd w:id="95"/>
      <w:r>
        <w:t xml:space="preserve">: </w:t>
      </w:r>
      <w:r w:rsidRPr="00221FE4">
        <w:t xml:space="preserve">Study GSP 301-305 </w:t>
      </w:r>
      <w:r>
        <w:t>A</w:t>
      </w:r>
      <w:r w:rsidRPr="00221FE4">
        <w:t xml:space="preserve">verage </w:t>
      </w:r>
      <w:r>
        <w:t xml:space="preserve">morning and evening </w:t>
      </w:r>
      <w:r w:rsidRPr="00221FE4">
        <w:t>reflective</w:t>
      </w:r>
      <w:r>
        <w:t xml:space="preserve"> Total Ocular Symptom Score</w:t>
      </w:r>
      <w:r w:rsidRPr="00221FE4">
        <w:t xml:space="preserve"> over the 14</w:t>
      </w:r>
      <w:r>
        <w:t>-</w:t>
      </w:r>
      <w:r w:rsidRPr="00221FE4">
        <w:t>day treatment period</w:t>
      </w:r>
      <w:r>
        <w:t xml:space="preserve"> for the full analysis set population</w:t>
      </w:r>
    </w:p>
    <w:p w14:paraId="643A6D8D" w14:textId="77777777" w:rsidR="00764D48" w:rsidRDefault="00764D48" w:rsidP="00764D48">
      <w:pPr>
        <w:pStyle w:val="TableTitle0"/>
      </w:pPr>
      <w:r>
        <w:rPr>
          <w:noProof/>
          <w:lang w:val="en-GB" w:eastAsia="en-GB"/>
        </w:rPr>
        <w:drawing>
          <wp:inline distT="0" distB="0" distL="0" distR="0" wp14:anchorId="399DD388" wp14:editId="76C8D1FC">
            <wp:extent cx="4961385" cy="1161622"/>
            <wp:effectExtent l="0" t="0" r="0" b="635"/>
            <wp:docPr id="47" name="Picture 47" descr="This table describes the average morning and evening reflective total ocular symptom score over the 14 day treatment period for the full analysis set for Ryaltris versus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table describes the average morning and evening reflective total ocular symptom score over the 14 day treatment period for the full analysis set for Ryaltris versus placebo.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8643" cy="1165663"/>
                    </a:xfrm>
                    <a:prstGeom prst="rect">
                      <a:avLst/>
                    </a:prstGeom>
                    <a:noFill/>
                  </pic:spPr>
                </pic:pic>
              </a:graphicData>
            </a:graphic>
          </wp:inline>
        </w:drawing>
      </w:r>
    </w:p>
    <w:p w14:paraId="3089B7E1" w14:textId="77777777" w:rsidR="00764D48" w:rsidRDefault="00764D48" w:rsidP="00764D48">
      <w:pPr>
        <w:pStyle w:val="TableDescription0"/>
      </w:pPr>
      <w:r>
        <w:t>Note: Baseline score is derived as the mean of the last 8 consecutive reading scores including the AM assessment on the day of randomisation. Day 1 is derived as the average of Day 1 PM and Day 2 AM assessments, and so on for the rest of the treatment period.</w:t>
      </w:r>
    </w:p>
    <w:p w14:paraId="2E5FFDAB" w14:textId="77777777" w:rsidR="00764D48" w:rsidRDefault="00764D48" w:rsidP="00764D48">
      <w:pPr>
        <w:pStyle w:val="TableDescription0"/>
      </w:pPr>
      <w:r>
        <w:lastRenderedPageBreak/>
        <w:t>Abbreviations: CI = confidence interval; n = subjects with data available; LS = least squares; NS = nasal spray; SE = standard error</w:t>
      </w:r>
    </w:p>
    <w:p w14:paraId="3393552D" w14:textId="77777777" w:rsidR="00764D48" w:rsidRDefault="00764D48" w:rsidP="00764D48">
      <w:pPr>
        <w:pStyle w:val="TableDescription0"/>
      </w:pPr>
      <w:r>
        <w:t>Statistical analysis model: mixed effect repeated measures model with change from Baseline as the dependent variable, treatment group and site and treatment group by site interaction as fixed effects, Baseline score as covariate and study day as the within subject effect. Covariance structure ‘unstructured’ (</w:t>
      </w:r>
      <w:proofErr w:type="gramStart"/>
      <w:r>
        <w:t>UN)  is</w:t>
      </w:r>
      <w:proofErr w:type="gramEnd"/>
      <w:r>
        <w:t xml:space="preserve"> assumed in the model</w:t>
      </w:r>
    </w:p>
    <w:p w14:paraId="363760D6" w14:textId="77777777" w:rsidR="00764D48" w:rsidRDefault="00764D48" w:rsidP="00764D48">
      <w:pPr>
        <w:pStyle w:val="TableTitle0"/>
      </w:pPr>
      <w:bookmarkStart w:id="96" w:name="_Ref121757749"/>
      <w:bookmarkStart w:id="97" w:name="_Ref121811020"/>
      <w:r>
        <w:t xml:space="preserve">Table </w:t>
      </w:r>
      <w:r>
        <w:fldChar w:fldCharType="begin"/>
      </w:r>
      <w:r>
        <w:rPr>
          <w:noProof/>
        </w:rPr>
        <w:instrText xml:space="preserve"> SEQ Table \* ARABIC </w:instrText>
      </w:r>
      <w:r>
        <w:fldChar w:fldCharType="separate"/>
      </w:r>
      <w:r>
        <w:rPr>
          <w:noProof/>
        </w:rPr>
        <w:t>23</w:t>
      </w:r>
      <w:r>
        <w:fldChar w:fldCharType="end"/>
      </w:r>
      <w:bookmarkEnd w:id="96"/>
      <w:r>
        <w:t xml:space="preserve">: </w:t>
      </w:r>
      <w:r w:rsidRPr="00051DA6">
        <w:t xml:space="preserve">Study GSP 301-305 </w:t>
      </w:r>
      <w:r>
        <w:t>A</w:t>
      </w:r>
      <w:r w:rsidRPr="00051DA6">
        <w:t xml:space="preserve">verage </w:t>
      </w:r>
      <w:r>
        <w:t>morning and evening i</w:t>
      </w:r>
      <w:r w:rsidRPr="00051DA6">
        <w:t>nstantaneous</w:t>
      </w:r>
      <w:r>
        <w:t xml:space="preserve"> Total Ocular Symptom Score </w:t>
      </w:r>
      <w:r w:rsidRPr="00051DA6">
        <w:t>over the 14</w:t>
      </w:r>
      <w:r>
        <w:t>-</w:t>
      </w:r>
      <w:r w:rsidRPr="00051DA6">
        <w:t xml:space="preserve">day treatment period </w:t>
      </w:r>
      <w:r>
        <w:t>for the full analysis set</w:t>
      </w:r>
      <w:bookmarkEnd w:id="97"/>
      <w:r>
        <w:t xml:space="preserve"> population</w:t>
      </w:r>
    </w:p>
    <w:p w14:paraId="058AC225" w14:textId="77777777" w:rsidR="00764D48" w:rsidRDefault="00764D48" w:rsidP="00764D48">
      <w:pPr>
        <w:pStyle w:val="TableTitle0"/>
      </w:pPr>
      <w:r>
        <w:rPr>
          <w:noProof/>
          <w:lang w:val="en-GB" w:eastAsia="en-GB"/>
        </w:rPr>
        <w:drawing>
          <wp:inline distT="0" distB="0" distL="0" distR="0" wp14:anchorId="112C98A0" wp14:editId="76E7F123">
            <wp:extent cx="5402580" cy="1188720"/>
            <wp:effectExtent l="0" t="0" r="7620" b="0"/>
            <wp:docPr id="49" name="Picture 49" descr="This table describes the average morning and evening instantaneous total ocular symptom score over the 14 day treatment period for th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table describes the average morning and evening instantaneous total ocular symptom score over the 14 day treatment period for the full analysis se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2580" cy="1188720"/>
                    </a:xfrm>
                    <a:prstGeom prst="rect">
                      <a:avLst/>
                    </a:prstGeom>
                    <a:noFill/>
                  </pic:spPr>
                </pic:pic>
              </a:graphicData>
            </a:graphic>
          </wp:inline>
        </w:drawing>
      </w:r>
    </w:p>
    <w:p w14:paraId="3746B519" w14:textId="77777777" w:rsidR="00764D48" w:rsidRDefault="00764D48" w:rsidP="00764D48">
      <w:pPr>
        <w:pStyle w:val="TableDescription0"/>
      </w:pPr>
      <w:r>
        <w:t>Note: Baseline score is derived as the mean of the last 8 consecutive reading scores including the AM assessment on the day of randomisation. Day 1 is derived as the average of Day 1 PM and Day 2 AM assessments, and so on for the rest of the treatment period.</w:t>
      </w:r>
    </w:p>
    <w:p w14:paraId="2E9E47A4" w14:textId="77777777" w:rsidR="00764D48" w:rsidRDefault="00764D48" w:rsidP="00764D48">
      <w:pPr>
        <w:pStyle w:val="TableDescription0"/>
      </w:pPr>
      <w:r>
        <w:t>Abbreviations: CI = confidence interval; n = subjects with data available; LS = least squares; NS = nasal spray; SE = standard error</w:t>
      </w:r>
    </w:p>
    <w:p w14:paraId="092F23F7" w14:textId="77777777" w:rsidR="00764D48" w:rsidRDefault="00764D48" w:rsidP="00764D48">
      <w:pPr>
        <w:pStyle w:val="TableDescription0"/>
      </w:pPr>
      <w:r>
        <w:t xml:space="preserve">Statistical analysis model: mixed effect repeated measures </w:t>
      </w:r>
      <w:r w:rsidRPr="00D3381E">
        <w:t>model</w:t>
      </w:r>
      <w:r>
        <w:t xml:space="preserve"> with change from Baseline as the dependent variable, treatment group and site and treatment group by site interaction as fixed effects, Baseline score as covariate and study day as the within subject effect. Covariance structure ‘unstructured’ (UN) is assumed in the model.</w:t>
      </w:r>
    </w:p>
    <w:p w14:paraId="708375D9" w14:textId="77777777" w:rsidR="00764D48" w:rsidRDefault="00764D48" w:rsidP="00764D48">
      <w:r>
        <w:t xml:space="preserve">The daily measurements for reflective TOSS suggest that </w:t>
      </w:r>
      <w:proofErr w:type="spellStart"/>
      <w:r>
        <w:t>Ryaltris</w:t>
      </w:r>
      <w:proofErr w:type="spellEnd"/>
      <w:r>
        <w:t xml:space="preserve"> might be effective towards the end of a </w:t>
      </w:r>
      <w:proofErr w:type="gramStart"/>
      <w:r>
        <w:t>two week</w:t>
      </w:r>
      <w:proofErr w:type="gramEnd"/>
      <w:r>
        <w:t xml:space="preserve"> treatment period (</w:t>
      </w:r>
      <w:r>
        <w:fldChar w:fldCharType="begin"/>
      </w:r>
      <w:r>
        <w:instrText xml:space="preserve"> REF _Ref121755224 \h </w:instrText>
      </w:r>
      <w:r>
        <w:fldChar w:fldCharType="separate"/>
      </w:r>
      <w:r>
        <w:t xml:space="preserve">Figure </w:t>
      </w:r>
      <w:r>
        <w:rPr>
          <w:noProof/>
        </w:rPr>
        <w:t>4</w:t>
      </w:r>
      <w:r>
        <w:fldChar w:fldCharType="end"/>
      </w:r>
      <w:r>
        <w:t xml:space="preserve">) although this was not confirmed by daily instantaneous TOSS measurements. There was no requirement of a minimum reflective TOSS score at Baseline, and mean scores at Baseline were 3.59 in the placebo arm and 3.84 in the </w:t>
      </w:r>
      <w:proofErr w:type="spellStart"/>
      <w:r>
        <w:t>Ryaltris</w:t>
      </w:r>
      <w:proofErr w:type="spellEnd"/>
      <w:r>
        <w:t xml:space="preserve"> arm (possible range 0 to 9). It was not clear what percentage of subjects had ocular symptoms at Baseline. The lack of a significant effect on ocular symptoms in this study may be due to comparatively low scores at Baseline with limited scope for improvement. However, it would be still reasonable to extrapolate the established ocular symptom efficacy data from adults and adolescents to the children.</w:t>
      </w:r>
    </w:p>
    <w:p w14:paraId="7E4CEBBB" w14:textId="77777777" w:rsidR="00764D48" w:rsidRDefault="00764D48" w:rsidP="00764D48">
      <w:r>
        <w:t xml:space="preserve">The submitted study also demonstrated a statistically significant benefit for </w:t>
      </w:r>
      <w:proofErr w:type="spellStart"/>
      <w:r>
        <w:t>Ryaltris</w:t>
      </w:r>
      <w:proofErr w:type="spellEnd"/>
      <w:r>
        <w:t xml:space="preserve"> over placebo on overall quality of life. However, the clinical significance of this finding appears unknown.</w:t>
      </w:r>
    </w:p>
    <w:p w14:paraId="67FC6655" w14:textId="77777777" w:rsidR="00764D48" w:rsidRDefault="00764D48" w:rsidP="00764D48">
      <w:r>
        <w:t>Overall, the efficacy data are sufficient to support the approval for the proposed new patient population. However, the Delegate does acknowledge the study limitations as discussed above.</w:t>
      </w:r>
    </w:p>
    <w:p w14:paraId="58EEBF64" w14:textId="77777777" w:rsidR="00764D48" w:rsidRDefault="00764D48" w:rsidP="00764D48">
      <w:pPr>
        <w:pStyle w:val="Heading5"/>
      </w:pPr>
      <w:r>
        <w:t>Clinical safety</w:t>
      </w:r>
    </w:p>
    <w:p w14:paraId="5A314A79" w14:textId="77777777" w:rsidR="00764D48" w:rsidRDefault="00764D48" w:rsidP="00764D48">
      <w:r>
        <w:t xml:space="preserve">Study GSP 301-305 provided safety data for the proposed </w:t>
      </w:r>
      <w:proofErr w:type="gramStart"/>
      <w:r>
        <w:t>6 to 11 year old</w:t>
      </w:r>
      <w:proofErr w:type="gramEnd"/>
      <w:r>
        <w:t xml:space="preserve"> population. In this study a total of 225 subjects were treated with </w:t>
      </w:r>
      <w:proofErr w:type="spellStart"/>
      <w:r>
        <w:t>Ryaltris</w:t>
      </w:r>
      <w:proofErr w:type="spellEnd"/>
      <w:r>
        <w:t xml:space="preserve"> for the duration of two weeks.</w:t>
      </w:r>
    </w:p>
    <w:p w14:paraId="3002FA6C" w14:textId="77777777" w:rsidR="00764D48" w:rsidRDefault="00764D48" w:rsidP="00764D48">
      <w:proofErr w:type="spellStart"/>
      <w:r>
        <w:t>Ryaltris</w:t>
      </w:r>
      <w:proofErr w:type="spellEnd"/>
      <w:r>
        <w:t xml:space="preserve"> was generally well tolerated, and the incidence of adverse events (AEs) was only slightly higher in comparison to the placebo treatment (12.0% versus 10.4%). The only AE that occurred with a notably increased incidence compared to placebo was dysgeusia, which is listed as a common adverse reaction in the current PI. All AEs reported in the </w:t>
      </w:r>
      <w:proofErr w:type="spellStart"/>
      <w:r>
        <w:t>Ryaltris</w:t>
      </w:r>
      <w:proofErr w:type="spellEnd"/>
      <w:r>
        <w:t xml:space="preserve"> arm of the study were assessed as mild or moderate in severity, and there were no serious AEs reported. Discontinuations due to AEs were uncommon.</w:t>
      </w:r>
    </w:p>
    <w:p w14:paraId="7D4DBB60" w14:textId="77777777" w:rsidR="00764D48" w:rsidRDefault="00764D48" w:rsidP="00764D48">
      <w:pPr>
        <w:pStyle w:val="Heading6"/>
      </w:pPr>
      <w:r>
        <w:lastRenderedPageBreak/>
        <w:t>Mometasone furoate safety</w:t>
      </w:r>
    </w:p>
    <w:p w14:paraId="2A1A5048" w14:textId="77777777" w:rsidR="00764D48" w:rsidRDefault="00764D48" w:rsidP="00764D48">
      <w:r>
        <w:t xml:space="preserve">There are </w:t>
      </w:r>
      <w:proofErr w:type="gramStart"/>
      <w:r>
        <w:t>a number of</w:t>
      </w:r>
      <w:proofErr w:type="gramEnd"/>
      <w:r>
        <w:t xml:space="preserve"> safety concerns regarding use of intranasal corticosteroid products in children (including hypothalamic pituitary adrenal axis suppression and growth impairment). Safety monitoring for these effects was not included in the submitted study. However, mometasone furoate nasal spray (Nasonex);</w:t>
      </w:r>
      <w:bookmarkStart w:id="98" w:name="_Ref129852646"/>
      <w:r>
        <w:rPr>
          <w:rStyle w:val="FootnoteReference"/>
        </w:rPr>
        <w:footnoteReference w:id="19"/>
      </w:r>
      <w:bookmarkEnd w:id="98"/>
      <w:r>
        <w:t xml:space="preserve"> is registered for use in children aged 3 to 11 years, and these safety issues were studied in that product’s paediatric development program. The proposed dose of 100 µg per day for </w:t>
      </w:r>
      <w:proofErr w:type="spellStart"/>
      <w:r>
        <w:t>Ryaltris</w:t>
      </w:r>
      <w:proofErr w:type="spellEnd"/>
      <w:r>
        <w:t xml:space="preserve"> is same as approved for Nasonex (mometasone furoate). However, in a previously evaluated bioequivalence study conducted in healthy adult volunteers (Study GSP 301-102), systemic absorption of mometasone from </w:t>
      </w:r>
      <w:proofErr w:type="spellStart"/>
      <w:r>
        <w:t>Ryaltris</w:t>
      </w:r>
      <w:proofErr w:type="spellEnd"/>
      <w:r>
        <w:t xml:space="preserve"> was found to be greater than that from Nasonex. The difference was not considered to be clinically significant. Given these findings, it is considered that the paediatric safety data obtained with Nasonex provide adequate reassurance regarding the safety of the mometasone dose delivered with </w:t>
      </w:r>
      <w:proofErr w:type="spellStart"/>
      <w:r>
        <w:t>Ryaltris</w:t>
      </w:r>
      <w:proofErr w:type="spellEnd"/>
      <w:r>
        <w:t>.</w:t>
      </w:r>
    </w:p>
    <w:p w14:paraId="4E869E1E" w14:textId="77777777" w:rsidR="00764D48" w:rsidRDefault="00764D48" w:rsidP="00764D48">
      <w:pPr>
        <w:pStyle w:val="Heading6"/>
      </w:pPr>
      <w:r>
        <w:t>Olopatadine safety</w:t>
      </w:r>
    </w:p>
    <w:p w14:paraId="1D6CB513" w14:textId="77777777" w:rsidR="00764D48" w:rsidRDefault="00764D48" w:rsidP="00764D48">
      <w:r>
        <w:t xml:space="preserve">Olopatadine nasal spray has not been previously registered in Australia. In the USA, olopatadine nasal spray (with the tradename </w:t>
      </w:r>
      <w:proofErr w:type="spellStart"/>
      <w:r>
        <w:t>Patanase</w:t>
      </w:r>
      <w:proofErr w:type="spellEnd"/>
      <w:r>
        <w:t xml:space="preserve">) is approved for children aged 6 to 11 years, restricted for use in seasonal allergic rhinitis only. According to the US Prescribing </w:t>
      </w:r>
      <w:proofErr w:type="gramStart"/>
      <w:r>
        <w:t>Information;</w:t>
      </w:r>
      <w:proofErr w:type="gramEnd"/>
      <w:r>
        <w:rPr>
          <w:rStyle w:val="FootnoteReference"/>
        </w:rPr>
        <w:footnoteReference w:id="20"/>
      </w:r>
      <w:r>
        <w:t xml:space="preserve"> the clinical trials conducted in children aged 6 to 11 years were limited to a duration of 14 days. It would appear therefore that there are no available data to establish the </w:t>
      </w:r>
      <w:proofErr w:type="gramStart"/>
      <w:r>
        <w:t>long term</w:t>
      </w:r>
      <w:proofErr w:type="gramEnd"/>
      <w:r>
        <w:t xml:space="preserve"> safety of olopatadine nasal spray in children aged 6 to 11 years.</w:t>
      </w:r>
    </w:p>
    <w:p w14:paraId="6E6B5B03" w14:textId="77777777" w:rsidR="00764D48" w:rsidRDefault="00764D48" w:rsidP="00764D48">
      <w:pPr>
        <w:pStyle w:val="Heading6"/>
      </w:pPr>
      <w:r>
        <w:t>Overall safety</w:t>
      </w:r>
    </w:p>
    <w:p w14:paraId="278F7C60" w14:textId="77777777" w:rsidR="00764D48" w:rsidRDefault="00764D48" w:rsidP="00764D48">
      <w:r>
        <w:t xml:space="preserve">The original submission to register </w:t>
      </w:r>
      <w:proofErr w:type="spellStart"/>
      <w:r>
        <w:t>Ryaltris</w:t>
      </w:r>
      <w:proofErr w:type="spellEnd"/>
      <w:r>
        <w:t xml:space="preserve"> in Australia included a 52-week study in adults and adolescents with perennial allergic rhinitis (Study GSP 301-303). While the relevant EMA/ICH guideline;</w:t>
      </w:r>
      <w:r w:rsidRPr="007F7CB3">
        <w:rPr>
          <w:vertAlign w:val="superscript"/>
        </w:rPr>
        <w:fldChar w:fldCharType="begin"/>
      </w:r>
      <w:r w:rsidRPr="007F7CB3">
        <w:rPr>
          <w:vertAlign w:val="superscript"/>
        </w:rPr>
        <w:instrText xml:space="preserve"> NOTEREF _Ref129850265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20</w:t>
      </w:r>
      <w:r w:rsidRPr="007F7CB3">
        <w:rPr>
          <w:vertAlign w:val="superscript"/>
        </w:rPr>
        <w:fldChar w:fldCharType="end"/>
      </w:r>
      <w:r>
        <w:t xml:space="preserve"> supports the extrapolation of efficacy data from adults and adolescents to children, extrapolation of safety data is not supported.</w:t>
      </w:r>
    </w:p>
    <w:p w14:paraId="46A33322" w14:textId="77777777" w:rsidR="00764D48" w:rsidRDefault="00764D48" w:rsidP="00764D48">
      <w:r>
        <w:t xml:space="preserve">The following information are the key relevant safety statements in the relevant TGA-adopted EMA guideline on medicines for allergic </w:t>
      </w:r>
      <w:proofErr w:type="spellStart"/>
      <w:r>
        <w:t>rhinoconjunctivitis</w:t>
      </w:r>
      <w:proofErr w:type="spellEnd"/>
      <w:r>
        <w:t>:</w:t>
      </w:r>
      <w:r>
        <w:rPr>
          <w:rStyle w:val="FootnoteReference"/>
        </w:rPr>
        <w:footnoteReference w:id="21"/>
      </w:r>
      <w:r>
        <w:t xml:space="preserve"> </w:t>
      </w:r>
    </w:p>
    <w:p w14:paraId="7DED8B65" w14:textId="77777777" w:rsidR="00764D48" w:rsidRPr="006E1D57" w:rsidRDefault="00764D48" w:rsidP="00764D48">
      <w:pPr>
        <w:ind w:left="720"/>
      </w:pPr>
      <w:r w:rsidRPr="006E1D57">
        <w:t xml:space="preserve">Although seasonal allergic rhinitis/perennial allergic rhinitis can alter school performance and work productivity it is not a serious </w:t>
      </w:r>
      <w:proofErr w:type="gramStart"/>
      <w:r w:rsidRPr="006E1D57">
        <w:t>life threatening</w:t>
      </w:r>
      <w:proofErr w:type="gramEnd"/>
      <w:r w:rsidRPr="006E1D57">
        <w:t xml:space="preserve"> disease. It is imperative therefore that the agents used in this condition are safe, given their repeated and often </w:t>
      </w:r>
      <w:proofErr w:type="gramStart"/>
      <w:r w:rsidRPr="006E1D57">
        <w:t>long term</w:t>
      </w:r>
      <w:proofErr w:type="gramEnd"/>
      <w:r w:rsidRPr="006E1D57">
        <w:t xml:space="preserve"> use.</w:t>
      </w:r>
    </w:p>
    <w:p w14:paraId="1D099F0D" w14:textId="77777777" w:rsidR="00764D48" w:rsidRPr="006E1D57" w:rsidRDefault="00764D48" w:rsidP="00764D48">
      <w:pPr>
        <w:ind w:left="720"/>
      </w:pPr>
      <w:r w:rsidRPr="006E1D57">
        <w:t xml:space="preserve">Safety data are of paramount importance and 1 to 3 months of paediatric safety data are required. Further, special care </w:t>
      </w:r>
      <w:proofErr w:type="gramStart"/>
      <w:r w:rsidRPr="006E1D57">
        <w:t>has to</w:t>
      </w:r>
      <w:proofErr w:type="gramEnd"/>
      <w:r w:rsidRPr="006E1D57">
        <w:t xml:space="preserve"> be taken to avoid the side effects including growth effects typical in this age group</w:t>
      </w:r>
      <w:r>
        <w:t>.</w:t>
      </w:r>
      <w:r w:rsidRPr="006E1D57">
        <w:t xml:space="preserve"> </w:t>
      </w:r>
    </w:p>
    <w:p w14:paraId="152764DB" w14:textId="77777777" w:rsidR="00764D48" w:rsidRDefault="00764D48" w:rsidP="00764D48">
      <w:r>
        <w:lastRenderedPageBreak/>
        <w:t>The sponsor has also submitted one report describing simulation of systemic olopatadine and mometasone exposures in children aged 6 to younger than 12 years, using a previously developed population pharmacokinetic model. The model was developed using pharmacokinetic (PK) data from adults and adolescents only, and any covariate effects of age younger than 12 were therefore not explored.</w:t>
      </w:r>
    </w:p>
    <w:p w14:paraId="2354E2B4" w14:textId="77777777" w:rsidR="00764D48" w:rsidRDefault="00764D48" w:rsidP="00764D48">
      <w:r>
        <w:t xml:space="preserve">Assuming that the model was applicable to children younger than 12 years, the simulations suggested that systemic olopatadine and mometasone exposures obtained in children using the proposed paediatric dosage regimen were </w:t>
      </w:r>
      <w:proofErr w:type="gramStart"/>
      <w:r>
        <w:t>similar to</w:t>
      </w:r>
      <w:proofErr w:type="gramEnd"/>
      <w:r>
        <w:t xml:space="preserve"> those obtained in adults using the approved adult and adolescent regimen. The conclusion that </w:t>
      </w:r>
      <w:proofErr w:type="gramStart"/>
      <w:r>
        <w:t>age</w:t>
      </w:r>
      <w:proofErr w:type="gramEnd"/>
      <w:r>
        <w:t xml:space="preserve"> has no effect on the PK of olopatadine was based entirely on data collected in adults and adolescents. The PK simulations presented in the current submission </w:t>
      </w:r>
      <w:proofErr w:type="gramStart"/>
      <w:r>
        <w:t>were based on an assumption</w:t>
      </w:r>
      <w:proofErr w:type="gramEnd"/>
      <w:r>
        <w:t xml:space="preserve"> that PK in children aged 6 to 11 would not differ to PK in adults and adolescents. Furthermore, it is possible that with prolonged administration, local side effects may be more prominent in this age group than in adults and adolescents.</w:t>
      </w:r>
    </w:p>
    <w:p w14:paraId="0A89CF43" w14:textId="77777777" w:rsidR="00764D48" w:rsidRDefault="00764D48" w:rsidP="00764D48">
      <w:r>
        <w:t xml:space="preserve">Overall, the available safety data are sufficient to support short term use of </w:t>
      </w:r>
      <w:proofErr w:type="spellStart"/>
      <w:r>
        <w:t>Ryaltris</w:t>
      </w:r>
      <w:proofErr w:type="spellEnd"/>
      <w:r>
        <w:t xml:space="preserve"> in children aged 6 and 11 years, for the treatment of seasonal allergic rhinitis. However, due to the absence of </w:t>
      </w:r>
      <w:proofErr w:type="gramStart"/>
      <w:r>
        <w:t>long term</w:t>
      </w:r>
      <w:proofErr w:type="gramEnd"/>
      <w:r>
        <w:t xml:space="preserve"> safety data for intranasal olopatadine, therapeutic indication of </w:t>
      </w:r>
      <w:proofErr w:type="spellStart"/>
      <w:r>
        <w:t>Ryaltris</w:t>
      </w:r>
      <w:proofErr w:type="spellEnd"/>
      <w:r>
        <w:t xml:space="preserve"> for the treatment of perennial allergic rhinitis in proposed age group is not supported, as it requires longer term treatment.</w:t>
      </w:r>
    </w:p>
    <w:p w14:paraId="63E0F5D5" w14:textId="77777777" w:rsidR="00764D48" w:rsidRDefault="00764D48" w:rsidP="00764D48">
      <w:r>
        <w:t xml:space="preserve">In its response to proposed restriction of the new indication to children with </w:t>
      </w:r>
      <w:r w:rsidRPr="00A30D30">
        <w:t>seasonal allergic rhinitis</w:t>
      </w:r>
      <w:r>
        <w:t>, and the proposed restriction of duration of treatment to two weeks, the sponsor presented summary of adverse event data from an US Food and Drug Administration evaluation report;</w:t>
      </w:r>
      <w:r>
        <w:rPr>
          <w:rStyle w:val="FootnoteReference"/>
        </w:rPr>
        <w:footnoteReference w:id="22"/>
      </w:r>
      <w:r>
        <w:t xml:space="preserve"> for olopatadine nasal spray (</w:t>
      </w:r>
      <w:proofErr w:type="spellStart"/>
      <w:r>
        <w:t>Patanase</w:t>
      </w:r>
      <w:proofErr w:type="spellEnd"/>
      <w:r>
        <w:t>) which is approved in the US for the treatment of seasonal allergic rhinitis only. There were no notable differences between in the incidence of common AEs between subjects aged 6 to 11 years and those aged 12 years and older, although bitter taste was more commonly reported in the older age group.</w:t>
      </w:r>
    </w:p>
    <w:p w14:paraId="4843EAEF" w14:textId="77777777" w:rsidR="00764D48" w:rsidRDefault="00764D48" w:rsidP="00764D48">
      <w:r>
        <w:t xml:space="preserve">The sponsor also argued that olopatadine hydrochloride belongs to the antihistamine pharmacological drug class and the safety of </w:t>
      </w:r>
      <w:proofErr w:type="gramStart"/>
      <w:r>
        <w:t>long term</w:t>
      </w:r>
      <w:proofErr w:type="gramEnd"/>
      <w:r>
        <w:t xml:space="preserve"> administration of an antihistamine nasal spray is well established, including in children aged over 5 years. For example, azelastine, which is in the same pharmacological class as olopatadine, is approved as a nasal spray for the treatment of both seasonal allergic rhinitis and perennial allergic rhinitis patients aged 6 years and above in Europe and aged 5 years and above in Australia. However, it is not appropriate to extrapolate long-term safety data obtained with one chemical entity to another.</w:t>
      </w:r>
    </w:p>
    <w:p w14:paraId="7098A4A5" w14:textId="77777777" w:rsidR="00764D48" w:rsidRDefault="00764D48" w:rsidP="00764D48">
      <w:pPr>
        <w:pStyle w:val="Heading4"/>
      </w:pPr>
      <w:bookmarkStart w:id="99" w:name="_Toc98931933"/>
      <w:bookmarkStart w:id="100" w:name="_Toc130459066"/>
      <w:r w:rsidRPr="00D23139">
        <w:t>Proposed action</w:t>
      </w:r>
      <w:bookmarkEnd w:id="99"/>
      <w:bookmarkEnd w:id="100"/>
    </w:p>
    <w:p w14:paraId="2AF13545" w14:textId="77777777" w:rsidR="00764D48" w:rsidRDefault="00764D48" w:rsidP="00764D48">
      <w:r>
        <w:t xml:space="preserve">At this stage of the assessment, the Delegate was not </w:t>
      </w:r>
      <w:proofErr w:type="gramStart"/>
      <w:r>
        <w:t>in a position</w:t>
      </w:r>
      <w:proofErr w:type="gramEnd"/>
      <w:r>
        <w:t xml:space="preserve"> to say that the application for </w:t>
      </w:r>
      <w:proofErr w:type="spellStart"/>
      <w:r>
        <w:t>Ryaltris</w:t>
      </w:r>
      <w:proofErr w:type="spellEnd"/>
      <w:r>
        <w:t xml:space="preserve"> should be fully approved for the proposed extension of indication.</w:t>
      </w:r>
    </w:p>
    <w:p w14:paraId="02955E21" w14:textId="77777777" w:rsidR="00764D48" w:rsidRDefault="00764D48" w:rsidP="00764D48">
      <w:r>
        <w:t>Safety data in the pivotal study is of only two weeks duration. The EMA guidelines adopted by the TGA requires that long-term safety data should be provided for children and that safety data cannot be extrapolated from older age groups.</w:t>
      </w:r>
      <w:r w:rsidRPr="007F7CB3">
        <w:rPr>
          <w:vertAlign w:val="superscript"/>
        </w:rPr>
        <w:fldChar w:fldCharType="begin"/>
      </w:r>
      <w:r w:rsidRPr="007F7CB3">
        <w:rPr>
          <w:vertAlign w:val="superscript"/>
        </w:rPr>
        <w:instrText xml:space="preserve"> NOTEREF _Ref129850265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20</w:t>
      </w:r>
      <w:r w:rsidRPr="007F7CB3">
        <w:rPr>
          <w:vertAlign w:val="superscript"/>
        </w:rPr>
        <w:fldChar w:fldCharType="end"/>
      </w:r>
    </w:p>
    <w:p w14:paraId="3748C519" w14:textId="77777777" w:rsidR="00764D48" w:rsidRDefault="00764D48" w:rsidP="00764D48">
      <w:r>
        <w:t xml:space="preserve">Results for ocular symptoms were generally negative, with no clear benefit demonstrated on the secondary endpoint of average reflective TOSS over the 14-day treatment period (see </w:t>
      </w:r>
      <w:r>
        <w:fldChar w:fldCharType="begin"/>
      </w:r>
      <w:r>
        <w:instrText xml:space="preserve"> REF _Ref121757596 \h </w:instrText>
      </w:r>
      <w:r>
        <w:fldChar w:fldCharType="separate"/>
      </w:r>
      <w:r>
        <w:t xml:space="preserve">Table </w:t>
      </w:r>
      <w:r>
        <w:rPr>
          <w:noProof/>
        </w:rPr>
        <w:t>22</w:t>
      </w:r>
      <w:r>
        <w:fldChar w:fldCharType="end"/>
      </w:r>
      <w:r>
        <w:t xml:space="preserve">) or the ‘other’ endpoint of average instantaneous TOSS over the 14-day treatment period (see </w:t>
      </w:r>
      <w:r>
        <w:fldChar w:fldCharType="begin"/>
      </w:r>
      <w:r>
        <w:instrText xml:space="preserve"> REF _Ref121757749 \h </w:instrText>
      </w:r>
      <w:r>
        <w:fldChar w:fldCharType="separate"/>
      </w:r>
      <w:r>
        <w:t xml:space="preserve">Table </w:t>
      </w:r>
      <w:r>
        <w:rPr>
          <w:noProof/>
        </w:rPr>
        <w:t>23</w:t>
      </w:r>
      <w:r>
        <w:fldChar w:fldCharType="end"/>
      </w:r>
      <w:r>
        <w:t>).</w:t>
      </w:r>
    </w:p>
    <w:p w14:paraId="7DBE10E5" w14:textId="77777777" w:rsidR="00764D48" w:rsidRDefault="00764D48" w:rsidP="00764D48">
      <w:r>
        <w:lastRenderedPageBreak/>
        <w:t xml:space="preserve">Overall, the submitted data and subsequent responses by the sponsor, do not support use of </w:t>
      </w:r>
      <w:proofErr w:type="spellStart"/>
      <w:r>
        <w:t>Ryaltris</w:t>
      </w:r>
      <w:proofErr w:type="spellEnd"/>
      <w:r>
        <w:t xml:space="preserve"> for perennial allergic rhinitis and </w:t>
      </w:r>
      <w:proofErr w:type="spellStart"/>
      <w:r>
        <w:t>rhinoconjunctivitis</w:t>
      </w:r>
      <w:proofErr w:type="spellEnd"/>
      <w:r>
        <w:t xml:space="preserve"> in children aged from 6 to 11 years.</w:t>
      </w:r>
    </w:p>
    <w:p w14:paraId="7F9B169A" w14:textId="77777777" w:rsidR="00764D48" w:rsidRPr="002A3720" w:rsidRDefault="00764D48" w:rsidP="00764D48">
      <w:r>
        <w:t xml:space="preserve">Based on above reasons, approval for use of </w:t>
      </w:r>
      <w:proofErr w:type="spellStart"/>
      <w:r>
        <w:t>Ryaltris</w:t>
      </w:r>
      <w:proofErr w:type="spellEnd"/>
      <w:r>
        <w:t xml:space="preserve"> in 6 to 11 years children can only be granted for use in seasonal allergic rhinitis and restricted for the duration of 2 weeks.</w:t>
      </w:r>
    </w:p>
    <w:p w14:paraId="7BBF040F" w14:textId="77777777" w:rsidR="00764D48" w:rsidRPr="00F73346" w:rsidRDefault="00764D48" w:rsidP="00764D48">
      <w:pPr>
        <w:pStyle w:val="Heading4"/>
      </w:pPr>
      <w:bookmarkStart w:id="101" w:name="_Toc98931936"/>
      <w:bookmarkStart w:id="102" w:name="_Toc247691532"/>
      <w:bookmarkStart w:id="103" w:name="_Toc314842516"/>
      <w:bookmarkStart w:id="104" w:name="_Toc130459067"/>
      <w:bookmarkEnd w:id="87"/>
      <w:bookmarkEnd w:id="88"/>
      <w:r w:rsidRPr="00F73346">
        <w:t>Advisory Committee considerations</w:t>
      </w:r>
      <w:bookmarkEnd w:id="101"/>
      <w:bookmarkEnd w:id="104"/>
    </w:p>
    <w:p w14:paraId="6A0BA5DD" w14:textId="77777777" w:rsidR="00764D48" w:rsidRDefault="00764D48" w:rsidP="00764D48">
      <w:pPr>
        <w:rPr>
          <w:bCs/>
        </w:rPr>
      </w:pPr>
      <w:r w:rsidRPr="00456765">
        <w:rPr>
          <w:bCs/>
        </w:rPr>
        <w:t xml:space="preserve">The </w:t>
      </w:r>
      <w:hyperlink r:id="rId51"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5BE6F736" w14:textId="77777777" w:rsidR="00764D48" w:rsidRDefault="00764D48" w:rsidP="00764D48">
      <w:pPr>
        <w:pStyle w:val="Heading5"/>
      </w:pPr>
      <w:r w:rsidRPr="00F73346">
        <w:t>Specific advice to the Delegate</w:t>
      </w:r>
    </w:p>
    <w:p w14:paraId="46A6A9FC" w14:textId="77777777" w:rsidR="00764D48" w:rsidRPr="007F7CB3" w:rsidRDefault="00764D48" w:rsidP="00764D48">
      <w:pPr>
        <w:pStyle w:val="Numberbullet0"/>
        <w:spacing w:after="120"/>
        <w:ind w:left="425" w:hanging="425"/>
        <w:rPr>
          <w:b/>
          <w:i/>
        </w:rPr>
      </w:pPr>
      <w:r w:rsidRPr="007F7CB3">
        <w:rPr>
          <w:b/>
          <w:i/>
        </w:rPr>
        <w:t xml:space="preserve">Does ACM consider that short-term safety data can support the long-term use, including use in </w:t>
      </w:r>
      <w:r w:rsidRPr="00A30D30">
        <w:rPr>
          <w:b/>
          <w:bCs/>
          <w:i/>
          <w:iCs/>
        </w:rPr>
        <w:t xml:space="preserve">perennial allergic </w:t>
      </w:r>
      <w:proofErr w:type="gramStart"/>
      <w:r w:rsidRPr="00A30D30">
        <w:rPr>
          <w:b/>
          <w:bCs/>
          <w:i/>
          <w:iCs/>
        </w:rPr>
        <w:t xml:space="preserve">rhinitis </w:t>
      </w:r>
      <w:r w:rsidRPr="007F7CB3">
        <w:rPr>
          <w:b/>
          <w:i/>
        </w:rPr>
        <w:t>?</w:t>
      </w:r>
      <w:proofErr w:type="gramEnd"/>
      <w:r w:rsidRPr="007F7CB3">
        <w:rPr>
          <w:b/>
          <w:i/>
        </w:rPr>
        <w:t xml:space="preserve"> </w:t>
      </w:r>
    </w:p>
    <w:p w14:paraId="02D3FA73" w14:textId="77777777" w:rsidR="00764D48" w:rsidRDefault="00764D48" w:rsidP="00764D48">
      <w:r>
        <w:t xml:space="preserve">The ACM noted that although the short-term data submitted cannot support the long-term safety of </w:t>
      </w:r>
      <w:proofErr w:type="spellStart"/>
      <w:r>
        <w:t>Ryaltris</w:t>
      </w:r>
      <w:proofErr w:type="spellEnd"/>
      <w:r>
        <w:t xml:space="preserve"> in children, there is strong pharmacologic and clinical plausibility for </w:t>
      </w:r>
      <w:proofErr w:type="spellStart"/>
      <w:r>
        <w:t>Ryaltris</w:t>
      </w:r>
      <w:proofErr w:type="spellEnd"/>
      <w:r>
        <w:t xml:space="preserve"> being a safer option for longer-term intranasal corticosteroids use in children which represents a relevant consideration in the decision on this submission.</w:t>
      </w:r>
    </w:p>
    <w:p w14:paraId="193BAF59" w14:textId="77777777" w:rsidR="00764D48" w:rsidRDefault="00764D48" w:rsidP="00764D48">
      <w:proofErr w:type="gramStart"/>
      <w:r>
        <w:t>Overall</w:t>
      </w:r>
      <w:proofErr w:type="gramEnd"/>
      <w:r>
        <w:t xml:space="preserve"> less than 1% of patients in all treatment groups discontinued due to adverse reactions, indicating that the treatment was well tolerated and effective.</w:t>
      </w:r>
    </w:p>
    <w:p w14:paraId="21C2AB33" w14:textId="77777777" w:rsidR="00764D48" w:rsidRDefault="00764D48" w:rsidP="00764D48">
      <w:r>
        <w:t>The ACM noted that usage should be at the lowest effective dose and long-term use discouraged, with second or third daily or weekly usage rather than daily.</w:t>
      </w:r>
    </w:p>
    <w:p w14:paraId="442E810B" w14:textId="77777777" w:rsidR="00764D48" w:rsidRDefault="00764D48" w:rsidP="00764D48">
      <w:r>
        <w:t>The ACM recommended that a statement be included in the indications to the effect of:</w:t>
      </w:r>
    </w:p>
    <w:p w14:paraId="471961B5" w14:textId="77777777" w:rsidR="00764D48" w:rsidRDefault="00764D48" w:rsidP="00764D48">
      <w:pPr>
        <w:ind w:firstLine="720"/>
      </w:pPr>
      <w:r>
        <w:t>‘</w:t>
      </w:r>
      <w:proofErr w:type="gramStart"/>
      <w:r w:rsidRPr="007F7CB3">
        <w:rPr>
          <w:i/>
        </w:rPr>
        <w:t>safety</w:t>
      </w:r>
      <w:proofErr w:type="gramEnd"/>
      <w:r w:rsidRPr="007F7CB3">
        <w:rPr>
          <w:i/>
        </w:rPr>
        <w:t xml:space="preserve"> beyond two weeks has not been assessed in children 6 to 11 years of age’</w:t>
      </w:r>
      <w:r>
        <w:t>.</w:t>
      </w:r>
    </w:p>
    <w:p w14:paraId="33C62702" w14:textId="77777777" w:rsidR="00764D48" w:rsidRDefault="00764D48" w:rsidP="00764D48">
      <w:r>
        <w:t>The following statements should also be included within the Product Information (PI):</w:t>
      </w:r>
    </w:p>
    <w:p w14:paraId="53D351CA" w14:textId="77777777" w:rsidR="00764D48" w:rsidRDefault="00764D48" w:rsidP="00764D48">
      <w:pPr>
        <w:pStyle w:val="ListBullet2"/>
        <w:spacing w:after="120"/>
        <w:ind w:left="720" w:hanging="360"/>
      </w:pPr>
      <w:r>
        <w:t>Safety in children has not been studied beyond two weeks of use or in perennial rhinitis.</w:t>
      </w:r>
    </w:p>
    <w:p w14:paraId="6CF598F5" w14:textId="77777777" w:rsidR="00764D48" w:rsidRDefault="00764D48" w:rsidP="00764D48">
      <w:pPr>
        <w:pStyle w:val="ListBullet2"/>
        <w:spacing w:after="120"/>
        <w:ind w:left="720" w:hanging="360"/>
      </w:pPr>
      <w:r>
        <w:t>The lowest possible maintenance dose should be achieved as safety beyond two weeks has not been assessed in children 6 to 11 years of age.</w:t>
      </w:r>
    </w:p>
    <w:p w14:paraId="24F9E265" w14:textId="77777777" w:rsidR="00764D48" w:rsidRDefault="00764D48" w:rsidP="00764D48">
      <w:pPr>
        <w:pStyle w:val="ListBullet2"/>
        <w:spacing w:after="120"/>
        <w:ind w:left="720" w:hanging="360"/>
      </w:pPr>
      <w:r>
        <w:t xml:space="preserve">Long term glucocorticoid exposure carries </w:t>
      </w:r>
      <w:proofErr w:type="gramStart"/>
      <w:r>
        <w:t>particular risks</w:t>
      </w:r>
      <w:proofErr w:type="gramEnd"/>
      <w:r>
        <w:t xml:space="preserve"> in this age group.</w:t>
      </w:r>
    </w:p>
    <w:p w14:paraId="216F0C0B" w14:textId="77777777" w:rsidR="00764D48" w:rsidRPr="009170A2" w:rsidRDefault="00764D48" w:rsidP="00764D48">
      <w:pPr>
        <w:pStyle w:val="ListBullet2"/>
        <w:spacing w:after="120"/>
        <w:ind w:left="720" w:hanging="360"/>
      </w:pPr>
      <w:r>
        <w:t>Periodic clinical review, pursuit of lowest effective dosing, and consideration of adjunctive treatment modalities are recommended.</w:t>
      </w:r>
    </w:p>
    <w:p w14:paraId="3C2DC32F" w14:textId="77777777" w:rsidR="00764D48" w:rsidRDefault="00764D48" w:rsidP="00764D48">
      <w:pPr>
        <w:pStyle w:val="Numberbullet0"/>
        <w:spacing w:after="120"/>
        <w:ind w:left="425" w:hanging="425"/>
        <w:rPr>
          <w:b/>
          <w:bCs/>
          <w:i/>
          <w:iCs/>
        </w:rPr>
      </w:pPr>
      <w:r w:rsidRPr="009170A2">
        <w:rPr>
          <w:b/>
          <w:bCs/>
          <w:i/>
          <w:iCs/>
        </w:rPr>
        <w:t xml:space="preserve">Does ACM agree on extrapolation of efficacy for </w:t>
      </w:r>
      <w:r w:rsidRPr="00816106">
        <w:rPr>
          <w:b/>
          <w:bCs/>
          <w:i/>
          <w:iCs/>
        </w:rPr>
        <w:t>seasonal allergic rhinitis</w:t>
      </w:r>
      <w:r>
        <w:rPr>
          <w:b/>
          <w:bCs/>
          <w:i/>
          <w:iCs/>
        </w:rPr>
        <w:t xml:space="preserve"> </w:t>
      </w:r>
      <w:r w:rsidRPr="009170A2">
        <w:rPr>
          <w:b/>
          <w:bCs/>
          <w:i/>
          <w:iCs/>
        </w:rPr>
        <w:t xml:space="preserve">to </w:t>
      </w:r>
      <w:r w:rsidRPr="00816106">
        <w:rPr>
          <w:b/>
          <w:bCs/>
          <w:i/>
          <w:iCs/>
        </w:rPr>
        <w:t xml:space="preserve">perennial allergic rhinitis </w:t>
      </w:r>
      <w:r w:rsidRPr="009170A2">
        <w:rPr>
          <w:b/>
          <w:bCs/>
          <w:i/>
          <w:iCs/>
        </w:rPr>
        <w:t xml:space="preserve">in </w:t>
      </w:r>
      <w:r>
        <w:rPr>
          <w:b/>
          <w:bCs/>
          <w:i/>
          <w:iCs/>
        </w:rPr>
        <w:t xml:space="preserve">the </w:t>
      </w:r>
      <w:r w:rsidRPr="009170A2">
        <w:rPr>
          <w:b/>
          <w:bCs/>
          <w:i/>
          <w:iCs/>
        </w:rPr>
        <w:t>6</w:t>
      </w:r>
      <w:r>
        <w:rPr>
          <w:b/>
          <w:bCs/>
          <w:i/>
          <w:iCs/>
        </w:rPr>
        <w:t xml:space="preserve"> to </w:t>
      </w:r>
      <w:r w:rsidRPr="009170A2">
        <w:rPr>
          <w:b/>
          <w:bCs/>
          <w:i/>
          <w:iCs/>
        </w:rPr>
        <w:t xml:space="preserve">11 years </w:t>
      </w:r>
      <w:r>
        <w:rPr>
          <w:b/>
          <w:bCs/>
          <w:i/>
          <w:iCs/>
        </w:rPr>
        <w:t xml:space="preserve">of </w:t>
      </w:r>
      <w:r w:rsidRPr="009170A2">
        <w:rPr>
          <w:b/>
          <w:bCs/>
          <w:i/>
          <w:iCs/>
        </w:rPr>
        <w:t>age group?</w:t>
      </w:r>
    </w:p>
    <w:p w14:paraId="42A5BCF6" w14:textId="77777777" w:rsidR="00764D48" w:rsidRDefault="00764D48" w:rsidP="00764D48">
      <w:r>
        <w:t xml:space="preserve">The ACM considered that the efficacy of </w:t>
      </w:r>
      <w:proofErr w:type="spellStart"/>
      <w:r>
        <w:t>Ryaltris</w:t>
      </w:r>
      <w:proofErr w:type="spellEnd"/>
      <w:r>
        <w:t xml:space="preserve"> has been robustly demonstrated in seasonal allergic rhinitis.</w:t>
      </w:r>
    </w:p>
    <w:p w14:paraId="6B4F0FDE" w14:textId="77777777" w:rsidR="00764D48" w:rsidRPr="009170A2" w:rsidRDefault="00764D48" w:rsidP="00764D48">
      <w:r>
        <w:t>The biology of the conditions and the product’s mechanism of action support efficacy across all forms of allergic rhinitis, including perennial allergic rhinitis, and in all age groups. The ACM defined the 6 years and older age group as a target patient group for rhinitis.</w:t>
      </w:r>
    </w:p>
    <w:p w14:paraId="5320A412" w14:textId="77777777" w:rsidR="00764D48" w:rsidRDefault="00764D48" w:rsidP="00764D48">
      <w:pPr>
        <w:pStyle w:val="Numberbullet0"/>
        <w:spacing w:after="120"/>
        <w:ind w:left="425" w:hanging="425"/>
        <w:rPr>
          <w:b/>
          <w:bCs/>
          <w:i/>
          <w:iCs/>
        </w:rPr>
      </w:pPr>
      <w:r w:rsidRPr="009170A2">
        <w:rPr>
          <w:b/>
          <w:bCs/>
          <w:i/>
          <w:iCs/>
        </w:rPr>
        <w:t>Does ACM consider that use o</w:t>
      </w:r>
      <w:r w:rsidRPr="00D1643D">
        <w:rPr>
          <w:b/>
          <w:bCs/>
          <w:i/>
          <w:iCs/>
        </w:rPr>
        <w:t xml:space="preserve">f </w:t>
      </w:r>
      <w:proofErr w:type="spellStart"/>
      <w:r w:rsidRPr="00D1643D">
        <w:rPr>
          <w:b/>
          <w:bCs/>
          <w:i/>
          <w:iCs/>
        </w:rPr>
        <w:t>Ryaltris</w:t>
      </w:r>
      <w:proofErr w:type="spellEnd"/>
      <w:r w:rsidRPr="00D1643D">
        <w:rPr>
          <w:b/>
          <w:bCs/>
          <w:i/>
          <w:iCs/>
        </w:rPr>
        <w:t xml:space="preserve"> should</w:t>
      </w:r>
      <w:r w:rsidRPr="009170A2">
        <w:rPr>
          <w:b/>
          <w:bCs/>
          <w:i/>
          <w:iCs/>
        </w:rPr>
        <w:t xml:space="preserve"> be strictly restricted to </w:t>
      </w:r>
      <w:r>
        <w:rPr>
          <w:b/>
          <w:bCs/>
          <w:i/>
          <w:iCs/>
        </w:rPr>
        <w:t>two</w:t>
      </w:r>
      <w:r w:rsidRPr="009170A2">
        <w:rPr>
          <w:b/>
          <w:bCs/>
          <w:i/>
          <w:iCs/>
        </w:rPr>
        <w:t xml:space="preserve"> weeks?</w:t>
      </w:r>
    </w:p>
    <w:p w14:paraId="26431A16" w14:textId="77777777" w:rsidR="00764D48" w:rsidRDefault="00764D48" w:rsidP="00764D48">
      <w:r>
        <w:t xml:space="preserve">The ACM noted that whilst such a restriction may be prudent it does not adequately address the clinical safety concerns or real-world clinical management of the allergic rhinitis condition, both of which should be individualised </w:t>
      </w:r>
      <w:proofErr w:type="gramStart"/>
      <w:r>
        <w:t>on the basis of</w:t>
      </w:r>
      <w:proofErr w:type="gramEnd"/>
      <w:r>
        <w:t xml:space="preserve"> benefit versus risk. There are significant developmental and functional impacts from allergic rhinitis in some patients and some patients appropriately require longer term use of intranasal corticosteroids.</w:t>
      </w:r>
    </w:p>
    <w:p w14:paraId="774C85C5" w14:textId="77777777" w:rsidR="00764D48" w:rsidRDefault="00764D48" w:rsidP="00764D48">
      <w:r>
        <w:lastRenderedPageBreak/>
        <w:t>In addition, the ACM noted that mometasone is registered for perennial allergic rhinitis in children as young as 3 years old;</w:t>
      </w:r>
      <w:r w:rsidRPr="007F7CB3">
        <w:rPr>
          <w:vertAlign w:val="superscript"/>
        </w:rPr>
        <w:fldChar w:fldCharType="begin"/>
      </w:r>
      <w:r w:rsidRPr="007F7CB3">
        <w:rPr>
          <w:vertAlign w:val="superscript"/>
        </w:rPr>
        <w:instrText xml:space="preserve"> NOTEREF _Ref129852646 \h </w:instrText>
      </w:r>
      <w:r>
        <w:rPr>
          <w:vertAlign w:val="superscript"/>
        </w:rPr>
        <w:instrText xml:space="preserve"> \* MERGEFORMAT </w:instrText>
      </w:r>
      <w:r w:rsidRPr="007F7CB3">
        <w:rPr>
          <w:vertAlign w:val="superscript"/>
        </w:rPr>
      </w:r>
      <w:r w:rsidRPr="007F7CB3">
        <w:rPr>
          <w:vertAlign w:val="superscript"/>
        </w:rPr>
        <w:fldChar w:fldCharType="separate"/>
      </w:r>
      <w:r w:rsidRPr="007F7CB3">
        <w:rPr>
          <w:vertAlign w:val="superscript"/>
        </w:rPr>
        <w:t>21</w:t>
      </w:r>
      <w:r w:rsidRPr="007F7CB3">
        <w:rPr>
          <w:vertAlign w:val="superscript"/>
        </w:rPr>
        <w:fldChar w:fldCharType="end"/>
      </w:r>
      <w:r>
        <w:t xml:space="preserve"> and olopatadine eye drops;</w:t>
      </w:r>
      <w:r>
        <w:rPr>
          <w:rStyle w:val="FootnoteReference"/>
        </w:rPr>
        <w:footnoteReference w:id="23"/>
      </w:r>
      <w:r>
        <w:t xml:space="preserve"> are approved for 14 weeks of treatment in children over 3 years of age in Australia.</w:t>
      </w:r>
      <w:r>
        <w:rPr>
          <w:rStyle w:val="FootnoteReference"/>
        </w:rPr>
        <w:footnoteReference w:id="24"/>
      </w:r>
    </w:p>
    <w:p w14:paraId="4DB4D738" w14:textId="77777777" w:rsidR="00764D48" w:rsidRPr="009170A2" w:rsidRDefault="00764D48" w:rsidP="00764D48">
      <w:r>
        <w:t xml:space="preserve">On balance, the ACM were supportive of </w:t>
      </w:r>
      <w:proofErr w:type="spellStart"/>
      <w:r>
        <w:t>Ryaltris</w:t>
      </w:r>
      <w:proofErr w:type="spellEnd"/>
      <w:r>
        <w:t xml:space="preserve"> not being strictly restricted to two weeks usage. Rather the ACM proposed that a statement indicating that longer term safety data are limited for children under 12 years of age, and down titration to lowest effective dose (to include periodic, </w:t>
      </w:r>
      <w:proofErr w:type="gramStart"/>
      <w:r>
        <w:t>intermittent</w:t>
      </w:r>
      <w:proofErr w:type="gramEnd"/>
      <w:r>
        <w:t xml:space="preserve"> and less than daily dosing) is recommended to mitigate unresolved safety concerns. It was agreed that this would be a more effective mechanism to assist risk management.</w:t>
      </w:r>
    </w:p>
    <w:p w14:paraId="2DB1548A" w14:textId="77777777" w:rsidR="00764D48" w:rsidRDefault="00764D48" w:rsidP="00764D48">
      <w:pPr>
        <w:pStyle w:val="Numberbullet0"/>
        <w:spacing w:after="120"/>
        <w:ind w:left="425" w:hanging="425"/>
        <w:rPr>
          <w:b/>
          <w:bCs/>
          <w:i/>
          <w:iCs/>
        </w:rPr>
      </w:pPr>
      <w:r w:rsidRPr="009170A2">
        <w:rPr>
          <w:b/>
          <w:bCs/>
          <w:i/>
          <w:iCs/>
        </w:rPr>
        <w:t xml:space="preserve">Does </w:t>
      </w:r>
      <w:r>
        <w:rPr>
          <w:b/>
          <w:bCs/>
          <w:i/>
          <w:iCs/>
        </w:rPr>
        <w:t xml:space="preserve">the </w:t>
      </w:r>
      <w:r w:rsidRPr="009170A2">
        <w:rPr>
          <w:b/>
          <w:bCs/>
          <w:i/>
          <w:iCs/>
        </w:rPr>
        <w:t xml:space="preserve">ACM agree that use of </w:t>
      </w:r>
      <w:proofErr w:type="spellStart"/>
      <w:r w:rsidRPr="00D1643D">
        <w:rPr>
          <w:b/>
          <w:bCs/>
          <w:i/>
          <w:iCs/>
        </w:rPr>
        <w:t>Ryaltris</w:t>
      </w:r>
      <w:proofErr w:type="spellEnd"/>
      <w:r w:rsidRPr="009170A2">
        <w:rPr>
          <w:b/>
          <w:bCs/>
          <w:i/>
          <w:iCs/>
        </w:rPr>
        <w:t xml:space="preserve"> for </w:t>
      </w:r>
      <w:proofErr w:type="spellStart"/>
      <w:r w:rsidRPr="002E3E65">
        <w:rPr>
          <w:b/>
          <w:bCs/>
          <w:i/>
          <w:iCs/>
        </w:rPr>
        <w:t>rhinoconjunctivitis</w:t>
      </w:r>
      <w:proofErr w:type="spellEnd"/>
      <w:r w:rsidRPr="002E3E65">
        <w:rPr>
          <w:b/>
          <w:bCs/>
          <w:i/>
          <w:iCs/>
        </w:rPr>
        <w:t xml:space="preserve"> </w:t>
      </w:r>
      <w:r w:rsidRPr="009170A2">
        <w:rPr>
          <w:b/>
          <w:bCs/>
          <w:i/>
          <w:iCs/>
        </w:rPr>
        <w:t xml:space="preserve">in </w:t>
      </w:r>
      <w:r>
        <w:rPr>
          <w:b/>
          <w:bCs/>
          <w:i/>
          <w:iCs/>
        </w:rPr>
        <w:t xml:space="preserve">children from </w:t>
      </w:r>
      <w:r w:rsidRPr="009170A2">
        <w:rPr>
          <w:b/>
          <w:bCs/>
          <w:i/>
          <w:iCs/>
        </w:rPr>
        <w:t>6</w:t>
      </w:r>
      <w:r>
        <w:rPr>
          <w:b/>
          <w:bCs/>
          <w:i/>
          <w:iCs/>
        </w:rPr>
        <w:t xml:space="preserve"> to </w:t>
      </w:r>
      <w:r w:rsidRPr="009170A2">
        <w:rPr>
          <w:b/>
          <w:bCs/>
          <w:i/>
          <w:iCs/>
        </w:rPr>
        <w:t xml:space="preserve">11 years </w:t>
      </w:r>
      <w:r>
        <w:rPr>
          <w:b/>
          <w:bCs/>
          <w:i/>
          <w:iCs/>
        </w:rPr>
        <w:t xml:space="preserve">of </w:t>
      </w:r>
      <w:r w:rsidRPr="009170A2">
        <w:rPr>
          <w:b/>
          <w:bCs/>
          <w:i/>
          <w:iCs/>
        </w:rPr>
        <w:t>age is supported?</w:t>
      </w:r>
    </w:p>
    <w:p w14:paraId="0704F9C5" w14:textId="77777777" w:rsidR="00764D48" w:rsidRDefault="00764D48" w:rsidP="00764D48">
      <w:r>
        <w:t>The ACM noted that rhinitis becomes apparent in children at about 5 years of age, hence the proposed age cohort is an important target group.</w:t>
      </w:r>
    </w:p>
    <w:p w14:paraId="64EEA08E" w14:textId="77777777" w:rsidR="00764D48" w:rsidRDefault="00764D48" w:rsidP="00764D48">
      <w:r>
        <w:t xml:space="preserve">While the ACM was of the view that the submitted efficacy data were less robust for allergic conjunctivitis, the allergic rhinitis symptom complex in all its presentations is most appropriately managed by individualised treatment, including with intranasal corticosteroids. </w:t>
      </w:r>
      <w:proofErr w:type="spellStart"/>
      <w:r>
        <w:t>Ryaltris</w:t>
      </w:r>
      <w:proofErr w:type="spellEnd"/>
      <w:r>
        <w:t xml:space="preserve"> is therefore supported for </w:t>
      </w:r>
      <w:proofErr w:type="spellStart"/>
      <w:r>
        <w:t>rhinoconjunctivitis</w:t>
      </w:r>
      <w:proofErr w:type="spellEnd"/>
      <w:r>
        <w:t xml:space="preserve"> in the 6 to 11 years of age group.</w:t>
      </w:r>
    </w:p>
    <w:p w14:paraId="319244F3" w14:textId="77777777" w:rsidR="00764D48" w:rsidRPr="009170A2" w:rsidRDefault="00764D48" w:rsidP="00764D48">
      <w:r>
        <w:t>The ACM did however note that allergic conjunctivitis, when seen in isolation, can be managed without intranasal treatments.</w:t>
      </w:r>
    </w:p>
    <w:p w14:paraId="536BDE31" w14:textId="77777777" w:rsidR="00764D48" w:rsidRDefault="00764D48" w:rsidP="00764D48">
      <w:pPr>
        <w:pStyle w:val="Numberbullet0"/>
        <w:spacing w:after="120"/>
        <w:ind w:left="425" w:hanging="425"/>
        <w:rPr>
          <w:b/>
          <w:bCs/>
          <w:i/>
          <w:iCs/>
        </w:rPr>
      </w:pPr>
      <w:r w:rsidRPr="009170A2">
        <w:rPr>
          <w:b/>
          <w:bCs/>
          <w:i/>
          <w:iCs/>
        </w:rPr>
        <w:t xml:space="preserve">The committee is (also) requested to provide advice on any other issues that it thinks may be relevant to a decision on </w:t>
      </w:r>
      <w:proofErr w:type="gramStart"/>
      <w:r w:rsidRPr="009170A2">
        <w:rPr>
          <w:b/>
          <w:bCs/>
          <w:i/>
          <w:iCs/>
        </w:rPr>
        <w:t>whether or not</w:t>
      </w:r>
      <w:proofErr w:type="gramEnd"/>
      <w:r w:rsidRPr="009170A2">
        <w:rPr>
          <w:b/>
          <w:bCs/>
          <w:i/>
          <w:iCs/>
        </w:rPr>
        <w:t xml:space="preserve"> to approve this application.</w:t>
      </w:r>
    </w:p>
    <w:p w14:paraId="6C37D551" w14:textId="77777777" w:rsidR="00764D48" w:rsidRDefault="00764D48" w:rsidP="00764D48">
      <w:r>
        <w:t>Given the historical variations in indications and access for different intranasal corticosteroids of different potencies, the prevalence of allergic rhinitis in children, and likely widespread use of intranasal corticosteroids in this age group, a systematic attempt towards harmonisation would be useful in addressing safety concerns.</w:t>
      </w:r>
    </w:p>
    <w:p w14:paraId="34FF6443" w14:textId="77777777" w:rsidR="00764D48" w:rsidRPr="009170A2" w:rsidRDefault="00764D48" w:rsidP="00764D48">
      <w:r>
        <w:t>Awareness regarding long-term use could be raised via a statement or warning in the Consumer Medicines Information (CMI) to stress the importance of avoiding or reducing long-term use of this product in children.</w:t>
      </w:r>
    </w:p>
    <w:p w14:paraId="44B61E1B" w14:textId="77777777" w:rsidR="00764D48" w:rsidRPr="00F73346" w:rsidRDefault="00764D48" w:rsidP="00764D48">
      <w:pPr>
        <w:pStyle w:val="Heading5"/>
      </w:pPr>
      <w:r w:rsidRPr="00F73346">
        <w:t>Conclusion</w:t>
      </w:r>
    </w:p>
    <w:p w14:paraId="19ADBB64" w14:textId="77777777" w:rsidR="00764D48" w:rsidRDefault="00764D48" w:rsidP="00764D48">
      <w:r>
        <w:t xml:space="preserve">The ACM ultimately considered this product to have an overall positive benefit risk profile but recommended additional wording be included in the indications </w:t>
      </w:r>
      <w:proofErr w:type="gramStart"/>
      <w:r>
        <w:t>in regard to</w:t>
      </w:r>
      <w:proofErr w:type="gramEnd"/>
      <w:r>
        <w:t xml:space="preserve"> down titration to lowest effective dose and avoiding long-term use. The indication wording recommended by the ACM was:</w:t>
      </w:r>
    </w:p>
    <w:p w14:paraId="38FAAD0A" w14:textId="77777777" w:rsidR="00764D48" w:rsidRPr="009170A2" w:rsidRDefault="00764D48" w:rsidP="00764D48">
      <w:pPr>
        <w:ind w:left="720"/>
        <w:rPr>
          <w:i/>
          <w:iCs/>
        </w:rPr>
      </w:pPr>
      <w:r>
        <w:rPr>
          <w:i/>
          <w:iCs/>
        </w:rPr>
        <w:t xml:space="preserve">[…] </w:t>
      </w:r>
      <w:r w:rsidRPr="009170A2">
        <w:rPr>
          <w:i/>
          <w:iCs/>
        </w:rPr>
        <w:t>for the treatment of symptoms associated with allergic rhinitis and rhino</w:t>
      </w:r>
      <w:r>
        <w:rPr>
          <w:i/>
          <w:iCs/>
        </w:rPr>
        <w:t xml:space="preserve"> </w:t>
      </w:r>
      <w:r w:rsidRPr="009170A2">
        <w:rPr>
          <w:i/>
          <w:iCs/>
        </w:rPr>
        <w:t>conjunctivitis in patients 6 years of age and older.</w:t>
      </w:r>
    </w:p>
    <w:p w14:paraId="03CD3DF1" w14:textId="77777777" w:rsidR="00764D48" w:rsidRPr="00D971E2" w:rsidRDefault="00764D48" w:rsidP="00764D48">
      <w:pPr>
        <w:ind w:left="720"/>
        <w:rPr>
          <w:i/>
          <w:iCs/>
        </w:rPr>
      </w:pPr>
      <w:r w:rsidRPr="00D971E2">
        <w:rPr>
          <w:i/>
          <w:iCs/>
        </w:rPr>
        <w:t xml:space="preserve">Safety beyond </w:t>
      </w:r>
      <w:r>
        <w:rPr>
          <w:i/>
          <w:iCs/>
        </w:rPr>
        <w:t>two</w:t>
      </w:r>
      <w:r w:rsidRPr="00D971E2">
        <w:rPr>
          <w:i/>
          <w:iCs/>
        </w:rPr>
        <w:t xml:space="preserve"> weeks has not been assessed in children 6 to 11 years of age.</w:t>
      </w:r>
    </w:p>
    <w:p w14:paraId="73CDE9D7" w14:textId="77777777" w:rsidR="00764D48" w:rsidRPr="002E238E" w:rsidRDefault="00764D48" w:rsidP="00764D48">
      <w:pPr>
        <w:pStyle w:val="Heading2"/>
      </w:pPr>
      <w:bookmarkStart w:id="105" w:name="_Toc125470010"/>
      <w:bookmarkStart w:id="106" w:name="_Toc130459068"/>
      <w:r>
        <w:lastRenderedPageBreak/>
        <w:t>Outcome</w:t>
      </w:r>
      <w:bookmarkEnd w:id="102"/>
      <w:bookmarkEnd w:id="103"/>
      <w:bookmarkEnd w:id="105"/>
      <w:bookmarkEnd w:id="106"/>
    </w:p>
    <w:p w14:paraId="3D90CC26" w14:textId="77777777" w:rsidR="00764D48" w:rsidRDefault="00764D48" w:rsidP="00764D48">
      <w:bookmarkStart w:id="107" w:name="_Toc247691533"/>
      <w:bookmarkStart w:id="108" w:name="_Toc314842517"/>
      <w:r>
        <w:t xml:space="preserve">Based on a review of quality, safety, and efficacy, the TGA approved the registration of </w:t>
      </w:r>
      <w:proofErr w:type="spellStart"/>
      <w:r>
        <w:t>Ryaltris</w:t>
      </w:r>
      <w:proofErr w:type="spellEnd"/>
      <w:r>
        <w:t xml:space="preserve"> olopatadine 600 µg/actuation and mometasone furoate 25 µg/actuation, nasal spray bottle, for the following extension of indications:</w:t>
      </w:r>
    </w:p>
    <w:p w14:paraId="76F4AF22" w14:textId="77777777" w:rsidR="00764D48" w:rsidRPr="00D971E2" w:rsidRDefault="00764D48" w:rsidP="00764D48">
      <w:pPr>
        <w:ind w:left="720"/>
        <w:rPr>
          <w:i/>
          <w:iCs/>
        </w:rPr>
      </w:pPr>
      <w:proofErr w:type="spellStart"/>
      <w:r>
        <w:rPr>
          <w:i/>
          <w:iCs/>
        </w:rPr>
        <w:t>Ryaltris</w:t>
      </w:r>
      <w:proofErr w:type="spellEnd"/>
      <w:r w:rsidRPr="00D971E2">
        <w:rPr>
          <w:i/>
          <w:iCs/>
        </w:rPr>
        <w:t xml:space="preserve"> is indicated for the treatment of symptoms associated with allergic rhinitis and </w:t>
      </w:r>
      <w:proofErr w:type="spellStart"/>
      <w:r w:rsidRPr="00D971E2">
        <w:rPr>
          <w:i/>
          <w:iCs/>
        </w:rPr>
        <w:t>rhinoconjunctivitis</w:t>
      </w:r>
      <w:proofErr w:type="spellEnd"/>
      <w:r w:rsidRPr="00D971E2">
        <w:rPr>
          <w:i/>
          <w:iCs/>
        </w:rPr>
        <w:t xml:space="preserve"> in patients 6 years of age and older</w:t>
      </w:r>
      <w:r>
        <w:rPr>
          <w:i/>
          <w:iCs/>
        </w:rPr>
        <w:t>.</w:t>
      </w:r>
    </w:p>
    <w:p w14:paraId="23EFA9AF" w14:textId="77777777" w:rsidR="00764D48" w:rsidRDefault="00764D48" w:rsidP="00764D48">
      <w:r>
        <w:t xml:space="preserve">The above </w:t>
      </w:r>
      <w:r w:rsidRPr="00C105CF">
        <w:t xml:space="preserve">extension of indications </w:t>
      </w:r>
      <w:r>
        <w:t>is inclusive of the previous approved indications.</w:t>
      </w:r>
    </w:p>
    <w:p w14:paraId="3C4D5BA4" w14:textId="77777777" w:rsidR="00764D48" w:rsidRPr="00D23139" w:rsidRDefault="00764D48" w:rsidP="00764D48">
      <w:pPr>
        <w:pStyle w:val="Heading3"/>
      </w:pPr>
      <w:bookmarkStart w:id="109" w:name="_Toc125470011"/>
      <w:bookmarkStart w:id="110" w:name="_Toc130459069"/>
      <w:r w:rsidRPr="00D23139">
        <w:t>Specific conditions of registration applying to these goods</w:t>
      </w:r>
      <w:bookmarkEnd w:id="109"/>
      <w:bookmarkEnd w:id="110"/>
    </w:p>
    <w:p w14:paraId="7EC17DD6" w14:textId="77777777" w:rsidR="00764D48" w:rsidRDefault="00764D48" w:rsidP="00764D48">
      <w:r w:rsidRPr="00233556">
        <w:t>There were no specific conditions included for this registration.  Only standard conditions apply to this registration.</w:t>
      </w:r>
    </w:p>
    <w:p w14:paraId="60058416" w14:textId="77777777" w:rsidR="00764D48" w:rsidRDefault="00764D48" w:rsidP="00764D48">
      <w:pPr>
        <w:pStyle w:val="Heading2"/>
      </w:pPr>
      <w:bookmarkStart w:id="111" w:name="_Toc125470012"/>
      <w:bookmarkStart w:id="112" w:name="_Toc130459070"/>
      <w:r>
        <w:t>Attachment 1. Product Information</w:t>
      </w:r>
      <w:bookmarkEnd w:id="107"/>
      <w:bookmarkEnd w:id="108"/>
      <w:bookmarkEnd w:id="111"/>
      <w:bookmarkEnd w:id="112"/>
    </w:p>
    <w:p w14:paraId="4EA917E2" w14:textId="77777777" w:rsidR="00764D48" w:rsidRDefault="00764D48" w:rsidP="00764D48">
      <w:r w:rsidRPr="002B3624">
        <w:t xml:space="preserve">The </w:t>
      </w:r>
      <w:r>
        <w:t>PI</w:t>
      </w:r>
      <w:r w:rsidRPr="002B3624">
        <w:t xml:space="preserve"> for </w:t>
      </w:r>
      <w:proofErr w:type="spellStart"/>
      <w:r>
        <w:t>Ryaltris</w:t>
      </w:r>
      <w:proofErr w:type="spellEnd"/>
      <w:r>
        <w:t xml:space="preserve"> approved with the submission which is described in </w:t>
      </w:r>
      <w:r w:rsidRPr="002B3624">
        <w:t xml:space="preserve">this </w:t>
      </w:r>
      <w:proofErr w:type="spellStart"/>
      <w:r w:rsidRPr="002B3624">
        <w:t>AusPAR</w:t>
      </w:r>
      <w:proofErr w:type="spellEnd"/>
      <w:r w:rsidRPr="002B3624">
        <w:t xml:space="preserve"> is at Attachment 1.</w:t>
      </w:r>
      <w:r>
        <w:t xml:space="preserve"> </w:t>
      </w:r>
      <w:r w:rsidRPr="00940A89">
        <w:t xml:space="preserve">For the most recent </w:t>
      </w:r>
      <w:r>
        <w:t>PI,</w:t>
      </w:r>
      <w:r w:rsidRPr="00940A89">
        <w:t xml:space="preserve"> ple</w:t>
      </w:r>
      <w:r>
        <w:t xml:space="preserve">ase refer to the TGA </w:t>
      </w:r>
      <w:hyperlink r:id="rId52" w:history="1">
        <w:r w:rsidRPr="008A698E">
          <w:rPr>
            <w:rStyle w:val="Hyperlink"/>
          </w:rPr>
          <w:t>PI/CMI search facility</w:t>
        </w:r>
        <w:r w:rsidRPr="00EB36D6">
          <w:rPr>
            <w:rStyle w:val="Hyperlink"/>
            <w:color w:val="auto"/>
          </w:rPr>
          <w:t>.</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47AEA5DE" w:rsidR="00C22214" w:rsidRDefault="00C22214" w:rsidP="00C22214">
      <w:pPr>
        <w:rPr>
          <w:lang w:eastAsia="ja-JP"/>
        </w:rPr>
        <w:sectPr w:rsidR="00C22214" w:rsidSect="00AE7C6A">
          <w:headerReference w:type="default" r:id="rId53"/>
          <w:footerReference w:type="default" r:id="rId5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564BBE">
        <w:trPr>
          <w:trHeight w:hRule="exact" w:val="565"/>
          <w:jc w:val="center"/>
        </w:trPr>
        <w:tc>
          <w:tcPr>
            <w:tcW w:w="9145" w:type="dxa"/>
          </w:tcPr>
          <w:bookmarkEnd w:id="2"/>
          <w:bookmarkEnd w:id="3"/>
          <w:p w14:paraId="7E090B86" w14:textId="77777777" w:rsidR="00F02AEC" w:rsidRPr="00215D48" w:rsidRDefault="00F02AEC" w:rsidP="00564BBE">
            <w:pPr>
              <w:pStyle w:val="TGASignoff"/>
            </w:pPr>
            <w:r w:rsidRPr="00215D48">
              <w:lastRenderedPageBreak/>
              <w:t>Therapeutic Goods Administration</w:t>
            </w:r>
          </w:p>
        </w:tc>
      </w:tr>
      <w:tr w:rsidR="00F02AEC" w:rsidRPr="00215D48" w14:paraId="70F47EA1" w14:textId="77777777" w:rsidTr="00564BBE">
        <w:trPr>
          <w:trHeight w:val="963"/>
          <w:jc w:val="center"/>
        </w:trPr>
        <w:tc>
          <w:tcPr>
            <w:tcW w:w="9145" w:type="dxa"/>
            <w:tcMar>
              <w:top w:w="28" w:type="dxa"/>
            </w:tcMar>
          </w:tcPr>
          <w:p w14:paraId="3491EBCD" w14:textId="77777777" w:rsidR="00F02AEC" w:rsidRPr="00215D48" w:rsidRDefault="00F02AEC" w:rsidP="00EB5622">
            <w:pPr>
              <w:pStyle w:val="Address"/>
              <w:jc w:val="center"/>
            </w:pPr>
            <w:r w:rsidRPr="00215D48">
              <w:t>PO Box 100 Woden ACT 2606 Australia</w:t>
            </w:r>
          </w:p>
          <w:p w14:paraId="5D0FE0E7" w14:textId="77777777" w:rsidR="00F02AEC" w:rsidRDefault="00F02AEC">
            <w:pPr>
              <w:pStyle w:val="Address"/>
              <w:jc w:val="center"/>
              <w:rPr>
                <w:sz w:val="22"/>
                <w:szCs w:val="22"/>
              </w:rPr>
            </w:pPr>
            <w:r w:rsidRPr="00215D48">
              <w:t xml:space="preserve">Email: </w:t>
            </w:r>
            <w:hyperlink r:id="rId5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77777777" w:rsidR="00F02AEC" w:rsidRPr="00215D48" w:rsidRDefault="00A81EEF">
            <w:pPr>
              <w:pStyle w:val="Address"/>
              <w:jc w:val="center"/>
              <w:rPr>
                <w:rStyle w:val="Hyperlink"/>
                <w:b/>
                <w:color w:val="auto"/>
                <w:sz w:val="22"/>
              </w:rPr>
            </w:pPr>
            <w:hyperlink r:id="rId56" w:history="1">
              <w:r w:rsidR="00F02AEC" w:rsidRPr="00C4721A">
                <w:rPr>
                  <w:rStyle w:val="Hyperlink"/>
                  <w:b/>
                </w:rPr>
                <w:t>https://www.tga.gov.au</w:t>
              </w:r>
            </w:hyperlink>
          </w:p>
        </w:tc>
      </w:tr>
      <w:tr w:rsidR="00F02AEC" w:rsidRPr="00215D48" w14:paraId="2AD74347" w14:textId="77777777" w:rsidTr="00564BBE">
        <w:trPr>
          <w:trHeight w:val="251"/>
          <w:jc w:val="center"/>
        </w:trPr>
        <w:tc>
          <w:tcPr>
            <w:tcW w:w="9145" w:type="dxa"/>
            <w:tcMar>
              <w:top w:w="28" w:type="dxa"/>
            </w:tcMar>
          </w:tcPr>
          <w:p w14:paraId="6EAAD5C1" w14:textId="77777777" w:rsidR="00F02AEC" w:rsidRPr="00215D48" w:rsidRDefault="00F02AEC" w:rsidP="00EB5622">
            <w:pPr>
              <w:pStyle w:val="Address"/>
              <w:jc w:val="center"/>
            </w:pPr>
            <w:r w:rsidRPr="00215D48">
              <w:t>Reference/Publication #</w:t>
            </w:r>
          </w:p>
        </w:tc>
      </w:tr>
    </w:tbl>
    <w:p w14:paraId="788B80FD" w14:textId="77777777" w:rsidR="002216A7" w:rsidRDefault="00A81EEF"/>
    <w:sectPr w:rsidR="002216A7" w:rsidSect="00AE7C6A">
      <w:headerReference w:type="first" r:id="rId57"/>
      <w:footerReference w:type="first" r:id="rId5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84E39" w14:textId="77777777" w:rsidR="00346EC2" w:rsidRDefault="00346EC2" w:rsidP="00F02AEC">
      <w:pPr>
        <w:spacing w:after="0" w:line="240" w:lineRule="auto"/>
      </w:pPr>
      <w:r>
        <w:separator/>
      </w:r>
    </w:p>
  </w:endnote>
  <w:endnote w:type="continuationSeparator" w:id="0">
    <w:p w14:paraId="151BE87A" w14:textId="77777777" w:rsidR="00346EC2" w:rsidRDefault="00346EC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162D69C2" w14:textId="77777777" w:rsidTr="000B30E5">
      <w:trPr>
        <w:trHeight w:val="423"/>
      </w:trPr>
      <w:tc>
        <w:tcPr>
          <w:tcW w:w="4360" w:type="dxa"/>
          <w:tcBorders>
            <w:top w:val="single" w:sz="4" w:space="0" w:color="auto"/>
          </w:tcBorders>
        </w:tcPr>
        <w:p w14:paraId="32E1B782" w14:textId="77777777" w:rsidR="00F02AEC" w:rsidRDefault="00F02AEC" w:rsidP="000B30E5">
          <w:pPr>
            <w:pStyle w:val="Footer"/>
          </w:pPr>
        </w:p>
        <w:p w14:paraId="1849C07C"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F02AEC" w:rsidRDefault="00F02AEC" w:rsidP="000B30E5">
              <w:pPr>
                <w:pStyle w:val="Footer"/>
                <w:jc w:val="right"/>
              </w:pPr>
            </w:p>
            <w:p w14:paraId="5EDE6DF6"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6412C5">
                <w:fldChar w:fldCharType="begin"/>
              </w:r>
              <w:r w:rsidR="006412C5">
                <w:instrText xml:space="preserve"> NUMPAGES  </w:instrText>
              </w:r>
              <w:r w:rsidR="006412C5">
                <w:fldChar w:fldCharType="separate"/>
              </w:r>
              <w:r>
                <w:rPr>
                  <w:noProof/>
                </w:rPr>
                <w:t>2</w:t>
              </w:r>
              <w:r w:rsidR="006412C5">
                <w:rPr>
                  <w:noProof/>
                </w:rPr>
                <w:fldChar w:fldCharType="end"/>
              </w:r>
            </w:p>
          </w:sdtContent>
        </w:sdt>
      </w:tc>
    </w:tr>
    <w:tr w:rsidR="00F02AEC" w:rsidRPr="00257138" w14:paraId="280F09C8" w14:textId="77777777" w:rsidTr="000B30E5">
      <w:trPr>
        <w:trHeight w:val="263"/>
      </w:trPr>
      <w:tc>
        <w:tcPr>
          <w:tcW w:w="4360" w:type="dxa"/>
        </w:tcPr>
        <w:p w14:paraId="673F06D3"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77F5B433" w14:textId="77777777" w:rsidR="00F02AEC" w:rsidRPr="00257138" w:rsidRDefault="00F02AEC" w:rsidP="000B30E5">
          <w:pPr>
            <w:pStyle w:val="Footer"/>
            <w:jc w:val="right"/>
          </w:pPr>
        </w:p>
      </w:tc>
    </w:tr>
  </w:tbl>
  <w:p w14:paraId="63F6FDDE"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6266BC33" w14:textId="77777777" w:rsidTr="00030D34">
      <w:trPr>
        <w:trHeight w:val="423"/>
      </w:trPr>
      <w:tc>
        <w:tcPr>
          <w:tcW w:w="7338" w:type="dxa"/>
          <w:tcBorders>
            <w:top w:val="single" w:sz="4" w:space="0" w:color="auto"/>
          </w:tcBorders>
        </w:tcPr>
        <w:p w14:paraId="3C421323" w14:textId="4F8CC2DD" w:rsidR="00F02AEC" w:rsidRPr="004A3084" w:rsidRDefault="00A81EEF" w:rsidP="00F54CA9">
          <w:pPr>
            <w:pStyle w:val="Footer"/>
          </w:pPr>
          <w:proofErr w:type="spellStart"/>
          <w:r w:rsidRPr="00A81EEF">
            <w:t>AusPAR</w:t>
          </w:r>
          <w:proofErr w:type="spellEnd"/>
          <w:r w:rsidRPr="00A81EEF">
            <w:t xml:space="preserve"> – </w:t>
          </w:r>
          <w:proofErr w:type="spellStart"/>
          <w:r w:rsidRPr="00A81EEF">
            <w:t>Ryaltris</w:t>
          </w:r>
          <w:proofErr w:type="spellEnd"/>
          <w:r w:rsidRPr="00A81EEF">
            <w:t xml:space="preserve"> – olopatadine / mometasone furoate - Seqirus Pty Limited - PM-2020-06532-1-5 Final 17 March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r w:rsidR="006412C5">
                <w:fldChar w:fldCharType="begin"/>
              </w:r>
              <w:r w:rsidR="006412C5">
                <w:instrText xml:space="preserve"> NUMPAGES  </w:instrText>
              </w:r>
              <w:r w:rsidR="006412C5">
                <w:fldChar w:fldCharType="separate"/>
              </w:r>
              <w:r>
                <w:rPr>
                  <w:noProof/>
                </w:rPr>
                <w:t>7</w:t>
              </w:r>
              <w:r w:rsidR="006412C5">
                <w:rPr>
                  <w:noProof/>
                </w:rPr>
                <w:fldChar w:fldCharType="end"/>
              </w:r>
            </w:p>
          </w:sdtContent>
        </w:sdt>
      </w:tc>
    </w:tr>
  </w:tbl>
  <w:p w14:paraId="1A4EDE60"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A77452" w:rsidRPr="008E3C43" w:rsidRDefault="00A81EEF"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B6C5" w14:textId="77777777" w:rsidR="00346EC2" w:rsidRDefault="00346EC2" w:rsidP="00F02AEC">
      <w:pPr>
        <w:spacing w:after="0" w:line="240" w:lineRule="auto"/>
      </w:pPr>
      <w:r>
        <w:separator/>
      </w:r>
    </w:p>
  </w:footnote>
  <w:footnote w:type="continuationSeparator" w:id="0">
    <w:p w14:paraId="242210B7" w14:textId="77777777" w:rsidR="00346EC2" w:rsidRDefault="00346EC2" w:rsidP="00F02AEC">
      <w:pPr>
        <w:spacing w:after="0" w:line="240" w:lineRule="auto"/>
      </w:pPr>
      <w:r>
        <w:continuationSeparator/>
      </w:r>
    </w:p>
  </w:footnote>
  <w:footnote w:id="1">
    <w:p w14:paraId="2D991E7A" w14:textId="77777777" w:rsidR="00764D48" w:rsidRDefault="00764D48" w:rsidP="00764D48">
      <w:pPr>
        <w:pStyle w:val="FootnoteText"/>
      </w:pPr>
      <w:r>
        <w:rPr>
          <w:rStyle w:val="FootnoteReference"/>
        </w:rPr>
        <w:footnoteRef/>
      </w:r>
      <w:r>
        <w:rPr>
          <w:lang w:eastAsia="en-AU"/>
        </w:rPr>
        <w:t xml:space="preserve"> </w:t>
      </w:r>
      <w:r w:rsidRPr="002D7E67">
        <w:rPr>
          <w:lang w:eastAsia="en-AU"/>
        </w:rPr>
        <w:t xml:space="preserve">The </w:t>
      </w:r>
      <w:r w:rsidRPr="002D7E67">
        <w:rPr>
          <w:b/>
          <w:bCs/>
          <w:lang w:eastAsia="en-AU"/>
        </w:rPr>
        <w:t>Black Triangle Scheme</w:t>
      </w:r>
      <w:r w:rsidRPr="002D7E67">
        <w:rPr>
          <w:lang w:eastAsia="en-AU"/>
        </w:rPr>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6632E6D0" w14:textId="77777777" w:rsidR="00764D48" w:rsidRPr="00764D48" w:rsidRDefault="00764D48" w:rsidP="00764D48">
      <w:pPr>
        <w:pStyle w:val="FootnoteText"/>
      </w:pPr>
      <w:r>
        <w:rPr>
          <w:rStyle w:val="FootnoteReference"/>
        </w:rPr>
        <w:footnoteRef/>
      </w:r>
      <w:r>
        <w:t xml:space="preserve"> Each spray (metered dose actuation) delivers a volume of 0.1 mL suspension containing 600 µg (0.6% w/v) olopatadine (equivalent to 665 µg olopatadine hydrochloride) and 25 µg (0.025% w/v) mometasone furoate (equivalent to 25.86 µg mometasone furoate monohydrate).</w:t>
      </w:r>
    </w:p>
  </w:footnote>
  <w:footnote w:id="3">
    <w:p w14:paraId="4CFBC0BF" w14:textId="77777777" w:rsidR="00764D48" w:rsidRDefault="00764D48" w:rsidP="00764D48">
      <w:pPr>
        <w:pStyle w:val="FootnoteText"/>
      </w:pPr>
      <w:r>
        <w:rPr>
          <w:rStyle w:val="FootnoteReference"/>
        </w:rPr>
        <w:footnoteRef/>
      </w:r>
      <w:r>
        <w:t xml:space="preserve"> </w:t>
      </w:r>
      <w:proofErr w:type="gramStart"/>
      <w:r w:rsidRPr="00BC5182">
        <w:t xml:space="preserve">Wise </w:t>
      </w:r>
      <w:r>
        <w:t>,</w:t>
      </w:r>
      <w:r w:rsidRPr="00BC5182">
        <w:t>SK</w:t>
      </w:r>
      <w:proofErr w:type="gramEnd"/>
      <w:r>
        <w:t xml:space="preserve"> et al. </w:t>
      </w:r>
      <w:r w:rsidRPr="00BC5182">
        <w:t xml:space="preserve">International consensus statement on allergy and rhinology: allergic rhinitis (ICAR:AR). </w:t>
      </w:r>
      <w:r w:rsidRPr="006E3D64">
        <w:rPr>
          <w:i/>
          <w:iCs/>
        </w:rPr>
        <w:t xml:space="preserve">Int Forum Allergy </w:t>
      </w:r>
      <w:proofErr w:type="spellStart"/>
      <w:r w:rsidRPr="006E3D64">
        <w:rPr>
          <w:i/>
          <w:iCs/>
        </w:rPr>
        <w:t>Rhinol</w:t>
      </w:r>
      <w:proofErr w:type="spellEnd"/>
      <w:r w:rsidRPr="00BC5182">
        <w:t xml:space="preserve"> 2018; 8(2): 108-352</w:t>
      </w:r>
      <w:r>
        <w:t>.</w:t>
      </w:r>
    </w:p>
  </w:footnote>
  <w:footnote w:id="4">
    <w:p w14:paraId="711E4549" w14:textId="77777777" w:rsidR="00764D48" w:rsidRDefault="00764D48" w:rsidP="00764D48">
      <w:pPr>
        <w:pStyle w:val="FootnoteText"/>
      </w:pPr>
      <w:r>
        <w:rPr>
          <w:rStyle w:val="FootnoteReference"/>
        </w:rPr>
        <w:footnoteRef/>
      </w:r>
      <w:r>
        <w:t xml:space="preserve"> </w:t>
      </w:r>
      <w:r w:rsidRPr="00BC5182">
        <w:t>Wheatley</w:t>
      </w:r>
      <w:r>
        <w:t>,</w:t>
      </w:r>
      <w:r w:rsidRPr="00BC5182">
        <w:t xml:space="preserve"> LM</w:t>
      </w:r>
      <w:r>
        <w:t xml:space="preserve"> et al. </w:t>
      </w:r>
      <w:r w:rsidRPr="00BC5182">
        <w:t xml:space="preserve">Clinical practice. Allergic rhinitis. </w:t>
      </w:r>
      <w:r w:rsidRPr="00256797">
        <w:rPr>
          <w:i/>
          <w:iCs/>
        </w:rPr>
        <w:t xml:space="preserve">N </w:t>
      </w:r>
      <w:proofErr w:type="spellStart"/>
      <w:r w:rsidRPr="00256797">
        <w:rPr>
          <w:i/>
          <w:iCs/>
        </w:rPr>
        <w:t>Engl</w:t>
      </w:r>
      <w:proofErr w:type="spellEnd"/>
      <w:r w:rsidRPr="00256797">
        <w:rPr>
          <w:i/>
          <w:iCs/>
        </w:rPr>
        <w:t xml:space="preserve"> J Med</w:t>
      </w:r>
      <w:r>
        <w:rPr>
          <w:i/>
          <w:iCs/>
        </w:rPr>
        <w:t>;</w:t>
      </w:r>
      <w:r w:rsidRPr="00BC5182">
        <w:t xml:space="preserve"> 2015</w:t>
      </w:r>
      <w:r>
        <w:t>;</w:t>
      </w:r>
      <w:r w:rsidRPr="00BC5182">
        <w:t xml:space="preserve"> 372 (5): 456-63</w:t>
      </w:r>
      <w:r>
        <w:t>.</w:t>
      </w:r>
    </w:p>
  </w:footnote>
  <w:footnote w:id="5">
    <w:p w14:paraId="315502EC" w14:textId="77777777" w:rsidR="00764D48" w:rsidRDefault="00764D48" w:rsidP="00764D48">
      <w:pPr>
        <w:pStyle w:val="FootnoteText"/>
      </w:pPr>
      <w:r>
        <w:rPr>
          <w:rStyle w:val="FootnoteReference"/>
        </w:rPr>
        <w:footnoteRef/>
      </w:r>
      <w:r>
        <w:t xml:space="preserve"> </w:t>
      </w:r>
      <w:r w:rsidRPr="00BC5182">
        <w:t>Australian Institute of Health and Welfare 2011. Allergic rhinitis (‘hay fever’) in Australia. Cat. no. ACM 23. Canberra: AIHW</w:t>
      </w:r>
    </w:p>
  </w:footnote>
  <w:footnote w:id="6">
    <w:p w14:paraId="255DE5E3" w14:textId="77777777" w:rsidR="00764D48" w:rsidRPr="00764D48" w:rsidRDefault="00764D48" w:rsidP="00764D48">
      <w:pPr>
        <w:pStyle w:val="FootnoteText"/>
      </w:pPr>
      <w:r w:rsidRPr="00764D48">
        <w:rPr>
          <w:rStyle w:val="FootnoteReference"/>
          <w:vertAlign w:val="baseline"/>
        </w:rPr>
        <w:footnoteRef/>
      </w:r>
      <w:r w:rsidRPr="00764D48">
        <w:t xml:space="preserve"> </w:t>
      </w:r>
      <w:proofErr w:type="spellStart"/>
      <w:r w:rsidRPr="00764D48">
        <w:t>Brożek</w:t>
      </w:r>
      <w:proofErr w:type="spellEnd"/>
      <w:r w:rsidRPr="00764D48">
        <w:t>, JL et al. Allergic Rhinitis and its Impact on Asthma (ARIA) guidelines; 2016 revision, J Allergy Clin Immunol 2017; 140 (4): 950-958.</w:t>
      </w:r>
    </w:p>
  </w:footnote>
  <w:footnote w:id="7">
    <w:p w14:paraId="1E48FA40" w14:textId="77777777" w:rsidR="00764D48" w:rsidRDefault="00764D48" w:rsidP="00764D48">
      <w:pPr>
        <w:pStyle w:val="FootnoteText"/>
      </w:pPr>
      <w:r>
        <w:rPr>
          <w:rStyle w:val="FootnoteReference"/>
        </w:rPr>
        <w:footnoteRef/>
      </w:r>
      <w:r>
        <w:t xml:space="preserve"> </w:t>
      </w:r>
      <w:proofErr w:type="spellStart"/>
      <w:r>
        <w:t>AusPAR</w:t>
      </w:r>
      <w:proofErr w:type="spellEnd"/>
      <w:r>
        <w:t xml:space="preserve"> for </w:t>
      </w:r>
      <w:proofErr w:type="spellStart"/>
      <w:r>
        <w:t>Dymistra</w:t>
      </w:r>
      <w:proofErr w:type="spellEnd"/>
      <w:r>
        <w:t xml:space="preserve"> 125/50 azelastine (as hydrochloride) 125 microgram and fluticasone propionate 50 microgram published 1 September 2014 is available at </w:t>
      </w:r>
      <w:r w:rsidRPr="005E2E0D">
        <w:t>https://www.tga.gov.au/resources/auspar/auspar-fluticasone-propionate-azelastine-hydrochloride</w:t>
      </w:r>
    </w:p>
  </w:footnote>
  <w:footnote w:id="8">
    <w:p w14:paraId="48623BA3" w14:textId="77777777" w:rsidR="00764D48" w:rsidRPr="00764D48" w:rsidRDefault="00764D48" w:rsidP="00764D48">
      <w:pPr>
        <w:pStyle w:val="FootnoteText"/>
      </w:pPr>
      <w:r>
        <w:rPr>
          <w:rStyle w:val="FootnoteReference"/>
        </w:rPr>
        <w:footnoteRef/>
      </w:r>
      <w:r>
        <w:rPr>
          <w:lang w:eastAsia="en-AU"/>
        </w:rPr>
        <w:t xml:space="preserve"> </w:t>
      </w:r>
      <w:r w:rsidRPr="002D7E67">
        <w:rPr>
          <w:lang w:eastAsia="en-AU"/>
        </w:rPr>
        <w:t>Therapeutic goods must be entered in the Australian Register of Therapeutic Goods (ARTG) before they can be lawfully supplied in or exported from Australia, unless exempt from being entered in the ARTG, or otherwise authorised by the TGA. For further information visit: https://www.tga.gov.au/australian-register-therapeutic-goods.</w:t>
      </w:r>
    </w:p>
  </w:footnote>
  <w:footnote w:id="9">
    <w:p w14:paraId="3B1AC2B4" w14:textId="77777777" w:rsidR="00764D48" w:rsidRPr="006B4553" w:rsidRDefault="00764D48" w:rsidP="00764D48">
      <w:pPr>
        <w:pStyle w:val="FootnoteText"/>
        <w:rPr>
          <w:lang w:val="en-GB"/>
        </w:rPr>
      </w:pPr>
      <w:r>
        <w:rPr>
          <w:rStyle w:val="FootnoteReference"/>
        </w:rPr>
        <w:footnoteRef/>
      </w:r>
      <w:r>
        <w:t xml:space="preserve"> The </w:t>
      </w:r>
      <w:r w:rsidRPr="007F7CB3">
        <w:rPr>
          <w:b/>
        </w:rPr>
        <w:t>Total Nasal Symptom Score</w:t>
      </w:r>
      <w:r>
        <w:t xml:space="preserve"> </w:t>
      </w:r>
      <w:r w:rsidRPr="0009481B">
        <w:rPr>
          <w:lang w:val="en-GB"/>
        </w:rPr>
        <w:t>(</w:t>
      </w:r>
      <w:r w:rsidRPr="007F7CB3">
        <w:rPr>
          <w:b/>
          <w:lang w:val="en-GB"/>
        </w:rPr>
        <w:t>TNSS</w:t>
      </w:r>
      <w:r w:rsidRPr="0009481B">
        <w:rPr>
          <w:lang w:val="en-GB"/>
        </w:rPr>
        <w:t>) is the sum of scores</w:t>
      </w:r>
      <w:r>
        <w:rPr>
          <w:lang w:val="en-GB"/>
        </w:rPr>
        <w:t xml:space="preserve"> of a brief 4-item questionnaire</w:t>
      </w:r>
      <w:r w:rsidRPr="0009481B">
        <w:rPr>
          <w:lang w:val="en-GB"/>
        </w:rPr>
        <w:t xml:space="preserve"> </w:t>
      </w:r>
      <w:r>
        <w:rPr>
          <w:lang w:val="en-GB"/>
        </w:rPr>
        <w:t xml:space="preserve">asking the patient to score the severity of four key symptoms of allergic rhinitis (nasal congestion, sneezing, nasal </w:t>
      </w:r>
      <w:proofErr w:type="gramStart"/>
      <w:r>
        <w:rPr>
          <w:lang w:val="en-GB"/>
        </w:rPr>
        <w:t>itching</w:t>
      </w:r>
      <w:proofErr w:type="gramEnd"/>
      <w:r>
        <w:rPr>
          <w:lang w:val="en-GB"/>
        </w:rPr>
        <w:t xml:space="preserve"> and rhinorrhoea) at a specified time point. Each symptom is scored using a four-point scale (from zero to 3). Zero</w:t>
      </w:r>
      <w:r w:rsidRPr="0009481B">
        <w:rPr>
          <w:lang w:val="en-GB"/>
        </w:rPr>
        <w:t xml:space="preserve"> indicates no symptoms, a score of 1 for mild symptoms that are easily tolerated, 2 for</w:t>
      </w:r>
      <w:r>
        <w:rPr>
          <w:lang w:val="en-GB"/>
        </w:rPr>
        <w:t xml:space="preserve"> definite</w:t>
      </w:r>
      <w:r w:rsidRPr="0009481B">
        <w:rPr>
          <w:lang w:val="en-GB"/>
        </w:rPr>
        <w:t xml:space="preserve"> awareness of symptoms which are bothersome but tolerable and 3 is reserved for severe symptoms that are hard to tolerate and</w:t>
      </w:r>
      <w:r>
        <w:rPr>
          <w:lang w:val="en-GB"/>
        </w:rPr>
        <w:t xml:space="preserve"> interfere with daily activity. The </w:t>
      </w:r>
      <w:r w:rsidRPr="0009481B">
        <w:rPr>
          <w:lang w:val="en-GB"/>
        </w:rPr>
        <w:t xml:space="preserve">TNSS is calculated by adding the score for each of the </w:t>
      </w:r>
      <w:r>
        <w:rPr>
          <w:lang w:val="en-GB"/>
        </w:rPr>
        <w:t xml:space="preserve">four </w:t>
      </w:r>
      <w:r w:rsidRPr="0009481B">
        <w:rPr>
          <w:lang w:val="en-GB"/>
        </w:rPr>
        <w:t>symptoms to a total out of 12</w:t>
      </w:r>
      <w:r>
        <w:rPr>
          <w:lang w:val="en-GB"/>
        </w:rPr>
        <w:t xml:space="preserve"> points.</w:t>
      </w:r>
    </w:p>
  </w:footnote>
  <w:footnote w:id="10">
    <w:p w14:paraId="0CAC37F4" w14:textId="77777777" w:rsidR="00764D48" w:rsidRPr="00652213" w:rsidRDefault="00764D48" w:rsidP="00764D48">
      <w:pPr>
        <w:pStyle w:val="FootnoteText"/>
      </w:pPr>
      <w:r>
        <w:rPr>
          <w:rStyle w:val="FootnoteReference"/>
        </w:rPr>
        <w:footnoteRef/>
      </w:r>
      <w:r>
        <w:t xml:space="preserve"> </w:t>
      </w:r>
      <w:r w:rsidRPr="0060445A">
        <w:t xml:space="preserve">The </w:t>
      </w:r>
      <w:r w:rsidRPr="006B4553">
        <w:rPr>
          <w:b/>
          <w:i/>
        </w:rPr>
        <w:t>reflective</w:t>
      </w:r>
      <w:r w:rsidRPr="006B4553">
        <w:rPr>
          <w:b/>
        </w:rPr>
        <w:t xml:space="preserve"> Total Nasal Symptom Score</w:t>
      </w:r>
      <w:r>
        <w:t xml:space="preserve"> (</w:t>
      </w:r>
      <w:r w:rsidRPr="006B4553">
        <w:rPr>
          <w:b/>
        </w:rPr>
        <w:t>TNSS</w:t>
      </w:r>
      <w:r>
        <w:t>)</w:t>
      </w:r>
      <w:r w:rsidRPr="0060445A">
        <w:t xml:space="preserve"> refers to where patients were required to record a score for each </w:t>
      </w:r>
      <w:r>
        <w:t xml:space="preserve">nasal </w:t>
      </w:r>
      <w:r w:rsidRPr="0060445A">
        <w:t>symptom over the preceding 12 hours (‘reflective score’)</w:t>
      </w:r>
      <w:r>
        <w:t>.</w:t>
      </w:r>
    </w:p>
  </w:footnote>
  <w:footnote w:id="11">
    <w:p w14:paraId="45EB46D5" w14:textId="77777777" w:rsidR="00764D48" w:rsidRPr="00652213" w:rsidRDefault="00764D48" w:rsidP="00764D48">
      <w:pPr>
        <w:pStyle w:val="FootnoteText"/>
      </w:pPr>
      <w:r>
        <w:rPr>
          <w:rStyle w:val="FootnoteReference"/>
        </w:rPr>
        <w:footnoteRef/>
      </w:r>
      <w:r>
        <w:t xml:space="preserve"> The </w:t>
      </w:r>
      <w:r w:rsidRPr="006B4553">
        <w:rPr>
          <w:b/>
          <w:i/>
        </w:rPr>
        <w:t>instantaneous</w:t>
      </w:r>
      <w:r w:rsidRPr="006B4553">
        <w:rPr>
          <w:b/>
        </w:rPr>
        <w:t xml:space="preserve"> Total Nasal Symptom Score</w:t>
      </w:r>
      <w:r>
        <w:t xml:space="preserve"> (</w:t>
      </w:r>
      <w:r w:rsidRPr="006B4553">
        <w:rPr>
          <w:b/>
        </w:rPr>
        <w:t>TNSS</w:t>
      </w:r>
      <w:r>
        <w:t>) refers to where patients were required to record a score for each nasal symptom</w:t>
      </w:r>
      <w:r w:rsidRPr="0060445A">
        <w:t xml:space="preserve"> just before dosing</w:t>
      </w:r>
      <w:r>
        <w:t xml:space="preserve"> of randomised treatment/placebo</w:t>
      </w:r>
      <w:r w:rsidRPr="0060445A">
        <w:t xml:space="preserve"> (‘instantaneous score’).</w:t>
      </w:r>
    </w:p>
  </w:footnote>
  <w:footnote w:id="12">
    <w:p w14:paraId="6E09463F" w14:textId="77777777" w:rsidR="00764D48" w:rsidRPr="00652213" w:rsidRDefault="00764D48" w:rsidP="00764D48">
      <w:pPr>
        <w:pStyle w:val="FootnoteText"/>
      </w:pPr>
      <w:r>
        <w:rPr>
          <w:rStyle w:val="FootnoteReference"/>
        </w:rPr>
        <w:footnoteRef/>
      </w:r>
      <w:r>
        <w:t xml:space="preserve"> The </w:t>
      </w:r>
      <w:r w:rsidRPr="006B4553">
        <w:rPr>
          <w:b/>
        </w:rPr>
        <w:t>Total Ocular Symptom Score</w:t>
      </w:r>
      <w:r>
        <w:t xml:space="preserve"> (</w:t>
      </w:r>
      <w:r w:rsidRPr="006B4553">
        <w:rPr>
          <w:b/>
        </w:rPr>
        <w:t>TOSS</w:t>
      </w:r>
      <w:r w:rsidRPr="0009481B">
        <w:rPr>
          <w:lang w:val="en-GB"/>
        </w:rPr>
        <w:t>) is the sum of scores</w:t>
      </w:r>
      <w:r>
        <w:rPr>
          <w:lang w:val="en-GB"/>
        </w:rPr>
        <w:t xml:space="preserve"> of a brief 3-item questionnaire</w:t>
      </w:r>
      <w:r w:rsidRPr="0009481B">
        <w:rPr>
          <w:lang w:val="en-GB"/>
        </w:rPr>
        <w:t xml:space="preserve"> </w:t>
      </w:r>
      <w:r>
        <w:rPr>
          <w:lang w:val="en-GB"/>
        </w:rPr>
        <w:t>asking the patient to score the severity of three ocular symptoms of allergic rhinitis (itching/burning of eyes; tearing/watering of eyes; and redness of eyes) at a specified time point. Each symptom is scored using a four-point scale (from zero to 3). Zero</w:t>
      </w:r>
      <w:r w:rsidRPr="0009481B">
        <w:rPr>
          <w:lang w:val="en-GB"/>
        </w:rPr>
        <w:t xml:space="preserve"> indicates no symptoms, a score of 1 for mild symptoms that are easily tolerated, 2 for</w:t>
      </w:r>
      <w:r>
        <w:rPr>
          <w:lang w:val="en-GB"/>
        </w:rPr>
        <w:t xml:space="preserve"> definite</w:t>
      </w:r>
      <w:r w:rsidRPr="0009481B">
        <w:rPr>
          <w:lang w:val="en-GB"/>
        </w:rPr>
        <w:t xml:space="preserve"> awareness of symptoms which are bothersome but tolerable and 3 is reserved for severe symptoms that are hard to tolerate and</w:t>
      </w:r>
      <w:r>
        <w:rPr>
          <w:lang w:val="en-GB"/>
        </w:rPr>
        <w:t xml:space="preserve"> interfere with daily activity. The TO</w:t>
      </w:r>
      <w:r w:rsidRPr="0009481B">
        <w:rPr>
          <w:lang w:val="en-GB"/>
        </w:rPr>
        <w:t xml:space="preserve">SS is calculated by adding the score for each of the </w:t>
      </w:r>
      <w:r>
        <w:rPr>
          <w:lang w:val="en-GB"/>
        </w:rPr>
        <w:t xml:space="preserve">three </w:t>
      </w:r>
      <w:r w:rsidRPr="0009481B">
        <w:rPr>
          <w:lang w:val="en-GB"/>
        </w:rPr>
        <w:t xml:space="preserve">symptoms to a total out of </w:t>
      </w:r>
      <w:r>
        <w:rPr>
          <w:lang w:val="en-GB"/>
        </w:rPr>
        <w:t>9 points.</w:t>
      </w:r>
    </w:p>
  </w:footnote>
  <w:footnote w:id="13">
    <w:p w14:paraId="74D8DC2A" w14:textId="77777777" w:rsidR="00764D48" w:rsidRPr="006B4553" w:rsidRDefault="00764D48" w:rsidP="00764D48">
      <w:pPr>
        <w:pStyle w:val="FootnoteText"/>
        <w:rPr>
          <w:lang w:val="en-GB"/>
        </w:rPr>
      </w:pPr>
      <w:r>
        <w:rPr>
          <w:rStyle w:val="FootnoteReference"/>
        </w:rPr>
        <w:footnoteRef/>
      </w:r>
      <w:r>
        <w:t xml:space="preserve"> </w:t>
      </w:r>
      <w:r w:rsidRPr="0060445A">
        <w:t xml:space="preserve">The </w:t>
      </w:r>
      <w:r w:rsidRPr="00B9612E">
        <w:rPr>
          <w:b/>
          <w:i/>
        </w:rPr>
        <w:t>reflective</w:t>
      </w:r>
      <w:r w:rsidRPr="00B9612E">
        <w:rPr>
          <w:b/>
        </w:rPr>
        <w:t xml:space="preserve"> Total </w:t>
      </w:r>
      <w:r>
        <w:rPr>
          <w:b/>
        </w:rPr>
        <w:t>Ocular</w:t>
      </w:r>
      <w:r w:rsidRPr="00B9612E">
        <w:rPr>
          <w:b/>
        </w:rPr>
        <w:t xml:space="preserve"> Symptom Score</w:t>
      </w:r>
      <w:r>
        <w:t xml:space="preserve"> (</w:t>
      </w:r>
      <w:r w:rsidRPr="00B9612E">
        <w:rPr>
          <w:b/>
        </w:rPr>
        <w:t>TNSS</w:t>
      </w:r>
      <w:r>
        <w:t>)</w:t>
      </w:r>
      <w:r w:rsidRPr="0060445A">
        <w:t xml:space="preserve"> refers to where patients were required to record a score for each </w:t>
      </w:r>
      <w:r>
        <w:t xml:space="preserve">ocular </w:t>
      </w:r>
      <w:r w:rsidRPr="0060445A">
        <w:t>symptom over the preceding 12 hours (‘reflective score’)</w:t>
      </w:r>
      <w:r>
        <w:t>.</w:t>
      </w:r>
    </w:p>
  </w:footnote>
  <w:footnote w:id="14">
    <w:p w14:paraId="3E832C12" w14:textId="77777777" w:rsidR="00764D48" w:rsidRPr="006B4553" w:rsidRDefault="00764D48" w:rsidP="00764D48">
      <w:pPr>
        <w:pStyle w:val="FootnoteText"/>
        <w:rPr>
          <w:lang w:val="en-GB"/>
        </w:rPr>
      </w:pPr>
      <w:r>
        <w:rPr>
          <w:rStyle w:val="FootnoteReference"/>
        </w:rPr>
        <w:footnoteRef/>
      </w:r>
      <w:r>
        <w:t xml:space="preserve"> </w:t>
      </w:r>
      <w:r w:rsidRPr="00253847">
        <w:t xml:space="preserve">The </w:t>
      </w:r>
      <w:r w:rsidRPr="006B4553">
        <w:rPr>
          <w:b/>
        </w:rPr>
        <w:t xml:space="preserve">Paediatric </w:t>
      </w:r>
      <w:proofErr w:type="spellStart"/>
      <w:r w:rsidRPr="006B4553">
        <w:rPr>
          <w:b/>
        </w:rPr>
        <w:t>Rhinoconjunctivitis</w:t>
      </w:r>
      <w:proofErr w:type="spellEnd"/>
      <w:r w:rsidRPr="006B4553">
        <w:rPr>
          <w:b/>
        </w:rPr>
        <w:t xml:space="preserve"> Quality of Life Questionnaire</w:t>
      </w:r>
      <w:r w:rsidRPr="00253847">
        <w:t xml:space="preserve"> (</w:t>
      </w:r>
      <w:r w:rsidRPr="006B4553">
        <w:rPr>
          <w:b/>
        </w:rPr>
        <w:t>PRQLQ</w:t>
      </w:r>
      <w:r w:rsidRPr="00253847">
        <w:t xml:space="preserve">) is a validated questionnaire designed to measure quality of life in children aged 6 to 12 years with </w:t>
      </w:r>
      <w:r>
        <w:t xml:space="preserve">seasonal allergic rhinitis. </w:t>
      </w:r>
      <w:r w:rsidRPr="00295B72">
        <w:t xml:space="preserve">The PRQLQ has 23 questions </w:t>
      </w:r>
      <w:r>
        <w:t>across</w:t>
      </w:r>
      <w:r w:rsidRPr="00295B72">
        <w:t xml:space="preserve"> 5 domains (nose symptoms, eye symptoms, practical problems, activity limitation and other symptoms). </w:t>
      </w:r>
      <w:r>
        <w:t xml:space="preserve">The questions are asked directly to children using age-appropriate language. </w:t>
      </w:r>
      <w:r w:rsidRPr="00295B72">
        <w:t xml:space="preserve">Children recall how they have been during the previous week and respond to each question on a 7-point scale. The overall PRQLQ score is the mean of all 23 responses and the individual domain scores are the means of the items in </w:t>
      </w:r>
      <w:proofErr w:type="gramStart"/>
      <w:r w:rsidRPr="00295B72">
        <w:t>the those</w:t>
      </w:r>
      <w:proofErr w:type="gramEnd"/>
      <w:r w:rsidRPr="00295B72">
        <w:t xml:space="preserve"> domains.</w:t>
      </w:r>
    </w:p>
  </w:footnote>
  <w:footnote w:id="15">
    <w:p w14:paraId="493E8F45" w14:textId="77777777" w:rsidR="00764D48" w:rsidRDefault="00764D48" w:rsidP="00764D48">
      <w:pPr>
        <w:pStyle w:val="FootnoteText"/>
      </w:pPr>
      <w:r>
        <w:rPr>
          <w:rStyle w:val="FootnoteReference"/>
        </w:rPr>
        <w:footnoteRef/>
      </w:r>
      <w:r>
        <w:t xml:space="preserve"> </w:t>
      </w:r>
      <w:r w:rsidRPr="002C0D3D">
        <w:t xml:space="preserve">Barnes ML, Vaidyanathan S, Williamson PA, </w:t>
      </w:r>
      <w:proofErr w:type="spellStart"/>
      <w:r w:rsidRPr="002C0D3D">
        <w:t>Lipworth</w:t>
      </w:r>
      <w:proofErr w:type="spellEnd"/>
      <w:r w:rsidRPr="002C0D3D">
        <w:t xml:space="preserve"> BJ. The minimal clinically important difference in allergic rhinitis. </w:t>
      </w:r>
      <w:r w:rsidRPr="006B4553">
        <w:rPr>
          <w:i/>
        </w:rPr>
        <w:t>Clin Exp Allergy</w:t>
      </w:r>
      <w:r w:rsidRPr="002C0D3D">
        <w:t xml:space="preserve"> 2010; 40: 242-50.</w:t>
      </w:r>
    </w:p>
  </w:footnote>
  <w:footnote w:id="16">
    <w:p w14:paraId="000B3704" w14:textId="77777777" w:rsidR="00764D48" w:rsidRDefault="00764D48" w:rsidP="00764D48">
      <w:pPr>
        <w:pStyle w:val="FootnoteText"/>
      </w:pPr>
      <w:r>
        <w:rPr>
          <w:rStyle w:val="FootnoteReference"/>
        </w:rPr>
        <w:footnoteRef/>
      </w:r>
      <w:r>
        <w:t xml:space="preserve"> </w:t>
      </w:r>
      <w:r w:rsidRPr="002C0D3D">
        <w:t xml:space="preserve">Meltzer EO, Wallace D, </w:t>
      </w:r>
      <w:proofErr w:type="spellStart"/>
      <w:r w:rsidRPr="002C0D3D">
        <w:t>Dykewicz</w:t>
      </w:r>
      <w:proofErr w:type="spellEnd"/>
      <w:r w:rsidRPr="002C0D3D">
        <w:t xml:space="preserve"> M, </w:t>
      </w:r>
      <w:proofErr w:type="spellStart"/>
      <w:r w:rsidRPr="002C0D3D">
        <w:t>Shneyer</w:t>
      </w:r>
      <w:proofErr w:type="spellEnd"/>
      <w:r w:rsidRPr="002C0D3D">
        <w:t xml:space="preserve"> L. Minimal Clinically Important Difference (MCID) in Allergic Rhinitis: Agency for Healthcare Research and Quality or Anchor-Based Thresholds? </w:t>
      </w:r>
      <w:r w:rsidRPr="006B4553">
        <w:rPr>
          <w:i/>
        </w:rPr>
        <w:t xml:space="preserve">J Allergy Clin Immunol </w:t>
      </w:r>
      <w:proofErr w:type="spellStart"/>
      <w:r w:rsidRPr="006B4553">
        <w:rPr>
          <w:i/>
        </w:rPr>
        <w:t>Pract</w:t>
      </w:r>
      <w:proofErr w:type="spellEnd"/>
      <w:r w:rsidRPr="002C0D3D">
        <w:t xml:space="preserve"> 2016; 4: 682-8.</w:t>
      </w:r>
    </w:p>
  </w:footnote>
  <w:footnote w:id="17">
    <w:p w14:paraId="494A4BFA" w14:textId="77777777" w:rsidR="00764D48" w:rsidRPr="008162C8" w:rsidRDefault="00764D48" w:rsidP="00764D48">
      <w:pPr>
        <w:pStyle w:val="FootnoteText"/>
      </w:pPr>
      <w:r>
        <w:rPr>
          <w:rStyle w:val="FootnoteReference"/>
        </w:rPr>
        <w:footnoteRef/>
      </w:r>
      <w:r>
        <w:t xml:space="preserve"> The </w:t>
      </w:r>
      <w:r w:rsidRPr="007F7CB3">
        <w:rPr>
          <w:b/>
        </w:rPr>
        <w:t>Total Non-Nasal Symptom Score</w:t>
      </w:r>
      <w:r>
        <w:t xml:space="preserve"> (</w:t>
      </w:r>
      <w:r w:rsidRPr="007F7CB3">
        <w:rPr>
          <w:b/>
        </w:rPr>
        <w:t>TNNSS</w:t>
      </w:r>
      <w:r>
        <w:t>) was the sum of the three ocular symptom scores (itching/burning of eyes; tearing/watering of eyes; and redness of eyes) with one other symptom (itching of ears or palate) with a possible range of 0 to 12.</w:t>
      </w:r>
    </w:p>
  </w:footnote>
  <w:footnote w:id="18">
    <w:p w14:paraId="42518027" w14:textId="77777777" w:rsidR="00764D48" w:rsidRPr="00330B6B" w:rsidRDefault="00764D48" w:rsidP="00764D48">
      <w:pPr>
        <w:pStyle w:val="ListBullet"/>
        <w:numPr>
          <w:ilvl w:val="0"/>
          <w:numId w:val="0"/>
        </w:numPr>
      </w:pPr>
      <w:r>
        <w:rPr>
          <w:rStyle w:val="FootnoteReference"/>
        </w:rPr>
        <w:footnoteRef/>
      </w:r>
      <w:r>
        <w:t xml:space="preserve"> EMA: </w:t>
      </w:r>
      <w:hyperlink r:id="rId1" w:history="1">
        <w:r>
          <w:rPr>
            <w:rStyle w:val="Hyperlink"/>
          </w:rPr>
          <w:t>ICH topic E; N</w:t>
        </w:r>
        <w:r w:rsidRPr="004A77F8">
          <w:rPr>
            <w:rStyle w:val="Hyperlink"/>
          </w:rPr>
          <w:t>ote for guidance on clinical investigation of medicinal products in the paediatric population</w:t>
        </w:r>
      </w:hyperlink>
      <w:r w:rsidRPr="004A77F8">
        <w:t xml:space="preserve"> (CPMP/ICH/2711/99)</w:t>
      </w:r>
      <w:r>
        <w:t xml:space="preserve">. TGA-adopted, effective: </w:t>
      </w:r>
      <w:r w:rsidRPr="004A77F8">
        <w:t>19 Apr</w:t>
      </w:r>
      <w:r>
        <w:t>il</w:t>
      </w:r>
      <w:r w:rsidRPr="004A77F8">
        <w:t xml:space="preserve"> 2001</w:t>
      </w:r>
    </w:p>
  </w:footnote>
  <w:footnote w:id="19">
    <w:p w14:paraId="4BAE2079" w14:textId="77777777" w:rsidR="00764D48" w:rsidRPr="00764D48" w:rsidRDefault="00764D48" w:rsidP="00764D48">
      <w:pPr>
        <w:pStyle w:val="FootnoteText"/>
      </w:pPr>
      <w:r>
        <w:rPr>
          <w:rStyle w:val="FootnoteReference"/>
        </w:rPr>
        <w:footnoteRef/>
      </w:r>
      <w:r>
        <w:t xml:space="preserve"> Nasonex aqueous nasal spray mometasone furoate 50 µg/actuation (as monohydrate) spray bottle (AUST R 77112) was first registered on the ARTG on 14 February 2001. Nasonex (AUST R 77112) is indicated for the following: </w:t>
      </w:r>
      <w:r w:rsidRPr="007F7CB3">
        <w:rPr>
          <w:i/>
        </w:rPr>
        <w:t>For the treatment of symptoms associated with seasonal allergic rhinitis and perennial allergic rhinitis and the prophylaxis of seasonal allergic rhinitis in adults, adolescents and</w:t>
      </w:r>
      <w:r>
        <w:rPr>
          <w:i/>
        </w:rPr>
        <w:t xml:space="preserve"> children between the ages of 3 </w:t>
      </w:r>
      <w:r w:rsidRPr="007F7CB3">
        <w:rPr>
          <w:i/>
        </w:rPr>
        <w:t xml:space="preserve">and 11 </w:t>
      </w:r>
      <w:proofErr w:type="gramStart"/>
      <w:r w:rsidRPr="007F7CB3">
        <w:rPr>
          <w:i/>
        </w:rPr>
        <w:t>years..</w:t>
      </w:r>
      <w:proofErr w:type="gramEnd"/>
    </w:p>
  </w:footnote>
  <w:footnote w:id="20">
    <w:p w14:paraId="7220A6A8" w14:textId="77777777" w:rsidR="00764D48" w:rsidRPr="00764D48" w:rsidRDefault="00764D48" w:rsidP="00764D48">
      <w:pPr>
        <w:pStyle w:val="FootnoteText"/>
      </w:pPr>
      <w:r>
        <w:rPr>
          <w:rStyle w:val="FootnoteReference"/>
        </w:rPr>
        <w:footnoteRef/>
      </w:r>
      <w:r>
        <w:t xml:space="preserve"> </w:t>
      </w:r>
      <w:proofErr w:type="spellStart"/>
      <w:r>
        <w:t>Patanase</w:t>
      </w:r>
      <w:proofErr w:type="spellEnd"/>
      <w:r>
        <w:t xml:space="preserve"> USPI (2021). US Prescribing Information: </w:t>
      </w:r>
      <w:proofErr w:type="spellStart"/>
      <w:r>
        <w:t>Patanase</w:t>
      </w:r>
      <w:proofErr w:type="spellEnd"/>
      <w:r>
        <w:t xml:space="preserve"> (olopatadine hydrochloride) Nasal</w:t>
      </w:r>
    </w:p>
    <w:p w14:paraId="69A68007" w14:textId="77777777" w:rsidR="00764D48" w:rsidRPr="007F7CB3" w:rsidRDefault="00764D48" w:rsidP="00764D48">
      <w:pPr>
        <w:pStyle w:val="FootnoteText"/>
        <w:rPr>
          <w:lang w:val="en-GB"/>
        </w:rPr>
      </w:pPr>
      <w:r>
        <w:t xml:space="preserve">Spray; Initial U.S. Approval: 1996; Revised: March 2021. Available at: </w:t>
      </w:r>
      <w:hyperlink r:id="rId2" w:history="1">
        <w:r w:rsidRPr="00B06D14">
          <w:rPr>
            <w:rStyle w:val="Hyperlink"/>
          </w:rPr>
          <w:t>https://www.accessdata.fda.gov/drugsatfda_docs/label/2021/021861s015lbl.pdf</w:t>
        </w:r>
      </w:hyperlink>
      <w:r>
        <w:t xml:space="preserve">  </w:t>
      </w:r>
    </w:p>
  </w:footnote>
  <w:footnote w:id="21">
    <w:p w14:paraId="338A7645" w14:textId="77777777" w:rsidR="00764D48" w:rsidRPr="006E1D57" w:rsidRDefault="00764D48" w:rsidP="00764D48">
      <w:pPr>
        <w:pStyle w:val="FootnoteText"/>
      </w:pPr>
      <w:r>
        <w:rPr>
          <w:rStyle w:val="FootnoteReference"/>
        </w:rPr>
        <w:footnoteRef/>
      </w:r>
      <w:r>
        <w:t xml:space="preserve"> </w:t>
      </w:r>
      <w:r w:rsidRPr="006E1D57">
        <w:t xml:space="preserve">European Medicines Agency (EMA): </w:t>
      </w:r>
      <w:hyperlink r:id="rId3" w:history="1">
        <w:r w:rsidRPr="006E1D57">
          <w:rPr>
            <w:rStyle w:val="Hyperlink"/>
          </w:rPr>
          <w:t xml:space="preserve">Guideline on the Clinical Development of Medicinal Products for the Treatment of Allergic </w:t>
        </w:r>
        <w:proofErr w:type="spellStart"/>
        <w:r w:rsidRPr="006E1D57">
          <w:rPr>
            <w:rStyle w:val="Hyperlink"/>
          </w:rPr>
          <w:t>Rhinoconjunctivitis</w:t>
        </w:r>
        <w:proofErr w:type="spellEnd"/>
      </w:hyperlink>
      <w:r w:rsidRPr="006E1D57">
        <w:t xml:space="preserve"> (CHMP/EWP/2455/02). Published 2004; TGA-adopted, effective 28 July 2005.</w:t>
      </w:r>
    </w:p>
  </w:footnote>
  <w:footnote w:id="22">
    <w:p w14:paraId="1A82FAA4" w14:textId="6F701C1D" w:rsidR="00764D48" w:rsidRPr="007F7CB3" w:rsidRDefault="00764D48" w:rsidP="00764D48">
      <w:pPr>
        <w:pStyle w:val="FootnoteText"/>
        <w:rPr>
          <w:lang w:val="en-GB"/>
        </w:rPr>
      </w:pPr>
      <w:r>
        <w:rPr>
          <w:rStyle w:val="FootnoteReference"/>
        </w:rPr>
        <w:footnoteRef/>
      </w:r>
      <w:r>
        <w:t xml:space="preserve"> FDA (2009). Olopatadine (</w:t>
      </w:r>
      <w:proofErr w:type="spellStart"/>
      <w:r>
        <w:t>Patanase</w:t>
      </w:r>
      <w:proofErr w:type="spellEnd"/>
      <w:r>
        <w:t>) nasal spray, NDA 21-861, Supplement 5, Clinical Review. Available at:</w:t>
      </w:r>
      <w:r>
        <w:t xml:space="preserve"> </w:t>
      </w:r>
      <w:hyperlink r:id="rId4" w:history="1">
        <w:r w:rsidRPr="00B06D14">
          <w:rPr>
            <w:rStyle w:val="Hyperlink"/>
          </w:rPr>
          <w:t>https://www.fda.gov/media/83129/download</w:t>
        </w:r>
      </w:hyperlink>
    </w:p>
  </w:footnote>
  <w:footnote w:id="23">
    <w:p w14:paraId="2DD63681" w14:textId="77777777" w:rsidR="00764D48" w:rsidRPr="00764D48" w:rsidRDefault="00764D48" w:rsidP="00764D48">
      <w:pPr>
        <w:pStyle w:val="FootnoteText"/>
      </w:pPr>
      <w:r>
        <w:rPr>
          <w:rStyle w:val="FootnoteReference"/>
        </w:rPr>
        <w:footnoteRef/>
      </w:r>
      <w:r>
        <w:t xml:space="preserve"> </w:t>
      </w:r>
      <w:proofErr w:type="spellStart"/>
      <w:r>
        <w:t>Patanol</w:t>
      </w:r>
      <w:proofErr w:type="spellEnd"/>
      <w:r>
        <w:t xml:space="preserve"> 0.1% olopatadine hydrochloride 1.11mg/1mL eye drop bottle (ARTG R 82000) was first registered on the ARTG on 16 May 2002.</w:t>
      </w:r>
    </w:p>
    <w:p w14:paraId="0DF5ACF0" w14:textId="77777777" w:rsidR="00764D48" w:rsidRPr="00764D48" w:rsidRDefault="00764D48" w:rsidP="00764D48">
      <w:pPr>
        <w:pStyle w:val="FootnoteText"/>
      </w:pPr>
      <w:r>
        <w:t xml:space="preserve">Other </w:t>
      </w:r>
      <w:proofErr w:type="spellStart"/>
      <w:r>
        <w:t>olapatadine</w:t>
      </w:r>
      <w:proofErr w:type="spellEnd"/>
      <w:r>
        <w:t xml:space="preserve"> hydrochloride containing eye drop products are registered on the ARTG.</w:t>
      </w:r>
    </w:p>
  </w:footnote>
  <w:footnote w:id="24">
    <w:p w14:paraId="24F81DE6" w14:textId="22846BB5" w:rsidR="00764D48" w:rsidRPr="00764D48" w:rsidRDefault="00764D48" w:rsidP="00764D48">
      <w:pPr>
        <w:pStyle w:val="FootnoteText"/>
      </w:pPr>
      <w:r>
        <w:rPr>
          <w:rStyle w:val="FootnoteReference"/>
        </w:rPr>
        <w:footnoteRef/>
      </w:r>
      <w:r>
        <w:t xml:space="preserve"> Indicated for </w:t>
      </w:r>
      <w:r w:rsidRPr="007F7CB3">
        <w:t xml:space="preserve">the treatment of signs and symptoms of seasonal allergic </w:t>
      </w:r>
      <w:proofErr w:type="spellStart"/>
      <w:r w:rsidRPr="007F7CB3">
        <w:t>conjuctivitis</w:t>
      </w:r>
      <w:proofErr w:type="spellEnd"/>
      <w:r w:rsidRPr="007F7CB3">
        <w:t>. Treatment may be maintained for up to 14 weeks, if considered necessary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3E15C3BC" w14:textId="77777777" w:rsidTr="00F71E1E">
      <w:trPr>
        <w:trHeight w:hRule="exact" w:val="8845"/>
      </w:trPr>
      <w:tc>
        <w:tcPr>
          <w:tcW w:w="11964" w:type="dxa"/>
          <w:vAlign w:val="center"/>
        </w:tcPr>
        <w:p w14:paraId="6FDE4BFB" w14:textId="77777777" w:rsidR="00F02AEC" w:rsidRPr="002B29B2" w:rsidRDefault="00A81EEF" w:rsidP="006A2426">
          <w:pPr>
            <w:ind w:left="-57"/>
            <w:rPr>
              <w:noProof/>
            </w:rPr>
          </w:pPr>
          <w:sdt>
            <w:sdtPr>
              <w:rPr>
                <w:noProof/>
              </w:rPr>
              <w:id w:val="1926993388"/>
              <w:showingPlcHdr/>
              <w:picture/>
            </w:sdtPr>
            <w:sdtEndPr/>
            <w:sdtContent>
              <w:r w:rsidR="00F02AEC" w:rsidRPr="00F71E1E">
                <w:rPr>
                  <w:noProof/>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F02AEC" w:rsidRDefault="00F02AE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A77452" w:rsidRPr="00FE501F" w:rsidRDefault="00A81EEF"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66180A84"/>
    <w:lvl w:ilvl="0">
      <w:start w:val="1"/>
      <w:numFmt w:val="bullet"/>
      <w:pStyle w:val="TOC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6995317"/>
    <w:multiLevelType w:val="hybridMultilevel"/>
    <w:tmpl w:val="A2CAB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082AE5"/>
    <w:multiLevelType w:val="hybridMultilevel"/>
    <w:tmpl w:val="59E04A50"/>
    <w:lvl w:ilvl="0" w:tplc="55E828E6">
      <w:start w:val="1"/>
      <w:numFmt w:val="lowerLetter"/>
      <w:lvlText w:val="%1."/>
      <w:lvlJc w:val="left"/>
      <w:pPr>
        <w:ind w:left="720" w:hanging="360"/>
      </w:pPr>
      <w:rPr>
        <w:rFonts w:hint="default"/>
        <w:b/>
        <w:u w:val="singl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D0B1B75"/>
    <w:multiLevelType w:val="multilevel"/>
    <w:tmpl w:val="96DE435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9"/>
  </w:num>
  <w:num w:numId="4">
    <w:abstractNumId w:val="15"/>
  </w:num>
  <w:num w:numId="5">
    <w:abstractNumId w:val="11"/>
  </w:num>
  <w:num w:numId="6">
    <w:abstractNumId w:val="14"/>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2"/>
  </w:num>
  <w:num w:numId="9">
    <w:abstractNumId w:val="1"/>
  </w:num>
  <w:num w:numId="10">
    <w:abstractNumId w:val="0"/>
  </w:num>
  <w:num w:numId="11">
    <w:abstractNumId w:val="3"/>
    <w:lvlOverride w:ilvl="0">
      <w:lvl w:ilvl="0">
        <w:numFmt w:val="bullet"/>
        <w:lvlText w:val="•"/>
        <w:legacy w:legacy="1" w:legacySpace="0" w:legacyIndent="0"/>
        <w:lvlJc w:val="left"/>
        <w:rPr>
          <w:rFonts w:ascii="Helv" w:hAnsi="Helv" w:hint="default"/>
        </w:rPr>
      </w:lvl>
    </w:lvlOverride>
  </w:num>
  <w:num w:numId="12">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13">
    <w:abstractNumId w:val="13"/>
  </w:num>
  <w:num w:numId="14">
    <w:abstractNumId w:val="18"/>
  </w:num>
  <w:num w:numId="15">
    <w:abstractNumId w:val="8"/>
  </w:num>
  <w:num w:numId="16">
    <w:abstractNumId w:val="12"/>
  </w:num>
  <w:num w:numId="17">
    <w:abstractNumId w:val="5"/>
  </w:num>
  <w:num w:numId="18">
    <w:abstractNumId w:val="16"/>
  </w:num>
  <w:num w:numId="19">
    <w:abstractNumId w:val="4"/>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C2"/>
    <w:rsid w:val="00094B81"/>
    <w:rsid w:val="0012473C"/>
    <w:rsid w:val="00175CD8"/>
    <w:rsid w:val="002C5E29"/>
    <w:rsid w:val="003008D8"/>
    <w:rsid w:val="00324B33"/>
    <w:rsid w:val="00346EC2"/>
    <w:rsid w:val="0035444D"/>
    <w:rsid w:val="004246B8"/>
    <w:rsid w:val="0056766D"/>
    <w:rsid w:val="0058575E"/>
    <w:rsid w:val="006412C5"/>
    <w:rsid w:val="006A1F0B"/>
    <w:rsid w:val="00746990"/>
    <w:rsid w:val="00764D48"/>
    <w:rsid w:val="007F0A77"/>
    <w:rsid w:val="008329DB"/>
    <w:rsid w:val="00930D58"/>
    <w:rsid w:val="00A81EEF"/>
    <w:rsid w:val="00AB7CBF"/>
    <w:rsid w:val="00B46BC0"/>
    <w:rsid w:val="00C22214"/>
    <w:rsid w:val="00CB0550"/>
    <w:rsid w:val="00D078BE"/>
    <w:rsid w:val="00D13F8A"/>
    <w:rsid w:val="00D918D5"/>
    <w:rsid w:val="00E53D3F"/>
    <w:rsid w:val="00F02AEC"/>
    <w:rsid w:val="00F157FC"/>
    <w:rsid w:val="00FA49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D48"/>
    <w:rPr>
      <w:rFonts w:ascii="Cambria" w:hAnsi="Cambria"/>
      <w:sz w:val="22"/>
    </w:rPr>
  </w:style>
  <w:style w:type="paragraph" w:styleId="Heading1">
    <w:name w:val="heading 1"/>
    <w:basedOn w:val="Heading2"/>
    <w:next w:val="Normal"/>
    <w:link w:val="Heading1Char"/>
    <w:rsid w:val="00764D48"/>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764D4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764D48"/>
    <w:pPr>
      <w:numPr>
        <w:numId w:val="1"/>
      </w:numPr>
      <w:spacing w:before="120" w:after="180" w:line="240" w:lineRule="atLeast"/>
    </w:pPr>
    <w:rPr>
      <w:rFonts w:eastAsia="Cambria" w:cs="Times New Roman"/>
      <w:color w:val="333F48"/>
    </w:rPr>
  </w:style>
  <w:style w:type="paragraph" w:styleId="ListBullet2">
    <w:name w:val="List Bullet 2"/>
    <w:basedOn w:val="Normal"/>
    <w:uiPriority w:val="2"/>
    <w:qFormat/>
    <w:rsid w:val="00764D48"/>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B46BC0"/>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rsid w:val="0056766D"/>
    <w:pPr>
      <w:keepLines/>
      <w:spacing w:after="0" w:line="240" w:lineRule="atLeast"/>
    </w:pPr>
    <w:rPr>
      <w:rFonts w:eastAsia="Cambria" w:cs="Times New Roman"/>
      <w:color w:val="333F48"/>
    </w:rPr>
  </w:style>
  <w:style w:type="character" w:customStyle="1" w:styleId="FootnoteTextChar">
    <w:name w:val="Footnote Text Char"/>
    <w:basedOn w:val="DefaultParagraphFont"/>
    <w:link w:val="FootnoteText"/>
    <w:uiPriority w:val="99"/>
    <w:rsid w:val="0056766D"/>
    <w:rPr>
      <w:rFonts w:ascii="Cambria" w:eastAsia="Cambria" w:hAnsi="Cambria" w:cs="Times New Roman"/>
      <w:color w:val="333F48"/>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56766D"/>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0">
    <w:name w:val="Table Title"/>
    <w:basedOn w:val="Normal"/>
    <w:rsid w:val="00324B33"/>
    <w:pPr>
      <w:keepNext/>
      <w:spacing w:before="120" w:line="240" w:lineRule="atLeast"/>
    </w:pPr>
    <w:rPr>
      <w:rFonts w:eastAsia="Cambria" w:cs="Times New Roman"/>
      <w:b/>
      <w:szCs w:val="22"/>
    </w:rPr>
  </w:style>
  <w:style w:type="paragraph" w:customStyle="1" w:styleId="TableDescription0">
    <w:name w:val="Table Description"/>
    <w:basedOn w:val="Normal"/>
    <w:rsid w:val="0056766D"/>
    <w:pPr>
      <w:spacing w:before="120" w:after="0" w:line="240" w:lineRule="auto"/>
    </w:pPr>
    <w:rPr>
      <w:rFonts w:eastAsia="Cambria" w:cs="Times New Roman"/>
      <w:sz w:val="19"/>
      <w:szCs w:val="19"/>
    </w:rPr>
  </w:style>
  <w:style w:type="character" w:customStyle="1" w:styleId="Heading7Char">
    <w:name w:val="Heading 7 Char"/>
    <w:basedOn w:val="DefaultParagraphFont"/>
    <w:link w:val="Heading7"/>
    <w:uiPriority w:val="9"/>
    <w:rsid w:val="00764D48"/>
    <w:rPr>
      <w:rFonts w:asciiTheme="majorHAnsi" w:eastAsiaTheme="majorEastAsia" w:hAnsiTheme="majorHAnsi" w:cstheme="majorBidi"/>
      <w:i/>
      <w:iCs/>
      <w:color w:val="1F3763" w:themeColor="accent1" w:themeShade="7F"/>
      <w:sz w:val="22"/>
    </w:rPr>
  </w:style>
  <w:style w:type="character" w:customStyle="1" w:styleId="Heading1Char">
    <w:name w:val="Heading 1 Char"/>
    <w:basedOn w:val="DefaultParagraphFont"/>
    <w:link w:val="Heading1"/>
    <w:rsid w:val="00764D48"/>
    <w:rPr>
      <w:rFonts w:asciiTheme="majorHAnsi" w:eastAsia="Times New Roman" w:hAnsiTheme="majorHAnsi" w:cstheme="majorHAnsi"/>
      <w:b/>
      <w:bCs/>
      <w:sz w:val="64"/>
      <w:szCs w:val="64"/>
    </w:rPr>
  </w:style>
  <w:style w:type="paragraph" w:customStyle="1" w:styleId="AxisLabel">
    <w:name w:val="Axis Label"/>
    <w:basedOn w:val="Normal"/>
    <w:rsid w:val="00764D48"/>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rsid w:val="00764D48"/>
    <w:pPr>
      <w:spacing w:before="120" w:after="0" w:line="240" w:lineRule="auto"/>
    </w:pPr>
    <w:rPr>
      <w:rFonts w:ascii="Arial" w:eastAsia="Cambria" w:hAnsi="Arial" w:cs="Times New Roman"/>
      <w:sz w:val="16"/>
      <w:szCs w:val="22"/>
    </w:rPr>
  </w:style>
  <w:style w:type="paragraph" w:styleId="BalloonText">
    <w:name w:val="Balloon Text"/>
    <w:basedOn w:val="Normal"/>
    <w:link w:val="BalloonTextChar"/>
    <w:uiPriority w:val="99"/>
    <w:semiHidden/>
    <w:unhideWhenUsed/>
    <w:rsid w:val="00764D48"/>
    <w:pPr>
      <w:spacing w:before="120" w:after="0" w:line="240" w:lineRule="atLeast"/>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764D48"/>
    <w:rPr>
      <w:rFonts w:ascii="Tahoma" w:eastAsia="Cambria" w:hAnsi="Tahoma" w:cs="Tahoma"/>
      <w:sz w:val="16"/>
      <w:szCs w:val="16"/>
    </w:rPr>
  </w:style>
  <w:style w:type="paragraph" w:styleId="Caption">
    <w:name w:val="caption"/>
    <w:basedOn w:val="Normal"/>
    <w:next w:val="Normal"/>
    <w:uiPriority w:val="35"/>
    <w:rsid w:val="00764D48"/>
    <w:pPr>
      <w:spacing w:line="240" w:lineRule="atLeast"/>
    </w:pPr>
    <w:rPr>
      <w:rFonts w:eastAsia="Cambria" w:cs="Times New Roman"/>
      <w:sz w:val="19"/>
      <w:szCs w:val="18"/>
    </w:rPr>
  </w:style>
  <w:style w:type="paragraph" w:customStyle="1" w:styleId="Contents">
    <w:name w:val="Contents"/>
    <w:basedOn w:val="Normal"/>
    <w:rsid w:val="00764D48"/>
    <w:pPr>
      <w:spacing w:after="0" w:line="240" w:lineRule="atLeast"/>
    </w:pPr>
    <w:rPr>
      <w:rFonts w:ascii="Arial" w:eastAsia="Cambria" w:hAnsi="Arial" w:cs="Times New Roman"/>
      <w:b/>
      <w:sz w:val="48"/>
      <w:szCs w:val="22"/>
    </w:rPr>
  </w:style>
  <w:style w:type="paragraph" w:customStyle="1" w:styleId="FigureDescription">
    <w:name w:val="Figure Description"/>
    <w:basedOn w:val="Normal"/>
    <w:rsid w:val="00764D48"/>
    <w:pPr>
      <w:spacing w:before="120" w:after="0" w:line="240" w:lineRule="atLeast"/>
    </w:pPr>
    <w:rPr>
      <w:rFonts w:eastAsia="Cambria" w:cs="Times New Roman"/>
      <w:sz w:val="19"/>
      <w:szCs w:val="22"/>
    </w:rPr>
  </w:style>
  <w:style w:type="paragraph" w:customStyle="1" w:styleId="FigureTitle">
    <w:name w:val="Figure Title"/>
    <w:basedOn w:val="Normal"/>
    <w:rsid w:val="00764D48"/>
    <w:pPr>
      <w:keepNext/>
      <w:spacing w:before="120" w:line="220" w:lineRule="atLeast"/>
    </w:pPr>
    <w:rPr>
      <w:rFonts w:eastAsia="Cambria" w:cs="Times New Roman"/>
      <w:b/>
      <w:szCs w:val="22"/>
    </w:rPr>
  </w:style>
  <w:style w:type="character" w:styleId="FollowedHyperlink">
    <w:name w:val="FollowedHyperlink"/>
    <w:basedOn w:val="DefaultParagraphFont"/>
    <w:uiPriority w:val="99"/>
    <w:semiHidden/>
    <w:unhideWhenUsed/>
    <w:rsid w:val="00764D48"/>
    <w:rPr>
      <w:color w:val="800080"/>
      <w:u w:val="single"/>
    </w:rPr>
  </w:style>
  <w:style w:type="paragraph" w:customStyle="1" w:styleId="HeaderNoLine0">
    <w:name w:val="Header No Line"/>
    <w:basedOn w:val="Header"/>
    <w:rsid w:val="00764D48"/>
    <w:pPr>
      <w:pBdr>
        <w:bottom w:val="none" w:sz="0" w:space="0" w:color="auto"/>
      </w:pBdr>
      <w:spacing w:before="120" w:after="240"/>
      <w:jc w:val="left"/>
    </w:pPr>
    <w:rPr>
      <w:rFonts w:ascii="Cambria" w:hAnsi="Cambria"/>
      <w:color w:val="auto"/>
      <w:szCs w:val="22"/>
    </w:rPr>
  </w:style>
  <w:style w:type="paragraph" w:customStyle="1" w:styleId="Key">
    <w:name w:val="Key"/>
    <w:basedOn w:val="Normal"/>
    <w:rsid w:val="00764D48"/>
    <w:pPr>
      <w:spacing w:before="120" w:line="240" w:lineRule="atLeast"/>
    </w:pPr>
    <w:rPr>
      <w:rFonts w:eastAsia="Cambria" w:cs="Times New Roman"/>
      <w:sz w:val="14"/>
      <w:szCs w:val="22"/>
    </w:rPr>
  </w:style>
  <w:style w:type="table" w:styleId="LightShading-Accent2">
    <w:name w:val="Light Shading Accent 2"/>
    <w:basedOn w:val="TableNormal"/>
    <w:uiPriority w:val="60"/>
    <w:rsid w:val="00764D48"/>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764D4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locked/>
    <w:rsid w:val="00764D48"/>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764D48"/>
    <w:rPr>
      <w:color w:val="808080"/>
    </w:rPr>
  </w:style>
  <w:style w:type="paragraph" w:customStyle="1" w:styleId="Reference">
    <w:name w:val="Reference"/>
    <w:basedOn w:val="Normal"/>
    <w:rsid w:val="00764D48"/>
    <w:pPr>
      <w:spacing w:before="40" w:after="0" w:line="180" w:lineRule="atLeast"/>
      <w:ind w:hanging="170"/>
    </w:pPr>
    <w:rPr>
      <w:rFonts w:eastAsia="Cambria" w:cs="Times New Roman"/>
      <w:sz w:val="19"/>
      <w:szCs w:val="22"/>
    </w:rPr>
  </w:style>
  <w:style w:type="paragraph" w:customStyle="1" w:styleId="Tabletext">
    <w:name w:val="Table text"/>
    <w:basedOn w:val="Normal"/>
    <w:rsid w:val="00764D48"/>
    <w:pPr>
      <w:spacing w:before="120" w:line="240" w:lineRule="atLeast"/>
    </w:pPr>
    <w:rPr>
      <w:rFonts w:eastAsia="Cambria" w:cs="Times New Roman"/>
      <w:sz w:val="19"/>
      <w:szCs w:val="22"/>
    </w:rPr>
  </w:style>
  <w:style w:type="table" w:customStyle="1" w:styleId="TableTGAblack">
    <w:name w:val="Table TGA black"/>
    <w:basedOn w:val="TableNormal"/>
    <w:uiPriority w:val="99"/>
    <w:rsid w:val="00764D48"/>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764D48"/>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764D48"/>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764D48"/>
    <w:pPr>
      <w:spacing w:before="120" w:line="240" w:lineRule="atLeast"/>
      <w:ind w:left="992" w:hanging="992"/>
    </w:pPr>
    <w:rPr>
      <w:rFonts w:eastAsia="Cambria" w:cs="Times New Roman"/>
      <w:szCs w:val="22"/>
    </w:rPr>
  </w:style>
  <w:style w:type="paragraph" w:styleId="EndnoteText">
    <w:name w:val="endnote text"/>
    <w:basedOn w:val="Normal"/>
    <w:link w:val="EndnoteTextChar"/>
    <w:semiHidden/>
    <w:unhideWhenUsed/>
    <w:rsid w:val="00764D48"/>
    <w:pPr>
      <w:spacing w:after="0" w:line="240" w:lineRule="auto"/>
    </w:pPr>
    <w:rPr>
      <w:rFonts w:eastAsia="Cambria" w:cs="Times New Roman"/>
      <w:sz w:val="20"/>
    </w:rPr>
  </w:style>
  <w:style w:type="character" w:customStyle="1" w:styleId="EndnoteTextChar">
    <w:name w:val="Endnote Text Char"/>
    <w:basedOn w:val="DefaultParagraphFont"/>
    <w:link w:val="EndnoteText"/>
    <w:semiHidden/>
    <w:rsid w:val="00764D48"/>
    <w:rPr>
      <w:rFonts w:ascii="Cambria" w:eastAsia="Cambria" w:hAnsi="Cambria" w:cs="Times New Roman"/>
    </w:rPr>
  </w:style>
  <w:style w:type="character" w:styleId="EndnoteReference">
    <w:name w:val="endnote reference"/>
    <w:basedOn w:val="DefaultParagraphFont"/>
    <w:uiPriority w:val="99"/>
    <w:semiHidden/>
    <w:unhideWhenUsed/>
    <w:rsid w:val="00764D48"/>
    <w:rPr>
      <w:vertAlign w:val="superscript"/>
    </w:rPr>
  </w:style>
  <w:style w:type="character" w:styleId="CommentReference">
    <w:name w:val="annotation reference"/>
    <w:basedOn w:val="DefaultParagraphFont"/>
    <w:uiPriority w:val="99"/>
    <w:semiHidden/>
    <w:unhideWhenUsed/>
    <w:rsid w:val="00764D48"/>
    <w:rPr>
      <w:sz w:val="16"/>
      <w:szCs w:val="16"/>
    </w:rPr>
  </w:style>
  <w:style w:type="paragraph" w:styleId="CommentText">
    <w:name w:val="annotation text"/>
    <w:basedOn w:val="Normal"/>
    <w:link w:val="CommentTextChar"/>
    <w:uiPriority w:val="99"/>
    <w:unhideWhenUsed/>
    <w:rsid w:val="00764D48"/>
    <w:pPr>
      <w:spacing w:before="120" w:line="240" w:lineRule="auto"/>
    </w:pPr>
    <w:rPr>
      <w:rFonts w:eastAsia="Cambria" w:cs="Times New Roman"/>
      <w:sz w:val="20"/>
    </w:rPr>
  </w:style>
  <w:style w:type="character" w:customStyle="1" w:styleId="CommentTextChar">
    <w:name w:val="Comment Text Char"/>
    <w:basedOn w:val="DefaultParagraphFont"/>
    <w:link w:val="CommentText"/>
    <w:uiPriority w:val="99"/>
    <w:rsid w:val="00764D48"/>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764D48"/>
    <w:rPr>
      <w:b/>
      <w:bCs/>
    </w:rPr>
  </w:style>
  <w:style w:type="character" w:customStyle="1" w:styleId="CommentSubjectChar">
    <w:name w:val="Comment Subject Char"/>
    <w:basedOn w:val="CommentTextChar"/>
    <w:link w:val="CommentSubject"/>
    <w:uiPriority w:val="99"/>
    <w:semiHidden/>
    <w:rsid w:val="00764D48"/>
    <w:rPr>
      <w:rFonts w:ascii="Cambria" w:eastAsia="Cambria" w:hAnsi="Cambria" w:cs="Times New Roman"/>
      <w:b/>
      <w:bCs/>
    </w:rPr>
  </w:style>
  <w:style w:type="paragraph" w:styleId="Revision">
    <w:name w:val="Revision"/>
    <w:hidden/>
    <w:uiPriority w:val="99"/>
    <w:semiHidden/>
    <w:rsid w:val="00764D48"/>
    <w:pPr>
      <w:spacing w:after="0" w:line="240" w:lineRule="auto"/>
    </w:pPr>
    <w:rPr>
      <w:rFonts w:ascii="Cambria" w:eastAsia="Cambria" w:hAnsi="Cambria" w:cs="Times New Roman"/>
      <w:sz w:val="22"/>
      <w:szCs w:val="22"/>
    </w:rPr>
  </w:style>
  <w:style w:type="character" w:customStyle="1" w:styleId="UnresolvedMention1">
    <w:name w:val="Unresolved Mention1"/>
    <w:basedOn w:val="DefaultParagraphFont"/>
    <w:uiPriority w:val="99"/>
    <w:semiHidden/>
    <w:unhideWhenUsed/>
    <w:rsid w:val="00764D48"/>
    <w:rPr>
      <w:color w:val="605E5C"/>
      <w:shd w:val="clear" w:color="auto" w:fill="E1DFDD"/>
    </w:rPr>
  </w:style>
  <w:style w:type="paragraph" w:styleId="ListParagraph">
    <w:name w:val="List Paragraph"/>
    <w:basedOn w:val="Normal"/>
    <w:uiPriority w:val="34"/>
    <w:qFormat/>
    <w:rsid w:val="00764D48"/>
    <w:pPr>
      <w:spacing w:before="120" w:line="240" w:lineRule="atLeast"/>
      <w:ind w:left="720"/>
      <w:contextualSpacing/>
    </w:pPr>
    <w:rPr>
      <w:rFonts w:eastAsia="Cambria" w:cs="Times New Roman"/>
      <w:szCs w:val="22"/>
    </w:rPr>
  </w:style>
  <w:style w:type="character" w:customStyle="1" w:styleId="UnresolvedMention2">
    <w:name w:val="Unresolved Mention2"/>
    <w:basedOn w:val="DefaultParagraphFont"/>
    <w:uiPriority w:val="99"/>
    <w:semiHidden/>
    <w:unhideWhenUsed/>
    <w:rsid w:val="00764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resources/resource/international-scientific-guidelines/international-scientific-guideline-ich-topic-e-11-note-guidance-clinical-investigation-medicinal-products-paediatric-population"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5.png"/><Relationship Id="rId34" Type="http://schemas.microsoft.com/office/2007/relationships/hdphoto" Target="media/hdphoto2.wdp"/><Relationship Id="rId42" Type="http://schemas.openxmlformats.org/officeDocument/2006/relationships/image" Target="media/image23.png"/><Relationship Id="rId47" Type="http://schemas.openxmlformats.org/officeDocument/2006/relationships/hyperlink" Target="https://www.tga.gov.au/publication/risk-management-plans-medicines-and-biologicals" TargetMode="External"/><Relationship Id="rId50" Type="http://schemas.openxmlformats.org/officeDocument/2006/relationships/image" Target="media/image27.jpeg"/><Relationship Id="rId55" Type="http://schemas.openxmlformats.org/officeDocument/2006/relationships/hyperlink" Target="mailto:info@tga.gov.au" TargetMode="External"/><Relationship Id="rId7" Type="http://schemas.openxmlformats.org/officeDocument/2006/relationships/header" Target="header1.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resources/resource/international-scientific-guidelines/international-scientific-guideline-guideline-clinical-development-fixed-combination-medicinal-product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ga.gov.au/resources/resource/international-scientific-guidelines/international-scientific-guideline-guideline-clinical-development-medicinal-products-treatment-allergic-rhino-conjunctivitis" TargetMode="External"/><Relationship Id="rId20" Type="http://schemas.openxmlformats.org/officeDocument/2006/relationships/image" Target="media/image4.png"/><Relationship Id="rId29" Type="http://schemas.openxmlformats.org/officeDocument/2006/relationships/image" Target="media/image12.png"/><Relationship Id="rId41" Type="http://schemas.microsoft.com/office/2007/relationships/hdphoto" Target="media/hdphoto3.wdp"/><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ga.gov.a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microsoft.com/office/2007/relationships/hdphoto" Target="media/hdphoto5.wdp"/><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tga.gov.au/picmi-search-facilit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6.jpeg"/><Relationship Id="rId57" Type="http://schemas.openxmlformats.org/officeDocument/2006/relationships/header" Target="header4.xml"/><Relationship Id="rId10" Type="http://schemas.openxmlformats.org/officeDocument/2006/relationships/footer" Target="footer2.xml"/><Relationship Id="rId19" Type="http://schemas.openxmlformats.org/officeDocument/2006/relationships/hyperlink" Target="https://www.tga.gov.au/resources/resource/international-scientific-guidelines/international-scientific-guideline-note-guidance-clinical-requirements-locally-applied-locally-acting-products-containing-known-constituents"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https://www.tga.gov.au/picmi-search-facility"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tga.gov.au/black-triangle-scheme" TargetMode="External"/><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microsoft.com/office/2007/relationships/hdphoto" Target="media/hdphoto4.wdp"/><Relationship Id="rId48" Type="http://schemas.openxmlformats.org/officeDocument/2006/relationships/hyperlink" Target="https://www.tga.gov.au/tgas-risk-management-approach" TargetMode="External"/><Relationship Id="rId56" Type="http://schemas.openxmlformats.org/officeDocument/2006/relationships/hyperlink" Target="https://www.tga.gov.au" TargetMode="External"/><Relationship Id="rId8" Type="http://schemas.openxmlformats.org/officeDocument/2006/relationships/footer" Target="footer1.xml"/><Relationship Id="rId51" Type="http://schemas.openxmlformats.org/officeDocument/2006/relationships/hyperlink" Target="https://www.tga.gov.au/committee/advisory-committee-medicines-acm"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resource/international-scientific-guidelines/international-scientific-guideline-guideline-clinical-development-medicinal-products-treatment-allergic-rhino-conjunctivitis" TargetMode="External"/><Relationship Id="rId2" Type="http://schemas.openxmlformats.org/officeDocument/2006/relationships/hyperlink" Target="https://www.accessdata.fda.gov/drugsatfda_docs/label/2021/021861s015lbl.pdf" TargetMode="External"/><Relationship Id="rId1" Type="http://schemas.openxmlformats.org/officeDocument/2006/relationships/hyperlink" Target="https://www.tga.gov.au/resources/resource/international-scientific-guidelines/international-scientific-guideline-ich-topic-e-11-note-guidance-clinical-investigation-medicinal-products-paediatric-population" TargetMode="External"/><Relationship Id="rId4" Type="http://schemas.openxmlformats.org/officeDocument/2006/relationships/hyperlink" Target="https://www.fda.gov/media/83129/download"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1</TotalTime>
  <Pages>37</Pages>
  <Words>10612</Words>
  <Characters>60490</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Ryaltris</dc:title>
  <dc:subject>Prescription medicine regulation</dc:subject>
  <dc:creator>Therapeutic Goods Administration</dc:creator>
  <cp:keywords/>
  <dc:description/>
  <cp:lastModifiedBy>KOLARIK-O'REILLY, Kristy</cp:lastModifiedBy>
  <cp:revision>2</cp:revision>
  <dcterms:created xsi:type="dcterms:W3CDTF">2023-03-22T23:18:00Z</dcterms:created>
  <dcterms:modified xsi:type="dcterms:W3CDTF">2023-03-22T23:18:00Z</dcterms:modified>
</cp:coreProperties>
</file>