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FDE60" w14:textId="77777777" w:rsidR="00153D5E" w:rsidRDefault="00153D5E" w:rsidP="00153D5E">
      <w:pPr>
        <w:tabs>
          <w:tab w:val="left" w:pos="284"/>
        </w:tabs>
        <w:spacing w:after="120" w:line="240" w:lineRule="auto"/>
        <w:rPr>
          <w:rFonts w:ascii="Times New Roman" w:hAnsi="Times New Roman" w:cs="Times New Roman"/>
        </w:rPr>
      </w:pPr>
      <w:bookmarkStart w:id="0" w:name="_Hlk6306115"/>
      <w:r w:rsidRPr="00791291">
        <w:rPr>
          <w:rFonts w:ascii="Times New Roman" w:hAnsi="Times New Roman" w:cs="Times New Roman"/>
          <w:noProof/>
        </w:rPr>
        <mc:AlternateContent>
          <mc:Choice Requires="wps">
            <w:drawing>
              <wp:inline distT="0" distB="0" distL="0" distR="0" wp14:anchorId="6F02D6A6" wp14:editId="5AF18CF9">
                <wp:extent cx="252095" cy="25209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4634BA" w14:textId="77777777" w:rsidR="004F6820" w:rsidRPr="00BE2A26" w:rsidRDefault="004F6820" w:rsidP="00153D5E">
                            <w:pPr>
                              <w:spacing w:after="0"/>
                              <w:rPr>
                                <w:rFonts w:ascii="Wingdings 3" w:hAnsi="Wingdings 3"/>
                                <w:sz w:val="24"/>
                              </w:rPr>
                            </w:pPr>
                            <w:r w:rsidRPr="00BE2A26">
                              <w:rPr>
                                <w:rFonts w:ascii="SimSun" w:eastAsia="SimSun" w:hAnsi="SimSun" w:cs="Arial" w:hint="eastAsia"/>
                                <w:sz w:val="40"/>
                              </w:rPr>
                              <w:t>▼</w:t>
                            </w:r>
                          </w:p>
                        </w:txbxContent>
                      </wps:txbx>
                      <wps:bodyPr rot="0" vert="horz" wrap="square" lIns="0" tIns="0" rIns="0" bIns="0" anchor="t" anchorCtr="0" upright="1">
                        <a:noAutofit/>
                      </wps:bodyPr>
                    </wps:wsp>
                  </a:graphicData>
                </a:graphic>
              </wp:inline>
            </w:drawing>
          </mc:Choice>
          <mc:Fallback>
            <w:pict>
              <v:shapetype w14:anchorId="6F02D6A6" id="_x0000_t202" coordsize="21600,21600" o:spt="202" path="m,l,21600r21600,l21600,xe">
                <v:stroke joinstyle="miter"/>
                <v:path gradientshapeok="t" o:connecttype="rect"/>
              </v:shapetype>
              <v:shape id="Text Box 2" o:spid="_x0000_s1026" type="#_x0000_t202" style="width:19.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" stroked="f">
                <v:textbox inset="0,0,0,0">
                  <w:txbxContent>
                    <w:p w14:paraId="574634BA" w14:textId="77777777" w:rsidR="004F6820" w:rsidRPr="00BE2A26" w:rsidRDefault="004F6820" w:rsidP="00153D5E">
                      <w:pPr>
                        <w:spacing w:after="0"/>
                        <w:rPr>
                          <w:rFonts w:ascii="Wingdings 3" w:hAnsi="Wingdings 3"/>
                          <w:sz w:val="24"/>
                        </w:rPr>
                      </w:pPr>
                      <w:r w:rsidRPr="00BE2A26">
                        <w:rPr>
                          <w:rFonts w:ascii="SimSun" w:eastAsia="SimSun" w:hAnsi="SimSun" w:cs="Arial" w:hint="eastAsia"/>
                          <w:sz w:val="40"/>
                        </w:rPr>
                        <w:t>▼</w:t>
                      </w:r>
                    </w:p>
                  </w:txbxContent>
                </v:textbox>
                <w10:anchorlock/>
              </v:shape>
            </w:pict>
          </mc:Fallback>
        </mc:AlternateContent>
      </w:r>
      <w:r w:rsidRPr="00791291">
        <w:rPr>
          <w:rFonts w:ascii="Times New Roman" w:hAnsi="Times New Roman" w:cs="Times New Roman"/>
        </w:rPr>
        <w:t xml:space="preserve">This medicinal product is subject to additional monitoring </w:t>
      </w:r>
      <w:r w:rsidRPr="00791291">
        <w:rPr>
          <w:rFonts w:ascii="Times New Roman" w:hAnsi="Times New Roman" w:cs="Times New Roman"/>
          <w:b/>
        </w:rPr>
        <w:t>in Australia</w:t>
      </w:r>
      <w:r w:rsidRPr="00791291">
        <w:rPr>
          <w:rFonts w:ascii="Times New Roman" w:hAnsi="Times New Roman" w:cs="Times New Roman"/>
        </w:rPr>
        <w:t xml:space="preserve">. This will allow quick identification of new safety information. Healthcare professionals are asked to report any suspected adverse events at </w:t>
      </w:r>
      <w:hyperlink r:id="rId11" w:history="1">
        <w:r w:rsidRPr="00791291">
          <w:rPr>
            <w:rFonts w:ascii="Times New Roman" w:hAnsi="Times New Roman" w:cs="Times New Roman"/>
            <w:color w:val="0000FF"/>
          </w:rPr>
          <w:t>https://www.tga.gov.au/reporting-problems</w:t>
        </w:r>
      </w:hyperlink>
      <w:r>
        <w:rPr>
          <w:rFonts w:ascii="Times New Roman" w:hAnsi="Times New Roman" w:cs="Times New Roman"/>
        </w:rPr>
        <w:t>.</w:t>
      </w:r>
    </w:p>
    <w:bookmarkEnd w:id="0"/>
    <w:p w14:paraId="7B4DC2AA" w14:textId="77777777" w:rsidR="00312910" w:rsidRDefault="00312910" w:rsidP="003E090C">
      <w:pPr>
        <w:pStyle w:val="Heading1"/>
        <w:numPr>
          <w:ilvl w:val="0"/>
          <w:numId w:val="0"/>
        </w:numPr>
        <w:jc w:val="center"/>
        <w:rPr>
          <w:rFonts w:ascii="Times New Roman" w:hAnsi="Times New Roman" w:cs="Times New Roman"/>
        </w:rPr>
      </w:pPr>
    </w:p>
    <w:p w14:paraId="763FBB34" w14:textId="0F1D8A42" w:rsidR="002B2AB7" w:rsidRPr="007E2D65" w:rsidRDefault="00F353AF" w:rsidP="003E090C">
      <w:pPr>
        <w:pStyle w:val="Heading1"/>
        <w:numPr>
          <w:ilvl w:val="0"/>
          <w:numId w:val="0"/>
        </w:numPr>
        <w:jc w:val="center"/>
        <w:rPr>
          <w:rFonts w:ascii="Times New Roman" w:hAnsi="Times New Roman" w:cs="Times New Roman"/>
        </w:rPr>
      </w:pPr>
      <w:r w:rsidRPr="007E2D65">
        <w:rPr>
          <w:rFonts w:ascii="Times New Roman" w:hAnsi="Times New Roman" w:cs="Times New Roman"/>
        </w:rPr>
        <w:t>Australian product information</w:t>
      </w:r>
    </w:p>
    <w:p w14:paraId="05FDA1E5" w14:textId="7E9E803D" w:rsidR="002B2AB7" w:rsidRPr="007E2D65" w:rsidRDefault="009259E4" w:rsidP="00B91272">
      <w:pPr>
        <w:pStyle w:val="Heading1"/>
        <w:numPr>
          <w:ilvl w:val="0"/>
          <w:numId w:val="0"/>
        </w:numPr>
        <w:spacing w:after="480"/>
        <w:jc w:val="center"/>
        <w:rPr>
          <w:rFonts w:ascii="Times New Roman" w:hAnsi="Times New Roman" w:cs="Times New Roman"/>
        </w:rPr>
      </w:pPr>
      <w:r>
        <w:rPr>
          <w:rFonts w:ascii="Times New Roman" w:hAnsi="Times New Roman" w:cs="Times New Roman"/>
        </w:rPr>
        <w:t>Bimzelx</w:t>
      </w:r>
      <w:r w:rsidR="002F2DA9" w:rsidRPr="007E2D65">
        <w:rPr>
          <w:rFonts w:ascii="Times New Roman" w:hAnsi="Times New Roman" w:cs="Times New Roman"/>
          <w:vertAlign w:val="superscript"/>
          <w:lang w:val="en-GB"/>
        </w:rPr>
        <w:t>®</w:t>
      </w:r>
      <w:r w:rsidR="00F353AF" w:rsidRPr="007E2D65">
        <w:rPr>
          <w:rFonts w:ascii="Times New Roman" w:hAnsi="Times New Roman" w:cs="Times New Roman"/>
        </w:rPr>
        <w:t xml:space="preserve"> </w:t>
      </w:r>
      <w:r w:rsidR="0041285D" w:rsidRPr="007E2D65">
        <w:rPr>
          <w:rFonts w:ascii="Times New Roman" w:hAnsi="Times New Roman" w:cs="Times New Roman"/>
        </w:rPr>
        <w:t>(</w:t>
      </w:r>
      <w:r w:rsidR="001318F4">
        <w:rPr>
          <w:rFonts w:ascii="Times New Roman" w:hAnsi="Times New Roman" w:cs="Times New Roman"/>
        </w:rPr>
        <w:t>bimekizumab</w:t>
      </w:r>
      <w:r w:rsidR="0041285D" w:rsidRPr="007E2D65">
        <w:rPr>
          <w:rFonts w:ascii="Times New Roman" w:hAnsi="Times New Roman" w:cs="Times New Roman"/>
        </w:rPr>
        <w:t>)</w:t>
      </w:r>
      <w:r w:rsidR="0041285D" w:rsidRPr="007E2D65">
        <w:rPr>
          <w:rFonts w:ascii="Times New Roman" w:hAnsi="Times New Roman" w:cs="Times New Roman"/>
        </w:rPr>
        <w:br/>
      </w:r>
      <w:r w:rsidR="00EA1FE4">
        <w:rPr>
          <w:rFonts w:ascii="Times New Roman" w:hAnsi="Times New Roman" w:cs="Times New Roman"/>
        </w:rPr>
        <w:t>160</w:t>
      </w:r>
      <w:r w:rsidR="0041285D" w:rsidRPr="007E2D65">
        <w:rPr>
          <w:rFonts w:ascii="Times New Roman" w:hAnsi="Times New Roman" w:cs="Times New Roman"/>
        </w:rPr>
        <w:t xml:space="preserve"> mg/ml </w:t>
      </w:r>
      <w:r w:rsidR="00FD2D2A" w:rsidRPr="007E2D65">
        <w:rPr>
          <w:rFonts w:ascii="Times New Roman" w:hAnsi="Times New Roman" w:cs="Times New Roman"/>
        </w:rPr>
        <w:t xml:space="preserve">injection </w:t>
      </w:r>
    </w:p>
    <w:p w14:paraId="6E388629" w14:textId="77777777" w:rsidR="002B2AB7" w:rsidRPr="007E2D65" w:rsidRDefault="00F353AF" w:rsidP="003E090C">
      <w:pPr>
        <w:pStyle w:val="Heading1"/>
        <w:ind w:left="431" w:hanging="431"/>
        <w:rPr>
          <w:rFonts w:ascii="Times New Roman" w:hAnsi="Times New Roman" w:cs="Times New Roman"/>
        </w:rPr>
      </w:pPr>
      <w:r w:rsidRPr="007E2D65">
        <w:rPr>
          <w:rFonts w:ascii="Times New Roman" w:hAnsi="Times New Roman" w:cs="Times New Roman"/>
        </w:rPr>
        <w:t>Name of the medicine</w:t>
      </w:r>
    </w:p>
    <w:p w14:paraId="097FC709" w14:textId="3958B16B" w:rsidR="002B2AB7" w:rsidRPr="007E2D65" w:rsidRDefault="00E01146" w:rsidP="00142A7A">
      <w:pPr>
        <w:rPr>
          <w:rFonts w:ascii="Times New Roman" w:hAnsi="Times New Roman" w:cs="Times New Roman"/>
        </w:rPr>
      </w:pPr>
      <w:proofErr w:type="spellStart"/>
      <w:r>
        <w:rPr>
          <w:rFonts w:ascii="Times New Roman" w:hAnsi="Times New Roman" w:cs="Times New Roman"/>
        </w:rPr>
        <w:t>Bimekizumab</w:t>
      </w:r>
      <w:proofErr w:type="spellEnd"/>
    </w:p>
    <w:p w14:paraId="06036CBB"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Qualitative and quantitative composition</w:t>
      </w:r>
    </w:p>
    <w:p w14:paraId="12335755" w14:textId="11DD1044" w:rsidR="00906CBE" w:rsidRPr="00906CBE" w:rsidRDefault="00906CBE" w:rsidP="00906CBE">
      <w:pPr>
        <w:rPr>
          <w:rFonts w:ascii="Times New Roman" w:hAnsi="Times New Roman" w:cs="Times New Roman"/>
        </w:rPr>
      </w:pPr>
      <w:r w:rsidRPr="00906CBE">
        <w:rPr>
          <w:rFonts w:ascii="Times New Roman" w:hAnsi="Times New Roman" w:cs="Times New Roman"/>
        </w:rPr>
        <w:t xml:space="preserve">Each pre-filled syringe </w:t>
      </w:r>
      <w:r w:rsidR="00137129">
        <w:rPr>
          <w:rFonts w:ascii="Times New Roman" w:hAnsi="Times New Roman" w:cs="Times New Roman"/>
        </w:rPr>
        <w:t xml:space="preserve">or pen </w:t>
      </w:r>
      <w:r w:rsidRPr="00906CBE">
        <w:rPr>
          <w:rFonts w:ascii="Times New Roman" w:hAnsi="Times New Roman" w:cs="Times New Roman"/>
        </w:rPr>
        <w:t xml:space="preserve">contains 160 mg </w:t>
      </w:r>
      <w:proofErr w:type="spellStart"/>
      <w:r w:rsidRPr="00906CBE">
        <w:rPr>
          <w:rFonts w:ascii="Times New Roman" w:hAnsi="Times New Roman" w:cs="Times New Roman"/>
        </w:rPr>
        <w:t>bimekizumab</w:t>
      </w:r>
      <w:proofErr w:type="spellEnd"/>
      <w:r w:rsidRPr="00906CBE">
        <w:rPr>
          <w:rFonts w:ascii="Times New Roman" w:hAnsi="Times New Roman" w:cs="Times New Roman"/>
        </w:rPr>
        <w:t xml:space="preserve"> in 1 ml.</w:t>
      </w:r>
    </w:p>
    <w:p w14:paraId="3E5809FD" w14:textId="77777777" w:rsidR="00C518B9" w:rsidRDefault="00906CBE" w:rsidP="00906CBE">
      <w:pPr>
        <w:rPr>
          <w:rFonts w:ascii="Times New Roman" w:hAnsi="Times New Roman" w:cs="Times New Roman"/>
        </w:rPr>
      </w:pPr>
      <w:proofErr w:type="spellStart"/>
      <w:r w:rsidRPr="00906CBE">
        <w:rPr>
          <w:rFonts w:ascii="Times New Roman" w:hAnsi="Times New Roman" w:cs="Times New Roman"/>
        </w:rPr>
        <w:t>Bimekizumab</w:t>
      </w:r>
      <w:proofErr w:type="spellEnd"/>
      <w:r w:rsidRPr="00906CBE">
        <w:rPr>
          <w:rFonts w:ascii="Times New Roman" w:hAnsi="Times New Roman" w:cs="Times New Roman"/>
        </w:rPr>
        <w:t xml:space="preserve"> is a recombinant humanized full-length monoclonal antibody of the IgG1 sub-class, expressed in a genetically engineered Chinese hamster ovary cell line.</w:t>
      </w:r>
    </w:p>
    <w:p w14:paraId="72AFE31A" w14:textId="5283F39E" w:rsidR="00D966FD" w:rsidRPr="007E2D65" w:rsidRDefault="00D966FD" w:rsidP="00906CBE">
      <w:pPr>
        <w:rPr>
          <w:rFonts w:ascii="Times New Roman" w:hAnsi="Times New Roman" w:cs="Times New Roman"/>
        </w:rPr>
      </w:pPr>
      <w:r w:rsidRPr="007E2D65">
        <w:rPr>
          <w:rFonts w:ascii="Times New Roman" w:hAnsi="Times New Roman" w:cs="Times New Roman"/>
        </w:rPr>
        <w:t>For the full list of excipients, see Section 6.1 List of Excipients.</w:t>
      </w:r>
    </w:p>
    <w:p w14:paraId="60A859F3"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Pharmaceutical form</w:t>
      </w:r>
    </w:p>
    <w:p w14:paraId="20084997" w14:textId="73E1001D" w:rsidR="00E861CB" w:rsidRPr="009C54B6" w:rsidRDefault="00E861CB" w:rsidP="00E861CB">
      <w:pPr>
        <w:rPr>
          <w:rFonts w:ascii="Times New Roman" w:hAnsi="Times New Roman" w:cs="Times New Roman"/>
        </w:rPr>
      </w:pPr>
      <w:r w:rsidRPr="009C54B6">
        <w:rPr>
          <w:rFonts w:ascii="Times New Roman" w:hAnsi="Times New Roman" w:cs="Times New Roman"/>
        </w:rPr>
        <w:t xml:space="preserve">Solution for injection. </w:t>
      </w:r>
    </w:p>
    <w:p w14:paraId="358FA2B5" w14:textId="78FBEDDC" w:rsidR="00405659" w:rsidRPr="009C54B6" w:rsidRDefault="00E861CB" w:rsidP="00E861CB">
      <w:pPr>
        <w:rPr>
          <w:rFonts w:ascii="Times New Roman" w:hAnsi="Times New Roman" w:cs="Times New Roman"/>
        </w:rPr>
      </w:pPr>
      <w:r w:rsidRPr="009C54B6">
        <w:rPr>
          <w:rFonts w:ascii="Times New Roman" w:hAnsi="Times New Roman" w:cs="Times New Roman"/>
        </w:rPr>
        <w:t xml:space="preserve">The solution is clear to slightly opalescent and pale </w:t>
      </w:r>
      <w:proofErr w:type="gramStart"/>
      <w:r w:rsidRPr="009C54B6">
        <w:rPr>
          <w:rFonts w:ascii="Times New Roman" w:hAnsi="Times New Roman" w:cs="Times New Roman"/>
        </w:rPr>
        <w:t>brownish-yellow</w:t>
      </w:r>
      <w:proofErr w:type="gramEnd"/>
      <w:r w:rsidRPr="009C54B6">
        <w:rPr>
          <w:rFonts w:ascii="Times New Roman" w:hAnsi="Times New Roman" w:cs="Times New Roman"/>
        </w:rPr>
        <w:t>.</w:t>
      </w:r>
    </w:p>
    <w:p w14:paraId="6261D504" w14:textId="77777777" w:rsidR="002B2AB7" w:rsidRPr="007E2D65" w:rsidRDefault="00F353AF" w:rsidP="00142A7A">
      <w:pPr>
        <w:pStyle w:val="Heading1"/>
        <w:rPr>
          <w:rFonts w:ascii="Times New Roman" w:hAnsi="Times New Roman" w:cs="Times New Roman"/>
        </w:rPr>
      </w:pPr>
      <w:r w:rsidRPr="007E2D65">
        <w:rPr>
          <w:rFonts w:ascii="Times New Roman" w:hAnsi="Times New Roman" w:cs="Times New Roman"/>
        </w:rPr>
        <w:t>Clinical particulars</w:t>
      </w:r>
    </w:p>
    <w:p w14:paraId="5E35DD6F"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Therapeutic indications </w:t>
      </w:r>
    </w:p>
    <w:p w14:paraId="71B5B5B4" w14:textId="0304A566" w:rsidR="00002E5D" w:rsidRPr="00002E5D" w:rsidRDefault="009259E4" w:rsidP="00142A7A">
      <w:pPr>
        <w:rPr>
          <w:rFonts w:ascii="Times New Roman" w:hAnsi="Times New Roman" w:cs="Times New Roman"/>
        </w:rPr>
      </w:pPr>
      <w:proofErr w:type="spellStart"/>
      <w:r>
        <w:rPr>
          <w:rFonts w:ascii="Times New Roman" w:hAnsi="Times New Roman" w:cs="Times New Roman"/>
        </w:rPr>
        <w:t>Bimzelx</w:t>
      </w:r>
      <w:proofErr w:type="spellEnd"/>
      <w:r w:rsidR="00002E5D">
        <w:rPr>
          <w:rFonts w:ascii="Times New Roman" w:hAnsi="Times New Roman" w:cs="Times New Roman"/>
        </w:rPr>
        <w:t xml:space="preserve"> </w:t>
      </w:r>
      <w:r w:rsidR="00002E5D" w:rsidRPr="00002E5D">
        <w:rPr>
          <w:rFonts w:ascii="Times New Roman" w:hAnsi="Times New Roman" w:cs="Times New Roman"/>
        </w:rPr>
        <w:t>is indicated for the treatment of moderate to severe plaque psoriasis in adult patients who are candidates for systemic therapy or phototherapy.</w:t>
      </w:r>
      <w:r w:rsidR="00C65573">
        <w:rPr>
          <w:rFonts w:ascii="Times New Roman" w:hAnsi="Times New Roman" w:cs="Times New Roman"/>
        </w:rPr>
        <w:t xml:space="preserve"> </w:t>
      </w:r>
    </w:p>
    <w:p w14:paraId="44BEE700"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Dose and method of administration </w:t>
      </w:r>
    </w:p>
    <w:p w14:paraId="34FEF671" w14:textId="67BF7685" w:rsidR="00090E00" w:rsidRPr="00AB54E2" w:rsidRDefault="00090E00" w:rsidP="00090E00">
      <w:pPr>
        <w:pStyle w:val="C-BodyText"/>
        <w:tabs>
          <w:tab w:val="left" w:pos="567"/>
        </w:tabs>
        <w:spacing w:before="0"/>
        <w:rPr>
          <w:sz w:val="22"/>
          <w:szCs w:val="22"/>
        </w:rPr>
      </w:pPr>
      <w:r w:rsidRPr="00AB54E2">
        <w:rPr>
          <w:sz w:val="22"/>
          <w:szCs w:val="22"/>
        </w:rPr>
        <w:t xml:space="preserve">The recommended dose of </w:t>
      </w:r>
      <w:proofErr w:type="spellStart"/>
      <w:r w:rsidR="009259E4">
        <w:rPr>
          <w:sz w:val="22"/>
          <w:szCs w:val="22"/>
        </w:rPr>
        <w:t>Bimzelx</w:t>
      </w:r>
      <w:proofErr w:type="spellEnd"/>
      <w:r w:rsidRPr="00AB54E2">
        <w:rPr>
          <w:sz w:val="22"/>
          <w:szCs w:val="22"/>
        </w:rPr>
        <w:t xml:space="preserve"> for adult patients with plaque psoriasis is 320 mg (given as 2 subcutaneous injections of 160 mg each) at Week 0, 4, 8, 12, 16 and every 8 weeks thereafter. </w:t>
      </w:r>
    </w:p>
    <w:p w14:paraId="3A4D4111" w14:textId="3701312B" w:rsidR="00090E00" w:rsidRDefault="009259E4" w:rsidP="00090E00">
      <w:pPr>
        <w:pStyle w:val="C-BodyText"/>
        <w:tabs>
          <w:tab w:val="left" w:pos="567"/>
        </w:tabs>
        <w:spacing w:before="0"/>
        <w:rPr>
          <w:sz w:val="22"/>
          <w:szCs w:val="22"/>
        </w:rPr>
      </w:pPr>
      <w:proofErr w:type="spellStart"/>
      <w:r>
        <w:rPr>
          <w:sz w:val="22"/>
        </w:rPr>
        <w:t>Bimzelx</w:t>
      </w:r>
      <w:proofErr w:type="spellEnd"/>
      <w:r w:rsidR="00090E00">
        <w:rPr>
          <w:sz w:val="22"/>
        </w:rPr>
        <w:t xml:space="preserve"> is administered by subcutaneous injection. </w:t>
      </w:r>
      <w:r w:rsidR="00090E00">
        <w:rPr>
          <w:sz w:val="22"/>
          <w:szCs w:val="22"/>
        </w:rPr>
        <w:t xml:space="preserve">Suitable areas for injection include thigh, </w:t>
      </w:r>
      <w:proofErr w:type="gramStart"/>
      <w:r w:rsidR="00090E00">
        <w:rPr>
          <w:sz w:val="22"/>
          <w:szCs w:val="22"/>
        </w:rPr>
        <w:t>abdomen</w:t>
      </w:r>
      <w:proofErr w:type="gramEnd"/>
      <w:r w:rsidR="00090E00">
        <w:rPr>
          <w:sz w:val="22"/>
          <w:szCs w:val="22"/>
        </w:rPr>
        <w:t xml:space="preserve"> </w:t>
      </w:r>
      <w:r w:rsidR="00090E00" w:rsidRPr="002907CA">
        <w:rPr>
          <w:sz w:val="22"/>
          <w:szCs w:val="22"/>
        </w:rPr>
        <w:t>and upper arm</w:t>
      </w:r>
      <w:r w:rsidR="00090E00">
        <w:rPr>
          <w:sz w:val="22"/>
          <w:szCs w:val="22"/>
        </w:rPr>
        <w:t xml:space="preserve">. Injection sites should be </w:t>
      </w:r>
      <w:proofErr w:type="gramStart"/>
      <w:r w:rsidR="00090E00">
        <w:rPr>
          <w:sz w:val="22"/>
          <w:szCs w:val="22"/>
        </w:rPr>
        <w:t>rotated</w:t>
      </w:r>
      <w:proofErr w:type="gramEnd"/>
      <w:r w:rsidR="00090E00">
        <w:rPr>
          <w:sz w:val="22"/>
          <w:szCs w:val="22"/>
        </w:rPr>
        <w:t xml:space="preserve"> and injections should not be given into psoriasis plaques or areas where the skin is tender, bruised, erythematous, or indurated. </w:t>
      </w:r>
    </w:p>
    <w:p w14:paraId="43C80069" w14:textId="0AA3EB94" w:rsidR="007C4A29" w:rsidRDefault="00E30B1A" w:rsidP="00090E00">
      <w:pPr>
        <w:pStyle w:val="C-BodyText"/>
        <w:tabs>
          <w:tab w:val="left" w:pos="567"/>
        </w:tabs>
        <w:spacing w:before="0"/>
        <w:rPr>
          <w:sz w:val="22"/>
        </w:rPr>
      </w:pPr>
      <w:proofErr w:type="spellStart"/>
      <w:r>
        <w:rPr>
          <w:sz w:val="22"/>
        </w:rPr>
        <w:t>Bimzelx</w:t>
      </w:r>
      <w:proofErr w:type="spellEnd"/>
      <w:r w:rsidRPr="00E30B1A">
        <w:rPr>
          <w:sz w:val="22"/>
        </w:rPr>
        <w:t xml:space="preserve"> is for single use in one patient only. Discard any residue.</w:t>
      </w:r>
    </w:p>
    <w:p w14:paraId="03EACA9C" w14:textId="61AA16F4" w:rsidR="00090E00" w:rsidRDefault="00090E00" w:rsidP="00750336">
      <w:pPr>
        <w:pStyle w:val="Heading3"/>
        <w:rPr>
          <w:lang w:val="en-GB"/>
        </w:rPr>
      </w:pPr>
      <w:r w:rsidRPr="00501D2A">
        <w:rPr>
          <w:lang w:val="en-GB"/>
        </w:rPr>
        <w:t>Special population</w:t>
      </w:r>
      <w:r w:rsidR="002B4B5E">
        <w:rPr>
          <w:lang w:val="en-GB"/>
        </w:rPr>
        <w:t>s</w:t>
      </w:r>
    </w:p>
    <w:p w14:paraId="7DFF5830" w14:textId="77777777" w:rsidR="005F0FEF" w:rsidRDefault="005F0FEF" w:rsidP="005F0FEF">
      <w:pPr>
        <w:pStyle w:val="C-BodyText"/>
        <w:spacing w:before="0"/>
        <w:rPr>
          <w:i/>
          <w:iCs/>
          <w:color w:val="000000"/>
          <w:sz w:val="22"/>
          <w:szCs w:val="22"/>
          <w:u w:val="single"/>
          <w:lang w:val="en-GB"/>
        </w:rPr>
      </w:pPr>
      <w:r>
        <w:rPr>
          <w:i/>
          <w:iCs/>
          <w:color w:val="000000"/>
          <w:sz w:val="22"/>
          <w:szCs w:val="22"/>
          <w:u w:val="single"/>
          <w:lang w:val="en-GB"/>
        </w:rPr>
        <w:t>Overweight patients</w:t>
      </w:r>
    </w:p>
    <w:p w14:paraId="553F71D8" w14:textId="4EDF81F6" w:rsidR="005F0FEF" w:rsidRPr="005F0FEF" w:rsidRDefault="005F0FEF" w:rsidP="005F0FEF">
      <w:pPr>
        <w:pStyle w:val="C-BodyText"/>
        <w:tabs>
          <w:tab w:val="left" w:pos="567"/>
        </w:tabs>
        <w:spacing w:before="0"/>
        <w:rPr>
          <w:iCs/>
          <w:sz w:val="22"/>
          <w:szCs w:val="22"/>
        </w:rPr>
      </w:pPr>
      <w:r w:rsidRPr="00AB54E2">
        <w:rPr>
          <w:sz w:val="22"/>
          <w:szCs w:val="22"/>
        </w:rPr>
        <w:lastRenderedPageBreak/>
        <w:t xml:space="preserve">For some patients with a </w:t>
      </w:r>
      <w:r w:rsidRPr="00AB54E2">
        <w:rPr>
          <w:iCs/>
          <w:sz w:val="22"/>
          <w:szCs w:val="22"/>
        </w:rPr>
        <w:t xml:space="preserve">body weight ≥ 120 kg, 320 mg every 4 weeks after Week 16 may be </w:t>
      </w:r>
      <w:r w:rsidRPr="001A37C6">
        <w:rPr>
          <w:iCs/>
          <w:sz w:val="22"/>
          <w:szCs w:val="22"/>
        </w:rPr>
        <w:t>considered (</w:t>
      </w:r>
      <w:r w:rsidRPr="001A37C6">
        <w:rPr>
          <w:sz w:val="22"/>
          <w:szCs w:val="22"/>
        </w:rPr>
        <w:t>see Section 5.1 Pharmacodynamic Properties, Clinical trials</w:t>
      </w:r>
      <w:r w:rsidRPr="001A37C6">
        <w:rPr>
          <w:iCs/>
          <w:sz w:val="22"/>
          <w:szCs w:val="22"/>
        </w:rPr>
        <w:t>).</w:t>
      </w:r>
    </w:p>
    <w:p w14:paraId="616B673C" w14:textId="77777777" w:rsidR="00090E00" w:rsidRDefault="00090E00" w:rsidP="0086536C">
      <w:pPr>
        <w:pStyle w:val="C-BodyText"/>
        <w:tabs>
          <w:tab w:val="left" w:pos="709"/>
        </w:tabs>
        <w:spacing w:before="0"/>
        <w:rPr>
          <w:bCs/>
          <w:i/>
          <w:iCs/>
          <w:sz w:val="22"/>
          <w:szCs w:val="22"/>
          <w:u w:val="single"/>
          <w:lang w:val="en-GB"/>
        </w:rPr>
      </w:pPr>
      <w:r>
        <w:rPr>
          <w:bCs/>
          <w:i/>
          <w:iCs/>
          <w:sz w:val="22"/>
          <w:szCs w:val="22"/>
          <w:u w:val="single"/>
          <w:lang w:val="en-GB"/>
        </w:rPr>
        <w:t>Elderly population</w:t>
      </w:r>
    </w:p>
    <w:p w14:paraId="70645B36" w14:textId="2F0DDAB3" w:rsidR="00090E00" w:rsidRDefault="00090E00" w:rsidP="0086536C">
      <w:pPr>
        <w:pStyle w:val="C-BodyText"/>
        <w:spacing w:before="0"/>
        <w:rPr>
          <w:sz w:val="22"/>
          <w:szCs w:val="22"/>
        </w:rPr>
      </w:pPr>
      <w:r>
        <w:rPr>
          <w:sz w:val="22"/>
          <w:szCs w:val="22"/>
        </w:rPr>
        <w:t>No dose adjustment is required (</w:t>
      </w:r>
      <w:r w:rsidR="0086536C" w:rsidRPr="0086536C">
        <w:rPr>
          <w:sz w:val="22"/>
          <w:szCs w:val="22"/>
        </w:rPr>
        <w:t>see Section 5.2 Pharmacokinetic Properties</w:t>
      </w:r>
      <w:r>
        <w:rPr>
          <w:sz w:val="22"/>
          <w:szCs w:val="22"/>
        </w:rPr>
        <w:t>).</w:t>
      </w:r>
    </w:p>
    <w:p w14:paraId="550C0E78" w14:textId="77777777" w:rsidR="00090E00" w:rsidRDefault="00090E00" w:rsidP="002F0003">
      <w:pPr>
        <w:pStyle w:val="C-BodyText"/>
        <w:tabs>
          <w:tab w:val="left" w:pos="709"/>
        </w:tabs>
        <w:spacing w:before="0"/>
        <w:rPr>
          <w:bCs/>
          <w:i/>
          <w:iCs/>
          <w:sz w:val="22"/>
          <w:szCs w:val="22"/>
          <w:u w:val="single"/>
          <w:lang w:val="en-GB"/>
        </w:rPr>
      </w:pPr>
      <w:r>
        <w:rPr>
          <w:bCs/>
          <w:i/>
          <w:iCs/>
          <w:sz w:val="22"/>
          <w:szCs w:val="22"/>
          <w:u w:val="single"/>
          <w:lang w:val="en-GB"/>
        </w:rPr>
        <w:t>Renal and hepatic impairment</w:t>
      </w:r>
    </w:p>
    <w:p w14:paraId="4A93E224" w14:textId="57623497" w:rsidR="00090E00" w:rsidRDefault="009259E4" w:rsidP="002F0003">
      <w:pPr>
        <w:pStyle w:val="C-BodyText"/>
        <w:spacing w:before="0"/>
        <w:rPr>
          <w:sz w:val="22"/>
          <w:szCs w:val="22"/>
        </w:rPr>
      </w:pPr>
      <w:proofErr w:type="spellStart"/>
      <w:r>
        <w:rPr>
          <w:sz w:val="22"/>
          <w:szCs w:val="22"/>
        </w:rPr>
        <w:t>Bimzelx</w:t>
      </w:r>
      <w:proofErr w:type="spellEnd"/>
      <w:r w:rsidR="0086536C">
        <w:rPr>
          <w:sz w:val="22"/>
          <w:szCs w:val="22"/>
        </w:rPr>
        <w:t xml:space="preserve"> </w:t>
      </w:r>
      <w:r w:rsidR="00090E00">
        <w:rPr>
          <w:sz w:val="22"/>
          <w:szCs w:val="22"/>
        </w:rPr>
        <w:t>has not been studied in these patient populations. Dose adjustments are not considered necessary based on pharmacokinetics (</w:t>
      </w:r>
      <w:r w:rsidR="0086536C" w:rsidRPr="0086536C">
        <w:rPr>
          <w:sz w:val="22"/>
          <w:szCs w:val="22"/>
        </w:rPr>
        <w:t>see Section 5.2 Pharmacokinetic Properties</w:t>
      </w:r>
      <w:r w:rsidR="00090E00">
        <w:rPr>
          <w:sz w:val="22"/>
          <w:szCs w:val="22"/>
        </w:rPr>
        <w:t>).</w:t>
      </w:r>
      <w:r w:rsidR="00F445B8">
        <w:rPr>
          <w:sz w:val="22"/>
          <w:szCs w:val="22"/>
        </w:rPr>
        <w:t xml:space="preserve"> </w:t>
      </w:r>
      <w:r w:rsidR="00F445B8" w:rsidRPr="00F445B8">
        <w:rPr>
          <w:sz w:val="22"/>
          <w:szCs w:val="22"/>
        </w:rPr>
        <w:t xml:space="preserve">No specific PK studies using </w:t>
      </w:r>
      <w:proofErr w:type="spellStart"/>
      <w:r w:rsidR="00F445B8" w:rsidRPr="00F445B8">
        <w:rPr>
          <w:sz w:val="22"/>
          <w:szCs w:val="22"/>
        </w:rPr>
        <w:t>Bimzelx</w:t>
      </w:r>
      <w:proofErr w:type="spellEnd"/>
      <w:r w:rsidR="00F445B8" w:rsidRPr="00F445B8">
        <w:rPr>
          <w:sz w:val="22"/>
          <w:szCs w:val="22"/>
        </w:rPr>
        <w:t xml:space="preserve"> have been pursued in patients with underlying impaired hepatic function</w:t>
      </w:r>
      <w:r w:rsidR="00F445B8">
        <w:rPr>
          <w:sz w:val="22"/>
          <w:szCs w:val="22"/>
        </w:rPr>
        <w:t>.</w:t>
      </w:r>
    </w:p>
    <w:p w14:paraId="26576309" w14:textId="77777777" w:rsidR="00090E00" w:rsidRDefault="00090E00" w:rsidP="002F0003">
      <w:pPr>
        <w:pStyle w:val="C-BodyText"/>
        <w:tabs>
          <w:tab w:val="left" w:pos="709"/>
        </w:tabs>
        <w:spacing w:before="0"/>
        <w:rPr>
          <w:bCs/>
          <w:i/>
          <w:iCs/>
          <w:sz w:val="22"/>
          <w:szCs w:val="22"/>
          <w:u w:val="single"/>
          <w:lang w:val="en-GB"/>
        </w:rPr>
      </w:pPr>
      <w:r>
        <w:rPr>
          <w:bCs/>
          <w:i/>
          <w:iCs/>
          <w:sz w:val="22"/>
          <w:szCs w:val="22"/>
          <w:u w:val="single"/>
          <w:lang w:val="en-GB"/>
        </w:rPr>
        <w:t>Paediatric population</w:t>
      </w:r>
    </w:p>
    <w:p w14:paraId="017F0F97" w14:textId="4C863BAC" w:rsidR="00090E00" w:rsidRDefault="00090E00" w:rsidP="002F0003">
      <w:pPr>
        <w:pStyle w:val="C-BodyText"/>
        <w:spacing w:before="0"/>
        <w:rPr>
          <w:color w:val="000000"/>
          <w:sz w:val="22"/>
          <w:szCs w:val="22"/>
          <w:lang w:val="en-GB"/>
        </w:rPr>
      </w:pPr>
      <w:r>
        <w:rPr>
          <w:color w:val="000000"/>
          <w:sz w:val="22"/>
          <w:szCs w:val="22"/>
          <w:lang w:val="en-GB"/>
        </w:rPr>
        <w:t xml:space="preserve">The safety and efficacy of </w:t>
      </w:r>
      <w:proofErr w:type="spellStart"/>
      <w:r w:rsidR="009259E4">
        <w:rPr>
          <w:color w:val="000000"/>
          <w:sz w:val="22"/>
          <w:szCs w:val="22"/>
          <w:lang w:val="en-GB"/>
        </w:rPr>
        <w:t>Bimzelx</w:t>
      </w:r>
      <w:proofErr w:type="spellEnd"/>
      <w:r>
        <w:rPr>
          <w:color w:val="000000"/>
          <w:sz w:val="22"/>
          <w:szCs w:val="22"/>
          <w:lang w:val="en-GB"/>
        </w:rPr>
        <w:t xml:space="preserve"> in children and adolescents below the age of 18 years has not </w:t>
      </w:r>
      <w:proofErr w:type="gramStart"/>
      <w:r>
        <w:rPr>
          <w:color w:val="000000"/>
          <w:sz w:val="22"/>
          <w:szCs w:val="22"/>
          <w:lang w:val="en-GB"/>
        </w:rPr>
        <w:t>be</w:t>
      </w:r>
      <w:proofErr w:type="gramEnd"/>
      <w:r>
        <w:rPr>
          <w:color w:val="000000"/>
          <w:sz w:val="22"/>
          <w:szCs w:val="22"/>
          <w:lang w:val="en-GB"/>
        </w:rPr>
        <w:t xml:space="preserve"> established. No data are available.</w:t>
      </w:r>
    </w:p>
    <w:p w14:paraId="26C8EDE4" w14:textId="77777777" w:rsidR="002B2AB7" w:rsidRPr="007E2D65" w:rsidRDefault="00F353AF" w:rsidP="0091038F">
      <w:pPr>
        <w:pStyle w:val="Heading2"/>
        <w:rPr>
          <w:rFonts w:ascii="Times New Roman" w:hAnsi="Times New Roman"/>
        </w:rPr>
      </w:pPr>
      <w:r w:rsidRPr="007E2D65">
        <w:rPr>
          <w:rFonts w:ascii="Times New Roman" w:hAnsi="Times New Roman"/>
        </w:rPr>
        <w:t>Contraindications</w:t>
      </w:r>
    </w:p>
    <w:p w14:paraId="055B1C19" w14:textId="7F1C5B0C" w:rsidR="009D7652" w:rsidRDefault="00F353AF" w:rsidP="00142A7A">
      <w:pPr>
        <w:rPr>
          <w:rFonts w:ascii="Times New Roman" w:hAnsi="Times New Roman" w:cs="Times New Roman"/>
        </w:rPr>
      </w:pPr>
      <w:r w:rsidRPr="007E2D65">
        <w:rPr>
          <w:rFonts w:ascii="Times New Roman" w:hAnsi="Times New Roman" w:cs="Times New Roman"/>
        </w:rPr>
        <w:t>Hypersensitivity to the active substance or to any of the excipients (</w:t>
      </w:r>
      <w:r w:rsidR="002B4B5E" w:rsidRPr="007E2D65">
        <w:rPr>
          <w:rFonts w:ascii="Times New Roman" w:hAnsi="Times New Roman" w:cs="Times New Roman"/>
        </w:rPr>
        <w:t>see Section 6.1 List of Excipients</w:t>
      </w:r>
      <w:r w:rsidR="009D7652" w:rsidRPr="007E2D65">
        <w:rPr>
          <w:rFonts w:ascii="Times New Roman" w:hAnsi="Times New Roman" w:cs="Times New Roman"/>
        </w:rPr>
        <w:t>).</w:t>
      </w:r>
    </w:p>
    <w:p w14:paraId="3FCD5CA2" w14:textId="77777777" w:rsidR="005C3C9B" w:rsidRPr="00AB54E2" w:rsidRDefault="005C3C9B" w:rsidP="005C3C9B">
      <w:pPr>
        <w:pStyle w:val="C-BodyText"/>
        <w:spacing w:before="0"/>
        <w:rPr>
          <w:sz w:val="22"/>
          <w:szCs w:val="22"/>
        </w:rPr>
      </w:pPr>
      <w:r w:rsidRPr="00AB54E2">
        <w:rPr>
          <w:sz w:val="22"/>
          <w:szCs w:val="22"/>
        </w:rPr>
        <w:t xml:space="preserve">Live vaccines should </w:t>
      </w:r>
      <w:r w:rsidRPr="00366F4C">
        <w:rPr>
          <w:sz w:val="22"/>
          <w:szCs w:val="22"/>
        </w:rPr>
        <w:t xml:space="preserve">not be </w:t>
      </w:r>
      <w:r>
        <w:rPr>
          <w:sz w:val="22"/>
          <w:szCs w:val="22"/>
        </w:rPr>
        <w:t>given</w:t>
      </w:r>
      <w:r w:rsidRPr="00366F4C">
        <w:rPr>
          <w:sz w:val="22"/>
          <w:szCs w:val="22"/>
        </w:rPr>
        <w:t xml:space="preserve"> </w:t>
      </w:r>
      <w:r w:rsidRPr="00AB54E2">
        <w:rPr>
          <w:sz w:val="22"/>
          <w:szCs w:val="22"/>
        </w:rPr>
        <w:t xml:space="preserve">in patients treated with </w:t>
      </w:r>
      <w:proofErr w:type="spellStart"/>
      <w:r w:rsidRPr="00711671">
        <w:rPr>
          <w:sz w:val="22"/>
          <w:szCs w:val="18"/>
        </w:rPr>
        <w:t>Bimzelx</w:t>
      </w:r>
      <w:proofErr w:type="spellEnd"/>
      <w:r w:rsidRPr="00AB54E2">
        <w:rPr>
          <w:sz w:val="22"/>
          <w:szCs w:val="22"/>
        </w:rPr>
        <w:t>.</w:t>
      </w:r>
      <w:r>
        <w:rPr>
          <w:sz w:val="22"/>
          <w:szCs w:val="22"/>
        </w:rPr>
        <w:t xml:space="preserve"> </w:t>
      </w:r>
      <w:r w:rsidRPr="008F3DB9">
        <w:rPr>
          <w:sz w:val="22"/>
          <w:szCs w:val="22"/>
        </w:rPr>
        <w:t>No data are available on the response to live vaccines</w:t>
      </w:r>
      <w:r>
        <w:rPr>
          <w:sz w:val="22"/>
          <w:szCs w:val="22"/>
        </w:rPr>
        <w:t>.</w:t>
      </w:r>
    </w:p>
    <w:p w14:paraId="7DDDC4A1" w14:textId="44678E57" w:rsidR="005C3C9B" w:rsidRPr="007E2D65" w:rsidRDefault="005C3C9B" w:rsidP="00142A7A">
      <w:pPr>
        <w:rPr>
          <w:rFonts w:ascii="Times New Roman" w:hAnsi="Times New Roman" w:cs="Times New Roman"/>
        </w:rPr>
      </w:pPr>
      <w:r>
        <w:rPr>
          <w:rFonts w:ascii="Times New Roman" w:hAnsi="Times New Roman" w:cs="Times New Roman"/>
        </w:rPr>
        <w:t xml:space="preserve"> </w:t>
      </w:r>
    </w:p>
    <w:p w14:paraId="3055A98E" w14:textId="77777777" w:rsidR="002B2AB7" w:rsidRPr="007E2D65" w:rsidRDefault="00F353AF" w:rsidP="0091038F">
      <w:pPr>
        <w:pStyle w:val="Heading2"/>
        <w:rPr>
          <w:rFonts w:ascii="Times New Roman" w:hAnsi="Times New Roman"/>
        </w:rPr>
      </w:pPr>
      <w:r w:rsidRPr="007E2D65">
        <w:rPr>
          <w:rFonts w:ascii="Times New Roman" w:hAnsi="Times New Roman"/>
        </w:rPr>
        <w:t>Special warnings and precautions for use</w:t>
      </w:r>
    </w:p>
    <w:p w14:paraId="03BB8140" w14:textId="77777777" w:rsidR="00B37BE0" w:rsidRPr="00980AA2" w:rsidRDefault="00B37BE0" w:rsidP="00B37BE0">
      <w:pPr>
        <w:pStyle w:val="Heading3"/>
      </w:pPr>
      <w:r w:rsidRPr="00980AA2">
        <w:t xml:space="preserve">Infections </w:t>
      </w:r>
    </w:p>
    <w:p w14:paraId="4B5A1824" w14:textId="658BAFE8" w:rsidR="00B37BE0" w:rsidRPr="00AB54E2" w:rsidRDefault="009259E4" w:rsidP="00B37BE0">
      <w:pPr>
        <w:pStyle w:val="C-BodyText"/>
        <w:spacing w:before="0"/>
        <w:rPr>
          <w:sz w:val="22"/>
          <w:szCs w:val="22"/>
        </w:rPr>
      </w:pPr>
      <w:proofErr w:type="spellStart"/>
      <w:r w:rsidRPr="00711671">
        <w:rPr>
          <w:sz w:val="22"/>
          <w:szCs w:val="18"/>
        </w:rPr>
        <w:t>Bimzelx</w:t>
      </w:r>
      <w:proofErr w:type="spellEnd"/>
      <w:r w:rsidR="00B37BE0" w:rsidRPr="00AB54E2">
        <w:rPr>
          <w:sz w:val="22"/>
          <w:szCs w:val="22"/>
        </w:rPr>
        <w:t xml:space="preserve"> may increase the risk of infections such as upper respiratory tract infections and oral candidiasis (see section 4.8</w:t>
      </w:r>
      <w:r w:rsidR="00CA7762">
        <w:rPr>
          <w:sz w:val="22"/>
          <w:szCs w:val="22"/>
        </w:rPr>
        <w:t xml:space="preserve"> Adverse effects (Undesirable effects)</w:t>
      </w:r>
      <w:r w:rsidR="00B37BE0" w:rsidRPr="00AB54E2">
        <w:rPr>
          <w:sz w:val="22"/>
          <w:szCs w:val="22"/>
        </w:rPr>
        <w:t>).</w:t>
      </w:r>
    </w:p>
    <w:p w14:paraId="5A5CF724" w14:textId="5AA37969" w:rsidR="00B37BE0" w:rsidRPr="00AB54E2" w:rsidRDefault="00B37BE0" w:rsidP="00B37BE0">
      <w:pPr>
        <w:pStyle w:val="C-BodyText"/>
        <w:spacing w:before="0"/>
        <w:rPr>
          <w:sz w:val="22"/>
          <w:szCs w:val="22"/>
        </w:rPr>
      </w:pPr>
      <w:r w:rsidRPr="00AB54E2">
        <w:rPr>
          <w:sz w:val="22"/>
          <w:szCs w:val="22"/>
        </w:rPr>
        <w:t xml:space="preserve">Caution should be exercised when considering the use </w:t>
      </w:r>
      <w:r w:rsidRPr="00711671">
        <w:rPr>
          <w:sz w:val="22"/>
          <w:szCs w:val="22"/>
        </w:rPr>
        <w:t xml:space="preserve">of </w:t>
      </w:r>
      <w:proofErr w:type="spellStart"/>
      <w:r w:rsidR="009259E4" w:rsidRPr="00711671">
        <w:rPr>
          <w:sz w:val="22"/>
          <w:szCs w:val="22"/>
        </w:rPr>
        <w:t>Bimzelx</w:t>
      </w:r>
      <w:proofErr w:type="spellEnd"/>
      <w:r w:rsidRPr="00AB54E2">
        <w:rPr>
          <w:sz w:val="22"/>
          <w:szCs w:val="22"/>
        </w:rPr>
        <w:t xml:space="preserve"> in patients with a chronic infection or a history of recurrent infection. Treatment with </w:t>
      </w:r>
      <w:proofErr w:type="spellStart"/>
      <w:r w:rsidR="009259E4" w:rsidRPr="009B45CE">
        <w:rPr>
          <w:sz w:val="22"/>
          <w:szCs w:val="18"/>
        </w:rPr>
        <w:t>Bimzelx</w:t>
      </w:r>
      <w:proofErr w:type="spellEnd"/>
      <w:r w:rsidRPr="00AB54E2">
        <w:rPr>
          <w:sz w:val="22"/>
          <w:szCs w:val="22"/>
        </w:rPr>
        <w:t xml:space="preserve"> should not be initiated in patients with any clinically important active infection until the infection resolves or is adequately treated.</w:t>
      </w:r>
    </w:p>
    <w:p w14:paraId="3B8206A8" w14:textId="0C63C9B2" w:rsidR="00B37BE0" w:rsidRDefault="00B37BE0" w:rsidP="00B37BE0">
      <w:pPr>
        <w:pStyle w:val="C-BodyText"/>
        <w:spacing w:before="0"/>
        <w:rPr>
          <w:sz w:val="22"/>
          <w:szCs w:val="22"/>
        </w:rPr>
      </w:pPr>
      <w:r w:rsidRPr="00AB54E2">
        <w:rPr>
          <w:sz w:val="22"/>
          <w:szCs w:val="22"/>
        </w:rPr>
        <w:t xml:space="preserve">Patients treated with </w:t>
      </w:r>
      <w:proofErr w:type="spellStart"/>
      <w:r w:rsidR="009259E4" w:rsidRPr="00711671">
        <w:rPr>
          <w:sz w:val="22"/>
          <w:szCs w:val="22"/>
        </w:rPr>
        <w:t>Bimzelx</w:t>
      </w:r>
      <w:proofErr w:type="spellEnd"/>
      <w:r w:rsidRPr="00711671">
        <w:rPr>
          <w:sz w:val="22"/>
          <w:szCs w:val="22"/>
        </w:rPr>
        <w:t xml:space="preserve"> should be instructed to seek medical advice if signs or symptoms of clinically important chronic or acute</w:t>
      </w:r>
      <w:r w:rsidRPr="00AB54E2">
        <w:rPr>
          <w:sz w:val="22"/>
          <w:szCs w:val="22"/>
        </w:rPr>
        <w:t xml:space="preserve"> infection occur. If a patient develops a clinically important infection or is not responding to standard therapy, the patient should be closely monitored and </w:t>
      </w:r>
      <w:proofErr w:type="spellStart"/>
      <w:r w:rsidR="009259E4" w:rsidRPr="00711671">
        <w:rPr>
          <w:sz w:val="22"/>
          <w:szCs w:val="18"/>
        </w:rPr>
        <w:t>Bimzelx</w:t>
      </w:r>
      <w:proofErr w:type="spellEnd"/>
      <w:r w:rsidRPr="00AB54E2">
        <w:rPr>
          <w:sz w:val="22"/>
          <w:szCs w:val="22"/>
        </w:rPr>
        <w:t xml:space="preserve"> should not be administered until the infection resolves.</w:t>
      </w:r>
    </w:p>
    <w:p w14:paraId="06462810" w14:textId="77777777" w:rsidR="00B37BE0" w:rsidRPr="00980AA2" w:rsidRDefault="00B37BE0" w:rsidP="00B37BE0">
      <w:pPr>
        <w:pStyle w:val="Heading3"/>
      </w:pPr>
      <w:r w:rsidRPr="00980AA2">
        <w:t>Pre-treatment evaluation for tuberculosis (TB)</w:t>
      </w:r>
    </w:p>
    <w:p w14:paraId="4C7B96CC" w14:textId="5E118A8E" w:rsidR="00B37BE0" w:rsidRPr="0006044A" w:rsidRDefault="00652921" w:rsidP="00B37BE0">
      <w:pPr>
        <w:pStyle w:val="C-BodyText"/>
        <w:spacing w:before="0"/>
        <w:rPr>
          <w:sz w:val="22"/>
          <w:szCs w:val="22"/>
        </w:rPr>
      </w:pPr>
      <w:r>
        <w:rPr>
          <w:sz w:val="22"/>
          <w:szCs w:val="22"/>
        </w:rPr>
        <w:t>N</w:t>
      </w:r>
      <w:r w:rsidRPr="00652921">
        <w:rPr>
          <w:sz w:val="22"/>
          <w:szCs w:val="22"/>
        </w:rPr>
        <w:t xml:space="preserve">o increased susceptibility to tuberculosis was </w:t>
      </w:r>
      <w:r w:rsidR="001D0BFB">
        <w:rPr>
          <w:sz w:val="22"/>
          <w:szCs w:val="22"/>
        </w:rPr>
        <w:t>reported</w:t>
      </w:r>
      <w:r w:rsidRPr="00652921">
        <w:rPr>
          <w:sz w:val="22"/>
          <w:szCs w:val="22"/>
        </w:rPr>
        <w:t xml:space="preserve"> from clinical studies</w:t>
      </w:r>
      <w:r>
        <w:rPr>
          <w:sz w:val="22"/>
          <w:szCs w:val="22"/>
        </w:rPr>
        <w:t xml:space="preserve">. </w:t>
      </w:r>
      <w:r w:rsidR="00B37BE0" w:rsidRPr="0006044A">
        <w:rPr>
          <w:sz w:val="22"/>
          <w:szCs w:val="22"/>
        </w:rPr>
        <w:t xml:space="preserve">Prior to initiating treatment with </w:t>
      </w:r>
      <w:proofErr w:type="spellStart"/>
      <w:r w:rsidR="009259E4" w:rsidRPr="00711671">
        <w:rPr>
          <w:sz w:val="22"/>
          <w:szCs w:val="18"/>
        </w:rPr>
        <w:t>Bimzelx</w:t>
      </w:r>
      <w:proofErr w:type="spellEnd"/>
      <w:r w:rsidR="00B37BE0" w:rsidRPr="0006044A">
        <w:rPr>
          <w:sz w:val="22"/>
          <w:szCs w:val="22"/>
        </w:rPr>
        <w:t xml:space="preserve">, patients should be evaluated for TB infection. </w:t>
      </w:r>
      <w:proofErr w:type="spellStart"/>
      <w:r w:rsidR="009259E4" w:rsidRPr="00711671">
        <w:rPr>
          <w:sz w:val="22"/>
          <w:szCs w:val="18"/>
        </w:rPr>
        <w:t>Bimzelx</w:t>
      </w:r>
      <w:proofErr w:type="spellEnd"/>
      <w:r w:rsidR="00B37BE0" w:rsidRPr="0006044A">
        <w:rPr>
          <w:sz w:val="22"/>
          <w:szCs w:val="22"/>
        </w:rPr>
        <w:t xml:space="preserve"> should not be given in patients with active TB. Patients receiving </w:t>
      </w:r>
      <w:proofErr w:type="spellStart"/>
      <w:r w:rsidR="009259E4" w:rsidRPr="00711671">
        <w:rPr>
          <w:sz w:val="22"/>
          <w:szCs w:val="22"/>
        </w:rPr>
        <w:t>Bimzelx</w:t>
      </w:r>
      <w:proofErr w:type="spellEnd"/>
      <w:r w:rsidR="00B37BE0" w:rsidRPr="0006044A">
        <w:rPr>
          <w:sz w:val="22"/>
          <w:szCs w:val="22"/>
        </w:rPr>
        <w:t xml:space="preserve"> should be monitored for signs and symptoms of active TB. Anti-TB therapy should be considered prior to initiating </w:t>
      </w:r>
      <w:proofErr w:type="spellStart"/>
      <w:r w:rsidR="009259E4" w:rsidRPr="00711671">
        <w:rPr>
          <w:sz w:val="22"/>
          <w:szCs w:val="18"/>
        </w:rPr>
        <w:t>Bimzelx</w:t>
      </w:r>
      <w:proofErr w:type="spellEnd"/>
      <w:r w:rsidR="00B37BE0" w:rsidRPr="0006044A">
        <w:rPr>
          <w:sz w:val="22"/>
          <w:szCs w:val="22"/>
        </w:rPr>
        <w:t xml:space="preserve"> in patients with </w:t>
      </w:r>
      <w:proofErr w:type="gramStart"/>
      <w:r w:rsidR="00B37BE0" w:rsidRPr="0006044A">
        <w:rPr>
          <w:sz w:val="22"/>
          <w:szCs w:val="22"/>
        </w:rPr>
        <w:t>a past history</w:t>
      </w:r>
      <w:proofErr w:type="gramEnd"/>
      <w:r w:rsidR="00B37BE0" w:rsidRPr="0006044A">
        <w:rPr>
          <w:sz w:val="22"/>
          <w:szCs w:val="22"/>
        </w:rPr>
        <w:t xml:space="preserve"> of latent or active TB in whom an adequate course of treatment cannot be confirmed.</w:t>
      </w:r>
    </w:p>
    <w:p w14:paraId="3C54F7A9" w14:textId="77777777" w:rsidR="00B37BE0" w:rsidRPr="00980AA2" w:rsidRDefault="00B37BE0" w:rsidP="00B37BE0">
      <w:pPr>
        <w:pStyle w:val="Heading3"/>
      </w:pPr>
      <w:r w:rsidRPr="00980AA2">
        <w:t xml:space="preserve">Inflammatory bowel disease </w:t>
      </w:r>
    </w:p>
    <w:p w14:paraId="22ADE949" w14:textId="11C5CDD8" w:rsidR="00B37BE0" w:rsidRPr="00E63C8D" w:rsidRDefault="00B37BE0" w:rsidP="00B37BE0">
      <w:pPr>
        <w:pStyle w:val="C-BodyText"/>
        <w:spacing w:before="0"/>
        <w:rPr>
          <w:sz w:val="22"/>
          <w:szCs w:val="22"/>
        </w:rPr>
      </w:pPr>
      <w:r w:rsidRPr="00AB54E2">
        <w:rPr>
          <w:sz w:val="22"/>
          <w:szCs w:val="22"/>
        </w:rPr>
        <w:t xml:space="preserve">Caution should be exercised when prescribing </w:t>
      </w:r>
      <w:proofErr w:type="spellStart"/>
      <w:r w:rsidR="009259E4" w:rsidRPr="00711671">
        <w:rPr>
          <w:sz w:val="22"/>
          <w:szCs w:val="18"/>
        </w:rPr>
        <w:t>Bimzelx</w:t>
      </w:r>
      <w:proofErr w:type="spellEnd"/>
      <w:r w:rsidRPr="00AB54E2">
        <w:rPr>
          <w:sz w:val="22"/>
          <w:szCs w:val="22"/>
        </w:rPr>
        <w:t xml:space="preserve"> to patients with inflammatory bowel disease. Patients should be monitored closely. </w:t>
      </w:r>
      <w:r w:rsidRPr="00E63C8D">
        <w:rPr>
          <w:sz w:val="22"/>
          <w:szCs w:val="22"/>
          <w:lang w:val="en-GB"/>
        </w:rPr>
        <w:t xml:space="preserve">New onset of ulcerative colitis was observed in plaque psoriasis </w:t>
      </w:r>
      <w:r w:rsidRPr="00E63C8D">
        <w:rPr>
          <w:sz w:val="22"/>
          <w:szCs w:val="22"/>
          <w:lang w:val="en-GB"/>
        </w:rPr>
        <w:lastRenderedPageBreak/>
        <w:t xml:space="preserve">studies. Exacerbation or new onset of Crohn’s disease and ulcerative colitis were observed in </w:t>
      </w:r>
      <w:proofErr w:type="spellStart"/>
      <w:r w:rsidR="009259E4" w:rsidRPr="00711671">
        <w:rPr>
          <w:sz w:val="22"/>
          <w:szCs w:val="18"/>
        </w:rPr>
        <w:t>Bimzelx</w:t>
      </w:r>
      <w:proofErr w:type="spellEnd"/>
      <w:r w:rsidRPr="00E63C8D">
        <w:rPr>
          <w:sz w:val="22"/>
          <w:szCs w:val="22"/>
          <w:lang w:val="en-GB"/>
        </w:rPr>
        <w:t xml:space="preserve"> treated patients during clinical studies in other diseases.</w:t>
      </w:r>
    </w:p>
    <w:p w14:paraId="04DB55A9" w14:textId="77777777" w:rsidR="00B37BE0" w:rsidRPr="00980AA2" w:rsidRDefault="00B37BE0" w:rsidP="00B37BE0">
      <w:pPr>
        <w:pStyle w:val="Heading3"/>
      </w:pPr>
      <w:r w:rsidRPr="00980AA2">
        <w:t>Hypersensitivity</w:t>
      </w:r>
    </w:p>
    <w:p w14:paraId="6D71FA73" w14:textId="1BA04D5F" w:rsidR="00B37BE0" w:rsidRPr="00DE1403" w:rsidRDefault="00B37BE0" w:rsidP="00B37BE0">
      <w:pPr>
        <w:pStyle w:val="C-BodyText"/>
        <w:spacing w:before="0"/>
        <w:rPr>
          <w:sz w:val="22"/>
          <w:szCs w:val="22"/>
        </w:rPr>
      </w:pPr>
      <w:r w:rsidRPr="00DE1403">
        <w:rPr>
          <w:sz w:val="22"/>
          <w:szCs w:val="22"/>
        </w:rPr>
        <w:t xml:space="preserve">If a serious hypersensitivity reaction occurs, administration of </w:t>
      </w:r>
      <w:proofErr w:type="spellStart"/>
      <w:r w:rsidR="009259E4" w:rsidRPr="00711671">
        <w:rPr>
          <w:sz w:val="22"/>
          <w:szCs w:val="18"/>
        </w:rPr>
        <w:t>Bimzelx</w:t>
      </w:r>
      <w:proofErr w:type="spellEnd"/>
      <w:r w:rsidRPr="00DE1403">
        <w:rPr>
          <w:sz w:val="22"/>
          <w:szCs w:val="22"/>
        </w:rPr>
        <w:t xml:space="preserve"> should be discontinued</w:t>
      </w:r>
      <w:r>
        <w:rPr>
          <w:sz w:val="22"/>
          <w:szCs w:val="22"/>
        </w:rPr>
        <w:t xml:space="preserve"> </w:t>
      </w:r>
      <w:r w:rsidRPr="00DE1403">
        <w:rPr>
          <w:sz w:val="22"/>
          <w:szCs w:val="22"/>
        </w:rPr>
        <w:t>i</w:t>
      </w:r>
      <w:r>
        <w:rPr>
          <w:sz w:val="22"/>
          <w:szCs w:val="22"/>
        </w:rPr>
        <w:t>mm</w:t>
      </w:r>
      <w:r w:rsidRPr="00DE1403">
        <w:rPr>
          <w:sz w:val="22"/>
          <w:szCs w:val="22"/>
        </w:rPr>
        <w:t>ediately and appropriate therapy initiated.</w:t>
      </w:r>
    </w:p>
    <w:p w14:paraId="48A2079C" w14:textId="77777777" w:rsidR="00B37BE0" w:rsidRPr="00980AA2" w:rsidRDefault="00B37BE0" w:rsidP="00B37BE0">
      <w:pPr>
        <w:pStyle w:val="Heading3"/>
      </w:pPr>
      <w:r w:rsidRPr="00980AA2">
        <w:t>Vaccinations</w:t>
      </w:r>
    </w:p>
    <w:p w14:paraId="0B0AD300" w14:textId="7310A237" w:rsidR="00B37BE0" w:rsidRPr="00AB54E2" w:rsidRDefault="00B37BE0" w:rsidP="00B37BE0">
      <w:pPr>
        <w:pStyle w:val="C-BodyText"/>
        <w:spacing w:before="0"/>
        <w:rPr>
          <w:sz w:val="22"/>
          <w:szCs w:val="22"/>
        </w:rPr>
      </w:pPr>
      <w:r w:rsidRPr="00AB54E2">
        <w:rPr>
          <w:sz w:val="22"/>
          <w:szCs w:val="22"/>
        </w:rPr>
        <w:t xml:space="preserve">Prior to initiating therapy with </w:t>
      </w:r>
      <w:proofErr w:type="spellStart"/>
      <w:r w:rsidR="009259E4" w:rsidRPr="00711671">
        <w:rPr>
          <w:sz w:val="22"/>
          <w:szCs w:val="18"/>
        </w:rPr>
        <w:t>Bimzelx</w:t>
      </w:r>
      <w:proofErr w:type="spellEnd"/>
      <w:r w:rsidRPr="00AB54E2">
        <w:rPr>
          <w:sz w:val="22"/>
          <w:szCs w:val="22"/>
        </w:rPr>
        <w:t xml:space="preserve">, consider completion of all </w:t>
      </w:r>
      <w:proofErr w:type="gramStart"/>
      <w:r w:rsidRPr="00AB54E2">
        <w:rPr>
          <w:sz w:val="22"/>
          <w:szCs w:val="22"/>
        </w:rPr>
        <w:t>age appropriate</w:t>
      </w:r>
      <w:proofErr w:type="gramEnd"/>
      <w:r w:rsidRPr="00AB54E2">
        <w:rPr>
          <w:sz w:val="22"/>
          <w:szCs w:val="22"/>
        </w:rPr>
        <w:t xml:space="preserve"> immunizations according to current immunization guidelines.</w:t>
      </w:r>
    </w:p>
    <w:p w14:paraId="3791890A" w14:textId="5FD2232B" w:rsidR="0065441C" w:rsidRDefault="00B37BE0" w:rsidP="0065441C">
      <w:pPr>
        <w:pStyle w:val="C-BodyText"/>
        <w:spacing w:before="0"/>
        <w:rPr>
          <w:sz w:val="22"/>
          <w:szCs w:val="22"/>
        </w:rPr>
      </w:pPr>
      <w:r w:rsidRPr="0065441C">
        <w:rPr>
          <w:sz w:val="22"/>
          <w:szCs w:val="22"/>
        </w:rPr>
        <w:t xml:space="preserve">Patients treated with </w:t>
      </w:r>
      <w:proofErr w:type="spellStart"/>
      <w:r w:rsidR="009259E4" w:rsidRPr="00711671">
        <w:rPr>
          <w:sz w:val="22"/>
          <w:szCs w:val="18"/>
        </w:rPr>
        <w:t>Bimzelx</w:t>
      </w:r>
      <w:proofErr w:type="spellEnd"/>
      <w:r w:rsidRPr="00711671">
        <w:rPr>
          <w:sz w:val="20"/>
        </w:rPr>
        <w:t xml:space="preserve"> </w:t>
      </w:r>
      <w:r w:rsidRPr="0065441C">
        <w:rPr>
          <w:sz w:val="22"/>
          <w:szCs w:val="22"/>
        </w:rPr>
        <w:t xml:space="preserve">may receive inactivated or non-live vaccinations. Healthy individuals who received a single 320 mg dose of </w:t>
      </w:r>
      <w:proofErr w:type="spellStart"/>
      <w:r w:rsidR="009259E4" w:rsidRPr="00711671">
        <w:rPr>
          <w:sz w:val="22"/>
          <w:szCs w:val="18"/>
        </w:rPr>
        <w:t>Bimzelx</w:t>
      </w:r>
      <w:proofErr w:type="spellEnd"/>
      <w:r w:rsidRPr="00711671">
        <w:rPr>
          <w:sz w:val="20"/>
        </w:rPr>
        <w:t xml:space="preserve"> </w:t>
      </w:r>
      <w:r w:rsidRPr="0065441C">
        <w:rPr>
          <w:sz w:val="22"/>
          <w:szCs w:val="22"/>
        </w:rPr>
        <w:t xml:space="preserve">two weeks prior to vaccination with an inactivated seasonal influenza vaccine had similar antibody responses compared to individuals who did not receive </w:t>
      </w:r>
      <w:proofErr w:type="spellStart"/>
      <w:r w:rsidR="009259E4" w:rsidRPr="00711671">
        <w:rPr>
          <w:sz w:val="22"/>
          <w:szCs w:val="18"/>
        </w:rPr>
        <w:t>Bimzelx</w:t>
      </w:r>
      <w:proofErr w:type="spellEnd"/>
      <w:r w:rsidRPr="00711671">
        <w:rPr>
          <w:sz w:val="20"/>
        </w:rPr>
        <w:t xml:space="preserve"> </w:t>
      </w:r>
      <w:r w:rsidRPr="0065441C">
        <w:rPr>
          <w:sz w:val="22"/>
          <w:szCs w:val="22"/>
        </w:rPr>
        <w:t xml:space="preserve">prior to vaccination. </w:t>
      </w:r>
    </w:p>
    <w:p w14:paraId="7C66934A" w14:textId="7C080343" w:rsidR="00C72FE8" w:rsidRDefault="00C72FE8" w:rsidP="00C72FE8">
      <w:pPr>
        <w:pStyle w:val="Heading3"/>
      </w:pPr>
      <w:r>
        <w:t>Use in hepatic impairment</w:t>
      </w:r>
    </w:p>
    <w:p w14:paraId="001F8A41" w14:textId="110ABC48" w:rsidR="00C72FE8" w:rsidRDefault="009259E4" w:rsidP="00C72FE8">
      <w:pPr>
        <w:pStyle w:val="C-BodyText"/>
        <w:spacing w:before="0"/>
        <w:rPr>
          <w:sz w:val="22"/>
          <w:szCs w:val="22"/>
        </w:rPr>
      </w:pPr>
      <w:proofErr w:type="spellStart"/>
      <w:r>
        <w:rPr>
          <w:sz w:val="22"/>
          <w:szCs w:val="22"/>
        </w:rPr>
        <w:t>Bimzelx</w:t>
      </w:r>
      <w:proofErr w:type="spellEnd"/>
      <w:r w:rsidR="00C72FE8">
        <w:rPr>
          <w:sz w:val="22"/>
          <w:szCs w:val="22"/>
        </w:rPr>
        <w:t xml:space="preserve"> has not been studied in these patient populations. Dose adjustments are not considered necessary based on pharmacokinetics (</w:t>
      </w:r>
      <w:r w:rsidR="00C72FE8" w:rsidRPr="0086536C">
        <w:rPr>
          <w:sz w:val="22"/>
          <w:szCs w:val="22"/>
        </w:rPr>
        <w:t>see Section 5.2 Pharmacokinetic Properties</w:t>
      </w:r>
      <w:r w:rsidR="00C72FE8">
        <w:rPr>
          <w:sz w:val="22"/>
          <w:szCs w:val="22"/>
        </w:rPr>
        <w:t>).</w:t>
      </w:r>
    </w:p>
    <w:p w14:paraId="17D5873A" w14:textId="024D1D2C" w:rsidR="00C72FE8" w:rsidRDefault="00C72FE8" w:rsidP="00C72FE8">
      <w:pPr>
        <w:pStyle w:val="Heading3"/>
      </w:pPr>
      <w:r>
        <w:t>Use in renal impairment</w:t>
      </w:r>
    </w:p>
    <w:p w14:paraId="1C5B2549" w14:textId="01D9B900" w:rsidR="00C72FE8" w:rsidRDefault="009259E4" w:rsidP="00C72FE8">
      <w:pPr>
        <w:pStyle w:val="C-BodyText"/>
        <w:spacing w:before="0"/>
        <w:rPr>
          <w:sz w:val="22"/>
          <w:szCs w:val="22"/>
        </w:rPr>
      </w:pPr>
      <w:proofErr w:type="spellStart"/>
      <w:r>
        <w:rPr>
          <w:sz w:val="22"/>
          <w:szCs w:val="22"/>
        </w:rPr>
        <w:t>Bimzelx</w:t>
      </w:r>
      <w:proofErr w:type="spellEnd"/>
      <w:r w:rsidR="00C72FE8">
        <w:rPr>
          <w:sz w:val="22"/>
          <w:szCs w:val="22"/>
        </w:rPr>
        <w:t xml:space="preserve"> has not been studied in these patient populations. Dose adjustments are not considered necessary based on pharmacokinetics (</w:t>
      </w:r>
      <w:r w:rsidR="00C72FE8" w:rsidRPr="0086536C">
        <w:rPr>
          <w:sz w:val="22"/>
          <w:szCs w:val="22"/>
        </w:rPr>
        <w:t>see Section 5.2 Pharmacokinetic Properties</w:t>
      </w:r>
      <w:r w:rsidR="00C72FE8">
        <w:rPr>
          <w:sz w:val="22"/>
          <w:szCs w:val="22"/>
        </w:rPr>
        <w:t>).</w:t>
      </w:r>
    </w:p>
    <w:p w14:paraId="7C651137" w14:textId="19283BF9" w:rsidR="002B2AB7" w:rsidRPr="00C72FE8" w:rsidRDefault="00F353AF" w:rsidP="00B37BE0">
      <w:pPr>
        <w:pStyle w:val="Heading3"/>
      </w:pPr>
      <w:r w:rsidRPr="00C72FE8">
        <w:t>Use in the elderly</w:t>
      </w:r>
    </w:p>
    <w:p w14:paraId="305AE421" w14:textId="77777777" w:rsidR="00395087" w:rsidRPr="00137129" w:rsidRDefault="00FA3A1C" w:rsidP="00137129">
      <w:pPr>
        <w:rPr>
          <w:rFonts w:ascii="Times New Roman" w:eastAsia="Times New Roman" w:hAnsi="Times New Roman" w:cs="Times New Roman"/>
          <w:lang w:val="en-US"/>
        </w:rPr>
      </w:pPr>
      <w:r w:rsidRPr="00137129">
        <w:rPr>
          <w:rFonts w:ascii="Times New Roman" w:eastAsia="Times New Roman" w:hAnsi="Times New Roman" w:cs="Times New Roman"/>
          <w:lang w:val="en-US"/>
        </w:rPr>
        <w:t>Based on population pharmacokinetic analysis with a limited number of elderly patients (n = 110 for age ≥ 65 years and n = 14 for age ≥ 75 years), apparent clearance (CL/F) in elderly patients and patients less than 65 years of age was similar. No dose adjustment is required.</w:t>
      </w:r>
    </w:p>
    <w:p w14:paraId="11FAAF69" w14:textId="29EEA5C0" w:rsidR="002B2AB7" w:rsidRPr="007E2D65" w:rsidRDefault="00F353AF" w:rsidP="00395087">
      <w:pPr>
        <w:pStyle w:val="Heading3"/>
      </w:pPr>
      <w:r w:rsidRPr="007E2D65">
        <w:t>Paediatric use</w:t>
      </w:r>
    </w:p>
    <w:p w14:paraId="0C1194D3" w14:textId="0B25B2DE" w:rsidR="004D4094" w:rsidRDefault="004D4094" w:rsidP="004D4094">
      <w:pPr>
        <w:pStyle w:val="Heading3"/>
        <w:spacing w:before="0"/>
        <w:rPr>
          <w:b w:val="0"/>
          <w:bCs w:val="0"/>
        </w:rPr>
      </w:pPr>
      <w:r w:rsidRPr="004D4094">
        <w:rPr>
          <w:b w:val="0"/>
          <w:bCs w:val="0"/>
        </w:rPr>
        <w:t xml:space="preserve">The safety and efficacy of </w:t>
      </w:r>
      <w:proofErr w:type="spellStart"/>
      <w:r w:rsidR="009259E4">
        <w:rPr>
          <w:b w:val="0"/>
          <w:bCs w:val="0"/>
        </w:rPr>
        <w:t>Bimzelx</w:t>
      </w:r>
      <w:proofErr w:type="spellEnd"/>
      <w:r w:rsidRPr="004D4094">
        <w:rPr>
          <w:b w:val="0"/>
          <w:bCs w:val="0"/>
        </w:rPr>
        <w:t xml:space="preserve"> in children and adolescents below the age of 18 years has not </w:t>
      </w:r>
      <w:proofErr w:type="gramStart"/>
      <w:r w:rsidRPr="004D4094">
        <w:rPr>
          <w:b w:val="0"/>
          <w:bCs w:val="0"/>
        </w:rPr>
        <w:t>be</w:t>
      </w:r>
      <w:proofErr w:type="gramEnd"/>
      <w:r w:rsidRPr="004D4094">
        <w:rPr>
          <w:b w:val="0"/>
          <w:bCs w:val="0"/>
        </w:rPr>
        <w:t xml:space="preserve"> established. No data are available.</w:t>
      </w:r>
    </w:p>
    <w:p w14:paraId="6E2788DF" w14:textId="19871562" w:rsidR="002B2AB7" w:rsidRPr="007E2D65" w:rsidRDefault="00F353AF" w:rsidP="002F2DA9">
      <w:pPr>
        <w:pStyle w:val="Heading3"/>
      </w:pPr>
      <w:r w:rsidRPr="007E2D65">
        <w:t>Effect</w:t>
      </w:r>
      <w:r w:rsidR="005775E5" w:rsidRPr="007E2D65">
        <w:t>s</w:t>
      </w:r>
      <w:r w:rsidRPr="007E2D65">
        <w:t xml:space="preserve"> on laboratory tests</w:t>
      </w:r>
    </w:p>
    <w:p w14:paraId="15C8CFB6" w14:textId="52A00BA8" w:rsidR="002E7DDC" w:rsidRPr="002E7DDC" w:rsidRDefault="002E7DDC" w:rsidP="00142A7A">
      <w:pPr>
        <w:rPr>
          <w:rFonts w:ascii="Times New Roman" w:hAnsi="Times New Roman" w:cs="Times New Roman"/>
          <w:bCs/>
        </w:rPr>
      </w:pPr>
      <w:r>
        <w:rPr>
          <w:rFonts w:ascii="Times New Roman" w:hAnsi="Times New Roman" w:cs="Times New Roman"/>
          <w:bCs/>
        </w:rPr>
        <w:t>No data available.</w:t>
      </w:r>
    </w:p>
    <w:p w14:paraId="024BA1E8" w14:textId="77777777" w:rsidR="002B2AB7" w:rsidRPr="007E2D65" w:rsidRDefault="00F353AF" w:rsidP="0091038F">
      <w:pPr>
        <w:pStyle w:val="Heading2"/>
        <w:rPr>
          <w:rFonts w:ascii="Times New Roman" w:hAnsi="Times New Roman"/>
        </w:rPr>
      </w:pPr>
      <w:r w:rsidRPr="007E2D65">
        <w:rPr>
          <w:rFonts w:ascii="Times New Roman" w:hAnsi="Times New Roman"/>
        </w:rPr>
        <w:t>Interactions with other medicines and other forms of interactions</w:t>
      </w:r>
    </w:p>
    <w:p w14:paraId="2B69054E" w14:textId="26AA7851" w:rsidR="006860E9" w:rsidRPr="007E2D65" w:rsidRDefault="006860E9" w:rsidP="00142A7A">
      <w:pPr>
        <w:rPr>
          <w:rFonts w:ascii="Times New Roman" w:hAnsi="Times New Roman" w:cs="Times New Roman"/>
        </w:rPr>
      </w:pPr>
      <w:r w:rsidRPr="006860E9">
        <w:rPr>
          <w:rFonts w:ascii="Times New Roman" w:hAnsi="Times New Roman" w:cs="Times New Roman"/>
        </w:rPr>
        <w:t xml:space="preserve">No CYP450 interaction studies have been performed in humans. There is no direct evidence for the role of IL-17A or IL-17F in the expression of CYP450 enzymes. </w:t>
      </w:r>
      <w:r w:rsidR="0017682C" w:rsidRPr="0017682C">
        <w:rPr>
          <w:rFonts w:ascii="Times New Roman" w:hAnsi="Times New Roman" w:cs="Times New Roman"/>
        </w:rPr>
        <w:t xml:space="preserve">Given that (1) </w:t>
      </w:r>
      <w:proofErr w:type="spellStart"/>
      <w:r w:rsidR="0017682C" w:rsidRPr="0017682C">
        <w:rPr>
          <w:rFonts w:ascii="Times New Roman" w:hAnsi="Times New Roman" w:cs="Times New Roman"/>
        </w:rPr>
        <w:t>bimekizumab</w:t>
      </w:r>
      <w:proofErr w:type="spellEnd"/>
      <w:r w:rsidR="0017682C" w:rsidRPr="0017682C">
        <w:rPr>
          <w:rFonts w:ascii="Times New Roman" w:hAnsi="Times New Roman" w:cs="Times New Roman"/>
        </w:rPr>
        <w:t xml:space="preserve">, as an IgG1K </w:t>
      </w:r>
      <w:proofErr w:type="spellStart"/>
      <w:r w:rsidR="0017682C" w:rsidRPr="0017682C">
        <w:rPr>
          <w:rFonts w:ascii="Times New Roman" w:hAnsi="Times New Roman" w:cs="Times New Roman"/>
        </w:rPr>
        <w:t>mAb</w:t>
      </w:r>
      <w:proofErr w:type="spellEnd"/>
      <w:r w:rsidR="0017682C" w:rsidRPr="0017682C">
        <w:rPr>
          <w:rFonts w:ascii="Times New Roman" w:hAnsi="Times New Roman" w:cs="Times New Roman"/>
        </w:rPr>
        <w:t xml:space="preserve">, is expected to be degraded into small peptides and amino acids via catabolic pathways in the same manner as endogenous IgG and (2) </w:t>
      </w:r>
      <w:r w:rsidRPr="006860E9">
        <w:rPr>
          <w:rFonts w:ascii="Times New Roman" w:hAnsi="Times New Roman" w:cs="Times New Roman"/>
        </w:rPr>
        <w:t>formation of some CYP450 enzymes</w:t>
      </w:r>
      <w:r w:rsidR="008A5D91">
        <w:rPr>
          <w:rFonts w:ascii="Times New Roman" w:hAnsi="Times New Roman" w:cs="Times New Roman"/>
        </w:rPr>
        <w:t xml:space="preserve"> which</w:t>
      </w:r>
      <w:r w:rsidRPr="006860E9">
        <w:rPr>
          <w:rFonts w:ascii="Times New Roman" w:hAnsi="Times New Roman" w:cs="Times New Roman"/>
        </w:rPr>
        <w:t xml:space="preserve"> is suppressed by </w:t>
      </w:r>
      <w:r w:rsidR="002F2AD3">
        <w:rPr>
          <w:rFonts w:ascii="Times New Roman" w:hAnsi="Times New Roman" w:cs="Times New Roman"/>
        </w:rPr>
        <w:t>elevated</w:t>
      </w:r>
      <w:r w:rsidR="002F2AD3" w:rsidRPr="006860E9">
        <w:rPr>
          <w:rFonts w:ascii="Times New Roman" w:hAnsi="Times New Roman" w:cs="Times New Roman"/>
        </w:rPr>
        <w:t xml:space="preserve"> </w:t>
      </w:r>
      <w:r w:rsidRPr="006860E9">
        <w:rPr>
          <w:rFonts w:ascii="Times New Roman" w:hAnsi="Times New Roman" w:cs="Times New Roman"/>
        </w:rPr>
        <w:t>levels of cytokines during inflammation</w:t>
      </w:r>
      <w:r w:rsidR="008A5D91">
        <w:rPr>
          <w:rFonts w:ascii="Times New Roman" w:hAnsi="Times New Roman" w:cs="Times New Roman"/>
        </w:rPr>
        <w:t xml:space="preserve"> </w:t>
      </w:r>
      <w:r w:rsidR="008F7BEF">
        <w:rPr>
          <w:rFonts w:ascii="Times New Roman" w:hAnsi="Times New Roman" w:cs="Times New Roman"/>
        </w:rPr>
        <w:t>(as in psoriasis), will be reversed by inflammatory suppressors, like</w:t>
      </w:r>
      <w:r w:rsidR="005A1843">
        <w:rPr>
          <w:rFonts w:ascii="Times New Roman" w:hAnsi="Times New Roman" w:cs="Times New Roman"/>
        </w:rPr>
        <w:t xml:space="preserve"> </w:t>
      </w:r>
      <w:r w:rsidRPr="006860E9">
        <w:rPr>
          <w:rFonts w:ascii="Times New Roman" w:hAnsi="Times New Roman" w:cs="Times New Roman"/>
        </w:rPr>
        <w:t xml:space="preserve">IL-17A and IL-17F inhibitor </w:t>
      </w:r>
      <w:proofErr w:type="spellStart"/>
      <w:r w:rsidR="005A1843">
        <w:rPr>
          <w:rFonts w:ascii="Times New Roman" w:hAnsi="Times New Roman" w:cs="Times New Roman"/>
        </w:rPr>
        <w:t>bimekizumab</w:t>
      </w:r>
      <w:proofErr w:type="spellEnd"/>
      <w:r w:rsidRPr="006860E9">
        <w:rPr>
          <w:rFonts w:ascii="Times New Roman" w:hAnsi="Times New Roman" w:cs="Times New Roman"/>
        </w:rPr>
        <w:t xml:space="preserve">, </w:t>
      </w:r>
      <w:r w:rsidR="00DE6F99">
        <w:rPr>
          <w:rFonts w:ascii="Times New Roman" w:hAnsi="Times New Roman" w:cs="Times New Roman"/>
        </w:rPr>
        <w:t xml:space="preserve">the resultant outcome will be a </w:t>
      </w:r>
      <w:r w:rsidRPr="006860E9">
        <w:rPr>
          <w:rFonts w:ascii="Times New Roman" w:hAnsi="Times New Roman" w:cs="Times New Roman"/>
        </w:rPr>
        <w:t>normalisation of CYP450 levels</w:t>
      </w:r>
      <w:r w:rsidR="00DE6F99">
        <w:rPr>
          <w:rFonts w:ascii="Times New Roman" w:hAnsi="Times New Roman" w:cs="Times New Roman"/>
        </w:rPr>
        <w:t>/activity.</w:t>
      </w:r>
      <w:r w:rsidRPr="006860E9">
        <w:rPr>
          <w:rFonts w:ascii="Times New Roman" w:hAnsi="Times New Roman" w:cs="Times New Roman"/>
        </w:rPr>
        <w:t xml:space="preserve"> </w:t>
      </w:r>
      <w:r w:rsidR="00187B60" w:rsidRPr="00187B60">
        <w:rPr>
          <w:rFonts w:ascii="Times New Roman" w:hAnsi="Times New Roman" w:cs="Times New Roman"/>
        </w:rPr>
        <w:t xml:space="preserve">Extrapolation of the latter means that drugs metabolized by the CYP450 system may be co-administered with </w:t>
      </w:r>
      <w:proofErr w:type="spellStart"/>
      <w:r w:rsidR="00187B60" w:rsidRPr="00187B60">
        <w:rPr>
          <w:rFonts w:ascii="Times New Roman" w:hAnsi="Times New Roman" w:cs="Times New Roman"/>
        </w:rPr>
        <w:t>bimekizumab</w:t>
      </w:r>
      <w:proofErr w:type="spellEnd"/>
      <w:r w:rsidR="00187B60" w:rsidRPr="00187B60">
        <w:rPr>
          <w:rFonts w:ascii="Times New Roman" w:hAnsi="Times New Roman" w:cs="Times New Roman"/>
        </w:rPr>
        <w:t>. However, monitoring of therapeutic plasma level and clinical effect of drugs with narrow therapeutic index (</w:t>
      </w:r>
      <w:proofErr w:type="gramStart"/>
      <w:r w:rsidR="00187B60" w:rsidRPr="00187B60">
        <w:rPr>
          <w:rFonts w:ascii="Times New Roman" w:hAnsi="Times New Roman" w:cs="Times New Roman"/>
        </w:rPr>
        <w:t>e.g.</w:t>
      </w:r>
      <w:proofErr w:type="gramEnd"/>
      <w:r w:rsidR="00187B60" w:rsidRPr="00187B60">
        <w:rPr>
          <w:rFonts w:ascii="Times New Roman" w:hAnsi="Times New Roman" w:cs="Times New Roman"/>
        </w:rPr>
        <w:t xml:space="preserve"> warfarin) metabolized via CYP450 system </w:t>
      </w:r>
      <w:r w:rsidR="00BE0087">
        <w:rPr>
          <w:rFonts w:ascii="Times New Roman" w:hAnsi="Times New Roman" w:cs="Times New Roman"/>
        </w:rPr>
        <w:t>should be considered</w:t>
      </w:r>
      <w:r w:rsidR="00187B60" w:rsidRPr="00187B60">
        <w:rPr>
          <w:rFonts w:ascii="Times New Roman" w:hAnsi="Times New Roman" w:cs="Times New Roman"/>
        </w:rPr>
        <w:t xml:space="preserve">. </w:t>
      </w:r>
    </w:p>
    <w:p w14:paraId="48D32F64" w14:textId="77777777" w:rsidR="002B2AB7" w:rsidRPr="007E2D65" w:rsidRDefault="00F353AF" w:rsidP="0091038F">
      <w:pPr>
        <w:pStyle w:val="Heading2"/>
        <w:rPr>
          <w:rFonts w:ascii="Times New Roman" w:hAnsi="Times New Roman"/>
        </w:rPr>
      </w:pPr>
      <w:r w:rsidRPr="007E2D65">
        <w:rPr>
          <w:rFonts w:ascii="Times New Roman" w:hAnsi="Times New Roman"/>
        </w:rPr>
        <w:lastRenderedPageBreak/>
        <w:t xml:space="preserve">Fertility, pregnancy and lactation </w:t>
      </w:r>
    </w:p>
    <w:p w14:paraId="52CF839D" w14:textId="77777777" w:rsidR="00F54CF9" w:rsidRPr="002F613E" w:rsidRDefault="00F54CF9" w:rsidP="00F54CF9">
      <w:pPr>
        <w:pStyle w:val="Heading3"/>
        <w:rPr>
          <w:lang w:val="en-GB"/>
        </w:rPr>
      </w:pPr>
      <w:r w:rsidRPr="002F613E">
        <w:rPr>
          <w:lang w:val="en-GB"/>
        </w:rPr>
        <w:t>Fertility</w:t>
      </w:r>
    </w:p>
    <w:p w14:paraId="7DF90150" w14:textId="2138A157" w:rsidR="00F54CF9" w:rsidRPr="002F613E" w:rsidRDefault="00F54CF9" w:rsidP="00F54CF9">
      <w:pPr>
        <w:shd w:val="clear" w:color="auto" w:fill="FFFFFF"/>
        <w:spacing w:after="120" w:line="280" w:lineRule="atLeast"/>
        <w:rPr>
          <w:rFonts w:ascii="Times New Roman" w:eastAsia="Times New Roman" w:hAnsi="Times New Roman" w:cs="Times New Roman"/>
          <w:lang w:val="en-GB"/>
        </w:rPr>
      </w:pPr>
      <w:r w:rsidRPr="002F613E">
        <w:rPr>
          <w:rFonts w:ascii="Times New Roman" w:eastAsia="Times New Roman" w:hAnsi="Times New Roman" w:cs="Times New Roman"/>
          <w:bCs/>
          <w:iCs/>
          <w:lang w:val="en-GB"/>
        </w:rPr>
        <w:t xml:space="preserve">The effect of </w:t>
      </w:r>
      <w:proofErr w:type="spellStart"/>
      <w:r w:rsidRPr="002F613E">
        <w:rPr>
          <w:rFonts w:ascii="Times New Roman" w:eastAsia="Times New Roman" w:hAnsi="Times New Roman" w:cs="Times New Roman"/>
          <w:bCs/>
          <w:iCs/>
          <w:lang w:val="en-GB"/>
        </w:rPr>
        <w:t>bimekizumab</w:t>
      </w:r>
      <w:proofErr w:type="spellEnd"/>
      <w:r w:rsidRPr="002F613E">
        <w:rPr>
          <w:rFonts w:ascii="Times New Roman" w:eastAsia="Times New Roman" w:hAnsi="Times New Roman" w:cs="Times New Roman"/>
          <w:bCs/>
          <w:iCs/>
          <w:lang w:val="en-GB"/>
        </w:rPr>
        <w:t xml:space="preserve"> on human fertility has not been evaluated. </w:t>
      </w:r>
      <w:r w:rsidR="00EB278E" w:rsidRPr="00EB278E">
        <w:rPr>
          <w:rFonts w:ascii="Times New Roman" w:eastAsia="Times New Roman" w:hAnsi="Times New Roman" w:cs="Times New Roman"/>
          <w:bCs/>
          <w:iCs/>
          <w:lang w:val="en-GB"/>
        </w:rPr>
        <w:t xml:space="preserve">In animal studies, </w:t>
      </w:r>
      <w:proofErr w:type="spellStart"/>
      <w:r w:rsidR="00EB278E" w:rsidRPr="00EB278E">
        <w:rPr>
          <w:rFonts w:ascii="Times New Roman" w:eastAsia="Times New Roman" w:hAnsi="Times New Roman" w:cs="Times New Roman"/>
          <w:bCs/>
          <w:iCs/>
          <w:lang w:val="en-GB"/>
        </w:rPr>
        <w:t>bimekizumab</w:t>
      </w:r>
      <w:proofErr w:type="spellEnd"/>
      <w:r w:rsidR="00EB278E" w:rsidRPr="00EB278E">
        <w:rPr>
          <w:rFonts w:ascii="Times New Roman" w:eastAsia="Times New Roman" w:hAnsi="Times New Roman" w:cs="Times New Roman"/>
          <w:bCs/>
          <w:iCs/>
          <w:lang w:val="en-GB"/>
        </w:rPr>
        <w:t xml:space="preserve"> did not indicate harmful effects with respect to fertility as assessed by a lack of effects on reproductive organs, menstrual </w:t>
      </w:r>
      <w:proofErr w:type="gramStart"/>
      <w:r w:rsidR="00EB278E" w:rsidRPr="00EB278E">
        <w:rPr>
          <w:rFonts w:ascii="Times New Roman" w:eastAsia="Times New Roman" w:hAnsi="Times New Roman" w:cs="Times New Roman"/>
          <w:bCs/>
          <w:iCs/>
          <w:lang w:val="en-GB"/>
        </w:rPr>
        <w:t>cycles</w:t>
      </w:r>
      <w:proofErr w:type="gramEnd"/>
      <w:r w:rsidR="00EB278E" w:rsidRPr="00EB278E">
        <w:rPr>
          <w:rFonts w:ascii="Times New Roman" w:eastAsia="Times New Roman" w:hAnsi="Times New Roman" w:cs="Times New Roman"/>
          <w:bCs/>
          <w:iCs/>
          <w:lang w:val="en-GB"/>
        </w:rPr>
        <w:t xml:space="preserve"> or sperm in sexually mature cynomolgus monkeys that received </w:t>
      </w:r>
      <w:proofErr w:type="spellStart"/>
      <w:r w:rsidR="00EB278E" w:rsidRPr="00EB278E">
        <w:rPr>
          <w:rFonts w:ascii="Times New Roman" w:eastAsia="Times New Roman" w:hAnsi="Times New Roman" w:cs="Times New Roman"/>
          <w:bCs/>
          <w:iCs/>
          <w:lang w:val="en-GB"/>
        </w:rPr>
        <w:t>bimekizumab</w:t>
      </w:r>
      <w:proofErr w:type="spellEnd"/>
      <w:r w:rsidR="00EB278E" w:rsidRPr="00EB278E">
        <w:rPr>
          <w:rFonts w:ascii="Times New Roman" w:eastAsia="Times New Roman" w:hAnsi="Times New Roman" w:cs="Times New Roman"/>
          <w:bCs/>
          <w:iCs/>
          <w:lang w:val="en-GB"/>
        </w:rPr>
        <w:t xml:space="preserve"> for 26 weeks at a weekly SC dose of 200 mg/kg (dose resulting in 109 times the human exposure at 320 mg every 4 weeks based on AUC). The monkeys were not mated to evaluate functional fertility.</w:t>
      </w:r>
    </w:p>
    <w:p w14:paraId="1F117CB5" w14:textId="14924ADE" w:rsidR="00606123" w:rsidRPr="002F613E" w:rsidRDefault="002F613E" w:rsidP="001D2722">
      <w:pPr>
        <w:pStyle w:val="Heading3"/>
        <w:rPr>
          <w:lang w:val="en-GB"/>
        </w:rPr>
      </w:pPr>
      <w:r w:rsidRPr="002F613E">
        <w:rPr>
          <w:lang w:val="en-GB"/>
        </w:rPr>
        <w:t>Pregnancy</w:t>
      </w:r>
      <w:r w:rsidR="00606123">
        <w:rPr>
          <w:lang w:val="en-GB"/>
        </w:rPr>
        <w:t xml:space="preserve"> (Category </w:t>
      </w:r>
      <w:r w:rsidR="00366F4C">
        <w:rPr>
          <w:lang w:val="en-GB"/>
        </w:rPr>
        <w:t>C</w:t>
      </w:r>
      <w:r w:rsidR="00606123">
        <w:rPr>
          <w:lang w:val="en-GB"/>
        </w:rPr>
        <w:t>)</w:t>
      </w:r>
    </w:p>
    <w:p w14:paraId="181FEF8F" w14:textId="3F12BAFB" w:rsidR="002F613E" w:rsidRPr="002F613E" w:rsidRDefault="001920F8" w:rsidP="002F613E">
      <w:pPr>
        <w:shd w:val="clear" w:color="auto" w:fill="FFFFFF"/>
        <w:spacing w:after="120" w:line="280" w:lineRule="atLeast"/>
        <w:rPr>
          <w:rFonts w:ascii="Times New Roman" w:eastAsia="Times New Roman" w:hAnsi="Times New Roman" w:cs="Times New Roman"/>
          <w:bCs/>
          <w:iCs/>
          <w:lang w:val="en-GB"/>
        </w:rPr>
      </w:pPr>
      <w:r w:rsidRPr="001920F8">
        <w:rPr>
          <w:rFonts w:ascii="Times New Roman" w:eastAsia="Times New Roman" w:hAnsi="Times New Roman" w:cs="Times New Roman"/>
          <w:lang w:val="en-US"/>
        </w:rPr>
        <w:t xml:space="preserve">There are no adequate and well controlled studies in pregnant women to establish the safety of </w:t>
      </w:r>
      <w:proofErr w:type="spellStart"/>
      <w:r w:rsidRPr="001920F8">
        <w:rPr>
          <w:rFonts w:ascii="Times New Roman" w:eastAsia="Times New Roman" w:hAnsi="Times New Roman" w:cs="Times New Roman"/>
          <w:lang w:val="en-US"/>
        </w:rPr>
        <w:t>Bimzelx</w:t>
      </w:r>
      <w:proofErr w:type="spellEnd"/>
      <w:r w:rsidRPr="001920F8">
        <w:rPr>
          <w:rFonts w:ascii="Times New Roman" w:eastAsia="Times New Roman" w:hAnsi="Times New Roman" w:cs="Times New Roman"/>
          <w:lang w:val="en-US"/>
        </w:rPr>
        <w:t xml:space="preserve"> during pregnancy. </w:t>
      </w:r>
      <w:r w:rsidR="004035D9">
        <w:rPr>
          <w:rFonts w:ascii="Times New Roman" w:eastAsia="Times New Roman" w:hAnsi="Times New Roman" w:cs="Times New Roman"/>
          <w:lang w:val="en-US"/>
        </w:rPr>
        <w:t xml:space="preserve">Based on the </w:t>
      </w:r>
      <w:r w:rsidR="00366F4C" w:rsidRPr="00366F4C">
        <w:rPr>
          <w:rFonts w:ascii="Times New Roman" w:eastAsia="Times New Roman" w:hAnsi="Times New Roman" w:cs="Times New Roman"/>
          <w:lang w:val="en-US"/>
        </w:rPr>
        <w:t xml:space="preserve">mechanism of action of </w:t>
      </w:r>
      <w:proofErr w:type="spellStart"/>
      <w:r w:rsidR="00366F4C" w:rsidRPr="00366F4C">
        <w:rPr>
          <w:rFonts w:ascii="Times New Roman" w:eastAsia="Times New Roman" w:hAnsi="Times New Roman" w:cs="Times New Roman"/>
          <w:lang w:val="en-US"/>
        </w:rPr>
        <w:t>bimekizumab</w:t>
      </w:r>
      <w:proofErr w:type="spellEnd"/>
      <w:r w:rsidR="006C01A4">
        <w:rPr>
          <w:rFonts w:ascii="Times New Roman" w:eastAsia="Times New Roman" w:hAnsi="Times New Roman" w:cs="Times New Roman"/>
          <w:lang w:val="en-US"/>
        </w:rPr>
        <w:t>,</w:t>
      </w:r>
      <w:r w:rsidR="00366F4C" w:rsidRPr="00366F4C">
        <w:rPr>
          <w:rFonts w:ascii="Times New Roman" w:eastAsia="Times New Roman" w:hAnsi="Times New Roman" w:cs="Times New Roman"/>
          <w:lang w:val="en-US"/>
        </w:rPr>
        <w:t xml:space="preserve"> </w:t>
      </w:r>
      <w:r w:rsidR="000F6278">
        <w:rPr>
          <w:rFonts w:ascii="Times New Roman" w:eastAsia="Times New Roman" w:hAnsi="Times New Roman" w:cs="Times New Roman"/>
          <w:lang w:val="en-US"/>
        </w:rPr>
        <w:t>the</w:t>
      </w:r>
      <w:r w:rsidR="00366F4C" w:rsidRPr="00366F4C">
        <w:rPr>
          <w:rFonts w:ascii="Times New Roman" w:eastAsia="Times New Roman" w:hAnsi="Times New Roman" w:cs="Times New Roman"/>
          <w:lang w:val="en-US"/>
        </w:rPr>
        <w:t xml:space="preserve"> theoretical risk that use during pregnancy may affect neonatal immunity</w:t>
      </w:r>
      <w:r w:rsidR="00622B52">
        <w:rPr>
          <w:rFonts w:ascii="Times New Roman" w:eastAsia="Times New Roman" w:hAnsi="Times New Roman" w:cs="Times New Roman"/>
          <w:lang w:val="en-US"/>
        </w:rPr>
        <w:t xml:space="preserve"> cannot be excluded</w:t>
      </w:r>
      <w:r w:rsidR="00366F4C" w:rsidRPr="00366F4C">
        <w:rPr>
          <w:rFonts w:ascii="Times New Roman" w:eastAsia="Times New Roman" w:hAnsi="Times New Roman" w:cs="Times New Roman"/>
          <w:lang w:val="en-US"/>
        </w:rPr>
        <w:t>.</w:t>
      </w:r>
      <w:r w:rsidR="00866757">
        <w:rPr>
          <w:rFonts w:ascii="Times New Roman" w:eastAsia="Times New Roman" w:hAnsi="Times New Roman" w:cs="Times New Roman"/>
          <w:lang w:val="en-US"/>
        </w:rPr>
        <w:t xml:space="preserve"> </w:t>
      </w:r>
      <w:r w:rsidR="004E4494" w:rsidRPr="00F12F5B">
        <w:rPr>
          <w:rFonts w:ascii="Times New Roman" w:eastAsia="Times New Roman" w:hAnsi="Times New Roman" w:cs="Times New Roman"/>
          <w:lang w:val="en-US"/>
        </w:rPr>
        <w:t xml:space="preserve">In an enhanced pre/postnatal development study in the cynomolgus monkey, </w:t>
      </w:r>
      <w:proofErr w:type="spellStart"/>
      <w:r w:rsidR="004E4494" w:rsidRPr="00F12F5B">
        <w:rPr>
          <w:rFonts w:ascii="Times New Roman" w:eastAsia="Times New Roman" w:hAnsi="Times New Roman" w:cs="Times New Roman"/>
          <w:lang w:val="en-US"/>
        </w:rPr>
        <w:t>bimekizumab</w:t>
      </w:r>
      <w:proofErr w:type="spellEnd"/>
      <w:r w:rsidR="004E4494" w:rsidRPr="00F12F5B">
        <w:rPr>
          <w:rFonts w:ascii="Times New Roman" w:eastAsia="Times New Roman" w:hAnsi="Times New Roman" w:cs="Times New Roman"/>
          <w:lang w:val="en-US"/>
        </w:rPr>
        <w:t xml:space="preserve"> showed no effects on gestation, parturition, infant survival, fetal or postnatal development when administered throughout organogenesis until parturition at a maternal dose of 50 mg/kg SC weekly resulting in </w:t>
      </w:r>
      <w:r w:rsidR="008744B9">
        <w:rPr>
          <w:rFonts w:ascii="Times New Roman" w:eastAsia="Times New Roman" w:hAnsi="Times New Roman" w:cs="Times New Roman"/>
          <w:lang w:val="en-US"/>
        </w:rPr>
        <w:t>27</w:t>
      </w:r>
      <w:r w:rsidR="004E4494" w:rsidRPr="00F12F5B">
        <w:rPr>
          <w:rFonts w:ascii="Times New Roman" w:eastAsia="Times New Roman" w:hAnsi="Times New Roman" w:cs="Times New Roman"/>
          <w:lang w:val="en-US"/>
        </w:rPr>
        <w:t xml:space="preserve"> times the human exposure at 320 mg every 4 weeks based on AUC. At birth, serum </w:t>
      </w:r>
      <w:proofErr w:type="spellStart"/>
      <w:r w:rsidR="004E4494" w:rsidRPr="00F12F5B">
        <w:rPr>
          <w:rFonts w:ascii="Times New Roman" w:eastAsia="Times New Roman" w:hAnsi="Times New Roman" w:cs="Times New Roman"/>
          <w:lang w:val="en-US"/>
        </w:rPr>
        <w:t>bimekizumab</w:t>
      </w:r>
      <w:proofErr w:type="spellEnd"/>
      <w:r w:rsidR="004E4494" w:rsidRPr="00F12F5B">
        <w:rPr>
          <w:rFonts w:ascii="Times New Roman" w:eastAsia="Times New Roman" w:hAnsi="Times New Roman" w:cs="Times New Roman"/>
          <w:lang w:val="en-US"/>
        </w:rPr>
        <w:t xml:space="preserve"> concentrations in infant monkeys were comparable to those of mothers indicating placental transfer of </w:t>
      </w:r>
      <w:proofErr w:type="spellStart"/>
      <w:r w:rsidR="004E4494" w:rsidRPr="00F12F5B">
        <w:rPr>
          <w:rFonts w:ascii="Times New Roman" w:eastAsia="Times New Roman" w:hAnsi="Times New Roman" w:cs="Times New Roman"/>
          <w:lang w:val="en-US"/>
        </w:rPr>
        <w:t>bimekizumab</w:t>
      </w:r>
      <w:proofErr w:type="spellEnd"/>
      <w:r w:rsidR="004E4494">
        <w:rPr>
          <w:rFonts w:ascii="Times New Roman" w:eastAsia="Times New Roman" w:hAnsi="Times New Roman" w:cs="Times New Roman"/>
          <w:lang w:val="en-US"/>
        </w:rPr>
        <w:t xml:space="preserve">. </w:t>
      </w:r>
      <w:proofErr w:type="spellStart"/>
      <w:r w:rsidR="009259E4">
        <w:rPr>
          <w:rFonts w:ascii="Times New Roman" w:hAnsi="Times New Roman" w:cs="Times New Roman"/>
        </w:rPr>
        <w:t>Bimzelx</w:t>
      </w:r>
      <w:proofErr w:type="spellEnd"/>
      <w:r w:rsidR="002F613E" w:rsidRPr="002F613E">
        <w:rPr>
          <w:rFonts w:ascii="Times New Roman" w:eastAsia="Times New Roman" w:hAnsi="Times New Roman" w:cs="Times New Roman"/>
          <w:lang w:val="en-US"/>
        </w:rPr>
        <w:t xml:space="preserve"> </w:t>
      </w:r>
      <w:r w:rsidR="00B63664" w:rsidRPr="00B63664">
        <w:rPr>
          <w:rFonts w:ascii="Times New Roman" w:eastAsia="Times New Roman" w:hAnsi="Times New Roman" w:cs="Times New Roman"/>
          <w:lang w:val="en-US"/>
        </w:rPr>
        <w:t>should be used in pregnancy only if the benefits clearly outweigh the potential risks</w:t>
      </w:r>
      <w:r w:rsidR="002F613E" w:rsidRPr="002F613E">
        <w:rPr>
          <w:rFonts w:ascii="Times New Roman" w:eastAsia="Times New Roman" w:hAnsi="Times New Roman" w:cs="Times New Roman"/>
          <w:lang w:val="en-US"/>
        </w:rPr>
        <w:t>.</w:t>
      </w:r>
    </w:p>
    <w:p w14:paraId="1C35ECDC" w14:textId="77777777" w:rsidR="002F613E" w:rsidRPr="002F613E" w:rsidRDefault="002F613E" w:rsidP="001D2722">
      <w:pPr>
        <w:pStyle w:val="Heading3"/>
        <w:rPr>
          <w:lang w:val="en-GB"/>
        </w:rPr>
      </w:pPr>
      <w:r w:rsidRPr="002F613E">
        <w:rPr>
          <w:lang w:val="en-GB"/>
        </w:rPr>
        <w:t>Lactation</w:t>
      </w:r>
    </w:p>
    <w:p w14:paraId="5BCC7854" w14:textId="2A273933" w:rsidR="002F613E" w:rsidRPr="002F613E" w:rsidRDefault="002F613E" w:rsidP="002F613E">
      <w:pPr>
        <w:shd w:val="clear" w:color="auto" w:fill="FFFFFF"/>
        <w:spacing w:after="120" w:line="280" w:lineRule="atLeast"/>
        <w:rPr>
          <w:rFonts w:ascii="Times New Roman" w:eastAsia="Times New Roman" w:hAnsi="Times New Roman" w:cs="Times New Roman"/>
          <w:bCs/>
          <w:iCs/>
          <w:lang w:val="en-GB"/>
        </w:rPr>
      </w:pPr>
      <w:r w:rsidRPr="002F613E">
        <w:rPr>
          <w:rFonts w:ascii="Times New Roman" w:eastAsia="Times New Roman" w:hAnsi="Times New Roman" w:cs="Times New Roman"/>
          <w:lang w:val="en-US"/>
        </w:rPr>
        <w:t xml:space="preserve">It is not known whether </w:t>
      </w:r>
      <w:proofErr w:type="spellStart"/>
      <w:r w:rsidRPr="002F613E">
        <w:rPr>
          <w:rFonts w:ascii="Times New Roman" w:eastAsia="Times New Roman" w:hAnsi="Times New Roman" w:cs="Times New Roman"/>
          <w:lang w:val="en-US"/>
        </w:rPr>
        <w:t>bimekizumab</w:t>
      </w:r>
      <w:proofErr w:type="spellEnd"/>
      <w:r w:rsidRPr="002F613E">
        <w:rPr>
          <w:rFonts w:ascii="Times New Roman" w:eastAsia="Times New Roman" w:hAnsi="Times New Roman" w:cs="Times New Roman"/>
          <w:lang w:val="en-US"/>
        </w:rPr>
        <w:t xml:space="preserve"> is excreted in human milk or absorbed systemically after ingestion. </w:t>
      </w:r>
      <w:r w:rsidR="00D70952" w:rsidRPr="00D70952">
        <w:rPr>
          <w:rFonts w:ascii="Times New Roman" w:eastAsia="Times New Roman" w:hAnsi="Times New Roman" w:cs="Times New Roman"/>
          <w:lang w:val="en-US"/>
        </w:rPr>
        <w:t xml:space="preserve">As immunoglobulins can be excreted in human milk, caution should be exercised when </w:t>
      </w:r>
      <w:proofErr w:type="spellStart"/>
      <w:r w:rsidR="00D70952" w:rsidRPr="00D70952">
        <w:rPr>
          <w:rFonts w:ascii="Times New Roman" w:eastAsia="Times New Roman" w:hAnsi="Times New Roman" w:cs="Times New Roman"/>
          <w:lang w:val="en-US"/>
        </w:rPr>
        <w:t>Bimzelx</w:t>
      </w:r>
      <w:proofErr w:type="spellEnd"/>
      <w:r w:rsidR="00D70952" w:rsidRPr="00D70952">
        <w:rPr>
          <w:rFonts w:ascii="Times New Roman" w:eastAsia="Times New Roman" w:hAnsi="Times New Roman" w:cs="Times New Roman"/>
          <w:lang w:val="en-US"/>
        </w:rPr>
        <w:t xml:space="preserve"> is administered to a woman who is breast-feeding and a decision on whether to discontinue breast-feeding during treatment should be made.</w:t>
      </w:r>
    </w:p>
    <w:p w14:paraId="4E9A38A7" w14:textId="77777777" w:rsidR="002B2AB7" w:rsidRPr="007E2D65" w:rsidRDefault="00F353AF" w:rsidP="0091038F">
      <w:pPr>
        <w:pStyle w:val="Heading2"/>
        <w:rPr>
          <w:rFonts w:ascii="Times New Roman" w:hAnsi="Times New Roman"/>
        </w:rPr>
      </w:pPr>
      <w:r w:rsidRPr="007E2D65">
        <w:rPr>
          <w:rFonts w:ascii="Times New Roman" w:hAnsi="Times New Roman"/>
        </w:rPr>
        <w:t xml:space="preserve">Effects on ability to drive and use machines </w:t>
      </w:r>
    </w:p>
    <w:p w14:paraId="0D7C47B9" w14:textId="27877034" w:rsidR="00DD305F" w:rsidRPr="007E2D65" w:rsidRDefault="002665D0" w:rsidP="00142A7A">
      <w:pPr>
        <w:rPr>
          <w:rFonts w:ascii="Times New Roman" w:hAnsi="Times New Roman" w:cs="Times New Roman"/>
        </w:rPr>
      </w:pPr>
      <w:proofErr w:type="spellStart"/>
      <w:r w:rsidRPr="002665D0">
        <w:rPr>
          <w:rFonts w:ascii="Times New Roman" w:hAnsi="Times New Roman" w:cs="Times New Roman"/>
        </w:rPr>
        <w:t>Bimekizumab</w:t>
      </w:r>
      <w:proofErr w:type="spellEnd"/>
      <w:r w:rsidRPr="002665D0">
        <w:rPr>
          <w:rFonts w:ascii="Times New Roman" w:hAnsi="Times New Roman" w:cs="Times New Roman"/>
        </w:rPr>
        <w:t xml:space="preserve"> is not anticipated to have any influence on the ability to drive and use machines.</w:t>
      </w:r>
    </w:p>
    <w:p w14:paraId="73D8361B" w14:textId="77777777" w:rsidR="002B2AB7" w:rsidRPr="007E2D65" w:rsidRDefault="00F353AF" w:rsidP="0091038F">
      <w:pPr>
        <w:pStyle w:val="Heading2"/>
        <w:rPr>
          <w:rFonts w:ascii="Times New Roman" w:hAnsi="Times New Roman"/>
        </w:rPr>
      </w:pPr>
      <w:r w:rsidRPr="007E2D65">
        <w:rPr>
          <w:rFonts w:ascii="Times New Roman" w:hAnsi="Times New Roman"/>
        </w:rPr>
        <w:t>Adverse effects (Undesirable effects)</w:t>
      </w:r>
    </w:p>
    <w:p w14:paraId="23D08C83" w14:textId="77777777" w:rsidR="00232672" w:rsidRPr="00232672" w:rsidRDefault="00232672" w:rsidP="00232672">
      <w:pPr>
        <w:spacing w:after="160"/>
        <w:rPr>
          <w:rFonts w:ascii="Times New Roman" w:hAnsi="Times New Roman" w:cs="Times New Roman"/>
        </w:rPr>
      </w:pPr>
      <w:r w:rsidRPr="00232672">
        <w:rPr>
          <w:rFonts w:ascii="Times New Roman" w:hAnsi="Times New Roman" w:cs="Times New Roman"/>
        </w:rPr>
        <w:t xml:space="preserve">A total of 1789 patients have been treated with </w:t>
      </w:r>
      <w:proofErr w:type="spellStart"/>
      <w:r w:rsidRPr="00232672">
        <w:rPr>
          <w:rFonts w:ascii="Times New Roman" w:hAnsi="Times New Roman" w:cs="Times New Roman"/>
        </w:rPr>
        <w:t>bimekizumab</w:t>
      </w:r>
      <w:proofErr w:type="spellEnd"/>
      <w:r w:rsidRPr="00232672">
        <w:rPr>
          <w:rFonts w:ascii="Times New Roman" w:hAnsi="Times New Roman" w:cs="Times New Roman"/>
        </w:rPr>
        <w:t xml:space="preserve"> in blinded and open-label clinical studies in plaque psoriasis representing 1830.4 patient-years of exposure. Of these, over 1000 patients were exposed to </w:t>
      </w:r>
      <w:proofErr w:type="spellStart"/>
      <w:r w:rsidRPr="00232672">
        <w:rPr>
          <w:rFonts w:ascii="Times New Roman" w:hAnsi="Times New Roman" w:cs="Times New Roman"/>
        </w:rPr>
        <w:t>bimekizumab</w:t>
      </w:r>
      <w:proofErr w:type="spellEnd"/>
      <w:r w:rsidRPr="00232672">
        <w:rPr>
          <w:rFonts w:ascii="Times New Roman" w:hAnsi="Times New Roman" w:cs="Times New Roman"/>
        </w:rPr>
        <w:t xml:space="preserve"> for at least one year. </w:t>
      </w:r>
    </w:p>
    <w:p w14:paraId="4BC877A5" w14:textId="12AB3590" w:rsidR="005E30F1" w:rsidRPr="00232672" w:rsidRDefault="00232672" w:rsidP="00232672">
      <w:pPr>
        <w:spacing w:after="160"/>
        <w:rPr>
          <w:rFonts w:ascii="Times New Roman" w:hAnsi="Times New Roman" w:cs="Times New Roman"/>
        </w:rPr>
      </w:pPr>
      <w:r w:rsidRPr="00232672">
        <w:rPr>
          <w:rFonts w:ascii="Times New Roman" w:hAnsi="Times New Roman" w:cs="Times New Roman"/>
        </w:rPr>
        <w:t>The most frequently reported adverse drug reactions (ADRs) were upper respiratory tract infections (most frequently nasopharyngitis) and oral candidiasis.</w:t>
      </w:r>
    </w:p>
    <w:p w14:paraId="4BF400FF" w14:textId="6FD51AE3" w:rsidR="00DF6A41" w:rsidRPr="00DF6A41" w:rsidRDefault="00DF6A41" w:rsidP="00DF6A41">
      <w:pPr>
        <w:rPr>
          <w:rFonts w:ascii="Times New Roman" w:hAnsi="Times New Roman" w:cs="Times New Roman"/>
          <w:b/>
          <w:bCs/>
        </w:rPr>
      </w:pPr>
      <w:r w:rsidRPr="00DF6A41">
        <w:rPr>
          <w:rFonts w:ascii="Times New Roman" w:hAnsi="Times New Roman" w:cs="Times New Roman"/>
          <w:b/>
          <w:bCs/>
        </w:rPr>
        <w:t>Table 1</w:t>
      </w:r>
      <w:r w:rsidR="0089724A">
        <w:rPr>
          <w:rFonts w:ascii="Times New Roman" w:hAnsi="Times New Roman" w:cs="Times New Roman"/>
          <w:b/>
          <w:bCs/>
        </w:rPr>
        <w:t>:</w:t>
      </w:r>
      <w:r w:rsidRPr="00DF6A41">
        <w:rPr>
          <w:rFonts w:ascii="Times New Roman" w:hAnsi="Times New Roman" w:cs="Times New Roman"/>
          <w:b/>
          <w:bCs/>
        </w:rPr>
        <w:t xml:space="preserve"> Adverse Drug Reactions Occurring in Greater Than 1% of Subjects on BIMZELX through Week 16 in BE-VIVID and BE-READY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3006"/>
        <w:gridCol w:w="2983"/>
      </w:tblGrid>
      <w:tr w:rsidR="00DF6A41" w:rsidRPr="00DF6A41" w14:paraId="45B63B6F" w14:textId="77777777" w:rsidTr="00366F4C">
        <w:tc>
          <w:tcPr>
            <w:tcW w:w="3211" w:type="dxa"/>
            <w:shd w:val="clear" w:color="auto" w:fill="auto"/>
          </w:tcPr>
          <w:p w14:paraId="6AD71EDC" w14:textId="77777777" w:rsidR="00DF6A41" w:rsidRPr="0050615A" w:rsidRDefault="00DF6A41" w:rsidP="00934801">
            <w:pPr>
              <w:pStyle w:val="Default"/>
              <w:jc w:val="center"/>
              <w:rPr>
                <w:rFonts w:ascii="Times New Roman" w:hAnsi="Times New Roman" w:cs="Times New Roman"/>
                <w:sz w:val="18"/>
                <w:szCs w:val="18"/>
              </w:rPr>
            </w:pPr>
            <w:r w:rsidRPr="0050615A">
              <w:rPr>
                <w:rFonts w:ascii="Times New Roman" w:hAnsi="Times New Roman" w:cs="Times New Roman"/>
                <w:b/>
                <w:bCs/>
                <w:sz w:val="18"/>
                <w:szCs w:val="18"/>
              </w:rPr>
              <w:t>Adverse Drug Reactions</w:t>
            </w:r>
          </w:p>
          <w:p w14:paraId="59C7D129" w14:textId="77777777" w:rsidR="00DF6A41" w:rsidRPr="0050615A" w:rsidRDefault="00DF6A41" w:rsidP="00C131DA">
            <w:pPr>
              <w:spacing w:after="0"/>
              <w:jc w:val="center"/>
              <w:rPr>
                <w:rFonts w:ascii="Times New Roman" w:eastAsia="Calibri" w:hAnsi="Times New Roman" w:cs="Times New Roman"/>
                <w:sz w:val="18"/>
                <w:szCs w:val="18"/>
              </w:rPr>
            </w:pPr>
          </w:p>
        </w:tc>
        <w:tc>
          <w:tcPr>
            <w:tcW w:w="3211" w:type="dxa"/>
            <w:shd w:val="clear" w:color="auto" w:fill="auto"/>
          </w:tcPr>
          <w:p w14:paraId="61AFF9D1" w14:textId="77777777" w:rsidR="00DF6A41" w:rsidRPr="0050615A" w:rsidRDefault="00DF6A41" w:rsidP="00934801">
            <w:pPr>
              <w:pStyle w:val="Default"/>
              <w:jc w:val="center"/>
              <w:rPr>
                <w:rFonts w:ascii="Times New Roman" w:hAnsi="Times New Roman" w:cs="Times New Roman"/>
                <w:b/>
                <w:bCs/>
                <w:sz w:val="18"/>
                <w:szCs w:val="18"/>
              </w:rPr>
            </w:pPr>
            <w:r w:rsidRPr="0050615A">
              <w:rPr>
                <w:rFonts w:ascii="Times New Roman" w:hAnsi="Times New Roman" w:cs="Times New Roman"/>
                <w:b/>
                <w:bCs/>
                <w:sz w:val="18"/>
                <w:szCs w:val="18"/>
              </w:rPr>
              <w:t>BIMZELX</w:t>
            </w:r>
          </w:p>
          <w:p w14:paraId="370FC4A8" w14:textId="77777777" w:rsidR="00DF6A41" w:rsidRPr="0050615A" w:rsidRDefault="00DF6A41">
            <w:pPr>
              <w:pStyle w:val="Default"/>
              <w:jc w:val="center"/>
              <w:rPr>
                <w:rFonts w:ascii="Times New Roman" w:hAnsi="Times New Roman" w:cs="Times New Roman"/>
                <w:b/>
                <w:bCs/>
                <w:sz w:val="18"/>
                <w:szCs w:val="18"/>
              </w:rPr>
            </w:pPr>
            <w:r w:rsidRPr="0050615A">
              <w:rPr>
                <w:rFonts w:ascii="Times New Roman" w:hAnsi="Times New Roman" w:cs="Times New Roman"/>
                <w:b/>
                <w:bCs/>
                <w:sz w:val="18"/>
                <w:szCs w:val="18"/>
              </w:rPr>
              <w:t>320 mg every four weeks</w:t>
            </w:r>
          </w:p>
          <w:p w14:paraId="72F832ED" w14:textId="77777777" w:rsidR="00DF6A41" w:rsidRPr="0050615A" w:rsidRDefault="00DF6A41">
            <w:pPr>
              <w:pStyle w:val="Default"/>
              <w:jc w:val="center"/>
              <w:rPr>
                <w:rFonts w:ascii="Times New Roman" w:hAnsi="Times New Roman" w:cs="Times New Roman"/>
                <w:b/>
                <w:bCs/>
                <w:sz w:val="18"/>
                <w:szCs w:val="18"/>
              </w:rPr>
            </w:pPr>
            <w:r w:rsidRPr="0050615A">
              <w:rPr>
                <w:rFonts w:ascii="Times New Roman" w:hAnsi="Times New Roman" w:cs="Times New Roman"/>
                <w:b/>
                <w:bCs/>
                <w:sz w:val="18"/>
                <w:szCs w:val="18"/>
              </w:rPr>
              <w:t>N = 670</w:t>
            </w:r>
          </w:p>
          <w:p w14:paraId="36C69C65" w14:textId="77777777" w:rsidR="00DF6A41" w:rsidRPr="0050615A" w:rsidRDefault="00DF6A41">
            <w:pPr>
              <w:pStyle w:val="Default"/>
              <w:jc w:val="center"/>
              <w:rPr>
                <w:rFonts w:ascii="Times New Roman" w:hAnsi="Times New Roman" w:cs="Times New Roman"/>
                <w:sz w:val="18"/>
                <w:szCs w:val="18"/>
              </w:rPr>
            </w:pPr>
            <w:r w:rsidRPr="0050615A">
              <w:rPr>
                <w:rFonts w:ascii="Times New Roman" w:hAnsi="Times New Roman" w:cs="Times New Roman"/>
                <w:b/>
                <w:bCs/>
                <w:sz w:val="18"/>
                <w:szCs w:val="18"/>
              </w:rPr>
              <w:t xml:space="preserve"> n (%)</w:t>
            </w:r>
          </w:p>
        </w:tc>
        <w:tc>
          <w:tcPr>
            <w:tcW w:w="3212" w:type="dxa"/>
            <w:shd w:val="clear" w:color="auto" w:fill="auto"/>
          </w:tcPr>
          <w:p w14:paraId="7C6A908D" w14:textId="77777777" w:rsidR="00DF6A41" w:rsidRPr="0050615A" w:rsidRDefault="00DF6A41">
            <w:pPr>
              <w:pStyle w:val="Default"/>
              <w:jc w:val="center"/>
              <w:rPr>
                <w:rFonts w:ascii="Times New Roman" w:hAnsi="Times New Roman" w:cs="Times New Roman"/>
                <w:b/>
                <w:bCs/>
                <w:sz w:val="18"/>
                <w:szCs w:val="18"/>
              </w:rPr>
            </w:pPr>
            <w:r w:rsidRPr="0050615A">
              <w:rPr>
                <w:rFonts w:ascii="Times New Roman" w:hAnsi="Times New Roman" w:cs="Times New Roman"/>
                <w:b/>
                <w:bCs/>
                <w:sz w:val="18"/>
                <w:szCs w:val="18"/>
              </w:rPr>
              <w:t xml:space="preserve">Placebo </w:t>
            </w:r>
          </w:p>
          <w:p w14:paraId="1F386477" w14:textId="77777777" w:rsidR="00DF6A41" w:rsidRPr="0050615A" w:rsidRDefault="00DF6A41">
            <w:pPr>
              <w:pStyle w:val="Default"/>
              <w:jc w:val="center"/>
              <w:rPr>
                <w:rFonts w:ascii="Times New Roman" w:hAnsi="Times New Roman" w:cs="Times New Roman"/>
                <w:b/>
                <w:bCs/>
                <w:sz w:val="18"/>
                <w:szCs w:val="18"/>
              </w:rPr>
            </w:pPr>
            <w:r w:rsidRPr="0050615A">
              <w:rPr>
                <w:rFonts w:ascii="Times New Roman" w:hAnsi="Times New Roman" w:cs="Times New Roman"/>
                <w:b/>
                <w:bCs/>
                <w:sz w:val="18"/>
                <w:szCs w:val="18"/>
              </w:rPr>
              <w:t>N = 169</w:t>
            </w:r>
          </w:p>
          <w:p w14:paraId="5172EACB" w14:textId="77777777" w:rsidR="00DF6A41" w:rsidRPr="0050615A" w:rsidRDefault="00DF6A41">
            <w:pPr>
              <w:pStyle w:val="Default"/>
              <w:jc w:val="center"/>
              <w:rPr>
                <w:rFonts w:ascii="Times New Roman" w:hAnsi="Times New Roman" w:cs="Times New Roman"/>
                <w:b/>
                <w:bCs/>
                <w:sz w:val="18"/>
                <w:szCs w:val="18"/>
              </w:rPr>
            </w:pPr>
          </w:p>
          <w:p w14:paraId="40A6451D" w14:textId="77777777" w:rsidR="00DF6A41" w:rsidRPr="0050615A" w:rsidRDefault="00DF6A41">
            <w:pPr>
              <w:pStyle w:val="Default"/>
              <w:jc w:val="center"/>
              <w:rPr>
                <w:rFonts w:ascii="Times New Roman" w:hAnsi="Times New Roman" w:cs="Times New Roman"/>
                <w:sz w:val="18"/>
                <w:szCs w:val="18"/>
              </w:rPr>
            </w:pPr>
            <w:r w:rsidRPr="0050615A">
              <w:rPr>
                <w:rFonts w:ascii="Times New Roman" w:hAnsi="Times New Roman" w:cs="Times New Roman"/>
                <w:b/>
                <w:bCs/>
                <w:sz w:val="18"/>
                <w:szCs w:val="18"/>
              </w:rPr>
              <w:t>n (%)</w:t>
            </w:r>
          </w:p>
        </w:tc>
      </w:tr>
      <w:tr w:rsidR="00DF6A41" w:rsidRPr="00DF6A41" w14:paraId="3CA6A2D5" w14:textId="77777777" w:rsidTr="00366F4C">
        <w:tc>
          <w:tcPr>
            <w:tcW w:w="3211" w:type="dxa"/>
            <w:shd w:val="clear" w:color="auto" w:fill="auto"/>
          </w:tcPr>
          <w:p w14:paraId="7B12D941"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 xml:space="preserve">Upper respiratory tract infections </w:t>
            </w:r>
            <w:r w:rsidRPr="004865D8">
              <w:rPr>
                <w:rFonts w:ascii="Times New Roman" w:eastAsia="Calibri" w:hAnsi="Times New Roman" w:cs="Times New Roman"/>
                <w:sz w:val="18"/>
                <w:szCs w:val="18"/>
                <w:vertAlign w:val="superscript"/>
              </w:rPr>
              <w:t>a</w:t>
            </w:r>
          </w:p>
        </w:tc>
        <w:tc>
          <w:tcPr>
            <w:tcW w:w="3211" w:type="dxa"/>
            <w:shd w:val="clear" w:color="auto" w:fill="auto"/>
          </w:tcPr>
          <w:p w14:paraId="1D257AD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97 (14.5)</w:t>
            </w:r>
          </w:p>
        </w:tc>
        <w:tc>
          <w:tcPr>
            <w:tcW w:w="3212" w:type="dxa"/>
            <w:shd w:val="clear" w:color="auto" w:fill="auto"/>
          </w:tcPr>
          <w:p w14:paraId="41E6570F"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23 (13.6)</w:t>
            </w:r>
          </w:p>
        </w:tc>
      </w:tr>
      <w:tr w:rsidR="00DF6A41" w:rsidRPr="00DF6A41" w14:paraId="4CD34023" w14:textId="77777777" w:rsidTr="00366F4C">
        <w:tc>
          <w:tcPr>
            <w:tcW w:w="3211" w:type="dxa"/>
            <w:shd w:val="clear" w:color="auto" w:fill="auto"/>
          </w:tcPr>
          <w:p w14:paraId="5FC18AB0"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Oral Candidiasis</w:t>
            </w:r>
          </w:p>
        </w:tc>
        <w:tc>
          <w:tcPr>
            <w:tcW w:w="3211" w:type="dxa"/>
            <w:shd w:val="clear" w:color="auto" w:fill="auto"/>
          </w:tcPr>
          <w:p w14:paraId="1EF25C74"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49 (7.3)</w:t>
            </w:r>
          </w:p>
        </w:tc>
        <w:tc>
          <w:tcPr>
            <w:tcW w:w="3212" w:type="dxa"/>
            <w:shd w:val="clear" w:color="auto" w:fill="auto"/>
          </w:tcPr>
          <w:p w14:paraId="52D191CD"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322D7012" w14:textId="77777777" w:rsidTr="00366F4C">
        <w:tc>
          <w:tcPr>
            <w:tcW w:w="3211" w:type="dxa"/>
            <w:shd w:val="clear" w:color="auto" w:fill="auto"/>
          </w:tcPr>
          <w:p w14:paraId="5F50504F"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Headache</w:t>
            </w:r>
          </w:p>
        </w:tc>
        <w:tc>
          <w:tcPr>
            <w:tcW w:w="3211" w:type="dxa"/>
            <w:shd w:val="clear" w:color="auto" w:fill="auto"/>
          </w:tcPr>
          <w:p w14:paraId="2725DF7C"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22 (3.3)</w:t>
            </w:r>
          </w:p>
        </w:tc>
        <w:tc>
          <w:tcPr>
            <w:tcW w:w="3212" w:type="dxa"/>
            <w:shd w:val="clear" w:color="auto" w:fill="auto"/>
          </w:tcPr>
          <w:p w14:paraId="72FB6A64"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41B795EB" w14:textId="77777777" w:rsidTr="00366F4C">
        <w:tc>
          <w:tcPr>
            <w:tcW w:w="3211" w:type="dxa"/>
            <w:shd w:val="clear" w:color="auto" w:fill="auto"/>
          </w:tcPr>
          <w:p w14:paraId="14313231"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lastRenderedPageBreak/>
              <w:t xml:space="preserve">Injection Site Reactions </w:t>
            </w:r>
            <w:r w:rsidRPr="004865D8">
              <w:rPr>
                <w:rFonts w:ascii="Times New Roman" w:eastAsia="Calibri" w:hAnsi="Times New Roman" w:cs="Times New Roman"/>
                <w:sz w:val="18"/>
                <w:szCs w:val="18"/>
                <w:vertAlign w:val="superscript"/>
              </w:rPr>
              <w:t>b</w:t>
            </w:r>
          </w:p>
        </w:tc>
        <w:tc>
          <w:tcPr>
            <w:tcW w:w="3211" w:type="dxa"/>
            <w:shd w:val="clear" w:color="auto" w:fill="auto"/>
          </w:tcPr>
          <w:p w14:paraId="3E5F3880"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17 (2.5)</w:t>
            </w:r>
          </w:p>
        </w:tc>
        <w:tc>
          <w:tcPr>
            <w:tcW w:w="3212" w:type="dxa"/>
            <w:shd w:val="clear" w:color="auto" w:fill="auto"/>
          </w:tcPr>
          <w:p w14:paraId="660750E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0CC832E6" w14:textId="77777777" w:rsidTr="00366F4C">
        <w:tc>
          <w:tcPr>
            <w:tcW w:w="3211" w:type="dxa"/>
            <w:shd w:val="clear" w:color="auto" w:fill="auto"/>
          </w:tcPr>
          <w:p w14:paraId="3AFF36B5"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Acne</w:t>
            </w:r>
          </w:p>
        </w:tc>
        <w:tc>
          <w:tcPr>
            <w:tcW w:w="3211" w:type="dxa"/>
            <w:shd w:val="clear" w:color="auto" w:fill="auto"/>
          </w:tcPr>
          <w:p w14:paraId="6BE28B8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8 (1.2)</w:t>
            </w:r>
          </w:p>
        </w:tc>
        <w:tc>
          <w:tcPr>
            <w:tcW w:w="3212" w:type="dxa"/>
            <w:shd w:val="clear" w:color="auto" w:fill="auto"/>
          </w:tcPr>
          <w:p w14:paraId="6D0FA8B6"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53F7A4CB" w14:textId="77777777" w:rsidTr="00366F4C">
        <w:tc>
          <w:tcPr>
            <w:tcW w:w="3211" w:type="dxa"/>
            <w:shd w:val="clear" w:color="auto" w:fill="auto"/>
          </w:tcPr>
          <w:p w14:paraId="775560DE"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Oropharyngeal candidiasis</w:t>
            </w:r>
          </w:p>
        </w:tc>
        <w:tc>
          <w:tcPr>
            <w:tcW w:w="3211" w:type="dxa"/>
            <w:shd w:val="clear" w:color="auto" w:fill="auto"/>
          </w:tcPr>
          <w:p w14:paraId="21721126"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8 (1.2)</w:t>
            </w:r>
          </w:p>
        </w:tc>
        <w:tc>
          <w:tcPr>
            <w:tcW w:w="3212" w:type="dxa"/>
            <w:shd w:val="clear" w:color="auto" w:fill="auto"/>
          </w:tcPr>
          <w:p w14:paraId="300892E2"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18DA58EA" w14:textId="77777777" w:rsidTr="00366F4C">
        <w:tc>
          <w:tcPr>
            <w:tcW w:w="3211" w:type="dxa"/>
            <w:shd w:val="clear" w:color="auto" w:fill="auto"/>
          </w:tcPr>
          <w:p w14:paraId="5E79DE8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Folliculitis</w:t>
            </w:r>
          </w:p>
        </w:tc>
        <w:tc>
          <w:tcPr>
            <w:tcW w:w="3211" w:type="dxa"/>
            <w:shd w:val="clear" w:color="auto" w:fill="auto"/>
          </w:tcPr>
          <w:p w14:paraId="045AD8A2"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8 (1.2)</w:t>
            </w:r>
          </w:p>
        </w:tc>
        <w:tc>
          <w:tcPr>
            <w:tcW w:w="3212" w:type="dxa"/>
            <w:shd w:val="clear" w:color="auto" w:fill="auto"/>
          </w:tcPr>
          <w:p w14:paraId="2C356E6F"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5F1EE5B5" w14:textId="77777777" w:rsidTr="00366F4C">
        <w:tc>
          <w:tcPr>
            <w:tcW w:w="3211" w:type="dxa"/>
            <w:shd w:val="clear" w:color="auto" w:fill="auto"/>
          </w:tcPr>
          <w:p w14:paraId="0B91D284"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Gastroenteritis</w:t>
            </w:r>
          </w:p>
        </w:tc>
        <w:tc>
          <w:tcPr>
            <w:tcW w:w="3211" w:type="dxa"/>
            <w:shd w:val="clear" w:color="auto" w:fill="auto"/>
          </w:tcPr>
          <w:p w14:paraId="7445CCB2"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8 (1.2)</w:t>
            </w:r>
          </w:p>
        </w:tc>
        <w:tc>
          <w:tcPr>
            <w:tcW w:w="3212" w:type="dxa"/>
            <w:shd w:val="clear" w:color="auto" w:fill="auto"/>
          </w:tcPr>
          <w:p w14:paraId="34CAB21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1AB05657" w14:textId="77777777" w:rsidTr="00366F4C">
        <w:tc>
          <w:tcPr>
            <w:tcW w:w="3211" w:type="dxa"/>
            <w:shd w:val="clear" w:color="auto" w:fill="auto"/>
          </w:tcPr>
          <w:p w14:paraId="3F5F4A4A"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Tinea pedis</w:t>
            </w:r>
          </w:p>
        </w:tc>
        <w:tc>
          <w:tcPr>
            <w:tcW w:w="3211" w:type="dxa"/>
            <w:shd w:val="clear" w:color="auto" w:fill="auto"/>
          </w:tcPr>
          <w:p w14:paraId="45B1C430"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8 (1.2)</w:t>
            </w:r>
          </w:p>
        </w:tc>
        <w:tc>
          <w:tcPr>
            <w:tcW w:w="3212" w:type="dxa"/>
            <w:shd w:val="clear" w:color="auto" w:fill="auto"/>
          </w:tcPr>
          <w:p w14:paraId="4FC02DF8"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15CD2E39" w14:textId="77777777" w:rsidTr="00366F4C">
        <w:tc>
          <w:tcPr>
            <w:tcW w:w="3211" w:type="dxa"/>
            <w:shd w:val="clear" w:color="auto" w:fill="auto"/>
          </w:tcPr>
          <w:p w14:paraId="79ED19E0"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Fatigue</w:t>
            </w:r>
          </w:p>
        </w:tc>
        <w:tc>
          <w:tcPr>
            <w:tcW w:w="3211" w:type="dxa"/>
            <w:shd w:val="clear" w:color="auto" w:fill="auto"/>
          </w:tcPr>
          <w:p w14:paraId="18069127"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7 (1.0)</w:t>
            </w:r>
          </w:p>
        </w:tc>
        <w:tc>
          <w:tcPr>
            <w:tcW w:w="3212" w:type="dxa"/>
            <w:shd w:val="clear" w:color="auto" w:fill="auto"/>
          </w:tcPr>
          <w:p w14:paraId="4EFB3280"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r w:rsidR="00DF6A41" w:rsidRPr="00DF6A41" w14:paraId="2DF2E32D" w14:textId="77777777" w:rsidTr="00366F4C">
        <w:tc>
          <w:tcPr>
            <w:tcW w:w="3211" w:type="dxa"/>
            <w:shd w:val="clear" w:color="auto" w:fill="auto"/>
          </w:tcPr>
          <w:p w14:paraId="7B72EC63"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Oral herpes</w:t>
            </w:r>
          </w:p>
        </w:tc>
        <w:tc>
          <w:tcPr>
            <w:tcW w:w="3211" w:type="dxa"/>
            <w:shd w:val="clear" w:color="auto" w:fill="auto"/>
          </w:tcPr>
          <w:p w14:paraId="02E38E33" w14:textId="13004409"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7 (1</w:t>
            </w:r>
            <w:r w:rsidR="009C15E0">
              <w:rPr>
                <w:rFonts w:ascii="Times New Roman" w:eastAsia="Calibri" w:hAnsi="Times New Roman" w:cs="Times New Roman"/>
                <w:sz w:val="18"/>
                <w:szCs w:val="18"/>
              </w:rPr>
              <w:t>.0</w:t>
            </w:r>
            <w:r w:rsidRPr="004865D8">
              <w:rPr>
                <w:rFonts w:ascii="Times New Roman" w:eastAsia="Calibri" w:hAnsi="Times New Roman" w:cs="Times New Roman"/>
                <w:sz w:val="18"/>
                <w:szCs w:val="18"/>
              </w:rPr>
              <w:t>)</w:t>
            </w:r>
          </w:p>
        </w:tc>
        <w:tc>
          <w:tcPr>
            <w:tcW w:w="3212" w:type="dxa"/>
            <w:shd w:val="clear" w:color="auto" w:fill="auto"/>
          </w:tcPr>
          <w:p w14:paraId="6ED2F44B" w14:textId="77777777" w:rsidR="00DF6A41" w:rsidRPr="004865D8" w:rsidRDefault="00DF6A41" w:rsidP="00C131DA">
            <w:pPr>
              <w:spacing w:after="0"/>
              <w:rPr>
                <w:rFonts w:ascii="Times New Roman" w:eastAsia="Calibri" w:hAnsi="Times New Roman" w:cs="Times New Roman"/>
                <w:sz w:val="18"/>
                <w:szCs w:val="18"/>
              </w:rPr>
            </w:pPr>
            <w:r w:rsidRPr="004865D8">
              <w:rPr>
                <w:rFonts w:ascii="Times New Roman" w:eastAsia="Calibri" w:hAnsi="Times New Roman" w:cs="Times New Roman"/>
                <w:sz w:val="18"/>
                <w:szCs w:val="18"/>
              </w:rPr>
              <w:t>0</w:t>
            </w:r>
          </w:p>
        </w:tc>
      </w:tr>
    </w:tbl>
    <w:p w14:paraId="5A01FE8D" w14:textId="3DCA31F1" w:rsidR="00DF6A41" w:rsidRPr="00DF6A41" w:rsidRDefault="00DF6A41" w:rsidP="00F807D4">
      <w:pPr>
        <w:spacing w:after="0"/>
        <w:rPr>
          <w:rFonts w:ascii="Times New Roman" w:eastAsia="Calibri" w:hAnsi="Times New Roman" w:cs="Times New Roman"/>
          <w:sz w:val="18"/>
          <w:szCs w:val="18"/>
        </w:rPr>
      </w:pPr>
      <w:proofErr w:type="spellStart"/>
      <w:r w:rsidRPr="00DF6A41">
        <w:rPr>
          <w:rFonts w:ascii="Times New Roman" w:eastAsia="Calibri" w:hAnsi="Times New Roman" w:cs="Times New Roman"/>
          <w:sz w:val="18"/>
          <w:szCs w:val="18"/>
          <w:vertAlign w:val="superscript"/>
        </w:rPr>
        <w:t>a</w:t>
      </w:r>
      <w:proofErr w:type="spellEnd"/>
      <w:r w:rsidRPr="00DF6A41">
        <w:rPr>
          <w:rFonts w:ascii="Times New Roman" w:eastAsia="Calibri" w:hAnsi="Times New Roman" w:cs="Times New Roman"/>
          <w:sz w:val="18"/>
          <w:szCs w:val="18"/>
          <w:vertAlign w:val="superscript"/>
        </w:rPr>
        <w:t xml:space="preserve"> </w:t>
      </w:r>
      <w:r w:rsidRPr="00DF6A41">
        <w:rPr>
          <w:rFonts w:ascii="Times New Roman" w:eastAsia="Calibri" w:hAnsi="Times New Roman" w:cs="Times New Roman"/>
          <w:sz w:val="18"/>
          <w:szCs w:val="18"/>
        </w:rPr>
        <w:t>Includes nasopharyngitis, pharyngitis, upper respiratory tract infection, rhinitis, sinusitis, tonsillitis, and peritonsillar abscess.</w:t>
      </w:r>
    </w:p>
    <w:p w14:paraId="198F52D3" w14:textId="77777777" w:rsidR="00DF6A41" w:rsidRPr="00DF6A41" w:rsidRDefault="00DF6A41" w:rsidP="00DF6A41">
      <w:pPr>
        <w:rPr>
          <w:rFonts w:ascii="Times New Roman" w:eastAsia="Calibri" w:hAnsi="Times New Roman" w:cs="Times New Roman"/>
          <w:sz w:val="18"/>
          <w:szCs w:val="18"/>
        </w:rPr>
      </w:pPr>
      <w:r w:rsidRPr="00DF6A41">
        <w:rPr>
          <w:rFonts w:ascii="Times New Roman" w:eastAsia="Calibri" w:hAnsi="Times New Roman" w:cs="Times New Roman"/>
          <w:sz w:val="18"/>
          <w:szCs w:val="18"/>
          <w:vertAlign w:val="superscript"/>
        </w:rPr>
        <w:t xml:space="preserve">b </w:t>
      </w:r>
      <w:r w:rsidRPr="00DF6A41">
        <w:rPr>
          <w:rFonts w:ascii="Times New Roman" w:eastAsia="Calibri" w:hAnsi="Times New Roman" w:cs="Times New Roman"/>
          <w:sz w:val="18"/>
          <w:szCs w:val="18"/>
        </w:rPr>
        <w:t>Includes injection site erythema, injection site reaction, injection site oedema, injection site pain, and injection site swelling.</w:t>
      </w:r>
    </w:p>
    <w:p w14:paraId="7452B16F" w14:textId="77777777" w:rsidR="00E23FF8" w:rsidRPr="00B1502B" w:rsidRDefault="00E23FF8" w:rsidP="00B1502B">
      <w:pPr>
        <w:spacing w:after="120"/>
        <w:rPr>
          <w:rFonts w:ascii="Times New Roman" w:hAnsi="Times New Roman" w:cs="Times New Roman"/>
          <w:i/>
          <w:iCs/>
          <w:u w:val="single"/>
        </w:rPr>
      </w:pPr>
      <w:r w:rsidRPr="00B1502B">
        <w:rPr>
          <w:rFonts w:ascii="Times New Roman" w:hAnsi="Times New Roman" w:cs="Times New Roman"/>
          <w:i/>
          <w:iCs/>
          <w:u w:val="single"/>
        </w:rPr>
        <w:t>Other adverse reactions (&lt; 1%)</w:t>
      </w:r>
    </w:p>
    <w:p w14:paraId="0AF7DA61" w14:textId="7F73EEE9" w:rsidR="00B54341" w:rsidRDefault="00FA7CD6" w:rsidP="00B1502B">
      <w:pPr>
        <w:spacing w:after="0"/>
        <w:rPr>
          <w:rFonts w:ascii="Times New Roman" w:hAnsi="Times New Roman" w:cs="Times New Roman"/>
        </w:rPr>
      </w:pPr>
      <w:r w:rsidRPr="00FA7CD6">
        <w:rPr>
          <w:rFonts w:ascii="Times New Roman" w:hAnsi="Times New Roman" w:cs="Times New Roman"/>
        </w:rPr>
        <w:t xml:space="preserve">Adverse drug reactions that occurred in &lt; 1% but &gt; 0.1% of subjects in the </w:t>
      </w:r>
      <w:proofErr w:type="spellStart"/>
      <w:r w:rsidR="000E31EC" w:rsidRPr="000E31EC">
        <w:rPr>
          <w:rFonts w:ascii="Times New Roman" w:hAnsi="Times New Roman" w:cs="Times New Roman"/>
        </w:rPr>
        <w:t>Bimzelx</w:t>
      </w:r>
      <w:proofErr w:type="spellEnd"/>
      <w:r w:rsidRPr="00FA7CD6">
        <w:rPr>
          <w:rFonts w:ascii="Times New Roman" w:hAnsi="Times New Roman" w:cs="Times New Roman"/>
        </w:rPr>
        <w:t xml:space="preserve"> group and at a higher rate than in the placebo group through Week 16 were, tinea infections, herpes simplex, eczema, dermatitis contact, dyshidrotic eczema, intertrigo, dermatitis, otitis externa, otitis media,</w:t>
      </w:r>
      <w:r w:rsidR="0061518E">
        <w:rPr>
          <w:rFonts w:ascii="Times New Roman" w:hAnsi="Times New Roman" w:cs="Times New Roman"/>
        </w:rPr>
        <w:t xml:space="preserve"> </w:t>
      </w:r>
      <w:proofErr w:type="gramStart"/>
      <w:r w:rsidR="0061518E">
        <w:rPr>
          <w:rFonts w:ascii="Times New Roman" w:hAnsi="Times New Roman" w:cs="Times New Roman"/>
        </w:rPr>
        <w:t>conjunctivitis</w:t>
      </w:r>
      <w:proofErr w:type="gramEnd"/>
      <w:r w:rsidRPr="00FA7CD6">
        <w:rPr>
          <w:rFonts w:ascii="Times New Roman" w:hAnsi="Times New Roman" w:cs="Times New Roman"/>
        </w:rPr>
        <w:t xml:space="preserve"> and neutropenia.</w:t>
      </w:r>
    </w:p>
    <w:p w14:paraId="1DA16379" w14:textId="77777777" w:rsidR="00A15FF5" w:rsidRPr="00B54341" w:rsidRDefault="00A15FF5" w:rsidP="00B1502B">
      <w:pPr>
        <w:spacing w:after="0"/>
        <w:rPr>
          <w:rFonts w:ascii="Times New Roman" w:hAnsi="Times New Roman" w:cs="Times New Roman"/>
        </w:rPr>
      </w:pPr>
    </w:p>
    <w:p w14:paraId="051A1439" w14:textId="77777777" w:rsidR="00DF6AD7" w:rsidRDefault="00DF6AD7" w:rsidP="00DF6AD7">
      <w:pPr>
        <w:pStyle w:val="C-BodyText"/>
        <w:tabs>
          <w:tab w:val="left" w:pos="709"/>
        </w:tabs>
        <w:spacing w:before="0"/>
        <w:rPr>
          <w:bCs/>
          <w:i/>
          <w:iCs/>
          <w:sz w:val="22"/>
          <w:szCs w:val="22"/>
          <w:u w:val="single"/>
          <w:lang w:val="en-GB"/>
        </w:rPr>
      </w:pPr>
      <w:r>
        <w:rPr>
          <w:bCs/>
          <w:i/>
          <w:iCs/>
          <w:sz w:val="22"/>
          <w:szCs w:val="22"/>
          <w:u w:val="single"/>
          <w:lang w:val="en-GB"/>
        </w:rPr>
        <w:t>Description of selected adverse reactions</w:t>
      </w:r>
    </w:p>
    <w:p w14:paraId="54868FE5" w14:textId="77777777" w:rsidR="00DF6AD7" w:rsidRPr="00AD4AA2" w:rsidRDefault="00DF6AD7" w:rsidP="00DF6AD7">
      <w:pPr>
        <w:pStyle w:val="C-BodyText"/>
        <w:spacing w:before="0"/>
        <w:rPr>
          <w:rFonts w:eastAsia="MS Mincho"/>
          <w:i/>
          <w:iCs/>
          <w:sz w:val="22"/>
          <w:szCs w:val="22"/>
        </w:rPr>
      </w:pPr>
      <w:r w:rsidRPr="00AD4AA2">
        <w:rPr>
          <w:rFonts w:eastAsia="MS Mincho"/>
          <w:i/>
          <w:iCs/>
          <w:sz w:val="22"/>
          <w:szCs w:val="22"/>
        </w:rPr>
        <w:t>Infections</w:t>
      </w:r>
    </w:p>
    <w:p w14:paraId="494B1F14" w14:textId="77777777" w:rsidR="00DF6AD7" w:rsidRDefault="00DF6AD7" w:rsidP="00DF6AD7">
      <w:pPr>
        <w:pStyle w:val="C-BodyText"/>
        <w:spacing w:before="0"/>
        <w:rPr>
          <w:sz w:val="22"/>
          <w:szCs w:val="22"/>
        </w:rPr>
      </w:pPr>
      <w:bookmarkStart w:id="1" w:name="_Hlk36202764"/>
      <w:r w:rsidRPr="00AB54E2">
        <w:rPr>
          <w:sz w:val="22"/>
          <w:szCs w:val="22"/>
        </w:rPr>
        <w:t xml:space="preserve">In the placebo-controlled period of Phase III clinical studies in plaque psoriasis, infections were reported in 36.0% of patients treated with </w:t>
      </w:r>
      <w:proofErr w:type="spellStart"/>
      <w:r w:rsidRPr="00AB54E2">
        <w:rPr>
          <w:sz w:val="22"/>
          <w:szCs w:val="22"/>
        </w:rPr>
        <w:t>bimekizumab</w:t>
      </w:r>
      <w:proofErr w:type="spellEnd"/>
      <w:r w:rsidRPr="00AB54E2">
        <w:rPr>
          <w:sz w:val="22"/>
          <w:szCs w:val="22"/>
        </w:rPr>
        <w:t xml:space="preserve"> for up to 16 weeks compared with 22.5% of patients treated with placebo. </w:t>
      </w:r>
      <w:proofErr w:type="gramStart"/>
      <w:r w:rsidRPr="00AB54E2">
        <w:rPr>
          <w:sz w:val="22"/>
          <w:szCs w:val="22"/>
        </w:rPr>
        <w:t>The majority of</w:t>
      </w:r>
      <w:proofErr w:type="gramEnd"/>
      <w:r w:rsidRPr="00AB54E2">
        <w:rPr>
          <w:sz w:val="22"/>
          <w:szCs w:val="22"/>
        </w:rPr>
        <w:t xml:space="preserve"> infections consisted of non-serious mild to moderate upper respiratory tract infections such as nasopharyngitis. There were higher rates of oral and oropharyngeal candidiasis in patients treated with </w:t>
      </w:r>
      <w:proofErr w:type="spellStart"/>
      <w:r w:rsidRPr="00AB54E2">
        <w:rPr>
          <w:sz w:val="22"/>
          <w:szCs w:val="22"/>
        </w:rPr>
        <w:t>bimekizumab</w:t>
      </w:r>
      <w:proofErr w:type="spellEnd"/>
      <w:r w:rsidRPr="00AB54E2">
        <w:rPr>
          <w:sz w:val="22"/>
          <w:szCs w:val="22"/>
        </w:rPr>
        <w:t xml:space="preserve"> consistent with the mechanism of action (7.3% and 1.2% respectively compared to 0% for placebo-treated patients). </w:t>
      </w:r>
      <w:proofErr w:type="gramStart"/>
      <w:r w:rsidRPr="00AB54E2">
        <w:rPr>
          <w:sz w:val="22"/>
          <w:szCs w:val="22"/>
        </w:rPr>
        <w:t>The vast majority of</w:t>
      </w:r>
      <w:proofErr w:type="gramEnd"/>
      <w:r w:rsidRPr="00AB54E2">
        <w:rPr>
          <w:sz w:val="22"/>
          <w:szCs w:val="22"/>
        </w:rPr>
        <w:t xml:space="preserve"> cases were non-serious, mild or moderate in severity, and did not require treatment discontinuation.</w:t>
      </w:r>
      <w:r w:rsidRPr="00AB54E2">
        <w:rPr>
          <w:i/>
          <w:sz w:val="22"/>
          <w:szCs w:val="22"/>
        </w:rPr>
        <w:t> </w:t>
      </w:r>
      <w:r w:rsidRPr="00AB54E2">
        <w:rPr>
          <w:sz w:val="22"/>
          <w:szCs w:val="22"/>
        </w:rPr>
        <w:t xml:space="preserve"> </w:t>
      </w:r>
    </w:p>
    <w:p w14:paraId="61F428C4" w14:textId="77777777" w:rsidR="00DF6AD7" w:rsidRPr="00AB54E2" w:rsidRDefault="00DF6AD7" w:rsidP="00DF6AD7">
      <w:pPr>
        <w:pStyle w:val="C-BodyText"/>
        <w:spacing w:before="0"/>
        <w:rPr>
          <w:rFonts w:eastAsia="MS Mincho"/>
          <w:sz w:val="22"/>
          <w:szCs w:val="22"/>
        </w:rPr>
      </w:pPr>
      <w:r w:rsidRPr="00AB54E2">
        <w:rPr>
          <w:sz w:val="22"/>
          <w:szCs w:val="22"/>
        </w:rPr>
        <w:t xml:space="preserve">Serious infections occurred in 0.3% of patients treated with </w:t>
      </w:r>
      <w:proofErr w:type="spellStart"/>
      <w:r w:rsidRPr="00AB54E2">
        <w:rPr>
          <w:sz w:val="22"/>
          <w:szCs w:val="22"/>
        </w:rPr>
        <w:t>bimekizumab</w:t>
      </w:r>
      <w:proofErr w:type="spellEnd"/>
      <w:r w:rsidRPr="00AB54E2">
        <w:rPr>
          <w:sz w:val="22"/>
          <w:szCs w:val="22"/>
        </w:rPr>
        <w:t xml:space="preserve"> and 0% treated with placebo. </w:t>
      </w:r>
    </w:p>
    <w:bookmarkEnd w:id="1"/>
    <w:p w14:paraId="6ECCD39F" w14:textId="77777777" w:rsidR="00DF6AD7" w:rsidRDefault="00DF6AD7" w:rsidP="00DF6AD7">
      <w:pPr>
        <w:pStyle w:val="C-BodyText"/>
        <w:spacing w:before="0"/>
        <w:rPr>
          <w:rFonts w:eastAsia="MS Mincho"/>
          <w:sz w:val="22"/>
          <w:szCs w:val="22"/>
          <w:lang w:val="en"/>
        </w:rPr>
      </w:pPr>
      <w:r w:rsidRPr="00AB54E2">
        <w:rPr>
          <w:rFonts w:eastAsia="MS Mincho"/>
          <w:sz w:val="22"/>
          <w:szCs w:val="22"/>
        </w:rPr>
        <w:t xml:space="preserve">Over the entire treatment period of Phase III studies in plaque psoriasis, infections were reported in 63.2% of patients treated with </w:t>
      </w:r>
      <w:proofErr w:type="spellStart"/>
      <w:r w:rsidRPr="00AB54E2">
        <w:rPr>
          <w:rFonts w:eastAsia="MS Mincho"/>
          <w:sz w:val="22"/>
          <w:szCs w:val="22"/>
        </w:rPr>
        <w:t>bimekizumab</w:t>
      </w:r>
      <w:proofErr w:type="spellEnd"/>
      <w:r w:rsidRPr="00AB54E2">
        <w:rPr>
          <w:rFonts w:eastAsia="MS Mincho"/>
          <w:sz w:val="22"/>
          <w:szCs w:val="22"/>
        </w:rPr>
        <w:t xml:space="preserve"> (120.4 per 100 patient-years). Serious infections were reported in 1.5% of patients treated with </w:t>
      </w:r>
      <w:proofErr w:type="spellStart"/>
      <w:r w:rsidRPr="00AB54E2">
        <w:rPr>
          <w:rFonts w:eastAsia="MS Mincho"/>
          <w:sz w:val="22"/>
          <w:szCs w:val="22"/>
        </w:rPr>
        <w:t>bimekizumab</w:t>
      </w:r>
      <w:proofErr w:type="spellEnd"/>
      <w:r w:rsidRPr="00AB54E2">
        <w:rPr>
          <w:rFonts w:eastAsia="MS Mincho"/>
          <w:sz w:val="22"/>
          <w:szCs w:val="22"/>
        </w:rPr>
        <w:t xml:space="preserve"> (1.6 per 100 patient-years) (see </w:t>
      </w:r>
      <w:r>
        <w:rPr>
          <w:rFonts w:eastAsia="MS Mincho"/>
          <w:sz w:val="22"/>
          <w:szCs w:val="22"/>
        </w:rPr>
        <w:t>s</w:t>
      </w:r>
      <w:r w:rsidRPr="00AB54E2">
        <w:rPr>
          <w:rFonts w:eastAsia="MS Mincho"/>
          <w:sz w:val="22"/>
          <w:szCs w:val="22"/>
        </w:rPr>
        <w:t>ection 4.4).</w:t>
      </w:r>
    </w:p>
    <w:p w14:paraId="42DF7498" w14:textId="77777777" w:rsidR="00DF6AD7" w:rsidRPr="00AD4AA2" w:rsidRDefault="00DF6AD7" w:rsidP="00DF6AD7">
      <w:pPr>
        <w:pStyle w:val="C-BodyText"/>
        <w:spacing w:before="0"/>
        <w:rPr>
          <w:rFonts w:eastAsia="MS Mincho"/>
          <w:i/>
          <w:iCs/>
          <w:sz w:val="22"/>
          <w:szCs w:val="22"/>
          <w:lang w:val="en"/>
        </w:rPr>
      </w:pPr>
      <w:r w:rsidRPr="00AD4AA2">
        <w:rPr>
          <w:rFonts w:eastAsia="MS Mincho"/>
          <w:i/>
          <w:iCs/>
          <w:sz w:val="22"/>
          <w:szCs w:val="22"/>
        </w:rPr>
        <w:t>Neutropenia</w:t>
      </w:r>
    </w:p>
    <w:p w14:paraId="1188D28C" w14:textId="77777777" w:rsidR="00DF6AD7" w:rsidRDefault="00DF6AD7" w:rsidP="00DF6AD7">
      <w:pPr>
        <w:pStyle w:val="C-BodyText"/>
        <w:spacing w:before="0"/>
        <w:rPr>
          <w:sz w:val="22"/>
          <w:szCs w:val="22"/>
        </w:rPr>
      </w:pPr>
      <w:r w:rsidRPr="00AB54E2">
        <w:rPr>
          <w:sz w:val="22"/>
          <w:szCs w:val="22"/>
        </w:rPr>
        <w:t xml:space="preserve">Neutropenia was observed with </w:t>
      </w:r>
      <w:proofErr w:type="spellStart"/>
      <w:r w:rsidRPr="00AB54E2">
        <w:rPr>
          <w:sz w:val="22"/>
          <w:szCs w:val="22"/>
        </w:rPr>
        <w:t>bimekizumab</w:t>
      </w:r>
      <w:proofErr w:type="spellEnd"/>
      <w:r w:rsidRPr="00AB54E2">
        <w:rPr>
          <w:sz w:val="22"/>
          <w:szCs w:val="22"/>
        </w:rPr>
        <w:t xml:space="preserve"> in phase III clinical studies in plaque psoriasis. In the 16 weeks placebo-controlled period neutropenia grade 3/4 were observed at the same frequency of 0.6% in patients receiving </w:t>
      </w:r>
      <w:proofErr w:type="spellStart"/>
      <w:r w:rsidRPr="00AB54E2">
        <w:rPr>
          <w:sz w:val="22"/>
          <w:szCs w:val="22"/>
        </w:rPr>
        <w:t>bimekizumab</w:t>
      </w:r>
      <w:proofErr w:type="spellEnd"/>
      <w:r w:rsidRPr="00AB54E2">
        <w:rPr>
          <w:sz w:val="22"/>
          <w:szCs w:val="22"/>
        </w:rPr>
        <w:t xml:space="preserve"> or placebo. Over the entire treatment period of Phase III studies, neutropenia grade 3/4 were observed in 1 % of patients treated with </w:t>
      </w:r>
      <w:proofErr w:type="spellStart"/>
      <w:r w:rsidRPr="00AB54E2">
        <w:rPr>
          <w:sz w:val="22"/>
          <w:szCs w:val="22"/>
        </w:rPr>
        <w:t>bimekizumab</w:t>
      </w:r>
      <w:proofErr w:type="spellEnd"/>
      <w:r w:rsidRPr="00AB54E2">
        <w:rPr>
          <w:sz w:val="22"/>
          <w:szCs w:val="22"/>
        </w:rPr>
        <w:t>. Most</w:t>
      </w:r>
      <w:r w:rsidRPr="00AB54E2">
        <w:rPr>
          <w:sz w:val="22"/>
          <w:szCs w:val="22"/>
          <w:lang w:val="en"/>
        </w:rPr>
        <w:t xml:space="preserve"> cases were transient and did not require treatment discontinuation.</w:t>
      </w:r>
      <w:r w:rsidRPr="00AB54E2">
        <w:rPr>
          <w:i/>
          <w:sz w:val="22"/>
          <w:szCs w:val="22"/>
          <w:lang w:val="en"/>
        </w:rPr>
        <w:t xml:space="preserve"> </w:t>
      </w:r>
      <w:r w:rsidRPr="00AB54E2">
        <w:rPr>
          <w:sz w:val="22"/>
          <w:szCs w:val="22"/>
        </w:rPr>
        <w:t>No serious infections were associated with neutropenia.</w:t>
      </w:r>
    </w:p>
    <w:p w14:paraId="49020AD8" w14:textId="77777777" w:rsidR="00DF6AD7" w:rsidRPr="00AD4AA2" w:rsidRDefault="00DF6AD7" w:rsidP="00DF6AD7">
      <w:pPr>
        <w:pStyle w:val="C-BodyText"/>
        <w:spacing w:before="0"/>
        <w:rPr>
          <w:rFonts w:eastAsia="MS Mincho"/>
          <w:i/>
          <w:iCs/>
          <w:sz w:val="22"/>
          <w:szCs w:val="22"/>
        </w:rPr>
      </w:pPr>
      <w:r w:rsidRPr="00AD4AA2">
        <w:rPr>
          <w:rFonts w:eastAsia="MS Mincho"/>
          <w:i/>
          <w:iCs/>
          <w:sz w:val="22"/>
          <w:szCs w:val="22"/>
        </w:rPr>
        <w:t xml:space="preserve">Immunogenicity </w:t>
      </w:r>
    </w:p>
    <w:p w14:paraId="6E66CCF8" w14:textId="77777777" w:rsidR="00DF6AD7" w:rsidRDefault="00DF6AD7" w:rsidP="00DF6AD7">
      <w:pPr>
        <w:pStyle w:val="C-BodyText"/>
        <w:spacing w:before="0"/>
        <w:rPr>
          <w:rFonts w:eastAsia="MS Mincho"/>
          <w:sz w:val="22"/>
          <w:szCs w:val="22"/>
        </w:rPr>
      </w:pPr>
      <w:r w:rsidRPr="00D843F8">
        <w:rPr>
          <w:rFonts w:eastAsia="MS Mincho"/>
          <w:sz w:val="22"/>
          <w:szCs w:val="22"/>
        </w:rPr>
        <w:t xml:space="preserve">As with all therapeutic proteins, there is the potential for immunogenicity with </w:t>
      </w:r>
      <w:proofErr w:type="spellStart"/>
      <w:r>
        <w:rPr>
          <w:rFonts w:eastAsia="MS Mincho"/>
          <w:sz w:val="22"/>
          <w:szCs w:val="22"/>
        </w:rPr>
        <w:t>bimekizumab</w:t>
      </w:r>
      <w:proofErr w:type="spellEnd"/>
      <w:r w:rsidRPr="00D843F8">
        <w:rPr>
          <w:rFonts w:eastAsia="MS Mincho"/>
          <w:sz w:val="22"/>
          <w:szCs w:val="22"/>
        </w:rPr>
        <w:t xml:space="preserve">. The detection of </w:t>
      </w:r>
      <w:r>
        <w:rPr>
          <w:rFonts w:eastAsia="MS Mincho"/>
          <w:sz w:val="22"/>
          <w:szCs w:val="22"/>
        </w:rPr>
        <w:t xml:space="preserve">anti-drug </w:t>
      </w:r>
      <w:r w:rsidRPr="00D843F8">
        <w:rPr>
          <w:rFonts w:eastAsia="MS Mincho"/>
          <w:sz w:val="22"/>
          <w:szCs w:val="22"/>
        </w:rPr>
        <w:t>antibody formation is highly dependent on the sensitivity and specificity of the assay.</w:t>
      </w:r>
      <w:r>
        <w:rPr>
          <w:rFonts w:eastAsia="MS Mincho"/>
          <w:sz w:val="22"/>
          <w:szCs w:val="22"/>
        </w:rPr>
        <w:t xml:space="preserve"> </w:t>
      </w:r>
      <w:r w:rsidRPr="00486831">
        <w:rPr>
          <w:rFonts w:eastAsia="MS Mincho"/>
          <w:sz w:val="22"/>
          <w:szCs w:val="22"/>
        </w:rPr>
        <w:t xml:space="preserve">Additionally, the observed incidence of </w:t>
      </w:r>
      <w:r>
        <w:rPr>
          <w:rFonts w:eastAsia="MS Mincho"/>
          <w:sz w:val="22"/>
          <w:szCs w:val="22"/>
        </w:rPr>
        <w:t xml:space="preserve">anti-drug </w:t>
      </w:r>
      <w:r w:rsidRPr="00486831">
        <w:rPr>
          <w:rFonts w:eastAsia="MS Mincho"/>
          <w:sz w:val="22"/>
          <w:szCs w:val="22"/>
        </w:rPr>
        <w:t xml:space="preserve">antibody (including neutralizing antibody) </w:t>
      </w:r>
      <w:r w:rsidRPr="00486831">
        <w:rPr>
          <w:rFonts w:eastAsia="MS Mincho"/>
          <w:sz w:val="22"/>
          <w:szCs w:val="22"/>
        </w:rPr>
        <w:lastRenderedPageBreak/>
        <w:t xml:space="preserve">positivity in an assay may be influenced by several factors, including assay methodology, sample handling, timing of sample collection, concomitant medications, and underlying disease. For these reasons, comparison of the incidence of antibodies to </w:t>
      </w:r>
      <w:proofErr w:type="spellStart"/>
      <w:r w:rsidRPr="00486831">
        <w:rPr>
          <w:rFonts w:eastAsia="MS Mincho"/>
          <w:sz w:val="22"/>
          <w:szCs w:val="22"/>
        </w:rPr>
        <w:t>bimekizumab</w:t>
      </w:r>
      <w:proofErr w:type="spellEnd"/>
      <w:r w:rsidRPr="00486831">
        <w:rPr>
          <w:rFonts w:eastAsia="MS Mincho"/>
          <w:sz w:val="22"/>
          <w:szCs w:val="22"/>
        </w:rPr>
        <w:t xml:space="preserve"> with the incidence of antibodies to other products may be misleading.</w:t>
      </w:r>
      <w:r>
        <w:rPr>
          <w:rFonts w:eastAsia="MS Mincho"/>
          <w:sz w:val="22"/>
          <w:szCs w:val="22"/>
        </w:rPr>
        <w:t xml:space="preserve"> </w:t>
      </w:r>
    </w:p>
    <w:p w14:paraId="78D23163" w14:textId="28B4039B" w:rsidR="00DF6AD7" w:rsidRPr="003D077A" w:rsidRDefault="00DF6AD7" w:rsidP="00DF6AD7">
      <w:pPr>
        <w:pStyle w:val="C-BodyText"/>
        <w:spacing w:before="0"/>
        <w:rPr>
          <w:rFonts w:eastAsia="MS Mincho"/>
          <w:sz w:val="22"/>
          <w:szCs w:val="22"/>
        </w:rPr>
      </w:pPr>
      <w:r w:rsidRPr="003D077A">
        <w:rPr>
          <w:rFonts w:eastAsia="MS Mincho"/>
          <w:sz w:val="22"/>
          <w:szCs w:val="22"/>
        </w:rPr>
        <w:t xml:space="preserve">Approximately 45% of plaque psoriasis patients treated with </w:t>
      </w:r>
      <w:proofErr w:type="spellStart"/>
      <w:r w:rsidRPr="003D077A">
        <w:rPr>
          <w:rFonts w:eastAsia="MS Mincho"/>
          <w:sz w:val="22"/>
          <w:szCs w:val="22"/>
        </w:rPr>
        <w:t>bimek</w:t>
      </w:r>
      <w:r>
        <w:rPr>
          <w:rFonts w:eastAsia="MS Mincho"/>
          <w:sz w:val="22"/>
          <w:szCs w:val="22"/>
        </w:rPr>
        <w:t>izu</w:t>
      </w:r>
      <w:r w:rsidRPr="003D077A">
        <w:rPr>
          <w:rFonts w:eastAsia="MS Mincho"/>
          <w:sz w:val="22"/>
          <w:szCs w:val="22"/>
        </w:rPr>
        <w:t>mab</w:t>
      </w:r>
      <w:proofErr w:type="spellEnd"/>
      <w:r w:rsidRPr="003D077A">
        <w:rPr>
          <w:rFonts w:eastAsia="MS Mincho"/>
          <w:sz w:val="22"/>
          <w:szCs w:val="22"/>
        </w:rPr>
        <w:t xml:space="preserve"> </w:t>
      </w:r>
      <w:r>
        <w:rPr>
          <w:rFonts w:eastAsia="MS Mincho"/>
          <w:sz w:val="22"/>
          <w:szCs w:val="22"/>
        </w:rPr>
        <w:t xml:space="preserve">up to 56 weeks </w:t>
      </w:r>
      <w:r w:rsidRPr="003D077A">
        <w:rPr>
          <w:rFonts w:eastAsia="MS Mincho"/>
          <w:sz w:val="22"/>
          <w:szCs w:val="22"/>
        </w:rPr>
        <w:t>at the recommended dosing regime</w:t>
      </w:r>
      <w:r>
        <w:rPr>
          <w:rFonts w:eastAsia="MS Mincho"/>
          <w:sz w:val="22"/>
          <w:szCs w:val="22"/>
        </w:rPr>
        <w:t xml:space="preserve">n </w:t>
      </w:r>
      <w:r w:rsidRPr="003D077A">
        <w:rPr>
          <w:rFonts w:eastAsia="MS Mincho"/>
          <w:sz w:val="22"/>
          <w:szCs w:val="22"/>
        </w:rPr>
        <w:t xml:space="preserve">(320 mg </w:t>
      </w:r>
      <w:r>
        <w:rPr>
          <w:rFonts w:eastAsia="MS Mincho"/>
          <w:sz w:val="22"/>
          <w:szCs w:val="22"/>
        </w:rPr>
        <w:t>every 4 weeks</w:t>
      </w:r>
      <w:r w:rsidRPr="003D077A">
        <w:rPr>
          <w:rFonts w:eastAsia="MS Mincho"/>
          <w:sz w:val="22"/>
          <w:szCs w:val="22"/>
        </w:rPr>
        <w:t xml:space="preserve"> up</w:t>
      </w:r>
      <w:r>
        <w:rPr>
          <w:rFonts w:eastAsia="MS Mincho"/>
          <w:sz w:val="22"/>
          <w:szCs w:val="22"/>
        </w:rPr>
        <w:t xml:space="preserve"> </w:t>
      </w:r>
      <w:r w:rsidRPr="003D077A">
        <w:rPr>
          <w:rFonts w:eastAsia="MS Mincho"/>
          <w:sz w:val="22"/>
          <w:szCs w:val="22"/>
        </w:rPr>
        <w:t xml:space="preserve">to Week 16 and 320 mg </w:t>
      </w:r>
      <w:r>
        <w:rPr>
          <w:rFonts w:eastAsia="MS Mincho"/>
          <w:sz w:val="22"/>
          <w:szCs w:val="22"/>
        </w:rPr>
        <w:t>every 8 weeks</w:t>
      </w:r>
      <w:r w:rsidRPr="003D077A">
        <w:rPr>
          <w:rFonts w:eastAsia="MS Mincho"/>
          <w:sz w:val="22"/>
          <w:szCs w:val="22"/>
        </w:rPr>
        <w:t xml:space="preserve"> thereafter) developed anti-drug antibodies. Of the patients who developed anti</w:t>
      </w:r>
      <w:r>
        <w:rPr>
          <w:rFonts w:eastAsia="MS Mincho"/>
          <w:sz w:val="22"/>
          <w:szCs w:val="22"/>
        </w:rPr>
        <w:t>-</w:t>
      </w:r>
      <w:r w:rsidRPr="003D077A">
        <w:rPr>
          <w:rFonts w:eastAsia="MS Mincho"/>
          <w:sz w:val="22"/>
          <w:szCs w:val="22"/>
        </w:rPr>
        <w:t>drug antibodies, approximately 34</w:t>
      </w:r>
      <w:r w:rsidRPr="00702BDB">
        <w:rPr>
          <w:rFonts w:eastAsia="MS Mincho"/>
          <w:sz w:val="22"/>
          <w:szCs w:val="22"/>
        </w:rPr>
        <w:t xml:space="preserve">% (16% of all patients treated with </w:t>
      </w:r>
      <w:proofErr w:type="spellStart"/>
      <w:r w:rsidRPr="00702BDB">
        <w:rPr>
          <w:rFonts w:eastAsia="MS Mincho"/>
          <w:sz w:val="22"/>
          <w:szCs w:val="22"/>
        </w:rPr>
        <w:t>bimekizumab</w:t>
      </w:r>
      <w:proofErr w:type="spellEnd"/>
      <w:r w:rsidRPr="00702BDB">
        <w:rPr>
          <w:rFonts w:eastAsia="MS Mincho"/>
          <w:sz w:val="22"/>
          <w:szCs w:val="22"/>
        </w:rPr>
        <w:t>) had</w:t>
      </w:r>
      <w:r>
        <w:rPr>
          <w:rFonts w:eastAsia="MS Mincho"/>
          <w:sz w:val="22"/>
          <w:szCs w:val="22"/>
        </w:rPr>
        <w:t xml:space="preserve"> antibodies that were classified as neutralizing</w:t>
      </w:r>
      <w:r w:rsidRPr="003D077A">
        <w:rPr>
          <w:rFonts w:eastAsia="MS Mincho"/>
          <w:sz w:val="22"/>
          <w:szCs w:val="22"/>
        </w:rPr>
        <w:t xml:space="preserve">. No evidence of altered clinical response, or safety profile was associated with </w:t>
      </w:r>
      <w:r w:rsidR="00FE1B33">
        <w:rPr>
          <w:rFonts w:eastAsia="MS Mincho"/>
          <w:sz w:val="22"/>
          <w:szCs w:val="22"/>
        </w:rPr>
        <w:t xml:space="preserve">development of </w:t>
      </w:r>
      <w:r w:rsidRPr="003D077A">
        <w:rPr>
          <w:rFonts w:eastAsia="MS Mincho"/>
          <w:sz w:val="22"/>
          <w:szCs w:val="22"/>
        </w:rPr>
        <w:t>anti-</w:t>
      </w:r>
      <w:proofErr w:type="spellStart"/>
      <w:r>
        <w:rPr>
          <w:rFonts w:eastAsia="MS Mincho"/>
          <w:sz w:val="22"/>
          <w:szCs w:val="22"/>
        </w:rPr>
        <w:t>bimekizumab</w:t>
      </w:r>
      <w:proofErr w:type="spellEnd"/>
      <w:r w:rsidRPr="003D077A">
        <w:rPr>
          <w:rFonts w:eastAsia="MS Mincho"/>
          <w:sz w:val="22"/>
          <w:szCs w:val="22"/>
        </w:rPr>
        <w:t xml:space="preserve"> antibodies </w:t>
      </w:r>
      <w:r w:rsidR="00E742CD">
        <w:rPr>
          <w:rFonts w:eastAsia="MS Mincho"/>
          <w:sz w:val="22"/>
          <w:szCs w:val="22"/>
        </w:rPr>
        <w:t xml:space="preserve">or </w:t>
      </w:r>
      <w:proofErr w:type="spellStart"/>
      <w:r w:rsidR="00E742CD">
        <w:rPr>
          <w:rFonts w:eastAsia="MS Mincho"/>
          <w:sz w:val="22"/>
          <w:szCs w:val="22"/>
        </w:rPr>
        <w:t>neutralising</w:t>
      </w:r>
      <w:proofErr w:type="spellEnd"/>
      <w:r w:rsidR="00E742CD">
        <w:rPr>
          <w:rFonts w:eastAsia="MS Mincho"/>
          <w:sz w:val="22"/>
          <w:szCs w:val="22"/>
        </w:rPr>
        <w:t xml:space="preserve"> antibodies</w:t>
      </w:r>
      <w:r>
        <w:rPr>
          <w:rFonts w:eastAsia="MS Mincho"/>
          <w:sz w:val="22"/>
          <w:szCs w:val="22"/>
        </w:rPr>
        <w:t>.</w:t>
      </w:r>
    </w:p>
    <w:p w14:paraId="26D77D82" w14:textId="4B42075E" w:rsidR="0095305D" w:rsidRDefault="0095305D" w:rsidP="0095305D">
      <w:pPr>
        <w:pStyle w:val="Heading3"/>
      </w:pPr>
      <w:r>
        <w:t>Reporting suspected adverse effects</w:t>
      </w:r>
    </w:p>
    <w:p w14:paraId="33F6ABEF" w14:textId="77777777" w:rsidR="002B2AB7" w:rsidRPr="007E2D65" w:rsidRDefault="006240F6" w:rsidP="00142A7A">
      <w:pPr>
        <w:rPr>
          <w:rFonts w:ascii="Times New Roman" w:hAnsi="Times New Roman" w:cs="Times New Roman"/>
        </w:rPr>
      </w:pPr>
      <w:r w:rsidRPr="007E2D65">
        <w:rPr>
          <w:rFonts w:ascii="Times New Roman" w:hAnsi="Times New Roman" w:cs="Times New Roma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2" w:history="1">
        <w:r w:rsidRPr="007E2D65">
          <w:rPr>
            <w:rStyle w:val="Hyperlink"/>
            <w:rFonts w:ascii="Times New Roman" w:hAnsi="Times New Roman" w:cs="Times New Roman"/>
          </w:rPr>
          <w:t>http://www.tga.gov.au/reporting-problems</w:t>
        </w:r>
      </w:hyperlink>
      <w:r w:rsidRPr="007E2D65">
        <w:rPr>
          <w:rFonts w:ascii="Times New Roman" w:hAnsi="Times New Roman" w:cs="Times New Roman"/>
        </w:rPr>
        <w:t>.</w:t>
      </w:r>
    </w:p>
    <w:p w14:paraId="192EC326" w14:textId="77777777" w:rsidR="002B2AB7" w:rsidRPr="007E2D65" w:rsidRDefault="00F353AF" w:rsidP="0091038F">
      <w:pPr>
        <w:pStyle w:val="Heading2"/>
        <w:rPr>
          <w:rFonts w:ascii="Times New Roman" w:hAnsi="Times New Roman"/>
        </w:rPr>
      </w:pPr>
      <w:r w:rsidRPr="007E2D65">
        <w:rPr>
          <w:rFonts w:ascii="Times New Roman" w:hAnsi="Times New Roman"/>
        </w:rPr>
        <w:t>Overdose</w:t>
      </w:r>
    </w:p>
    <w:p w14:paraId="71D2BA47" w14:textId="07BCCA02" w:rsidR="006240F6" w:rsidRPr="007E2D65" w:rsidRDefault="00876829" w:rsidP="00072E52">
      <w:pPr>
        <w:pStyle w:val="Paragraph"/>
      </w:pPr>
      <w:r w:rsidRPr="00876829">
        <w:rPr>
          <w:rFonts w:eastAsia="Cambria"/>
          <w:sz w:val="22"/>
          <w:szCs w:val="22"/>
          <w:lang w:val="en-AU"/>
        </w:rPr>
        <w:t>Single doses of 640 mg intravenously or 640 mg subcutaneously, followed by 320 mg subcutaneously every two weeks for five doses have been administered in clinical studies without dose-limiting toxicity. In the event of overdose, it is recommended that the patient be monitored for any signs and symptoms of adverse reactions and appropriate symptomatic treatment be instituted immediately.</w:t>
      </w:r>
      <w:r w:rsidR="00072E52" w:rsidRPr="007E2D65">
        <w:br/>
      </w:r>
      <w:r w:rsidR="00072E52" w:rsidRPr="00876829">
        <w:rPr>
          <w:sz w:val="22"/>
          <w:szCs w:val="22"/>
        </w:rPr>
        <w:br/>
        <w:t>For information on the management of overdose, contact the Poisons Information Centre on 131126 (Australia).</w:t>
      </w:r>
    </w:p>
    <w:p w14:paraId="3C412776"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Pharmacological properties</w:t>
      </w:r>
    </w:p>
    <w:p w14:paraId="2A93A279"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Pharmacodynamic properties </w:t>
      </w:r>
    </w:p>
    <w:p w14:paraId="7CCCD62B" w14:textId="77777777" w:rsidR="002B2AB7" w:rsidRPr="007E2D65" w:rsidRDefault="00F353AF" w:rsidP="002F2DA9">
      <w:pPr>
        <w:pStyle w:val="Heading3"/>
      </w:pPr>
      <w:r w:rsidRPr="007E2D65">
        <w:t>Mechanism of action</w:t>
      </w:r>
    </w:p>
    <w:p w14:paraId="3C7E8CFB" w14:textId="7FA908F2" w:rsidR="002F2DA9" w:rsidRPr="007E2D65" w:rsidRDefault="00DC380E" w:rsidP="002F2DA9">
      <w:pPr>
        <w:rPr>
          <w:rFonts w:ascii="Times New Roman" w:hAnsi="Times New Roman" w:cs="Times New Roman"/>
        </w:rPr>
      </w:pPr>
      <w:proofErr w:type="spellStart"/>
      <w:r w:rsidRPr="00DC380E">
        <w:rPr>
          <w:rFonts w:ascii="Times New Roman" w:hAnsi="Times New Roman" w:cs="Times New Roman"/>
        </w:rPr>
        <w:t>Bimekizumab</w:t>
      </w:r>
      <w:proofErr w:type="spellEnd"/>
      <w:r w:rsidRPr="00DC380E">
        <w:rPr>
          <w:rFonts w:ascii="Times New Roman" w:hAnsi="Times New Roman" w:cs="Times New Roman"/>
        </w:rPr>
        <w:t xml:space="preserve"> is a humani</w:t>
      </w:r>
      <w:r w:rsidR="004F4E2D">
        <w:rPr>
          <w:rFonts w:ascii="Times New Roman" w:hAnsi="Times New Roman" w:cs="Times New Roman"/>
        </w:rPr>
        <w:t>s</w:t>
      </w:r>
      <w:r w:rsidRPr="00DC380E">
        <w:rPr>
          <w:rFonts w:ascii="Times New Roman" w:hAnsi="Times New Roman" w:cs="Times New Roman"/>
        </w:rPr>
        <w:t>ed IgG1/κ monoclonal antibody. It has two identical antigen binding regions that bind and neutrali</w:t>
      </w:r>
      <w:r w:rsidR="00E24B18">
        <w:rPr>
          <w:rFonts w:ascii="Times New Roman" w:hAnsi="Times New Roman" w:cs="Times New Roman"/>
        </w:rPr>
        <w:t>s</w:t>
      </w:r>
      <w:r w:rsidRPr="00DC380E">
        <w:rPr>
          <w:rFonts w:ascii="Times New Roman" w:hAnsi="Times New Roman" w:cs="Times New Roman"/>
        </w:rPr>
        <w:t xml:space="preserve">e IL-17A, IL-17F and IL-17AF cytokines. Levels of IL-17A and IL-17F are elevated in several immune mediated inflammatory diseases and drive chronic inflammation and damage across multiple tissues. In human </w:t>
      </w:r>
      <w:r w:rsidRPr="00DC6489">
        <w:rPr>
          <w:rFonts w:ascii="Times New Roman" w:hAnsi="Times New Roman" w:cs="Times New Roman"/>
          <w:i/>
          <w:iCs/>
        </w:rPr>
        <w:t>in vitro</w:t>
      </w:r>
      <w:r w:rsidRPr="00DC380E">
        <w:rPr>
          <w:rFonts w:ascii="Times New Roman" w:hAnsi="Times New Roman" w:cs="Times New Roman"/>
        </w:rPr>
        <w:t xml:space="preserve"> disease models, dual neutrali</w:t>
      </w:r>
      <w:r w:rsidR="00DC6489">
        <w:rPr>
          <w:rFonts w:ascii="Times New Roman" w:hAnsi="Times New Roman" w:cs="Times New Roman"/>
        </w:rPr>
        <w:t>s</w:t>
      </w:r>
      <w:r w:rsidRPr="00DC380E">
        <w:rPr>
          <w:rFonts w:ascii="Times New Roman" w:hAnsi="Times New Roman" w:cs="Times New Roman"/>
        </w:rPr>
        <w:t xml:space="preserve">ation of both IL-17A and IL-17F with </w:t>
      </w:r>
      <w:proofErr w:type="spellStart"/>
      <w:r w:rsidRPr="00DC380E">
        <w:rPr>
          <w:rFonts w:ascii="Times New Roman" w:hAnsi="Times New Roman" w:cs="Times New Roman"/>
        </w:rPr>
        <w:t>bimekizumab</w:t>
      </w:r>
      <w:proofErr w:type="spellEnd"/>
      <w:r w:rsidRPr="00DC380E">
        <w:rPr>
          <w:rFonts w:ascii="Times New Roman" w:hAnsi="Times New Roman" w:cs="Times New Roman"/>
        </w:rPr>
        <w:t xml:space="preserve"> suppresses the expression of inflammation related genes and proteins to a greater extent than inhibition of IL-17A alone. </w:t>
      </w:r>
      <w:r w:rsidR="002F2DA9" w:rsidRPr="007E2D65">
        <w:rPr>
          <w:rFonts w:ascii="Times New Roman" w:hAnsi="Times New Roman" w:cs="Times New Roman"/>
        </w:rPr>
        <w:br/>
      </w:r>
      <w:r w:rsidR="002F2DA9" w:rsidRPr="007E2D65">
        <w:rPr>
          <w:rFonts w:ascii="Times New Roman" w:hAnsi="Times New Roman" w:cs="Times New Roman"/>
        </w:rPr>
        <w:br/>
      </w:r>
      <w:r w:rsidR="002F2DA9" w:rsidRPr="007E2D65">
        <w:rPr>
          <w:rFonts w:ascii="Times New Roman" w:hAnsi="Times New Roman" w:cs="Times New Roman"/>
          <w:b/>
        </w:rPr>
        <w:t>Pharmacodynamic effects</w:t>
      </w:r>
      <w:r w:rsidR="002F2DA9" w:rsidRPr="007E2D65">
        <w:rPr>
          <w:rFonts w:ascii="Times New Roman" w:hAnsi="Times New Roman" w:cs="Times New Roman"/>
        </w:rPr>
        <w:br/>
      </w:r>
      <w:r w:rsidR="00896254" w:rsidRPr="00896254">
        <w:rPr>
          <w:rFonts w:ascii="Times New Roman" w:hAnsi="Times New Roman" w:cs="Times New Roman"/>
        </w:rPr>
        <w:t xml:space="preserve">No formal pharmacodynamic studies have been conducted with </w:t>
      </w:r>
      <w:proofErr w:type="spellStart"/>
      <w:r w:rsidR="00896254" w:rsidRPr="00896254">
        <w:rPr>
          <w:rFonts w:ascii="Times New Roman" w:hAnsi="Times New Roman" w:cs="Times New Roman"/>
        </w:rPr>
        <w:t>bimekizumab</w:t>
      </w:r>
      <w:proofErr w:type="spellEnd"/>
      <w:r w:rsidR="00896254" w:rsidRPr="00896254">
        <w:rPr>
          <w:rFonts w:ascii="Times New Roman" w:hAnsi="Times New Roman" w:cs="Times New Roman"/>
        </w:rPr>
        <w:t>.</w:t>
      </w:r>
    </w:p>
    <w:p w14:paraId="5DF35199" w14:textId="77777777" w:rsidR="002B2AB7" w:rsidRPr="007E2D65" w:rsidRDefault="00F353AF" w:rsidP="002F2DA9">
      <w:pPr>
        <w:pStyle w:val="Heading3"/>
      </w:pPr>
      <w:r w:rsidRPr="007E2D65">
        <w:t>Clinical trials</w:t>
      </w:r>
    </w:p>
    <w:p w14:paraId="79EBFBA9" w14:textId="54250EC6" w:rsidR="00FD6E3A" w:rsidRPr="00FD6E3A" w:rsidRDefault="00FD6E3A" w:rsidP="00FD6E3A">
      <w:pPr>
        <w:pStyle w:val="C-BodyText"/>
        <w:spacing w:before="0"/>
        <w:rPr>
          <w:sz w:val="22"/>
          <w:szCs w:val="22"/>
        </w:rPr>
      </w:pPr>
      <w:bookmarkStart w:id="2" w:name="_Hlk31013686"/>
      <w:r w:rsidRPr="00FD6E3A">
        <w:rPr>
          <w:sz w:val="22"/>
          <w:szCs w:val="22"/>
        </w:rPr>
        <w:t xml:space="preserve">The safety and efficacy of </w:t>
      </w:r>
      <w:proofErr w:type="spellStart"/>
      <w:r w:rsidRPr="00FD6E3A">
        <w:rPr>
          <w:sz w:val="22"/>
          <w:szCs w:val="22"/>
        </w:rPr>
        <w:t>bimekizumab</w:t>
      </w:r>
      <w:proofErr w:type="spellEnd"/>
      <w:r w:rsidRPr="00FD6E3A">
        <w:rPr>
          <w:sz w:val="22"/>
          <w:szCs w:val="22"/>
        </w:rPr>
        <w:t xml:space="preserve"> was evaluated in 1480 patients with moderate to severe plaque psoriasis in three Phase III multicenter, randomized, placebo and/or active comparator-controlled studies. Patients were at least 18 years of age, had a Psoriasis Area and Severity Index (PASI) score ≥12 and Body Surface Area (BSA) affected by PSO ≥10%, an Investigators Global Assessment (IGA) score ≥3 on a 5-point scale and were </w:t>
      </w:r>
      <w:r w:rsidR="000425FF">
        <w:rPr>
          <w:sz w:val="22"/>
          <w:szCs w:val="22"/>
        </w:rPr>
        <w:t>candi</w:t>
      </w:r>
      <w:r w:rsidR="005462D0">
        <w:rPr>
          <w:sz w:val="22"/>
          <w:szCs w:val="22"/>
        </w:rPr>
        <w:t>d</w:t>
      </w:r>
      <w:r w:rsidR="00691EFE">
        <w:rPr>
          <w:sz w:val="22"/>
          <w:szCs w:val="22"/>
        </w:rPr>
        <w:t>a</w:t>
      </w:r>
      <w:r w:rsidRPr="00FD6E3A">
        <w:rPr>
          <w:sz w:val="22"/>
          <w:szCs w:val="22"/>
        </w:rPr>
        <w:t xml:space="preserve">tes for systemic psoriasis therapy and/or phototherapy. The efficacy and safety of </w:t>
      </w:r>
      <w:proofErr w:type="spellStart"/>
      <w:r w:rsidRPr="00FD6E3A">
        <w:rPr>
          <w:sz w:val="22"/>
          <w:szCs w:val="22"/>
        </w:rPr>
        <w:t>bimekizumab</w:t>
      </w:r>
      <w:proofErr w:type="spellEnd"/>
      <w:r w:rsidRPr="00FD6E3A">
        <w:rPr>
          <w:sz w:val="22"/>
          <w:szCs w:val="22"/>
        </w:rPr>
        <w:t xml:space="preserve"> were evaluated versus placebo and </w:t>
      </w:r>
      <w:proofErr w:type="spellStart"/>
      <w:r w:rsidRPr="00FD6E3A">
        <w:rPr>
          <w:sz w:val="22"/>
          <w:szCs w:val="22"/>
        </w:rPr>
        <w:lastRenderedPageBreak/>
        <w:t>ustekinumab</w:t>
      </w:r>
      <w:proofErr w:type="spellEnd"/>
      <w:r w:rsidRPr="00FD6E3A">
        <w:rPr>
          <w:sz w:val="22"/>
          <w:szCs w:val="22"/>
        </w:rPr>
        <w:t xml:space="preserve"> (BE VIVID – PS0009), versus placebo (BE READY – PS0013) and versus adalimumab (BE SURE - PS0008).</w:t>
      </w:r>
    </w:p>
    <w:p w14:paraId="6D227E2C" w14:textId="77777777" w:rsidR="00FD6E3A" w:rsidRPr="00FD6E3A" w:rsidRDefault="00FD6E3A" w:rsidP="00FD6E3A">
      <w:pPr>
        <w:spacing w:after="120" w:line="280" w:lineRule="atLeast"/>
        <w:rPr>
          <w:rFonts w:ascii="Times New Roman" w:eastAsia="Times New Roman" w:hAnsi="Times New Roman" w:cs="Times New Roman"/>
          <w:szCs w:val="20"/>
          <w:lang w:val="en-US"/>
        </w:rPr>
      </w:pPr>
      <w:r w:rsidRPr="00FD6E3A">
        <w:rPr>
          <w:rFonts w:ascii="Times New Roman" w:eastAsia="Times New Roman" w:hAnsi="Times New Roman" w:cs="Times New Roman"/>
          <w:szCs w:val="20"/>
          <w:lang w:val="en-US"/>
        </w:rPr>
        <w:t xml:space="preserve">The BE VIVID study evaluated 567 patients for 52 weeks where patients were randomized to receive either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4 weeks, </w:t>
      </w:r>
      <w:proofErr w:type="spellStart"/>
      <w:r w:rsidRPr="00FD6E3A">
        <w:rPr>
          <w:rFonts w:ascii="Times New Roman" w:eastAsia="Times New Roman" w:hAnsi="Times New Roman" w:cs="Times New Roman"/>
          <w:szCs w:val="20"/>
          <w:lang w:val="en-US"/>
        </w:rPr>
        <w:t>ustekinumab</w:t>
      </w:r>
      <w:proofErr w:type="spellEnd"/>
      <w:r w:rsidRPr="00FD6E3A">
        <w:rPr>
          <w:rFonts w:ascii="Times New Roman" w:eastAsia="Times New Roman" w:hAnsi="Times New Roman" w:cs="Times New Roman"/>
          <w:szCs w:val="20"/>
          <w:lang w:val="en-US"/>
        </w:rPr>
        <w:t xml:space="preserve"> (45 mg or 90 mg, depending on patient weight, at baseline and Week 4 and then every 12 weeks), or placebo for an initial 16 weeks followed by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4 weeks. </w:t>
      </w:r>
    </w:p>
    <w:p w14:paraId="5F4F60E2" w14:textId="77777777" w:rsidR="00FD6E3A" w:rsidRPr="00FD6E3A" w:rsidRDefault="00FD6E3A" w:rsidP="00FD6E3A">
      <w:pPr>
        <w:spacing w:before="120" w:after="120" w:line="280" w:lineRule="atLeast"/>
        <w:rPr>
          <w:rFonts w:ascii="Times New Roman" w:eastAsia="Calibri" w:hAnsi="Times New Roman" w:cs="Times New Roman"/>
          <w:lang w:val="en-US"/>
        </w:rPr>
      </w:pPr>
      <w:r w:rsidRPr="00FD6E3A">
        <w:rPr>
          <w:rFonts w:ascii="Times New Roman" w:eastAsia="Times New Roman" w:hAnsi="Times New Roman" w:cs="Times New Roman"/>
          <w:lang w:val="en-US"/>
        </w:rPr>
        <w:t xml:space="preserve">The BE READY study evaluated 435 patients for 56 weeks. Patients were randomized to receive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4 weeks or placebo. At Week 16, patients who achieved a PASI 90 response entered the 40-week randomized withdrawal period. Patients initially randomized to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4 weeks were re-randomized to either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4 weeks or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8 weeks or placebo (</w:t>
      </w:r>
      <w:proofErr w:type="gramStart"/>
      <w:r w:rsidRPr="00FD6E3A">
        <w:rPr>
          <w:rFonts w:ascii="Times New Roman" w:eastAsia="Times New Roman" w:hAnsi="Times New Roman" w:cs="Times New Roman"/>
          <w:lang w:val="en-US"/>
        </w:rPr>
        <w:t>i.e.</w:t>
      </w:r>
      <w:proofErr w:type="gramEnd"/>
      <w:r w:rsidRPr="00FD6E3A">
        <w:rPr>
          <w:rFonts w:ascii="Times New Roman" w:eastAsia="Times New Roman" w:hAnsi="Times New Roman" w:cs="Times New Roman"/>
          <w:lang w:val="en-US"/>
        </w:rPr>
        <w:t xml:space="preserve"> withdrawal of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Patients initially randomized to placebo continued to receive placebo provided they were PASI 90 responders. Patients who did not achieve a PASI 90 response at Week 16 entered an open-label escape arm and received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4 weeks for 12 weeks. Patients who relapsed (did not achieve PASI 75 response) during the randomized withdrawal period also entered the 12-week escape arm.</w:t>
      </w:r>
    </w:p>
    <w:p w14:paraId="0344A488" w14:textId="77777777" w:rsidR="00FD6E3A" w:rsidRPr="00FD6E3A" w:rsidRDefault="00FD6E3A" w:rsidP="00FD6E3A">
      <w:pPr>
        <w:spacing w:after="120" w:line="280" w:lineRule="atLeast"/>
        <w:rPr>
          <w:rFonts w:ascii="Times New Roman" w:eastAsia="Times New Roman" w:hAnsi="Times New Roman" w:cs="Times New Roman"/>
          <w:szCs w:val="20"/>
          <w:lang w:val="en-US"/>
        </w:rPr>
      </w:pPr>
      <w:r w:rsidRPr="00FD6E3A">
        <w:rPr>
          <w:rFonts w:ascii="Times New Roman" w:eastAsia="Times New Roman" w:hAnsi="Times New Roman" w:cs="Times New Roman"/>
          <w:szCs w:val="20"/>
          <w:lang w:val="en-US"/>
        </w:rPr>
        <w:t xml:space="preserve">The BE SURE study evaluated 478 patients for 56 weeks. Patients were randomized to receive either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4 weeks through Week 56,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4 weeks through Week 16 followed by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8 weeks through Week 56 or adalimumab as per labeling recommendation through Week 24 followed by </w:t>
      </w:r>
      <w:proofErr w:type="spellStart"/>
      <w:r w:rsidRPr="00FD6E3A">
        <w:rPr>
          <w:rFonts w:ascii="Times New Roman" w:eastAsia="Times New Roman" w:hAnsi="Times New Roman" w:cs="Times New Roman"/>
          <w:szCs w:val="20"/>
          <w:lang w:val="en-US"/>
        </w:rPr>
        <w:t>bimekizumab</w:t>
      </w:r>
      <w:proofErr w:type="spellEnd"/>
      <w:r w:rsidRPr="00FD6E3A">
        <w:rPr>
          <w:rFonts w:ascii="Times New Roman" w:eastAsia="Times New Roman" w:hAnsi="Times New Roman" w:cs="Times New Roman"/>
          <w:szCs w:val="20"/>
          <w:lang w:val="en-US"/>
        </w:rPr>
        <w:t xml:space="preserve"> 320 mg every 4 weeks through Week 56.</w:t>
      </w:r>
    </w:p>
    <w:bookmarkEnd w:id="2"/>
    <w:p w14:paraId="7B68B47E" w14:textId="77777777" w:rsidR="00FD6E3A" w:rsidRPr="00FD6E3A" w:rsidRDefault="00FD6E3A" w:rsidP="00FD6E3A">
      <w:pPr>
        <w:spacing w:after="120" w:line="280" w:lineRule="atLeast"/>
        <w:rPr>
          <w:rFonts w:ascii="Times New Roman" w:eastAsia="Times New Roman" w:hAnsi="Times New Roman" w:cs="Times New Roman"/>
          <w:lang w:val="en-US"/>
        </w:rPr>
      </w:pPr>
      <w:r w:rsidRPr="00FD6E3A">
        <w:rPr>
          <w:rFonts w:ascii="Times New Roman" w:eastAsia="Times New Roman" w:hAnsi="Times New Roman" w:cs="Times New Roman"/>
          <w:lang w:val="en-US"/>
        </w:rPr>
        <w:t xml:space="preserve">Baseline characteristics were consistent across all 3 studies. Among those, the median baseline BSA was 20%, the median baseline PASI score was 18 and the baseline IGA score was severe in 33% of patients. The median baseline scores for Patient Symptoms Diary (PSD) pain, itch and scaling items ranged between 6 and 7 on </w:t>
      </w:r>
      <w:proofErr w:type="gramStart"/>
      <w:r w:rsidRPr="00FD6E3A">
        <w:rPr>
          <w:rFonts w:ascii="Times New Roman" w:eastAsia="Times New Roman" w:hAnsi="Times New Roman" w:cs="Times New Roman"/>
          <w:lang w:val="en-US"/>
        </w:rPr>
        <w:t>a 0-10 points</w:t>
      </w:r>
      <w:proofErr w:type="gramEnd"/>
      <w:r w:rsidRPr="00FD6E3A">
        <w:rPr>
          <w:rFonts w:ascii="Times New Roman" w:eastAsia="Times New Roman" w:hAnsi="Times New Roman" w:cs="Times New Roman"/>
          <w:lang w:val="en-US"/>
        </w:rPr>
        <w:t xml:space="preserve"> scale and the median baseline Dermatology Life Quality Index (DLQI) total score was 9. </w:t>
      </w:r>
    </w:p>
    <w:p w14:paraId="7AE143BA" w14:textId="77777777" w:rsidR="00FD6E3A" w:rsidRPr="00FD6E3A" w:rsidRDefault="00FD6E3A" w:rsidP="00FD6E3A">
      <w:pPr>
        <w:spacing w:before="120" w:after="120" w:line="280" w:lineRule="atLeast"/>
        <w:rPr>
          <w:rFonts w:ascii="Times New Roman" w:eastAsia="Calibri" w:hAnsi="Times New Roman" w:cs="Times New Roman"/>
          <w:lang w:val="en-US"/>
        </w:rPr>
      </w:pPr>
      <w:r w:rsidRPr="00FD6E3A">
        <w:rPr>
          <w:rFonts w:ascii="Times New Roman" w:eastAsia="Times New Roman" w:hAnsi="Times New Roman" w:cs="Times New Roman"/>
          <w:lang w:val="en-US"/>
        </w:rPr>
        <w:t>Across all 3 studies, 38% of patients had received a prior biologic therapy; 23% had received at least one anti-IL17 agent and 13% had received at least one TNF-antagonist. Twenty-two percent were naïve to any systemic therapy (including non-biologic and biologic)</w:t>
      </w:r>
      <w:r w:rsidRPr="00FD6E3A">
        <w:rPr>
          <w:rFonts w:ascii="Times New Roman" w:eastAsia="Times New Roman" w:hAnsi="Times New Roman" w:cs="Times New Roman"/>
          <w:sz w:val="16"/>
          <w:szCs w:val="16"/>
          <w:lang w:val="en-US"/>
        </w:rPr>
        <w:t xml:space="preserve"> </w:t>
      </w:r>
      <w:r w:rsidRPr="00FD6E3A">
        <w:rPr>
          <w:rFonts w:ascii="Times New Roman" w:eastAsia="Times New Roman" w:hAnsi="Times New Roman" w:cs="Times New Roman"/>
          <w:lang w:val="en-US"/>
        </w:rPr>
        <w:t>and 39% of patients had received prior phototherapy or chemotherapy.</w:t>
      </w:r>
    </w:p>
    <w:p w14:paraId="2EF03460" w14:textId="77777777" w:rsidR="00FD6E3A" w:rsidRPr="00FD6E3A" w:rsidRDefault="00FD6E3A" w:rsidP="00FD6E3A">
      <w:pPr>
        <w:spacing w:before="120" w:after="120" w:line="280" w:lineRule="atLeast"/>
        <w:rPr>
          <w:rFonts w:ascii="Times New Roman" w:eastAsia="Times New Roman" w:hAnsi="Times New Roman" w:cs="Times New Roman"/>
          <w:bCs/>
          <w:lang w:val="en-GB"/>
        </w:rPr>
      </w:pPr>
      <w:r w:rsidRPr="00FD6E3A">
        <w:rPr>
          <w:rFonts w:ascii="Times New Roman" w:eastAsia="Calibri" w:hAnsi="Times New Roman" w:cs="Times New Roman"/>
          <w:lang w:val="en-US"/>
        </w:rPr>
        <w:t xml:space="preserve">The efficacy of </w:t>
      </w:r>
      <w:proofErr w:type="spellStart"/>
      <w:r w:rsidRPr="00FD6E3A">
        <w:rPr>
          <w:rFonts w:ascii="Times New Roman" w:eastAsia="Calibri" w:hAnsi="Times New Roman" w:cs="Times New Roman"/>
          <w:lang w:val="en-US"/>
        </w:rPr>
        <w:t>bimekizumab</w:t>
      </w:r>
      <w:proofErr w:type="spellEnd"/>
      <w:r w:rsidRPr="00FD6E3A">
        <w:rPr>
          <w:rFonts w:ascii="Times New Roman" w:eastAsia="Calibri" w:hAnsi="Times New Roman" w:cs="Times New Roman"/>
          <w:lang w:val="en-US"/>
        </w:rPr>
        <w:t xml:space="preserve"> was evaluated with respect to impact on skin disease overall, specific body</w:t>
      </w:r>
      <w:r w:rsidRPr="00FD6E3A">
        <w:rPr>
          <w:rFonts w:ascii="Times New Roman" w:eastAsia="Times New Roman" w:hAnsi="Times New Roman" w:cs="Times New Roman"/>
          <w:bCs/>
          <w:lang w:val="en-GB"/>
        </w:rPr>
        <w:t xml:space="preserve"> locations (scalp, nails and hand and foot), patient reported symptoms and impact on quality of life. The two co-primary </w:t>
      </w:r>
      <w:proofErr w:type="gramStart"/>
      <w:r w:rsidRPr="00FD6E3A">
        <w:rPr>
          <w:rFonts w:ascii="Times New Roman" w:eastAsia="Times New Roman" w:hAnsi="Times New Roman" w:cs="Times New Roman"/>
          <w:bCs/>
          <w:lang w:val="en-GB"/>
        </w:rPr>
        <w:t>end-points</w:t>
      </w:r>
      <w:proofErr w:type="gramEnd"/>
      <w:r w:rsidRPr="00FD6E3A">
        <w:rPr>
          <w:rFonts w:ascii="Times New Roman" w:eastAsia="Times New Roman" w:hAnsi="Times New Roman" w:cs="Times New Roman"/>
          <w:bCs/>
          <w:lang w:val="en-GB"/>
        </w:rPr>
        <w:t xml:space="preserve"> in all 3 studies were the proportion of patients who achieved 1) a PASI 90 response and 2) an IGA “clear or almost clear” (IGA 0/1with at least two points improvement from baseline) response at Week 16. PASI 100, IGA 0 response at Week 16 and PASI 75 response at Week 4 were key secondary endpoints in all 3 studies.</w:t>
      </w:r>
    </w:p>
    <w:p w14:paraId="50161FD0" w14:textId="77777777" w:rsidR="00FD6E3A" w:rsidRPr="00FD6E3A" w:rsidRDefault="00FD6E3A" w:rsidP="00FD6E3A">
      <w:pPr>
        <w:spacing w:after="120" w:line="280" w:lineRule="atLeast"/>
        <w:rPr>
          <w:rFonts w:ascii="Times New Roman" w:eastAsia="Times New Roman" w:hAnsi="Times New Roman" w:cs="Arial"/>
          <w:b/>
          <w:u w:val="single"/>
          <w:lang w:val="en-US"/>
        </w:rPr>
      </w:pPr>
      <w:r w:rsidRPr="00FD6E3A">
        <w:rPr>
          <w:rFonts w:ascii="Times New Roman" w:eastAsia="Times New Roman" w:hAnsi="Times New Roman" w:cs="Arial"/>
          <w:b/>
          <w:u w:val="single"/>
          <w:lang w:val="en-US"/>
        </w:rPr>
        <w:t>Skin disease overall</w:t>
      </w:r>
    </w:p>
    <w:p w14:paraId="7BCF5FB3" w14:textId="77777777" w:rsidR="00FD6E3A" w:rsidRPr="00FD6E3A" w:rsidRDefault="00FD6E3A" w:rsidP="00FD6E3A">
      <w:pPr>
        <w:spacing w:after="120" w:line="280" w:lineRule="atLeast"/>
        <w:rPr>
          <w:rFonts w:ascii="Times New Roman" w:eastAsia="Times New Roman" w:hAnsi="Times New Roman" w:cs="Times New Roman"/>
          <w:bCs/>
          <w:szCs w:val="20"/>
          <w:lang w:val="en-GB"/>
        </w:rPr>
      </w:pPr>
      <w:r w:rsidRPr="00FD6E3A">
        <w:rPr>
          <w:rFonts w:ascii="Times New Roman" w:eastAsia="Times New Roman" w:hAnsi="Times New Roman" w:cs="Times New Roman"/>
          <w:lang w:val="en-US"/>
        </w:rPr>
        <w:t xml:space="preserve">Treatment with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resulted in significant improvement in the measures of disease activity compared to placebo, </w:t>
      </w:r>
      <w:proofErr w:type="spellStart"/>
      <w:r w:rsidRPr="00FD6E3A">
        <w:rPr>
          <w:rFonts w:ascii="Times New Roman" w:eastAsia="Times New Roman" w:hAnsi="Times New Roman" w:cs="Times New Roman"/>
          <w:lang w:val="en-US"/>
        </w:rPr>
        <w:t>ustekinumab</w:t>
      </w:r>
      <w:proofErr w:type="spellEnd"/>
      <w:r w:rsidRPr="00FD6E3A">
        <w:rPr>
          <w:rFonts w:ascii="Times New Roman" w:eastAsia="Times New Roman" w:hAnsi="Times New Roman" w:cs="Times New Roman"/>
          <w:lang w:val="en-US"/>
        </w:rPr>
        <w:t xml:space="preserve"> or adalimumab at Week 16. The key efficacy results are shown in Table 2.</w:t>
      </w:r>
    </w:p>
    <w:p w14:paraId="5D9760DE" w14:textId="77777777" w:rsidR="00FD6E3A" w:rsidRPr="00FD6E3A" w:rsidRDefault="00FD6E3A" w:rsidP="00FD6E3A">
      <w:pPr>
        <w:spacing w:before="120" w:after="120" w:line="280" w:lineRule="atLeast"/>
        <w:rPr>
          <w:rFonts w:ascii="Times New Roman" w:eastAsia="Times New Roman" w:hAnsi="Times New Roman" w:cs="Times New Roman"/>
          <w:bCs/>
          <w:szCs w:val="20"/>
          <w:lang w:val="en-US"/>
        </w:rPr>
      </w:pPr>
      <w:r w:rsidRPr="00FD6E3A">
        <w:rPr>
          <w:rFonts w:ascii="Times New Roman" w:eastAsia="Times New Roman" w:hAnsi="Times New Roman" w:cs="Times New Roman"/>
          <w:b/>
          <w:bCs/>
          <w:szCs w:val="20"/>
          <w:lang w:val="en-US"/>
        </w:rPr>
        <w:t xml:space="preserve">Table 2: Summary of clinical responses in BE VIVID, BE READY and BE SURE  </w:t>
      </w:r>
    </w:p>
    <w:tbl>
      <w:tblPr>
        <w:tblStyle w:val="TableGrid2"/>
        <w:tblW w:w="10368" w:type="dxa"/>
        <w:tblLayout w:type="fixed"/>
        <w:tblLook w:val="04A0" w:firstRow="1" w:lastRow="0" w:firstColumn="1" w:lastColumn="0" w:noHBand="0" w:noVBand="1"/>
      </w:tblPr>
      <w:tblGrid>
        <w:gridCol w:w="1696"/>
        <w:gridCol w:w="1134"/>
        <w:gridCol w:w="1276"/>
        <w:gridCol w:w="1276"/>
        <w:gridCol w:w="1003"/>
        <w:gridCol w:w="1283"/>
        <w:gridCol w:w="1399"/>
        <w:gridCol w:w="1301"/>
      </w:tblGrid>
      <w:tr w:rsidR="00FD6E3A" w:rsidRPr="00FD6E3A" w14:paraId="6C3E11DB" w14:textId="77777777" w:rsidTr="00366F4C">
        <w:trPr>
          <w:trHeight w:val="350"/>
        </w:trPr>
        <w:tc>
          <w:tcPr>
            <w:tcW w:w="1696" w:type="dxa"/>
            <w:tcBorders>
              <w:top w:val="single" w:sz="4" w:space="0" w:color="auto"/>
              <w:left w:val="single" w:sz="4" w:space="0" w:color="auto"/>
              <w:bottom w:val="single" w:sz="4" w:space="0" w:color="auto"/>
              <w:right w:val="double" w:sz="4" w:space="0" w:color="auto"/>
            </w:tcBorders>
          </w:tcPr>
          <w:p w14:paraId="136C14D2" w14:textId="77777777" w:rsidR="00FD6E3A" w:rsidRPr="00FD6E3A" w:rsidRDefault="00FD6E3A" w:rsidP="00FD6E3A">
            <w:pPr>
              <w:rPr>
                <w:rFonts w:ascii="Times New Roman" w:eastAsia="Times New Roman" w:hAnsi="Times New Roman" w:cs="Times New Roman"/>
                <w:b/>
                <w:bCs/>
                <w:sz w:val="18"/>
                <w:szCs w:val="18"/>
              </w:rPr>
            </w:pPr>
          </w:p>
        </w:tc>
        <w:tc>
          <w:tcPr>
            <w:tcW w:w="3686" w:type="dxa"/>
            <w:gridSpan w:val="3"/>
            <w:tcBorders>
              <w:top w:val="single" w:sz="4" w:space="0" w:color="auto"/>
              <w:left w:val="double" w:sz="4" w:space="0" w:color="auto"/>
              <w:bottom w:val="single" w:sz="4" w:space="0" w:color="auto"/>
              <w:right w:val="double" w:sz="4" w:space="0" w:color="auto"/>
            </w:tcBorders>
          </w:tcPr>
          <w:p w14:paraId="34676C8B" w14:textId="77777777" w:rsidR="00FD6E3A" w:rsidRPr="00FD6E3A" w:rsidRDefault="00FD6E3A" w:rsidP="00FD6E3A">
            <w:pPr>
              <w:rPr>
                <w:rFonts w:ascii="Times New Roman" w:eastAsia="Times New Roman" w:hAnsi="Times New Roman" w:cs="Times New Roman"/>
                <w:b/>
                <w:bCs/>
              </w:rPr>
            </w:pPr>
            <w:r w:rsidRPr="00FD6E3A">
              <w:rPr>
                <w:rFonts w:ascii="Times New Roman" w:eastAsia="Times New Roman" w:hAnsi="Times New Roman" w:cs="Times New Roman"/>
                <w:b/>
                <w:bCs/>
              </w:rPr>
              <w:t>BE VIVID</w:t>
            </w:r>
          </w:p>
        </w:tc>
        <w:tc>
          <w:tcPr>
            <w:tcW w:w="2286" w:type="dxa"/>
            <w:gridSpan w:val="2"/>
            <w:tcBorders>
              <w:top w:val="single" w:sz="4" w:space="0" w:color="auto"/>
              <w:left w:val="double" w:sz="4" w:space="0" w:color="auto"/>
              <w:bottom w:val="single" w:sz="4" w:space="0" w:color="auto"/>
              <w:right w:val="double" w:sz="4" w:space="0" w:color="auto"/>
            </w:tcBorders>
            <w:hideMark/>
          </w:tcPr>
          <w:p w14:paraId="7EBBE96F" w14:textId="77777777" w:rsidR="00FD6E3A" w:rsidRPr="00FD6E3A" w:rsidRDefault="00FD6E3A" w:rsidP="00FD6E3A">
            <w:pPr>
              <w:rPr>
                <w:rFonts w:ascii="Times New Roman" w:eastAsia="Times New Roman" w:hAnsi="Times New Roman" w:cs="Times New Roman"/>
                <w:b/>
                <w:bCs/>
              </w:rPr>
            </w:pPr>
            <w:r w:rsidRPr="00FD6E3A">
              <w:rPr>
                <w:rFonts w:ascii="Times New Roman" w:eastAsia="Times New Roman" w:hAnsi="Times New Roman" w:cs="Times New Roman"/>
                <w:b/>
                <w:bCs/>
              </w:rPr>
              <w:t>BE READY</w:t>
            </w:r>
          </w:p>
        </w:tc>
        <w:tc>
          <w:tcPr>
            <w:tcW w:w="2700" w:type="dxa"/>
            <w:gridSpan w:val="2"/>
            <w:tcBorders>
              <w:top w:val="single" w:sz="4" w:space="0" w:color="auto"/>
              <w:left w:val="double" w:sz="4" w:space="0" w:color="auto"/>
              <w:bottom w:val="single" w:sz="4" w:space="0" w:color="auto"/>
              <w:right w:val="single" w:sz="4" w:space="0" w:color="auto"/>
            </w:tcBorders>
          </w:tcPr>
          <w:p w14:paraId="09F73878" w14:textId="77777777" w:rsidR="00FD6E3A" w:rsidRPr="00FD6E3A" w:rsidRDefault="00FD6E3A" w:rsidP="00FD6E3A">
            <w:pPr>
              <w:rPr>
                <w:rFonts w:ascii="Times New Roman" w:eastAsia="Times New Roman" w:hAnsi="Times New Roman" w:cs="Times New Roman"/>
                <w:b/>
                <w:bCs/>
              </w:rPr>
            </w:pPr>
            <w:r w:rsidRPr="00FD6E3A">
              <w:rPr>
                <w:rFonts w:ascii="Times New Roman" w:eastAsia="Times New Roman" w:hAnsi="Times New Roman" w:cs="Times New Roman"/>
                <w:b/>
                <w:bCs/>
              </w:rPr>
              <w:t>BE SURE</w:t>
            </w:r>
          </w:p>
        </w:tc>
      </w:tr>
      <w:tr w:rsidR="00FD6E3A" w:rsidRPr="00FD6E3A" w14:paraId="1DC5D1D6" w14:textId="77777777" w:rsidTr="00366F4C">
        <w:tc>
          <w:tcPr>
            <w:tcW w:w="1696" w:type="dxa"/>
            <w:tcBorders>
              <w:top w:val="single" w:sz="4" w:space="0" w:color="auto"/>
              <w:left w:val="single" w:sz="4" w:space="0" w:color="auto"/>
              <w:bottom w:val="single" w:sz="4" w:space="0" w:color="auto"/>
              <w:right w:val="double" w:sz="4" w:space="0" w:color="auto"/>
            </w:tcBorders>
          </w:tcPr>
          <w:p w14:paraId="243FFC97" w14:textId="77777777" w:rsidR="00FD6E3A" w:rsidRPr="00FD6E3A" w:rsidRDefault="00FD6E3A" w:rsidP="00FD6E3A">
            <w:pPr>
              <w:rPr>
                <w:rFonts w:ascii="Times New Roman" w:eastAsia="Times New Roman" w:hAnsi="Times New Roman" w:cs="Times New Roman"/>
                <w:bCs/>
                <w:sz w:val="18"/>
                <w:szCs w:val="18"/>
              </w:rPr>
            </w:pPr>
          </w:p>
        </w:tc>
        <w:tc>
          <w:tcPr>
            <w:tcW w:w="1134" w:type="dxa"/>
            <w:tcBorders>
              <w:top w:val="single" w:sz="4" w:space="0" w:color="auto"/>
              <w:left w:val="double" w:sz="4" w:space="0" w:color="auto"/>
              <w:bottom w:val="single" w:sz="4" w:space="0" w:color="auto"/>
              <w:right w:val="single" w:sz="4" w:space="0" w:color="auto"/>
            </w:tcBorders>
            <w:hideMark/>
          </w:tcPr>
          <w:p w14:paraId="45C9F469"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Placebo</w:t>
            </w:r>
          </w:p>
          <w:p w14:paraId="6FB24BE4"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83)</w:t>
            </w:r>
          </w:p>
          <w:p w14:paraId="26164B50"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Borders>
              <w:top w:val="single" w:sz="4" w:space="0" w:color="auto"/>
              <w:left w:val="single" w:sz="4" w:space="0" w:color="auto"/>
              <w:bottom w:val="single" w:sz="4" w:space="0" w:color="auto"/>
              <w:right w:val="single" w:sz="4" w:space="0" w:color="auto"/>
            </w:tcBorders>
          </w:tcPr>
          <w:p w14:paraId="4053FBAD"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BKZ 320 mg Q4W</w:t>
            </w:r>
          </w:p>
          <w:p w14:paraId="70EAFDDA"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321)</w:t>
            </w:r>
          </w:p>
          <w:p w14:paraId="02198484"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Borders>
              <w:top w:val="single" w:sz="4" w:space="0" w:color="auto"/>
              <w:left w:val="single" w:sz="4" w:space="0" w:color="auto"/>
              <w:bottom w:val="single" w:sz="4" w:space="0" w:color="auto"/>
              <w:right w:val="double" w:sz="4" w:space="0" w:color="auto"/>
            </w:tcBorders>
            <w:hideMark/>
          </w:tcPr>
          <w:p w14:paraId="27FD7A38"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Ustekinumab</w:t>
            </w:r>
          </w:p>
          <w:p w14:paraId="42468E03"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(N=163)</w:t>
            </w:r>
          </w:p>
          <w:p w14:paraId="27C2E780"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003" w:type="dxa"/>
            <w:tcBorders>
              <w:top w:val="single" w:sz="4" w:space="0" w:color="auto"/>
              <w:left w:val="double" w:sz="4" w:space="0" w:color="auto"/>
              <w:bottom w:val="single" w:sz="4" w:space="0" w:color="auto"/>
              <w:right w:val="single" w:sz="4" w:space="0" w:color="auto"/>
            </w:tcBorders>
            <w:hideMark/>
          </w:tcPr>
          <w:p w14:paraId="7B37EE3E"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Placebo</w:t>
            </w:r>
          </w:p>
          <w:p w14:paraId="2BBBAB13"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86)</w:t>
            </w:r>
          </w:p>
          <w:p w14:paraId="599EB6C4"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83" w:type="dxa"/>
            <w:tcBorders>
              <w:top w:val="single" w:sz="4" w:space="0" w:color="auto"/>
              <w:left w:val="single" w:sz="4" w:space="0" w:color="auto"/>
              <w:bottom w:val="single" w:sz="4" w:space="0" w:color="auto"/>
              <w:right w:val="double" w:sz="4" w:space="0" w:color="auto"/>
            </w:tcBorders>
            <w:hideMark/>
          </w:tcPr>
          <w:p w14:paraId="38D66641"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BKZ 320 mg Q4W</w:t>
            </w:r>
          </w:p>
          <w:p w14:paraId="141D986B"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349)</w:t>
            </w:r>
          </w:p>
          <w:p w14:paraId="4E6CFB51"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399" w:type="dxa"/>
            <w:tcBorders>
              <w:top w:val="single" w:sz="4" w:space="0" w:color="auto"/>
              <w:left w:val="double" w:sz="4" w:space="0" w:color="auto"/>
              <w:bottom w:val="single" w:sz="4" w:space="0" w:color="auto"/>
              <w:right w:val="single" w:sz="4" w:space="0" w:color="auto"/>
            </w:tcBorders>
          </w:tcPr>
          <w:p w14:paraId="45F21FFA"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BKZ 320 mg Q4W</w:t>
            </w:r>
          </w:p>
          <w:p w14:paraId="74C19395"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319)</w:t>
            </w:r>
          </w:p>
          <w:p w14:paraId="4147AC32"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301" w:type="dxa"/>
            <w:tcBorders>
              <w:top w:val="single" w:sz="4" w:space="0" w:color="auto"/>
              <w:left w:val="single" w:sz="4" w:space="0" w:color="auto"/>
              <w:bottom w:val="single" w:sz="4" w:space="0" w:color="auto"/>
              <w:right w:val="single" w:sz="4" w:space="0" w:color="auto"/>
            </w:tcBorders>
          </w:tcPr>
          <w:p w14:paraId="75A5D7BF"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Adalimumab</w:t>
            </w:r>
          </w:p>
          <w:p w14:paraId="7652B591"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(N= 159)</w:t>
            </w:r>
          </w:p>
          <w:p w14:paraId="5E0C6D31" w14:textId="77777777"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r>
      <w:tr w:rsidR="00FD6E3A" w:rsidRPr="00FD6E3A" w14:paraId="12BE74D8" w14:textId="77777777" w:rsidTr="00366F4C">
        <w:tc>
          <w:tcPr>
            <w:tcW w:w="1696" w:type="dxa"/>
            <w:tcBorders>
              <w:top w:val="single" w:sz="4" w:space="0" w:color="auto"/>
              <w:left w:val="single" w:sz="4" w:space="0" w:color="auto"/>
              <w:bottom w:val="single" w:sz="4" w:space="0" w:color="auto"/>
              <w:right w:val="double" w:sz="4" w:space="0" w:color="auto"/>
            </w:tcBorders>
            <w:hideMark/>
          </w:tcPr>
          <w:p w14:paraId="490FBAD6"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lastRenderedPageBreak/>
              <w:t>PASI 100</w:t>
            </w:r>
          </w:p>
          <w:p w14:paraId="7B7F7124"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Cs/>
                <w:sz w:val="18"/>
                <w:szCs w:val="18"/>
              </w:rPr>
              <w:t>Week 16</w:t>
            </w:r>
          </w:p>
        </w:tc>
        <w:tc>
          <w:tcPr>
            <w:tcW w:w="1134" w:type="dxa"/>
            <w:tcBorders>
              <w:top w:val="single" w:sz="4" w:space="0" w:color="auto"/>
              <w:left w:val="double" w:sz="4" w:space="0" w:color="auto"/>
              <w:bottom w:val="single" w:sz="4" w:space="0" w:color="auto"/>
              <w:right w:val="single" w:sz="4" w:space="0" w:color="auto"/>
            </w:tcBorders>
            <w:vAlign w:val="center"/>
          </w:tcPr>
          <w:p w14:paraId="63246444" w14:textId="77777777" w:rsidR="00FD6E3A" w:rsidRPr="00FD6E3A" w:rsidRDefault="00FD6E3A" w:rsidP="00FD6E3A">
            <w:pPr>
              <w:spacing w:before="240" w:after="120"/>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0 (0.0)</w:t>
            </w:r>
          </w:p>
        </w:tc>
        <w:tc>
          <w:tcPr>
            <w:tcW w:w="1276" w:type="dxa"/>
            <w:tcBorders>
              <w:top w:val="single" w:sz="4" w:space="0" w:color="auto"/>
              <w:left w:val="single" w:sz="4" w:space="0" w:color="auto"/>
              <w:bottom w:val="single" w:sz="4" w:space="0" w:color="auto"/>
              <w:right w:val="single" w:sz="4" w:space="0" w:color="auto"/>
            </w:tcBorders>
            <w:vAlign w:val="center"/>
          </w:tcPr>
          <w:p w14:paraId="06277E04" w14:textId="77777777" w:rsidR="00FD6E3A" w:rsidRPr="00FD6E3A" w:rsidRDefault="00FD6E3A" w:rsidP="00FD6E3A">
            <w:pPr>
              <w:spacing w:before="240" w:after="120"/>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188 (58.6) </w:t>
            </w:r>
            <w:r w:rsidRPr="00FD6E3A">
              <w:rPr>
                <w:rFonts w:ascii="Times New Roman" w:eastAsia="Times New Roman" w:hAnsi="Times New Roman" w:cs="Times New Roman"/>
                <w:bCs/>
                <w:sz w:val="18"/>
                <w:szCs w:val="18"/>
                <w:vertAlign w:val="superscript"/>
              </w:rPr>
              <w:t>a</w:t>
            </w:r>
          </w:p>
        </w:tc>
        <w:tc>
          <w:tcPr>
            <w:tcW w:w="1276" w:type="dxa"/>
            <w:tcBorders>
              <w:top w:val="single" w:sz="4" w:space="0" w:color="auto"/>
              <w:left w:val="single" w:sz="4" w:space="0" w:color="auto"/>
              <w:bottom w:val="single" w:sz="4" w:space="0" w:color="auto"/>
              <w:right w:val="double" w:sz="4" w:space="0" w:color="auto"/>
            </w:tcBorders>
            <w:vAlign w:val="center"/>
          </w:tcPr>
          <w:p w14:paraId="341A15DA" w14:textId="77777777" w:rsidR="00FD6E3A" w:rsidRPr="00FD6E3A" w:rsidRDefault="00FD6E3A" w:rsidP="00FD6E3A">
            <w:pPr>
              <w:spacing w:before="240" w:after="120"/>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34 (20.9)</w:t>
            </w:r>
          </w:p>
        </w:tc>
        <w:tc>
          <w:tcPr>
            <w:tcW w:w="1003" w:type="dxa"/>
            <w:tcBorders>
              <w:top w:val="single" w:sz="4" w:space="0" w:color="auto"/>
              <w:left w:val="double" w:sz="4" w:space="0" w:color="auto"/>
              <w:bottom w:val="single" w:sz="4" w:space="0" w:color="auto"/>
              <w:right w:val="single" w:sz="4" w:space="0" w:color="auto"/>
            </w:tcBorders>
            <w:vAlign w:val="center"/>
          </w:tcPr>
          <w:p w14:paraId="67C52116" w14:textId="77777777" w:rsidR="00FD6E3A" w:rsidRPr="00FD6E3A" w:rsidRDefault="00FD6E3A" w:rsidP="00FD6E3A">
            <w:pPr>
              <w:spacing w:before="240" w:after="120"/>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tc>
        <w:tc>
          <w:tcPr>
            <w:tcW w:w="1283" w:type="dxa"/>
            <w:tcBorders>
              <w:top w:val="single" w:sz="4" w:space="0" w:color="auto"/>
              <w:left w:val="single" w:sz="4" w:space="0" w:color="auto"/>
              <w:bottom w:val="single" w:sz="4" w:space="0" w:color="auto"/>
              <w:right w:val="double" w:sz="4" w:space="0" w:color="auto"/>
            </w:tcBorders>
            <w:vAlign w:val="center"/>
          </w:tcPr>
          <w:p w14:paraId="1093417B" w14:textId="77777777" w:rsidR="00FD6E3A" w:rsidRPr="00FD6E3A" w:rsidRDefault="00FD6E3A" w:rsidP="00FD6E3A">
            <w:pPr>
              <w:spacing w:before="240" w:after="120"/>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238 (68.2) </w:t>
            </w:r>
            <w:r w:rsidRPr="00FD6E3A">
              <w:rPr>
                <w:rFonts w:ascii="Times New Roman" w:eastAsia="Times New Roman" w:hAnsi="Times New Roman" w:cs="Times New Roman"/>
                <w:bCs/>
                <w:sz w:val="18"/>
                <w:szCs w:val="18"/>
                <w:vertAlign w:val="superscript"/>
              </w:rPr>
              <w:t>a</w:t>
            </w:r>
          </w:p>
        </w:tc>
        <w:tc>
          <w:tcPr>
            <w:tcW w:w="1399" w:type="dxa"/>
            <w:tcBorders>
              <w:top w:val="single" w:sz="4" w:space="0" w:color="auto"/>
              <w:left w:val="double" w:sz="4" w:space="0" w:color="auto"/>
              <w:bottom w:val="single" w:sz="4" w:space="0" w:color="auto"/>
              <w:right w:val="single" w:sz="4" w:space="0" w:color="auto"/>
            </w:tcBorders>
            <w:vAlign w:val="center"/>
          </w:tcPr>
          <w:p w14:paraId="7C43C227" w14:textId="77777777" w:rsidR="00FD6E3A" w:rsidRPr="00FD6E3A" w:rsidRDefault="00FD6E3A" w:rsidP="00FD6E3A">
            <w:pPr>
              <w:spacing w:before="240" w:after="120"/>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194 (60.8) </w:t>
            </w:r>
            <w:r w:rsidRPr="00FD6E3A">
              <w:rPr>
                <w:rFonts w:ascii="Times New Roman" w:eastAsia="Times New Roman" w:hAnsi="Times New Roman" w:cs="Times New Roman"/>
                <w:bCs/>
                <w:sz w:val="18"/>
                <w:szCs w:val="18"/>
                <w:vertAlign w:val="superscript"/>
              </w:rPr>
              <w:t>a</w:t>
            </w:r>
          </w:p>
        </w:tc>
        <w:tc>
          <w:tcPr>
            <w:tcW w:w="1301" w:type="dxa"/>
            <w:tcBorders>
              <w:top w:val="single" w:sz="4" w:space="0" w:color="auto"/>
              <w:left w:val="single" w:sz="4" w:space="0" w:color="auto"/>
              <w:bottom w:val="single" w:sz="4" w:space="0" w:color="auto"/>
              <w:right w:val="single" w:sz="4" w:space="0" w:color="auto"/>
            </w:tcBorders>
            <w:vAlign w:val="center"/>
          </w:tcPr>
          <w:p w14:paraId="4E7C5465" w14:textId="77777777" w:rsidR="00FD6E3A" w:rsidRPr="00FD6E3A" w:rsidRDefault="00FD6E3A" w:rsidP="00FD6E3A">
            <w:pPr>
              <w:spacing w:before="240" w:after="120"/>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38 (23.9)</w:t>
            </w:r>
          </w:p>
        </w:tc>
      </w:tr>
      <w:tr w:rsidR="00FD6E3A" w:rsidRPr="00FD6E3A" w14:paraId="0F97AC06" w14:textId="77777777" w:rsidTr="00366F4C">
        <w:tc>
          <w:tcPr>
            <w:tcW w:w="1696" w:type="dxa"/>
            <w:tcBorders>
              <w:top w:val="single" w:sz="4" w:space="0" w:color="auto"/>
              <w:left w:val="single" w:sz="4" w:space="0" w:color="auto"/>
              <w:bottom w:val="single" w:sz="4" w:space="0" w:color="auto"/>
              <w:right w:val="double" w:sz="4" w:space="0" w:color="auto"/>
            </w:tcBorders>
            <w:hideMark/>
          </w:tcPr>
          <w:p w14:paraId="2F954741"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PASI 90</w:t>
            </w:r>
          </w:p>
          <w:p w14:paraId="0CDB58B7"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tc>
        <w:tc>
          <w:tcPr>
            <w:tcW w:w="1134" w:type="dxa"/>
            <w:tcBorders>
              <w:top w:val="single" w:sz="4" w:space="0" w:color="auto"/>
              <w:left w:val="double" w:sz="4" w:space="0" w:color="auto"/>
              <w:bottom w:val="single" w:sz="4" w:space="0" w:color="auto"/>
              <w:right w:val="single" w:sz="4" w:space="0" w:color="auto"/>
            </w:tcBorders>
          </w:tcPr>
          <w:p w14:paraId="55E71EA0" w14:textId="77777777" w:rsidR="00FD6E3A" w:rsidRPr="00FD6E3A" w:rsidRDefault="00FD6E3A" w:rsidP="00FD6E3A">
            <w:pPr>
              <w:rPr>
                <w:rFonts w:ascii="Times New Roman" w:eastAsia="Times New Roman" w:hAnsi="Times New Roman" w:cs="Times New Roman"/>
                <w:bCs/>
                <w:sz w:val="18"/>
                <w:szCs w:val="18"/>
              </w:rPr>
            </w:pPr>
          </w:p>
          <w:p w14:paraId="1E8EB82B"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4 (4.8)</w:t>
            </w:r>
          </w:p>
          <w:p w14:paraId="643C0D81"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EDEFD6E" w14:textId="77777777" w:rsidR="00FD6E3A" w:rsidRPr="00FD6E3A" w:rsidRDefault="00FD6E3A" w:rsidP="00FD6E3A">
            <w:pPr>
              <w:rPr>
                <w:rFonts w:ascii="Times New Roman" w:eastAsia="Times New Roman" w:hAnsi="Times New Roman" w:cs="Times New Roman"/>
                <w:bCs/>
                <w:sz w:val="18"/>
                <w:szCs w:val="18"/>
              </w:rPr>
            </w:pPr>
          </w:p>
          <w:p w14:paraId="7BAD508E" w14:textId="77777777" w:rsidR="00FD6E3A" w:rsidRPr="00FD6E3A" w:rsidRDefault="00FD6E3A" w:rsidP="00FD6E3A">
            <w:pPr>
              <w:rPr>
                <w:rFonts w:ascii="Times New Roman" w:eastAsia="Times New Roman" w:hAnsi="Times New Roman" w:cs="Times New Roman"/>
                <w:color w:val="000000"/>
                <w:sz w:val="18"/>
                <w:szCs w:val="18"/>
                <w:vertAlign w:val="superscript"/>
              </w:rPr>
            </w:pPr>
            <w:r w:rsidRPr="00FD6E3A">
              <w:rPr>
                <w:rFonts w:ascii="Times New Roman" w:eastAsia="Times New Roman" w:hAnsi="Times New Roman" w:cs="Times New Roman"/>
                <w:color w:val="000000"/>
                <w:sz w:val="18"/>
                <w:szCs w:val="18"/>
              </w:rPr>
              <w:t xml:space="preserve">273 (85.0) </w:t>
            </w:r>
            <w:r w:rsidRPr="00FD6E3A">
              <w:rPr>
                <w:rFonts w:ascii="Times New Roman" w:eastAsia="Times New Roman" w:hAnsi="Times New Roman" w:cs="Times New Roman"/>
                <w:color w:val="000000"/>
                <w:sz w:val="18"/>
                <w:szCs w:val="18"/>
                <w:vertAlign w:val="superscript"/>
              </w:rPr>
              <w:t>a, b</w:t>
            </w:r>
          </w:p>
          <w:p w14:paraId="42F8517F"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double" w:sz="4" w:space="0" w:color="auto"/>
            </w:tcBorders>
          </w:tcPr>
          <w:p w14:paraId="4B5B3CFE" w14:textId="77777777" w:rsidR="00FD6E3A" w:rsidRPr="00FD6E3A" w:rsidRDefault="00FD6E3A" w:rsidP="00FD6E3A">
            <w:pPr>
              <w:rPr>
                <w:rFonts w:ascii="Times New Roman" w:eastAsia="Times New Roman" w:hAnsi="Times New Roman" w:cs="Times New Roman"/>
                <w:bCs/>
                <w:sz w:val="18"/>
                <w:szCs w:val="18"/>
              </w:rPr>
            </w:pPr>
          </w:p>
          <w:p w14:paraId="063FBD89"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81 (49.7)</w:t>
            </w:r>
          </w:p>
          <w:p w14:paraId="5656DB67" w14:textId="77777777" w:rsidR="00FD6E3A" w:rsidRPr="00FD6E3A" w:rsidRDefault="00FD6E3A" w:rsidP="00FD6E3A">
            <w:pPr>
              <w:rPr>
                <w:rFonts w:ascii="Times New Roman" w:eastAsia="Times New Roman" w:hAnsi="Times New Roman" w:cs="Times New Roman"/>
                <w:bCs/>
                <w:sz w:val="18"/>
                <w:szCs w:val="18"/>
              </w:rPr>
            </w:pPr>
          </w:p>
        </w:tc>
        <w:tc>
          <w:tcPr>
            <w:tcW w:w="1003" w:type="dxa"/>
            <w:tcBorders>
              <w:top w:val="single" w:sz="4" w:space="0" w:color="auto"/>
              <w:left w:val="double" w:sz="4" w:space="0" w:color="auto"/>
              <w:bottom w:val="single" w:sz="4" w:space="0" w:color="auto"/>
              <w:right w:val="single" w:sz="4" w:space="0" w:color="auto"/>
            </w:tcBorders>
          </w:tcPr>
          <w:p w14:paraId="5D2BE5D1" w14:textId="77777777" w:rsidR="00FD6E3A" w:rsidRPr="00FD6E3A" w:rsidRDefault="00FD6E3A" w:rsidP="00FD6E3A">
            <w:pPr>
              <w:rPr>
                <w:rFonts w:ascii="Times New Roman" w:eastAsia="Times New Roman" w:hAnsi="Times New Roman" w:cs="Times New Roman"/>
                <w:bCs/>
                <w:sz w:val="18"/>
                <w:szCs w:val="18"/>
              </w:rPr>
            </w:pPr>
          </w:p>
          <w:p w14:paraId="781C763D"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p w14:paraId="76F0F0E7" w14:textId="77777777" w:rsidR="00FD6E3A" w:rsidRPr="00FD6E3A" w:rsidRDefault="00FD6E3A" w:rsidP="00FD6E3A">
            <w:pPr>
              <w:rPr>
                <w:rFonts w:ascii="Times New Roman" w:eastAsia="Times New Roman" w:hAnsi="Times New Roman" w:cs="Times New Roman"/>
                <w:bCs/>
                <w:sz w:val="18"/>
                <w:szCs w:val="18"/>
              </w:rPr>
            </w:pPr>
          </w:p>
        </w:tc>
        <w:tc>
          <w:tcPr>
            <w:tcW w:w="1283" w:type="dxa"/>
            <w:tcBorders>
              <w:top w:val="single" w:sz="4" w:space="0" w:color="auto"/>
              <w:left w:val="single" w:sz="4" w:space="0" w:color="auto"/>
              <w:bottom w:val="single" w:sz="4" w:space="0" w:color="auto"/>
              <w:right w:val="double" w:sz="4" w:space="0" w:color="auto"/>
            </w:tcBorders>
          </w:tcPr>
          <w:p w14:paraId="1456B9BE" w14:textId="77777777" w:rsidR="00FD6E3A" w:rsidRPr="00FD6E3A" w:rsidRDefault="00FD6E3A" w:rsidP="00FD6E3A">
            <w:pPr>
              <w:rPr>
                <w:rFonts w:ascii="Times New Roman" w:eastAsia="Times New Roman" w:hAnsi="Times New Roman" w:cs="Times New Roman"/>
                <w:bCs/>
                <w:sz w:val="18"/>
                <w:szCs w:val="18"/>
              </w:rPr>
            </w:pPr>
          </w:p>
          <w:p w14:paraId="5E20702F"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317 (90.8) </w:t>
            </w:r>
            <w:r w:rsidRPr="00FD6E3A">
              <w:rPr>
                <w:rFonts w:ascii="Times New Roman" w:eastAsia="Times New Roman" w:hAnsi="Times New Roman" w:cs="Times New Roman"/>
                <w:bCs/>
                <w:sz w:val="18"/>
                <w:szCs w:val="18"/>
                <w:vertAlign w:val="superscript"/>
              </w:rPr>
              <w:t>a</w:t>
            </w:r>
          </w:p>
          <w:p w14:paraId="1D7CA3D4" w14:textId="77777777" w:rsidR="00FD6E3A" w:rsidRPr="00FD6E3A" w:rsidRDefault="00FD6E3A" w:rsidP="00FD6E3A">
            <w:pPr>
              <w:rPr>
                <w:rFonts w:ascii="Times New Roman" w:eastAsia="Times New Roman" w:hAnsi="Times New Roman" w:cs="Times New Roman"/>
                <w:bCs/>
                <w:sz w:val="18"/>
                <w:szCs w:val="18"/>
              </w:rPr>
            </w:pPr>
          </w:p>
        </w:tc>
        <w:tc>
          <w:tcPr>
            <w:tcW w:w="1399" w:type="dxa"/>
            <w:tcBorders>
              <w:top w:val="single" w:sz="4" w:space="0" w:color="auto"/>
              <w:left w:val="double" w:sz="4" w:space="0" w:color="auto"/>
              <w:bottom w:val="single" w:sz="4" w:space="0" w:color="auto"/>
              <w:right w:val="single" w:sz="4" w:space="0" w:color="auto"/>
            </w:tcBorders>
          </w:tcPr>
          <w:p w14:paraId="51A5ACF1" w14:textId="77777777" w:rsidR="00FD6E3A" w:rsidRPr="00FD6E3A" w:rsidRDefault="00FD6E3A" w:rsidP="00FD6E3A">
            <w:pPr>
              <w:rPr>
                <w:rFonts w:ascii="Times New Roman" w:eastAsia="Times New Roman" w:hAnsi="Times New Roman" w:cs="Times New Roman"/>
                <w:bCs/>
                <w:sz w:val="18"/>
                <w:szCs w:val="18"/>
              </w:rPr>
            </w:pPr>
          </w:p>
          <w:p w14:paraId="5BE88AD7"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275 (86.2) </w:t>
            </w:r>
            <w:r w:rsidRPr="00FD6E3A">
              <w:rPr>
                <w:rFonts w:ascii="Times New Roman" w:eastAsia="Times New Roman" w:hAnsi="Times New Roman" w:cs="Times New Roman"/>
                <w:bCs/>
                <w:sz w:val="18"/>
                <w:szCs w:val="18"/>
                <w:vertAlign w:val="superscript"/>
              </w:rPr>
              <w:t>a</w:t>
            </w:r>
          </w:p>
        </w:tc>
        <w:tc>
          <w:tcPr>
            <w:tcW w:w="1301" w:type="dxa"/>
            <w:tcBorders>
              <w:top w:val="single" w:sz="4" w:space="0" w:color="auto"/>
              <w:left w:val="single" w:sz="4" w:space="0" w:color="auto"/>
              <w:bottom w:val="single" w:sz="4" w:space="0" w:color="auto"/>
              <w:right w:val="single" w:sz="4" w:space="0" w:color="auto"/>
            </w:tcBorders>
          </w:tcPr>
          <w:p w14:paraId="03234C86" w14:textId="77777777" w:rsidR="00FD6E3A" w:rsidRPr="00FD6E3A" w:rsidRDefault="00FD6E3A" w:rsidP="00FD6E3A">
            <w:pPr>
              <w:rPr>
                <w:rFonts w:ascii="Times New Roman" w:eastAsia="Times New Roman" w:hAnsi="Times New Roman" w:cs="Times New Roman"/>
                <w:bCs/>
                <w:sz w:val="18"/>
                <w:szCs w:val="18"/>
              </w:rPr>
            </w:pPr>
          </w:p>
          <w:p w14:paraId="7C3B722A"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75 (47.2)</w:t>
            </w:r>
          </w:p>
        </w:tc>
      </w:tr>
      <w:tr w:rsidR="00FD6E3A" w:rsidRPr="00FD6E3A" w14:paraId="672C7263" w14:textId="77777777" w:rsidTr="00366F4C">
        <w:tc>
          <w:tcPr>
            <w:tcW w:w="1696" w:type="dxa"/>
            <w:tcBorders>
              <w:top w:val="single" w:sz="4" w:space="0" w:color="auto"/>
              <w:left w:val="single" w:sz="4" w:space="0" w:color="auto"/>
              <w:bottom w:val="single" w:sz="4" w:space="0" w:color="auto"/>
              <w:right w:val="double" w:sz="4" w:space="0" w:color="auto"/>
            </w:tcBorders>
            <w:hideMark/>
          </w:tcPr>
          <w:p w14:paraId="48AF28D6"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PASI 75</w:t>
            </w:r>
          </w:p>
          <w:p w14:paraId="02BE7E9A"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4</w:t>
            </w:r>
          </w:p>
          <w:p w14:paraId="610B79CA"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Cs/>
                <w:sz w:val="18"/>
                <w:szCs w:val="18"/>
              </w:rPr>
              <w:t>Week 16</w:t>
            </w:r>
          </w:p>
        </w:tc>
        <w:tc>
          <w:tcPr>
            <w:tcW w:w="1134" w:type="dxa"/>
            <w:tcBorders>
              <w:top w:val="single" w:sz="4" w:space="0" w:color="auto"/>
              <w:left w:val="double" w:sz="4" w:space="0" w:color="auto"/>
              <w:bottom w:val="single" w:sz="4" w:space="0" w:color="auto"/>
              <w:right w:val="single" w:sz="4" w:space="0" w:color="auto"/>
            </w:tcBorders>
            <w:vAlign w:val="center"/>
          </w:tcPr>
          <w:p w14:paraId="104C1BCC" w14:textId="77777777" w:rsidR="00FD6E3A" w:rsidRPr="00FD6E3A" w:rsidRDefault="00FD6E3A" w:rsidP="00FD6E3A">
            <w:pPr>
              <w:rPr>
                <w:rFonts w:ascii="Times New Roman" w:eastAsia="Times New Roman" w:hAnsi="Times New Roman" w:cs="Times New Roman"/>
                <w:bCs/>
                <w:sz w:val="18"/>
                <w:szCs w:val="18"/>
              </w:rPr>
            </w:pPr>
          </w:p>
          <w:p w14:paraId="52D30A52"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 (2.4)</w:t>
            </w:r>
          </w:p>
          <w:p w14:paraId="053FC1E3"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6 (7.2)</w:t>
            </w:r>
          </w:p>
          <w:p w14:paraId="79FDC9A0"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82CE6C1" w14:textId="77777777" w:rsidR="00FD6E3A" w:rsidRPr="00FD6E3A" w:rsidRDefault="00FD6E3A" w:rsidP="00FD6E3A">
            <w:pPr>
              <w:rPr>
                <w:rFonts w:ascii="Times New Roman" w:eastAsia="Times New Roman" w:hAnsi="Times New Roman" w:cs="Times New Roman"/>
                <w:bCs/>
                <w:sz w:val="18"/>
                <w:szCs w:val="18"/>
              </w:rPr>
            </w:pPr>
          </w:p>
          <w:p w14:paraId="0D9D35AF"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247 (76.9) </w:t>
            </w:r>
            <w:r w:rsidRPr="00FD6E3A">
              <w:rPr>
                <w:rFonts w:ascii="Times New Roman" w:eastAsia="Times New Roman" w:hAnsi="Times New Roman" w:cs="Times New Roman"/>
                <w:bCs/>
                <w:sz w:val="18"/>
                <w:szCs w:val="18"/>
                <w:vertAlign w:val="superscript"/>
              </w:rPr>
              <w:t>a, b</w:t>
            </w:r>
          </w:p>
          <w:p w14:paraId="63213D8F"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296 (92.2)</w:t>
            </w:r>
          </w:p>
          <w:p w14:paraId="0D437FA1"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double" w:sz="4" w:space="0" w:color="auto"/>
            </w:tcBorders>
            <w:vAlign w:val="center"/>
          </w:tcPr>
          <w:p w14:paraId="7183ED72" w14:textId="77777777" w:rsidR="00FD6E3A" w:rsidRPr="00FD6E3A" w:rsidRDefault="00FD6E3A" w:rsidP="00FD6E3A">
            <w:pPr>
              <w:rPr>
                <w:rFonts w:ascii="Times New Roman" w:eastAsia="Times New Roman" w:hAnsi="Times New Roman" w:cs="Times New Roman"/>
                <w:bCs/>
                <w:sz w:val="18"/>
                <w:szCs w:val="18"/>
              </w:rPr>
            </w:pPr>
          </w:p>
          <w:p w14:paraId="6D3923D3"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25 (15.3)</w:t>
            </w:r>
          </w:p>
          <w:p w14:paraId="442047C5"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119 (73.0)</w:t>
            </w:r>
          </w:p>
          <w:p w14:paraId="256E1C9F" w14:textId="77777777" w:rsidR="00FD6E3A" w:rsidRPr="00FD6E3A" w:rsidRDefault="00FD6E3A" w:rsidP="00FD6E3A">
            <w:pPr>
              <w:rPr>
                <w:rFonts w:ascii="Times New Roman" w:eastAsia="Times New Roman" w:hAnsi="Times New Roman" w:cs="Times New Roman"/>
                <w:bCs/>
                <w:sz w:val="18"/>
                <w:szCs w:val="18"/>
              </w:rPr>
            </w:pPr>
          </w:p>
        </w:tc>
        <w:tc>
          <w:tcPr>
            <w:tcW w:w="1003" w:type="dxa"/>
            <w:tcBorders>
              <w:top w:val="single" w:sz="4" w:space="0" w:color="auto"/>
              <w:left w:val="double" w:sz="4" w:space="0" w:color="auto"/>
              <w:bottom w:val="single" w:sz="4" w:space="0" w:color="auto"/>
              <w:right w:val="single" w:sz="4" w:space="0" w:color="auto"/>
            </w:tcBorders>
            <w:vAlign w:val="center"/>
          </w:tcPr>
          <w:p w14:paraId="0C4CC141"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p w14:paraId="779E84A5"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 (2.3)</w:t>
            </w:r>
          </w:p>
        </w:tc>
        <w:tc>
          <w:tcPr>
            <w:tcW w:w="1283" w:type="dxa"/>
            <w:tcBorders>
              <w:top w:val="single" w:sz="4" w:space="0" w:color="auto"/>
              <w:left w:val="single" w:sz="4" w:space="0" w:color="auto"/>
              <w:bottom w:val="single" w:sz="4" w:space="0" w:color="auto"/>
              <w:right w:val="double" w:sz="4" w:space="0" w:color="auto"/>
            </w:tcBorders>
            <w:vAlign w:val="center"/>
          </w:tcPr>
          <w:p w14:paraId="1753AA53"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265 (75.9) </w:t>
            </w:r>
            <w:r w:rsidRPr="00FD6E3A">
              <w:rPr>
                <w:rFonts w:ascii="Times New Roman" w:eastAsia="Times New Roman" w:hAnsi="Times New Roman" w:cs="Times New Roman"/>
                <w:bCs/>
                <w:sz w:val="18"/>
                <w:szCs w:val="18"/>
                <w:vertAlign w:val="superscript"/>
              </w:rPr>
              <w:t>a</w:t>
            </w:r>
          </w:p>
          <w:p w14:paraId="7FB9F9B5"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333 (95.4)</w:t>
            </w:r>
          </w:p>
        </w:tc>
        <w:tc>
          <w:tcPr>
            <w:tcW w:w="1399" w:type="dxa"/>
            <w:tcBorders>
              <w:top w:val="single" w:sz="4" w:space="0" w:color="auto"/>
              <w:left w:val="double" w:sz="4" w:space="0" w:color="auto"/>
              <w:bottom w:val="single" w:sz="4" w:space="0" w:color="auto"/>
              <w:right w:val="single" w:sz="4" w:space="0" w:color="auto"/>
            </w:tcBorders>
            <w:vAlign w:val="center"/>
          </w:tcPr>
          <w:p w14:paraId="1CAD8081"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244 (76.5) </w:t>
            </w:r>
            <w:r w:rsidRPr="00FD6E3A">
              <w:rPr>
                <w:rFonts w:ascii="Times New Roman" w:eastAsia="Times New Roman" w:hAnsi="Times New Roman" w:cs="Times New Roman"/>
                <w:bCs/>
                <w:sz w:val="18"/>
                <w:szCs w:val="18"/>
                <w:vertAlign w:val="superscript"/>
              </w:rPr>
              <w:t>a</w:t>
            </w:r>
          </w:p>
          <w:p w14:paraId="47279022"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295 (92.5)</w:t>
            </w:r>
          </w:p>
        </w:tc>
        <w:tc>
          <w:tcPr>
            <w:tcW w:w="1301" w:type="dxa"/>
            <w:tcBorders>
              <w:top w:val="single" w:sz="4" w:space="0" w:color="auto"/>
              <w:left w:val="single" w:sz="4" w:space="0" w:color="auto"/>
              <w:bottom w:val="single" w:sz="4" w:space="0" w:color="auto"/>
              <w:right w:val="single" w:sz="4" w:space="0" w:color="auto"/>
            </w:tcBorders>
            <w:vAlign w:val="center"/>
          </w:tcPr>
          <w:p w14:paraId="53D135D4"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50 (31.4)</w:t>
            </w:r>
          </w:p>
          <w:p w14:paraId="1C0AD8D0"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110 (69.2)</w:t>
            </w:r>
          </w:p>
        </w:tc>
      </w:tr>
      <w:tr w:rsidR="00FD6E3A" w:rsidRPr="00FD6E3A" w14:paraId="4E93152B" w14:textId="77777777" w:rsidTr="00366F4C">
        <w:trPr>
          <w:trHeight w:val="602"/>
        </w:trPr>
        <w:tc>
          <w:tcPr>
            <w:tcW w:w="1696" w:type="dxa"/>
            <w:tcBorders>
              <w:top w:val="single" w:sz="4" w:space="0" w:color="auto"/>
              <w:left w:val="single" w:sz="4" w:space="0" w:color="auto"/>
              <w:bottom w:val="single" w:sz="4" w:space="0" w:color="auto"/>
              <w:right w:val="double" w:sz="4" w:space="0" w:color="auto"/>
            </w:tcBorders>
          </w:tcPr>
          <w:p w14:paraId="2F2D1D1A"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IGA 0</w:t>
            </w:r>
          </w:p>
          <w:p w14:paraId="70C23FD1"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tc>
        <w:tc>
          <w:tcPr>
            <w:tcW w:w="1134" w:type="dxa"/>
            <w:tcBorders>
              <w:top w:val="single" w:sz="4" w:space="0" w:color="auto"/>
              <w:left w:val="double" w:sz="4" w:space="0" w:color="auto"/>
              <w:bottom w:val="single" w:sz="4" w:space="0" w:color="auto"/>
              <w:right w:val="single" w:sz="4" w:space="0" w:color="auto"/>
            </w:tcBorders>
          </w:tcPr>
          <w:p w14:paraId="671718CE" w14:textId="77777777" w:rsidR="00FD6E3A" w:rsidRPr="00FD6E3A" w:rsidRDefault="00FD6E3A" w:rsidP="00FD6E3A">
            <w:pPr>
              <w:rPr>
                <w:rFonts w:ascii="Times New Roman" w:eastAsia="Times New Roman" w:hAnsi="Times New Roman" w:cs="Times New Roman"/>
                <w:bCs/>
                <w:i/>
                <w:sz w:val="18"/>
                <w:szCs w:val="18"/>
              </w:rPr>
            </w:pPr>
          </w:p>
          <w:p w14:paraId="7C1F759E"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 0 (0.0)</w:t>
            </w:r>
          </w:p>
        </w:tc>
        <w:tc>
          <w:tcPr>
            <w:tcW w:w="1276" w:type="dxa"/>
            <w:tcBorders>
              <w:top w:val="single" w:sz="4" w:space="0" w:color="auto"/>
              <w:left w:val="single" w:sz="4" w:space="0" w:color="auto"/>
              <w:bottom w:val="single" w:sz="4" w:space="0" w:color="auto"/>
              <w:right w:val="single" w:sz="4" w:space="0" w:color="auto"/>
            </w:tcBorders>
          </w:tcPr>
          <w:p w14:paraId="5DF025FC" w14:textId="77777777" w:rsidR="00FD6E3A" w:rsidRPr="00FD6E3A" w:rsidRDefault="00FD6E3A" w:rsidP="00FD6E3A">
            <w:pPr>
              <w:rPr>
                <w:rFonts w:ascii="Times New Roman" w:eastAsia="Times New Roman" w:hAnsi="Times New Roman" w:cs="Times New Roman"/>
                <w:bCs/>
                <w:i/>
                <w:sz w:val="18"/>
                <w:szCs w:val="18"/>
              </w:rPr>
            </w:pPr>
          </w:p>
          <w:p w14:paraId="60EE0A7D"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sz w:val="18"/>
                <w:szCs w:val="18"/>
              </w:rPr>
              <w:t xml:space="preserve">188 (58.6) </w:t>
            </w:r>
            <w:r w:rsidRPr="00FD6E3A">
              <w:rPr>
                <w:rFonts w:ascii="Times New Roman" w:eastAsia="Times New Roman" w:hAnsi="Times New Roman" w:cs="Times New Roman"/>
                <w:sz w:val="24"/>
                <w:vertAlign w:val="superscript"/>
              </w:rPr>
              <w:t>a</w:t>
            </w:r>
          </w:p>
          <w:p w14:paraId="2715445D" w14:textId="77777777" w:rsidR="00FD6E3A" w:rsidRPr="00FD6E3A" w:rsidRDefault="00FD6E3A" w:rsidP="00FD6E3A">
            <w:pPr>
              <w:rPr>
                <w:rFonts w:ascii="Times New Roman" w:eastAsia="Times New Roman" w:hAnsi="Times New Roman" w:cs="Times New Roman"/>
                <w:bCs/>
                <w:sz w:val="18"/>
                <w:szCs w:val="18"/>
                <w:vertAlign w:val="superscript"/>
              </w:rPr>
            </w:pPr>
          </w:p>
        </w:tc>
        <w:tc>
          <w:tcPr>
            <w:tcW w:w="1276" w:type="dxa"/>
            <w:tcBorders>
              <w:top w:val="single" w:sz="4" w:space="0" w:color="auto"/>
              <w:left w:val="single" w:sz="4" w:space="0" w:color="auto"/>
              <w:bottom w:val="single" w:sz="4" w:space="0" w:color="auto"/>
              <w:right w:val="double" w:sz="4" w:space="0" w:color="auto"/>
            </w:tcBorders>
          </w:tcPr>
          <w:p w14:paraId="75EC6D49" w14:textId="77777777" w:rsidR="00FD6E3A" w:rsidRPr="00FD6E3A" w:rsidRDefault="00FD6E3A" w:rsidP="00FD6E3A">
            <w:pPr>
              <w:rPr>
                <w:rFonts w:ascii="Times New Roman" w:eastAsia="Times New Roman" w:hAnsi="Times New Roman" w:cs="Times New Roman"/>
                <w:bCs/>
                <w:i/>
                <w:sz w:val="18"/>
                <w:szCs w:val="18"/>
              </w:rPr>
            </w:pPr>
          </w:p>
          <w:p w14:paraId="0A2990FE"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36 (22.1)</w:t>
            </w:r>
          </w:p>
        </w:tc>
        <w:tc>
          <w:tcPr>
            <w:tcW w:w="1003" w:type="dxa"/>
            <w:tcBorders>
              <w:top w:val="single" w:sz="4" w:space="0" w:color="auto"/>
              <w:left w:val="double" w:sz="4" w:space="0" w:color="auto"/>
              <w:bottom w:val="single" w:sz="4" w:space="0" w:color="auto"/>
              <w:right w:val="single" w:sz="4" w:space="0" w:color="auto"/>
            </w:tcBorders>
          </w:tcPr>
          <w:p w14:paraId="77AC2355" w14:textId="77777777" w:rsidR="00FD6E3A" w:rsidRPr="00FD6E3A" w:rsidRDefault="00FD6E3A" w:rsidP="00FD6E3A">
            <w:pPr>
              <w:rPr>
                <w:rFonts w:ascii="Times New Roman" w:eastAsia="Times New Roman" w:hAnsi="Times New Roman" w:cs="Times New Roman"/>
                <w:bCs/>
                <w:sz w:val="18"/>
                <w:szCs w:val="18"/>
              </w:rPr>
            </w:pPr>
          </w:p>
          <w:p w14:paraId="21D46386"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tc>
        <w:tc>
          <w:tcPr>
            <w:tcW w:w="1283" w:type="dxa"/>
            <w:tcBorders>
              <w:top w:val="single" w:sz="4" w:space="0" w:color="auto"/>
              <w:left w:val="single" w:sz="4" w:space="0" w:color="auto"/>
              <w:bottom w:val="single" w:sz="4" w:space="0" w:color="auto"/>
              <w:right w:val="double" w:sz="4" w:space="0" w:color="auto"/>
            </w:tcBorders>
          </w:tcPr>
          <w:p w14:paraId="6BFAD807" w14:textId="77777777" w:rsidR="00FD6E3A" w:rsidRPr="00FD6E3A" w:rsidRDefault="00FD6E3A" w:rsidP="00FD6E3A">
            <w:pPr>
              <w:rPr>
                <w:rFonts w:ascii="Times New Roman" w:eastAsia="Times New Roman" w:hAnsi="Times New Roman" w:cs="Times New Roman"/>
                <w:bCs/>
                <w:sz w:val="18"/>
                <w:szCs w:val="18"/>
              </w:rPr>
            </w:pPr>
          </w:p>
          <w:p w14:paraId="113E8845"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243 (69.6) </w:t>
            </w:r>
            <w:r w:rsidRPr="00FD6E3A">
              <w:rPr>
                <w:rFonts w:ascii="Times New Roman" w:eastAsia="Times New Roman" w:hAnsi="Times New Roman" w:cs="Times New Roman"/>
                <w:bCs/>
                <w:sz w:val="18"/>
                <w:szCs w:val="18"/>
                <w:vertAlign w:val="superscript"/>
              </w:rPr>
              <w:t>a</w:t>
            </w:r>
          </w:p>
        </w:tc>
        <w:tc>
          <w:tcPr>
            <w:tcW w:w="1399" w:type="dxa"/>
            <w:tcBorders>
              <w:top w:val="single" w:sz="4" w:space="0" w:color="auto"/>
              <w:left w:val="double" w:sz="4" w:space="0" w:color="auto"/>
              <w:bottom w:val="single" w:sz="4" w:space="0" w:color="auto"/>
              <w:right w:val="single" w:sz="4" w:space="0" w:color="auto"/>
            </w:tcBorders>
          </w:tcPr>
          <w:p w14:paraId="26FE7F22" w14:textId="77777777" w:rsidR="00FD6E3A" w:rsidRPr="00FD6E3A" w:rsidRDefault="00FD6E3A" w:rsidP="00FD6E3A">
            <w:pPr>
              <w:rPr>
                <w:rFonts w:ascii="Times New Roman" w:eastAsia="Times New Roman" w:hAnsi="Times New Roman" w:cs="Times New Roman"/>
                <w:bCs/>
                <w:i/>
                <w:sz w:val="18"/>
                <w:szCs w:val="18"/>
              </w:rPr>
            </w:pPr>
          </w:p>
          <w:p w14:paraId="0C5FFA72"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197 (61.8)</w:t>
            </w:r>
          </w:p>
        </w:tc>
        <w:tc>
          <w:tcPr>
            <w:tcW w:w="1301" w:type="dxa"/>
            <w:tcBorders>
              <w:top w:val="single" w:sz="4" w:space="0" w:color="auto"/>
              <w:left w:val="single" w:sz="4" w:space="0" w:color="auto"/>
              <w:bottom w:val="single" w:sz="4" w:space="0" w:color="auto"/>
              <w:right w:val="single" w:sz="4" w:space="0" w:color="auto"/>
            </w:tcBorders>
          </w:tcPr>
          <w:p w14:paraId="591798A4" w14:textId="77777777" w:rsidR="00FD6E3A" w:rsidRPr="00FD6E3A" w:rsidRDefault="00FD6E3A" w:rsidP="00FD6E3A">
            <w:pPr>
              <w:rPr>
                <w:rFonts w:ascii="Times New Roman" w:eastAsia="Times New Roman" w:hAnsi="Times New Roman" w:cs="Times New Roman"/>
                <w:bCs/>
                <w:i/>
                <w:sz w:val="18"/>
                <w:szCs w:val="18"/>
              </w:rPr>
            </w:pPr>
          </w:p>
          <w:p w14:paraId="7947B260"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39 (24.5)</w:t>
            </w:r>
          </w:p>
        </w:tc>
      </w:tr>
      <w:tr w:rsidR="00FD6E3A" w:rsidRPr="00FD6E3A" w14:paraId="1B62C193" w14:textId="77777777" w:rsidTr="00366F4C">
        <w:tc>
          <w:tcPr>
            <w:tcW w:w="1696" w:type="dxa"/>
            <w:tcBorders>
              <w:top w:val="single" w:sz="4" w:space="0" w:color="auto"/>
              <w:left w:val="single" w:sz="4" w:space="0" w:color="auto"/>
              <w:bottom w:val="single" w:sz="4" w:space="0" w:color="auto"/>
              <w:right w:val="double" w:sz="4" w:space="0" w:color="auto"/>
            </w:tcBorders>
            <w:hideMark/>
          </w:tcPr>
          <w:p w14:paraId="7B9FFC0B" w14:textId="77777777"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IGA 0/1</w:t>
            </w:r>
          </w:p>
          <w:p w14:paraId="439521A4"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p w14:paraId="4B385CEE" w14:textId="77777777" w:rsidR="00FD6E3A" w:rsidRPr="00FD6E3A" w:rsidRDefault="00FD6E3A" w:rsidP="00FD6E3A">
            <w:pPr>
              <w:rPr>
                <w:rFonts w:ascii="Times New Roman" w:eastAsia="Times New Roman" w:hAnsi="Times New Roman" w:cs="Times New Roman"/>
                <w:bCs/>
                <w:sz w:val="18"/>
                <w:szCs w:val="18"/>
              </w:rPr>
            </w:pPr>
          </w:p>
        </w:tc>
        <w:tc>
          <w:tcPr>
            <w:tcW w:w="1134" w:type="dxa"/>
            <w:tcBorders>
              <w:top w:val="single" w:sz="4" w:space="0" w:color="auto"/>
              <w:left w:val="double" w:sz="4" w:space="0" w:color="auto"/>
              <w:bottom w:val="single" w:sz="4" w:space="0" w:color="auto"/>
              <w:right w:val="single" w:sz="4" w:space="0" w:color="auto"/>
            </w:tcBorders>
            <w:vAlign w:val="center"/>
          </w:tcPr>
          <w:p w14:paraId="4C51F3D2" w14:textId="77777777" w:rsidR="00FD6E3A" w:rsidRPr="00FD6E3A" w:rsidRDefault="00FD6E3A" w:rsidP="00FD6E3A">
            <w:pPr>
              <w:rPr>
                <w:rFonts w:ascii="Times New Roman" w:eastAsia="Times New Roman" w:hAnsi="Times New Roman" w:cs="Times New Roman"/>
                <w:bCs/>
                <w:sz w:val="18"/>
                <w:szCs w:val="18"/>
              </w:rPr>
            </w:pPr>
          </w:p>
          <w:p w14:paraId="7F03A590"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4 (4.8)</w:t>
            </w:r>
          </w:p>
          <w:p w14:paraId="49F38331"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FCCEA3" w14:textId="77777777" w:rsidR="00FD6E3A" w:rsidRPr="00FD6E3A" w:rsidRDefault="00FD6E3A" w:rsidP="00FD6E3A">
            <w:pPr>
              <w:rPr>
                <w:rFonts w:ascii="Times New Roman" w:eastAsia="Times New Roman" w:hAnsi="Times New Roman" w:cs="Times New Roman"/>
                <w:bCs/>
                <w:sz w:val="18"/>
                <w:szCs w:val="18"/>
              </w:rPr>
            </w:pPr>
          </w:p>
          <w:p w14:paraId="069002E8"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270 (84.1) </w:t>
            </w:r>
            <w:r w:rsidRPr="00FD6E3A">
              <w:rPr>
                <w:rFonts w:ascii="Times New Roman" w:eastAsia="Times New Roman" w:hAnsi="Times New Roman" w:cs="Times New Roman"/>
                <w:bCs/>
                <w:sz w:val="18"/>
                <w:szCs w:val="18"/>
                <w:vertAlign w:val="superscript"/>
              </w:rPr>
              <w:t>a, b</w:t>
            </w:r>
          </w:p>
          <w:p w14:paraId="5DCC40E4" w14:textId="77777777" w:rsidR="00FD6E3A" w:rsidRPr="00FD6E3A" w:rsidRDefault="00FD6E3A" w:rsidP="00FD6E3A">
            <w:pPr>
              <w:rPr>
                <w:rFonts w:ascii="Times New Roman" w:eastAsia="Times New Roman" w:hAnsi="Times New Roman" w:cs="Times New Roman"/>
                <w:bCs/>
                <w:sz w:val="18"/>
                <w:szCs w:val="18"/>
              </w:rPr>
            </w:pPr>
          </w:p>
        </w:tc>
        <w:tc>
          <w:tcPr>
            <w:tcW w:w="1276" w:type="dxa"/>
            <w:tcBorders>
              <w:top w:val="single" w:sz="4" w:space="0" w:color="auto"/>
              <w:left w:val="single" w:sz="4" w:space="0" w:color="auto"/>
              <w:bottom w:val="single" w:sz="4" w:space="0" w:color="auto"/>
              <w:right w:val="double" w:sz="4" w:space="0" w:color="auto"/>
            </w:tcBorders>
            <w:vAlign w:val="center"/>
          </w:tcPr>
          <w:p w14:paraId="7FE25705"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87 (53.4)</w:t>
            </w:r>
          </w:p>
        </w:tc>
        <w:tc>
          <w:tcPr>
            <w:tcW w:w="1003" w:type="dxa"/>
            <w:tcBorders>
              <w:top w:val="single" w:sz="4" w:space="0" w:color="auto"/>
              <w:left w:val="double" w:sz="4" w:space="0" w:color="auto"/>
              <w:bottom w:val="single" w:sz="4" w:space="0" w:color="auto"/>
              <w:right w:val="single" w:sz="4" w:space="0" w:color="auto"/>
            </w:tcBorders>
            <w:vAlign w:val="center"/>
          </w:tcPr>
          <w:p w14:paraId="2931661C" w14:textId="77777777" w:rsidR="00FD6E3A" w:rsidRPr="00FD6E3A" w:rsidRDefault="00FD6E3A" w:rsidP="00FD6E3A">
            <w:pPr>
              <w:rPr>
                <w:rFonts w:ascii="Times New Roman" w:eastAsia="Times New Roman" w:hAnsi="Times New Roman" w:cs="Times New Roman"/>
                <w:bCs/>
                <w:sz w:val="18"/>
                <w:szCs w:val="18"/>
              </w:rPr>
            </w:pPr>
          </w:p>
          <w:p w14:paraId="67270D6C"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p w14:paraId="603ACC7D" w14:textId="77777777" w:rsidR="00FD6E3A" w:rsidRPr="00FD6E3A" w:rsidRDefault="00FD6E3A" w:rsidP="00FD6E3A">
            <w:pPr>
              <w:rPr>
                <w:rFonts w:ascii="Times New Roman" w:eastAsia="Times New Roman" w:hAnsi="Times New Roman" w:cs="Times New Roman"/>
                <w:bCs/>
                <w:sz w:val="18"/>
                <w:szCs w:val="18"/>
              </w:rPr>
            </w:pPr>
          </w:p>
        </w:tc>
        <w:tc>
          <w:tcPr>
            <w:tcW w:w="1283" w:type="dxa"/>
            <w:tcBorders>
              <w:top w:val="single" w:sz="4" w:space="0" w:color="auto"/>
              <w:left w:val="single" w:sz="4" w:space="0" w:color="auto"/>
              <w:bottom w:val="single" w:sz="4" w:space="0" w:color="auto"/>
              <w:right w:val="double" w:sz="4" w:space="0" w:color="auto"/>
            </w:tcBorders>
            <w:vAlign w:val="center"/>
          </w:tcPr>
          <w:p w14:paraId="4AC3B299" w14:textId="77777777" w:rsidR="00FD6E3A" w:rsidRPr="00FD6E3A" w:rsidRDefault="00FD6E3A" w:rsidP="00FD6E3A">
            <w:pPr>
              <w:rPr>
                <w:rFonts w:ascii="Times New Roman" w:eastAsia="Times New Roman" w:hAnsi="Times New Roman" w:cs="Times New Roman"/>
                <w:bCs/>
                <w:sz w:val="18"/>
                <w:szCs w:val="18"/>
              </w:rPr>
            </w:pPr>
          </w:p>
          <w:p w14:paraId="50A77398"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323 (92.6) </w:t>
            </w:r>
            <w:r w:rsidRPr="00FD6E3A">
              <w:rPr>
                <w:rFonts w:ascii="Times New Roman" w:eastAsia="Times New Roman" w:hAnsi="Times New Roman" w:cs="Times New Roman"/>
                <w:bCs/>
                <w:sz w:val="18"/>
                <w:szCs w:val="18"/>
                <w:vertAlign w:val="superscript"/>
              </w:rPr>
              <w:t>a</w:t>
            </w:r>
          </w:p>
          <w:p w14:paraId="430A6A28" w14:textId="77777777" w:rsidR="00FD6E3A" w:rsidRPr="00FD6E3A" w:rsidRDefault="00FD6E3A" w:rsidP="00FD6E3A">
            <w:pPr>
              <w:rPr>
                <w:rFonts w:ascii="Times New Roman" w:eastAsia="Times New Roman" w:hAnsi="Times New Roman" w:cs="Times New Roman"/>
                <w:bCs/>
                <w:sz w:val="18"/>
                <w:szCs w:val="18"/>
              </w:rPr>
            </w:pPr>
          </w:p>
        </w:tc>
        <w:tc>
          <w:tcPr>
            <w:tcW w:w="1399" w:type="dxa"/>
            <w:tcBorders>
              <w:top w:val="single" w:sz="4" w:space="0" w:color="auto"/>
              <w:left w:val="double" w:sz="4" w:space="0" w:color="auto"/>
              <w:bottom w:val="single" w:sz="4" w:space="0" w:color="auto"/>
              <w:right w:val="single" w:sz="4" w:space="0" w:color="auto"/>
            </w:tcBorders>
            <w:vAlign w:val="center"/>
          </w:tcPr>
          <w:p w14:paraId="01975581" w14:textId="7777777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272 (85.3) </w:t>
            </w:r>
            <w:r w:rsidRPr="00FD6E3A">
              <w:rPr>
                <w:rFonts w:ascii="Times New Roman" w:eastAsia="Times New Roman" w:hAnsi="Times New Roman" w:cs="Times New Roman"/>
                <w:bCs/>
                <w:sz w:val="18"/>
                <w:szCs w:val="18"/>
                <w:vertAlign w:val="superscript"/>
              </w:rPr>
              <w:t>a</w:t>
            </w:r>
          </w:p>
        </w:tc>
        <w:tc>
          <w:tcPr>
            <w:tcW w:w="1301" w:type="dxa"/>
            <w:tcBorders>
              <w:top w:val="single" w:sz="4" w:space="0" w:color="auto"/>
              <w:left w:val="single" w:sz="4" w:space="0" w:color="auto"/>
              <w:bottom w:val="single" w:sz="4" w:space="0" w:color="auto"/>
              <w:right w:val="single" w:sz="4" w:space="0" w:color="auto"/>
            </w:tcBorders>
            <w:vAlign w:val="center"/>
          </w:tcPr>
          <w:p w14:paraId="25B7E897" w14:textId="7777777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91 (57.2)</w:t>
            </w:r>
          </w:p>
        </w:tc>
      </w:tr>
      <w:tr w:rsidR="00FD6E3A" w:rsidRPr="00FD6E3A" w14:paraId="6CECF4EF" w14:textId="77777777" w:rsidTr="00366F4C">
        <w:tc>
          <w:tcPr>
            <w:tcW w:w="1696" w:type="dxa"/>
            <w:tcBorders>
              <w:top w:val="single" w:sz="4" w:space="0" w:color="auto"/>
              <w:left w:val="single" w:sz="4" w:space="0" w:color="auto"/>
              <w:bottom w:val="single" w:sz="4" w:space="0" w:color="auto"/>
              <w:right w:val="double" w:sz="4" w:space="0" w:color="auto"/>
            </w:tcBorders>
          </w:tcPr>
          <w:p w14:paraId="36A8E5C7" w14:textId="44D4FB34"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Absolute PASI ≤ 2</w:t>
            </w:r>
          </w:p>
          <w:p w14:paraId="0883DC6D" w14:textId="0D077B7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p w14:paraId="45ABE437" w14:textId="77777777" w:rsidR="00FD6E3A" w:rsidRPr="00FD6E3A" w:rsidRDefault="00FD6E3A" w:rsidP="00FD6E3A">
            <w:pPr>
              <w:rPr>
                <w:rFonts w:ascii="Times New Roman" w:eastAsia="Times New Roman" w:hAnsi="Times New Roman" w:cs="Times New Roman"/>
                <w:bCs/>
                <w:sz w:val="18"/>
                <w:szCs w:val="18"/>
              </w:rPr>
            </w:pPr>
          </w:p>
        </w:tc>
        <w:tc>
          <w:tcPr>
            <w:tcW w:w="1134" w:type="dxa"/>
            <w:tcBorders>
              <w:top w:val="single" w:sz="4" w:space="0" w:color="auto"/>
              <w:left w:val="double" w:sz="4" w:space="0" w:color="auto"/>
              <w:bottom w:val="single" w:sz="4" w:space="0" w:color="auto"/>
              <w:right w:val="single" w:sz="4" w:space="0" w:color="auto"/>
            </w:tcBorders>
            <w:vAlign w:val="center"/>
          </w:tcPr>
          <w:p w14:paraId="6E5EE8AC" w14:textId="6300024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 (3.6)</w:t>
            </w:r>
          </w:p>
        </w:tc>
        <w:tc>
          <w:tcPr>
            <w:tcW w:w="1276" w:type="dxa"/>
            <w:tcBorders>
              <w:top w:val="single" w:sz="4" w:space="0" w:color="auto"/>
              <w:left w:val="single" w:sz="4" w:space="0" w:color="auto"/>
              <w:bottom w:val="single" w:sz="4" w:space="0" w:color="auto"/>
              <w:right w:val="single" w:sz="4" w:space="0" w:color="auto"/>
            </w:tcBorders>
            <w:vAlign w:val="center"/>
          </w:tcPr>
          <w:p w14:paraId="4A10EE64" w14:textId="5191D75E"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273 (85.0)</w:t>
            </w:r>
          </w:p>
        </w:tc>
        <w:tc>
          <w:tcPr>
            <w:tcW w:w="1276" w:type="dxa"/>
            <w:tcBorders>
              <w:top w:val="single" w:sz="4" w:space="0" w:color="auto"/>
              <w:left w:val="single" w:sz="4" w:space="0" w:color="auto"/>
              <w:bottom w:val="single" w:sz="4" w:space="0" w:color="auto"/>
              <w:right w:val="double" w:sz="4" w:space="0" w:color="auto"/>
            </w:tcBorders>
            <w:vAlign w:val="center"/>
          </w:tcPr>
          <w:p w14:paraId="06965F5A" w14:textId="1EA596A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84 (51.5)</w:t>
            </w:r>
          </w:p>
        </w:tc>
        <w:tc>
          <w:tcPr>
            <w:tcW w:w="1003" w:type="dxa"/>
            <w:tcBorders>
              <w:top w:val="single" w:sz="4" w:space="0" w:color="auto"/>
              <w:left w:val="double" w:sz="4" w:space="0" w:color="auto"/>
              <w:bottom w:val="single" w:sz="4" w:space="0" w:color="auto"/>
              <w:right w:val="single" w:sz="4" w:space="0" w:color="auto"/>
            </w:tcBorders>
            <w:vAlign w:val="center"/>
          </w:tcPr>
          <w:p w14:paraId="51D4BE2F" w14:textId="371AEA9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 (1.2)</w:t>
            </w:r>
          </w:p>
        </w:tc>
        <w:tc>
          <w:tcPr>
            <w:tcW w:w="1283" w:type="dxa"/>
            <w:tcBorders>
              <w:top w:val="single" w:sz="4" w:space="0" w:color="auto"/>
              <w:left w:val="single" w:sz="4" w:space="0" w:color="auto"/>
              <w:bottom w:val="single" w:sz="4" w:space="0" w:color="auto"/>
              <w:right w:val="double" w:sz="4" w:space="0" w:color="auto"/>
            </w:tcBorders>
            <w:vAlign w:val="center"/>
          </w:tcPr>
          <w:p w14:paraId="6990FDA5" w14:textId="3E900BA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315 (90.3)</w:t>
            </w:r>
          </w:p>
        </w:tc>
        <w:tc>
          <w:tcPr>
            <w:tcW w:w="1399" w:type="dxa"/>
            <w:tcBorders>
              <w:top w:val="single" w:sz="4" w:space="0" w:color="auto"/>
              <w:left w:val="double" w:sz="4" w:space="0" w:color="auto"/>
              <w:bottom w:val="single" w:sz="4" w:space="0" w:color="auto"/>
              <w:right w:val="single" w:sz="4" w:space="0" w:color="auto"/>
            </w:tcBorders>
            <w:vAlign w:val="center"/>
          </w:tcPr>
          <w:p w14:paraId="7A5F8458" w14:textId="68A9362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280 (87.8)</w:t>
            </w:r>
          </w:p>
        </w:tc>
        <w:tc>
          <w:tcPr>
            <w:tcW w:w="1301" w:type="dxa"/>
            <w:tcBorders>
              <w:top w:val="single" w:sz="4" w:space="0" w:color="auto"/>
              <w:left w:val="single" w:sz="4" w:space="0" w:color="auto"/>
              <w:bottom w:val="single" w:sz="4" w:space="0" w:color="auto"/>
              <w:right w:val="single" w:sz="4" w:space="0" w:color="auto"/>
            </w:tcBorders>
            <w:vAlign w:val="center"/>
          </w:tcPr>
          <w:p w14:paraId="3D652944" w14:textId="3FBD9FD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86 (54.1)</w:t>
            </w:r>
          </w:p>
        </w:tc>
      </w:tr>
      <w:tr w:rsidR="00FD6E3A" w:rsidRPr="00FD6E3A" w14:paraId="113F2B05" w14:textId="77777777" w:rsidTr="00366F4C">
        <w:trPr>
          <w:trHeight w:val="557"/>
        </w:trPr>
        <w:tc>
          <w:tcPr>
            <w:tcW w:w="1696" w:type="dxa"/>
          </w:tcPr>
          <w:p w14:paraId="597D6FDB" w14:textId="0E85BF93"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 xml:space="preserve">PSD Pain </w:t>
            </w:r>
            <w:r w:rsidRPr="00FD6E3A">
              <w:rPr>
                <w:rFonts w:ascii="Times New Roman" w:eastAsia="Times New Roman" w:hAnsi="Times New Roman" w:cs="Times New Roman"/>
                <w:bCs/>
                <w:sz w:val="18"/>
                <w:szCs w:val="18"/>
              </w:rPr>
              <w:t>(N)</w:t>
            </w:r>
          </w:p>
          <w:p w14:paraId="3C39084A" w14:textId="3C13182F"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tc>
        <w:tc>
          <w:tcPr>
            <w:tcW w:w="1134" w:type="dxa"/>
          </w:tcPr>
          <w:p w14:paraId="72FFCFA7" w14:textId="20815E78"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(N=54)</w:t>
            </w:r>
          </w:p>
          <w:p w14:paraId="5ACE3287" w14:textId="1E11F0A5"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9 (16.7)</w:t>
            </w:r>
          </w:p>
        </w:tc>
        <w:tc>
          <w:tcPr>
            <w:tcW w:w="1276" w:type="dxa"/>
          </w:tcPr>
          <w:p w14:paraId="33753E6F" w14:textId="15B8FF78"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(N=229)</w:t>
            </w:r>
          </w:p>
          <w:p w14:paraId="33E8F68D" w14:textId="69D729FF"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177 (77.3) </w:t>
            </w:r>
            <w:r w:rsidRPr="00FD6E3A">
              <w:rPr>
                <w:rFonts w:ascii="Times New Roman" w:eastAsia="Times New Roman" w:hAnsi="Times New Roman" w:cs="Times New Roman"/>
                <w:bCs/>
                <w:sz w:val="18"/>
                <w:szCs w:val="18"/>
                <w:vertAlign w:val="superscript"/>
              </w:rPr>
              <w:t>a</w:t>
            </w:r>
          </w:p>
        </w:tc>
        <w:tc>
          <w:tcPr>
            <w:tcW w:w="1276" w:type="dxa"/>
          </w:tcPr>
          <w:p w14:paraId="0B474AFB" w14:textId="7EA5EEA2"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(N=107)</w:t>
            </w:r>
          </w:p>
          <w:p w14:paraId="491424CC" w14:textId="02BA187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73 (68.2)</w:t>
            </w:r>
          </w:p>
          <w:p w14:paraId="24D486FE" w14:textId="77777777" w:rsidR="00FD6E3A" w:rsidRPr="00FD6E3A" w:rsidRDefault="00FD6E3A" w:rsidP="00FD6E3A">
            <w:pPr>
              <w:rPr>
                <w:rFonts w:ascii="Times New Roman" w:eastAsia="Times New Roman" w:hAnsi="Times New Roman" w:cs="Times New Roman"/>
                <w:bCs/>
                <w:sz w:val="18"/>
                <w:szCs w:val="18"/>
              </w:rPr>
            </w:pPr>
          </w:p>
        </w:tc>
        <w:tc>
          <w:tcPr>
            <w:tcW w:w="1003" w:type="dxa"/>
          </w:tcPr>
          <w:p w14:paraId="084B92CC" w14:textId="4866C8A2"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(N=67)</w:t>
            </w:r>
          </w:p>
          <w:p w14:paraId="564B4B63" w14:textId="2A2BBB2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6 (9.0)</w:t>
            </w:r>
          </w:p>
        </w:tc>
        <w:tc>
          <w:tcPr>
            <w:tcW w:w="1283" w:type="dxa"/>
          </w:tcPr>
          <w:p w14:paraId="21980669" w14:textId="6FC30B72"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(N=255)</w:t>
            </w:r>
          </w:p>
          <w:p w14:paraId="603A9DC5" w14:textId="5BCCB8AF"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201 (78.8) </w:t>
            </w:r>
            <w:r w:rsidRPr="00FD6E3A">
              <w:rPr>
                <w:rFonts w:ascii="Times New Roman" w:eastAsia="Times New Roman" w:hAnsi="Times New Roman" w:cs="Times New Roman"/>
                <w:bCs/>
                <w:sz w:val="18"/>
                <w:szCs w:val="18"/>
                <w:vertAlign w:val="superscript"/>
              </w:rPr>
              <w:t>a</w:t>
            </w:r>
          </w:p>
        </w:tc>
        <w:tc>
          <w:tcPr>
            <w:tcW w:w="1399" w:type="dxa"/>
          </w:tcPr>
          <w:p w14:paraId="43C36E2D" w14:textId="45F98CE6"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(N=252)</w:t>
            </w:r>
          </w:p>
          <w:p w14:paraId="3B66857F" w14:textId="119F38DC"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180 (71.4)</w:t>
            </w:r>
          </w:p>
        </w:tc>
        <w:tc>
          <w:tcPr>
            <w:tcW w:w="1301" w:type="dxa"/>
          </w:tcPr>
          <w:p w14:paraId="671C281C" w14:textId="6BCB990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(N=108)</w:t>
            </w:r>
          </w:p>
          <w:p w14:paraId="3E3BA53F" w14:textId="7CBACC2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63 (58.3)</w:t>
            </w:r>
          </w:p>
        </w:tc>
      </w:tr>
      <w:tr w:rsidR="00FD6E3A" w:rsidRPr="00FD6E3A" w14:paraId="26A5F620" w14:textId="77777777" w:rsidTr="00366F4C">
        <w:trPr>
          <w:trHeight w:val="575"/>
        </w:trPr>
        <w:tc>
          <w:tcPr>
            <w:tcW w:w="1696" w:type="dxa"/>
            <w:tcBorders>
              <w:top w:val="single" w:sz="4" w:space="0" w:color="auto"/>
              <w:left w:val="single" w:sz="4" w:space="0" w:color="auto"/>
              <w:bottom w:val="single" w:sz="4" w:space="0" w:color="auto"/>
              <w:right w:val="double" w:sz="4" w:space="0" w:color="auto"/>
            </w:tcBorders>
          </w:tcPr>
          <w:p w14:paraId="3F621D15" w14:textId="1F8F889A"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 xml:space="preserve">PSD Itch </w:t>
            </w:r>
            <w:r w:rsidRPr="00FD6E3A">
              <w:rPr>
                <w:rFonts w:ascii="Times New Roman" w:eastAsia="Times New Roman" w:hAnsi="Times New Roman" w:cs="Times New Roman"/>
                <w:bCs/>
                <w:sz w:val="18"/>
                <w:szCs w:val="18"/>
              </w:rPr>
              <w:t>(N)</w:t>
            </w:r>
          </w:p>
          <w:p w14:paraId="3202864C" w14:textId="607841ED"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 Week 16</w:t>
            </w:r>
          </w:p>
        </w:tc>
        <w:tc>
          <w:tcPr>
            <w:tcW w:w="1134" w:type="dxa"/>
            <w:tcBorders>
              <w:top w:val="single" w:sz="4" w:space="0" w:color="auto"/>
              <w:left w:val="double" w:sz="4" w:space="0" w:color="auto"/>
              <w:bottom w:val="single" w:sz="4" w:space="0" w:color="auto"/>
              <w:right w:val="single" w:sz="4" w:space="0" w:color="auto"/>
            </w:tcBorders>
          </w:tcPr>
          <w:p w14:paraId="25E6D905" w14:textId="4434A78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(N=61)</w:t>
            </w:r>
          </w:p>
          <w:p w14:paraId="24204C44" w14:textId="330BC4E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8 (13.1)</w:t>
            </w:r>
          </w:p>
        </w:tc>
        <w:tc>
          <w:tcPr>
            <w:tcW w:w="1276" w:type="dxa"/>
            <w:tcBorders>
              <w:top w:val="single" w:sz="4" w:space="0" w:color="auto"/>
              <w:left w:val="single" w:sz="4" w:space="0" w:color="auto"/>
              <w:bottom w:val="single" w:sz="4" w:space="0" w:color="auto"/>
              <w:right w:val="single" w:sz="4" w:space="0" w:color="auto"/>
            </w:tcBorders>
          </w:tcPr>
          <w:p w14:paraId="061A9011" w14:textId="0707B68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(N=244)</w:t>
            </w:r>
          </w:p>
          <w:p w14:paraId="44159AF7" w14:textId="70493977" w:rsidR="00FD6E3A" w:rsidRPr="00FD6E3A" w:rsidRDefault="00FD6E3A" w:rsidP="00FD6E3A">
            <w:pPr>
              <w:rPr>
                <w:rFonts w:ascii="Times New Roman" w:eastAsia="Times New Roman" w:hAnsi="Times New Roman" w:cs="Times New Roman"/>
                <w:bCs/>
                <w:i/>
                <w:sz w:val="18"/>
                <w:szCs w:val="18"/>
                <w:vertAlign w:val="superscript"/>
              </w:rPr>
            </w:pPr>
            <w:r w:rsidRPr="00FD6E3A">
              <w:rPr>
                <w:rFonts w:ascii="Times New Roman" w:eastAsia="Times New Roman" w:hAnsi="Times New Roman" w:cs="Times New Roman"/>
                <w:bCs/>
                <w:sz w:val="18"/>
                <w:szCs w:val="18"/>
              </w:rPr>
              <w:t xml:space="preserve">187 (76.6) </w:t>
            </w:r>
            <w:r w:rsidRPr="00FD6E3A">
              <w:rPr>
                <w:rFonts w:ascii="Times New Roman" w:eastAsia="Times New Roman" w:hAnsi="Times New Roman" w:cs="Times New Roman"/>
                <w:bCs/>
                <w:sz w:val="18"/>
                <w:szCs w:val="18"/>
                <w:vertAlign w:val="superscript"/>
              </w:rPr>
              <w:t>a</w:t>
            </w:r>
          </w:p>
        </w:tc>
        <w:tc>
          <w:tcPr>
            <w:tcW w:w="1276" w:type="dxa"/>
            <w:tcBorders>
              <w:top w:val="single" w:sz="4" w:space="0" w:color="auto"/>
              <w:left w:val="single" w:sz="4" w:space="0" w:color="auto"/>
              <w:bottom w:val="single" w:sz="4" w:space="0" w:color="auto"/>
              <w:right w:val="double" w:sz="4" w:space="0" w:color="auto"/>
            </w:tcBorders>
          </w:tcPr>
          <w:p w14:paraId="0BE6D7D1" w14:textId="3C500D1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(N=117)</w:t>
            </w:r>
          </w:p>
          <w:p w14:paraId="31F2177C" w14:textId="6613FC4E" w:rsidR="00FD6E3A" w:rsidRPr="00FD6E3A" w:rsidRDefault="00FD6E3A" w:rsidP="00FD6E3A">
            <w:pPr>
              <w:rPr>
                <w:rFonts w:ascii="Times New Roman" w:eastAsia="Times New Roman" w:hAnsi="Times New Roman" w:cs="Times New Roman"/>
                <w:bCs/>
                <w:i/>
                <w:sz w:val="18"/>
                <w:szCs w:val="18"/>
                <w:vertAlign w:val="superscript"/>
              </w:rPr>
            </w:pPr>
            <w:r w:rsidRPr="00FD6E3A">
              <w:rPr>
                <w:rFonts w:ascii="Times New Roman" w:eastAsia="Times New Roman" w:hAnsi="Times New Roman" w:cs="Times New Roman"/>
                <w:bCs/>
                <w:sz w:val="18"/>
                <w:szCs w:val="18"/>
              </w:rPr>
              <w:t>77 (65.8)</w:t>
            </w:r>
          </w:p>
        </w:tc>
        <w:tc>
          <w:tcPr>
            <w:tcW w:w="1003" w:type="dxa"/>
            <w:tcBorders>
              <w:top w:val="single" w:sz="4" w:space="0" w:color="auto"/>
              <w:left w:val="double" w:sz="4" w:space="0" w:color="auto"/>
              <w:bottom w:val="single" w:sz="4" w:space="0" w:color="auto"/>
              <w:right w:val="single" w:sz="4" w:space="0" w:color="auto"/>
            </w:tcBorders>
          </w:tcPr>
          <w:p w14:paraId="2F7BD07B" w14:textId="5FA64008"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(N=72)</w:t>
            </w:r>
          </w:p>
          <w:p w14:paraId="3BF9CFC2" w14:textId="07F361C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4 (5.6)</w:t>
            </w:r>
          </w:p>
        </w:tc>
        <w:tc>
          <w:tcPr>
            <w:tcW w:w="1283" w:type="dxa"/>
            <w:tcBorders>
              <w:top w:val="single" w:sz="4" w:space="0" w:color="auto"/>
              <w:left w:val="single" w:sz="4" w:space="0" w:color="auto"/>
              <w:bottom w:val="single" w:sz="4" w:space="0" w:color="auto"/>
              <w:right w:val="double" w:sz="4" w:space="0" w:color="auto"/>
            </w:tcBorders>
          </w:tcPr>
          <w:p w14:paraId="79A40D7B" w14:textId="70A2394C"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(N=278)</w:t>
            </w:r>
          </w:p>
          <w:p w14:paraId="25A616E1" w14:textId="48E37B47"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210 (75.5) </w:t>
            </w:r>
            <w:r w:rsidRPr="00FD6E3A">
              <w:rPr>
                <w:rFonts w:ascii="Times New Roman" w:eastAsia="Times New Roman" w:hAnsi="Times New Roman" w:cs="Times New Roman"/>
                <w:bCs/>
                <w:sz w:val="18"/>
                <w:szCs w:val="18"/>
                <w:vertAlign w:val="superscript"/>
              </w:rPr>
              <w:t>a</w:t>
            </w:r>
          </w:p>
        </w:tc>
        <w:tc>
          <w:tcPr>
            <w:tcW w:w="1399" w:type="dxa"/>
            <w:tcBorders>
              <w:top w:val="single" w:sz="4" w:space="0" w:color="auto"/>
              <w:left w:val="double" w:sz="4" w:space="0" w:color="auto"/>
              <w:bottom w:val="single" w:sz="4" w:space="0" w:color="auto"/>
              <w:right w:val="single" w:sz="4" w:space="0" w:color="auto"/>
            </w:tcBorders>
          </w:tcPr>
          <w:p w14:paraId="6FC87E7E" w14:textId="59B3B77A"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(N=262)</w:t>
            </w:r>
          </w:p>
          <w:p w14:paraId="79A98FEC" w14:textId="5E92B9C8"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179 (68.3)</w:t>
            </w:r>
          </w:p>
        </w:tc>
        <w:tc>
          <w:tcPr>
            <w:tcW w:w="1301" w:type="dxa"/>
            <w:tcBorders>
              <w:top w:val="single" w:sz="4" w:space="0" w:color="auto"/>
              <w:left w:val="single" w:sz="4" w:space="0" w:color="auto"/>
              <w:bottom w:val="single" w:sz="4" w:space="0" w:color="auto"/>
              <w:right w:val="single" w:sz="4" w:space="0" w:color="auto"/>
            </w:tcBorders>
          </w:tcPr>
          <w:p w14:paraId="79033D27" w14:textId="10DDAFD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(N=116)</w:t>
            </w:r>
          </w:p>
          <w:p w14:paraId="0C4DFB14" w14:textId="29D54A5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58 (50.0)</w:t>
            </w:r>
          </w:p>
        </w:tc>
      </w:tr>
      <w:tr w:rsidR="00FD6E3A" w:rsidRPr="00FD6E3A" w14:paraId="705A2FD9" w14:textId="77777777" w:rsidTr="00366F4C">
        <w:trPr>
          <w:trHeight w:val="458"/>
        </w:trPr>
        <w:tc>
          <w:tcPr>
            <w:tcW w:w="1696" w:type="dxa"/>
            <w:tcBorders>
              <w:top w:val="single" w:sz="4" w:space="0" w:color="auto"/>
              <w:left w:val="single" w:sz="4" w:space="0" w:color="auto"/>
              <w:bottom w:val="single" w:sz="4" w:space="0" w:color="auto"/>
              <w:right w:val="double" w:sz="4" w:space="0" w:color="auto"/>
            </w:tcBorders>
          </w:tcPr>
          <w:p w14:paraId="47DFE485" w14:textId="5BDEF28B"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 xml:space="preserve">PSD Scaling </w:t>
            </w:r>
            <w:r w:rsidRPr="00FD6E3A">
              <w:rPr>
                <w:rFonts w:ascii="Times New Roman" w:eastAsia="Times New Roman" w:hAnsi="Times New Roman" w:cs="Times New Roman"/>
                <w:bCs/>
                <w:sz w:val="18"/>
                <w:szCs w:val="18"/>
              </w:rPr>
              <w:t>(N)</w:t>
            </w:r>
          </w:p>
          <w:p w14:paraId="734E9350" w14:textId="41A02D3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Week 16</w:t>
            </w:r>
          </w:p>
          <w:p w14:paraId="28764B77" w14:textId="77777777" w:rsidR="00FD6E3A" w:rsidRPr="00FD6E3A" w:rsidRDefault="00FD6E3A" w:rsidP="00FD6E3A">
            <w:pPr>
              <w:rPr>
                <w:rFonts w:ascii="Times New Roman" w:eastAsia="Times New Roman" w:hAnsi="Times New Roman" w:cs="Times New Roman"/>
                <w:bCs/>
                <w:sz w:val="18"/>
                <w:szCs w:val="18"/>
              </w:rPr>
            </w:pPr>
          </w:p>
        </w:tc>
        <w:tc>
          <w:tcPr>
            <w:tcW w:w="1134" w:type="dxa"/>
            <w:tcBorders>
              <w:top w:val="single" w:sz="4" w:space="0" w:color="auto"/>
              <w:left w:val="double" w:sz="4" w:space="0" w:color="auto"/>
              <w:bottom w:val="single" w:sz="4" w:space="0" w:color="auto"/>
              <w:right w:val="single" w:sz="4" w:space="0" w:color="auto"/>
            </w:tcBorders>
          </w:tcPr>
          <w:p w14:paraId="5D39E12E" w14:textId="46C27D88"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(N=63)</w:t>
            </w:r>
          </w:p>
          <w:p w14:paraId="10809075" w14:textId="2E56A1ED"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8 (12.7)</w:t>
            </w:r>
          </w:p>
        </w:tc>
        <w:tc>
          <w:tcPr>
            <w:tcW w:w="1276" w:type="dxa"/>
            <w:tcBorders>
              <w:top w:val="single" w:sz="4" w:space="0" w:color="auto"/>
              <w:left w:val="single" w:sz="4" w:space="0" w:color="auto"/>
              <w:bottom w:val="single" w:sz="4" w:space="0" w:color="auto"/>
              <w:right w:val="single" w:sz="4" w:space="0" w:color="auto"/>
            </w:tcBorders>
          </w:tcPr>
          <w:p w14:paraId="2F329DD0" w14:textId="60C73A4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(N=246)</w:t>
            </w:r>
          </w:p>
          <w:p w14:paraId="43DD0F13" w14:textId="707033BD"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193 (78.5) </w:t>
            </w:r>
            <w:r w:rsidRPr="00FD6E3A">
              <w:rPr>
                <w:rFonts w:ascii="Times New Roman" w:eastAsia="Times New Roman" w:hAnsi="Times New Roman" w:cs="Times New Roman"/>
                <w:bCs/>
                <w:sz w:val="18"/>
                <w:szCs w:val="18"/>
                <w:vertAlign w:val="superscript"/>
              </w:rPr>
              <w:t xml:space="preserve">a </w:t>
            </w:r>
          </w:p>
        </w:tc>
        <w:tc>
          <w:tcPr>
            <w:tcW w:w="1276" w:type="dxa"/>
            <w:tcBorders>
              <w:top w:val="single" w:sz="4" w:space="0" w:color="auto"/>
              <w:left w:val="single" w:sz="4" w:space="0" w:color="auto"/>
              <w:bottom w:val="single" w:sz="4" w:space="0" w:color="auto"/>
              <w:right w:val="double" w:sz="4" w:space="0" w:color="auto"/>
            </w:tcBorders>
          </w:tcPr>
          <w:p w14:paraId="129835EE" w14:textId="366F250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(N=116)</w:t>
            </w:r>
          </w:p>
          <w:p w14:paraId="74599FC2" w14:textId="60EB6523"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69 (59.5)</w:t>
            </w:r>
          </w:p>
        </w:tc>
        <w:tc>
          <w:tcPr>
            <w:tcW w:w="1003" w:type="dxa"/>
            <w:tcBorders>
              <w:top w:val="single" w:sz="4" w:space="0" w:color="auto"/>
              <w:left w:val="double" w:sz="4" w:space="0" w:color="auto"/>
              <w:bottom w:val="single" w:sz="4" w:space="0" w:color="auto"/>
              <w:right w:val="single" w:sz="4" w:space="0" w:color="auto"/>
            </w:tcBorders>
          </w:tcPr>
          <w:p w14:paraId="2D52CD70" w14:textId="69F8206F"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(N=70)</w:t>
            </w:r>
          </w:p>
          <w:p w14:paraId="5CA0142F" w14:textId="6F0120F5"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4 (5.7)</w:t>
            </w:r>
          </w:p>
        </w:tc>
        <w:tc>
          <w:tcPr>
            <w:tcW w:w="1283" w:type="dxa"/>
            <w:tcBorders>
              <w:top w:val="single" w:sz="4" w:space="0" w:color="auto"/>
              <w:left w:val="single" w:sz="4" w:space="0" w:color="auto"/>
              <w:bottom w:val="single" w:sz="4" w:space="0" w:color="auto"/>
              <w:right w:val="double" w:sz="4" w:space="0" w:color="auto"/>
            </w:tcBorders>
          </w:tcPr>
          <w:p w14:paraId="04332865" w14:textId="4EE8BAA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(N=286)</w:t>
            </w:r>
          </w:p>
          <w:p w14:paraId="39A14B96" w14:textId="22C17BD1"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223 (78.0) </w:t>
            </w:r>
            <w:r w:rsidRPr="00FD6E3A">
              <w:rPr>
                <w:rFonts w:ascii="Times New Roman" w:eastAsia="Times New Roman" w:hAnsi="Times New Roman" w:cs="Times New Roman"/>
                <w:bCs/>
                <w:sz w:val="18"/>
                <w:szCs w:val="18"/>
                <w:vertAlign w:val="superscript"/>
              </w:rPr>
              <w:t>a</w:t>
            </w:r>
          </w:p>
        </w:tc>
        <w:tc>
          <w:tcPr>
            <w:tcW w:w="1399" w:type="dxa"/>
            <w:tcBorders>
              <w:top w:val="single" w:sz="4" w:space="0" w:color="auto"/>
              <w:left w:val="double" w:sz="4" w:space="0" w:color="auto"/>
              <w:bottom w:val="single" w:sz="4" w:space="0" w:color="auto"/>
              <w:right w:val="single" w:sz="4" w:space="0" w:color="auto"/>
            </w:tcBorders>
          </w:tcPr>
          <w:p w14:paraId="7BDD895D" w14:textId="733EF610"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(N=261)</w:t>
            </w:r>
          </w:p>
          <w:p w14:paraId="7CEBA6BF" w14:textId="5172BE18"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185 (70.9)</w:t>
            </w:r>
          </w:p>
        </w:tc>
        <w:tc>
          <w:tcPr>
            <w:tcW w:w="1301" w:type="dxa"/>
            <w:tcBorders>
              <w:top w:val="single" w:sz="4" w:space="0" w:color="auto"/>
              <w:left w:val="single" w:sz="4" w:space="0" w:color="auto"/>
              <w:bottom w:val="single" w:sz="4" w:space="0" w:color="auto"/>
              <w:right w:val="single" w:sz="4" w:space="0" w:color="auto"/>
            </w:tcBorders>
          </w:tcPr>
          <w:p w14:paraId="7768F83A" w14:textId="32B8AFAA"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(N= 119)</w:t>
            </w:r>
          </w:p>
          <w:p w14:paraId="1107B93E" w14:textId="7237EAC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59 (49.6)</w:t>
            </w:r>
          </w:p>
        </w:tc>
      </w:tr>
    </w:tbl>
    <w:p w14:paraId="4EEA9E1A"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 xml:space="preserve">BKZ 320 mg Q4W=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every 4 weeks. Non-Responder Imputation (NRI) is used.</w:t>
      </w:r>
    </w:p>
    <w:p w14:paraId="19C03878"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IGA 0/1 response was defined as Clear (0) or Almost Clear (1) with at least a 2-category improvement from Baseline at Week 16. IGA 0 response was defined as Clear (0) with at least a 2-category improvement from Baseline at Week 16.</w:t>
      </w:r>
    </w:p>
    <w:p w14:paraId="7E431215"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 xml:space="preserve">PSD is Patient Symptoms Diary. PSD response is defined as a change from baseline to Week 16 ≥ to a pre-specified threshold (1.98, 2.39, and 2.86 respectively for pain itch and scaling). A pooled supportive analysis of PSD responses in BE VIVID and BE READY using a more stringent threshold for response definition, </w:t>
      </w:r>
      <w:proofErr w:type="gramStart"/>
      <w:r w:rsidRPr="00FD6E3A">
        <w:rPr>
          <w:rFonts w:ascii="Times New Roman" w:eastAsia="Times New Roman" w:hAnsi="Times New Roman" w:cs="Times New Roman"/>
          <w:bCs/>
          <w:color w:val="000000"/>
          <w:sz w:val="18"/>
          <w:szCs w:val="18"/>
          <w:lang w:val="en-US"/>
        </w:rPr>
        <w:t>i.e.</w:t>
      </w:r>
      <w:proofErr w:type="gramEnd"/>
      <w:r w:rsidRPr="00FD6E3A">
        <w:rPr>
          <w:rFonts w:ascii="Times New Roman" w:eastAsia="Times New Roman" w:hAnsi="Times New Roman" w:cs="Times New Roman"/>
          <w:bCs/>
          <w:color w:val="000000"/>
          <w:sz w:val="18"/>
          <w:szCs w:val="18"/>
          <w:lang w:val="en-US"/>
        </w:rPr>
        <w:t xml:space="preserve"> a change from baseline to Week 16 ≥ 4, in the 3 PSD item scores (pain, itch, scaling) provided similar results with response rates of 72.2%, 67.0% and 75.8% in the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treatment group versus rates of 5.2%, 5.3% and 5.8% in the placebo group.</w:t>
      </w:r>
    </w:p>
    <w:p w14:paraId="6E199C33"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vertAlign w:val="superscript"/>
          <w:lang w:val="en-US"/>
        </w:rPr>
        <w:t xml:space="preserve">a) </w:t>
      </w:r>
      <w:r w:rsidRPr="00FD6E3A">
        <w:rPr>
          <w:rFonts w:ascii="Times New Roman" w:eastAsia="Times New Roman" w:hAnsi="Times New Roman" w:cs="Times New Roman"/>
          <w:bCs/>
          <w:color w:val="000000"/>
          <w:sz w:val="18"/>
          <w:szCs w:val="18"/>
          <w:lang w:val="en-US"/>
        </w:rPr>
        <w:t>p&lt;0.001 versus placebo (BE VIVID and BE READY), versus adalimumab (BE SURE), adjusted for multiplicity.</w:t>
      </w:r>
    </w:p>
    <w:p w14:paraId="678A3202" w14:textId="5C50A6B3" w:rsid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vertAlign w:val="superscript"/>
          <w:lang w:val="en-US"/>
        </w:rPr>
        <w:t xml:space="preserve">b) </w:t>
      </w:r>
      <w:r w:rsidRPr="00FD6E3A">
        <w:rPr>
          <w:rFonts w:ascii="Times New Roman" w:eastAsia="Times New Roman" w:hAnsi="Times New Roman" w:cs="Times New Roman"/>
          <w:bCs/>
          <w:color w:val="000000"/>
          <w:sz w:val="18"/>
          <w:szCs w:val="18"/>
          <w:lang w:val="en-US"/>
        </w:rPr>
        <w:t xml:space="preserve">p&lt;0.001 versus </w:t>
      </w:r>
      <w:proofErr w:type="spellStart"/>
      <w:r w:rsidRPr="00FD6E3A">
        <w:rPr>
          <w:rFonts w:ascii="Times New Roman" w:eastAsia="Times New Roman" w:hAnsi="Times New Roman" w:cs="Times New Roman"/>
          <w:bCs/>
          <w:color w:val="000000"/>
          <w:sz w:val="18"/>
          <w:szCs w:val="18"/>
          <w:lang w:val="en-US"/>
        </w:rPr>
        <w:t>ustekinumab</w:t>
      </w:r>
      <w:proofErr w:type="spellEnd"/>
      <w:r w:rsidRPr="00FD6E3A">
        <w:rPr>
          <w:rFonts w:ascii="Times New Roman" w:eastAsia="Times New Roman" w:hAnsi="Times New Roman" w:cs="Times New Roman"/>
          <w:bCs/>
          <w:color w:val="000000"/>
          <w:sz w:val="18"/>
          <w:szCs w:val="18"/>
          <w:lang w:val="en-US"/>
        </w:rPr>
        <w:t xml:space="preserve"> (BE VIVID), adjusted for multiplicity. </w:t>
      </w:r>
    </w:p>
    <w:p w14:paraId="1D180B5A" w14:textId="77777777" w:rsidR="00006CD4" w:rsidRPr="00FD6E3A" w:rsidRDefault="00006CD4" w:rsidP="00FD6E3A">
      <w:pPr>
        <w:spacing w:after="0" w:line="240" w:lineRule="auto"/>
        <w:rPr>
          <w:rFonts w:ascii="Times New Roman" w:eastAsia="Times New Roman" w:hAnsi="Times New Roman" w:cs="Times New Roman"/>
          <w:bCs/>
          <w:color w:val="000000"/>
          <w:sz w:val="18"/>
          <w:szCs w:val="18"/>
          <w:lang w:val="en-US"/>
        </w:rPr>
      </w:pPr>
    </w:p>
    <w:p w14:paraId="3BAD5CB4" w14:textId="50CCDB85" w:rsidR="00FD6E3A" w:rsidRPr="00FD6E3A" w:rsidRDefault="00FD6E3A" w:rsidP="00FD6E3A">
      <w:pPr>
        <w:spacing w:after="120" w:line="280" w:lineRule="atLeast"/>
        <w:rPr>
          <w:rFonts w:ascii="Times New Roman" w:eastAsia="Times New Roman" w:hAnsi="Times New Roman" w:cs="Times New Roman"/>
          <w:bCs/>
          <w:lang w:val="en-US"/>
        </w:rPr>
      </w:pP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was associated with a rapid onset of efficacy. </w:t>
      </w:r>
      <w:r w:rsidR="0012311F" w:rsidRPr="007E3A40">
        <w:rPr>
          <w:rFonts w:ascii="Times New Roman" w:eastAsia="Times New Roman" w:hAnsi="Times New Roman" w:cs="Times New Roman"/>
          <w:lang w:val="en-US"/>
        </w:rPr>
        <w:t xml:space="preserve">In BE VIVID, at week 2 and week 4, PASI 90 response rates were significantly higher for </w:t>
      </w:r>
      <w:proofErr w:type="spellStart"/>
      <w:r w:rsidR="0012311F" w:rsidRPr="007E3A40">
        <w:rPr>
          <w:rFonts w:ascii="Times New Roman" w:eastAsia="Times New Roman" w:hAnsi="Times New Roman" w:cs="Times New Roman"/>
          <w:lang w:val="en-US"/>
        </w:rPr>
        <w:t>bimekizumab</w:t>
      </w:r>
      <w:proofErr w:type="spellEnd"/>
      <w:r w:rsidR="0012311F" w:rsidRPr="007E3A40">
        <w:rPr>
          <w:rFonts w:ascii="Times New Roman" w:eastAsia="Times New Roman" w:hAnsi="Times New Roman" w:cs="Times New Roman"/>
          <w:lang w:val="en-US"/>
        </w:rPr>
        <w:t xml:space="preserve">-treated patients (12.1% and 43.6% respectively) compared to placebo (1.2% and 2.4% respectively) and </w:t>
      </w:r>
      <w:proofErr w:type="spellStart"/>
      <w:r w:rsidR="0012311F" w:rsidRPr="007E3A40">
        <w:rPr>
          <w:rFonts w:ascii="Times New Roman" w:eastAsia="Times New Roman" w:hAnsi="Times New Roman" w:cs="Times New Roman"/>
          <w:lang w:val="en-US"/>
        </w:rPr>
        <w:t>ustekinumab</w:t>
      </w:r>
      <w:proofErr w:type="spellEnd"/>
      <w:r w:rsidR="0012311F" w:rsidRPr="007E3A40">
        <w:rPr>
          <w:rFonts w:ascii="Times New Roman" w:eastAsia="Times New Roman" w:hAnsi="Times New Roman" w:cs="Times New Roman"/>
          <w:lang w:val="en-US"/>
        </w:rPr>
        <w:t xml:space="preserve"> (1.2% and 3.1% respectively).</w:t>
      </w:r>
    </w:p>
    <w:p w14:paraId="5F21DE02" w14:textId="77777777" w:rsidR="00FD6E3A" w:rsidRPr="00FD6E3A" w:rsidRDefault="00FD6E3A" w:rsidP="00FD6E3A">
      <w:pPr>
        <w:spacing w:before="120" w:after="120" w:line="280" w:lineRule="atLeast"/>
        <w:rPr>
          <w:rFonts w:ascii="Times New Roman" w:eastAsia="Times New Roman" w:hAnsi="Times New Roman" w:cs="Times New Roman"/>
          <w:b/>
          <w:bCs/>
          <w:lang w:val="en-US"/>
        </w:rPr>
      </w:pPr>
      <w:r w:rsidRPr="00FD6E3A">
        <w:rPr>
          <w:rFonts w:ascii="Times New Roman" w:eastAsia="Times New Roman" w:hAnsi="Times New Roman" w:cs="Times New Roman"/>
          <w:b/>
          <w:bCs/>
          <w:lang w:val="en-US"/>
        </w:rPr>
        <w:t>Figure 1: PASI 90 responder rates over time in BE VIVID</w:t>
      </w:r>
    </w:p>
    <w:p w14:paraId="314ED748" w14:textId="77777777" w:rsidR="00FD6E3A" w:rsidRPr="00FD6E3A" w:rsidRDefault="00FD6E3A" w:rsidP="00FD6E3A">
      <w:pPr>
        <w:spacing w:before="120" w:after="120" w:line="280" w:lineRule="atLeast"/>
        <w:rPr>
          <w:rFonts w:ascii="Times New Roman" w:eastAsia="Times New Roman" w:hAnsi="Times New Roman" w:cs="Times New Roman"/>
          <w:bCs/>
          <w:u w:val="single"/>
          <w:lang w:val="en-US"/>
        </w:rPr>
      </w:pPr>
      <w:r w:rsidRPr="00FD6E3A">
        <w:rPr>
          <w:rFonts w:ascii="Times New Roman" w:eastAsia="Times New Roman" w:hAnsi="Times New Roman" w:cs="Times New Roman"/>
          <w:noProof/>
          <w:sz w:val="24"/>
          <w:szCs w:val="20"/>
          <w:lang w:val="en-US"/>
        </w:rPr>
        <w:lastRenderedPageBreak/>
        <w:drawing>
          <wp:inline distT="0" distB="0" distL="0" distR="0" wp14:anchorId="06FE2A84" wp14:editId="5FB1AE97">
            <wp:extent cx="5732145" cy="348878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5107" cy="3490591"/>
                    </a:xfrm>
                    <a:prstGeom prst="rect">
                      <a:avLst/>
                    </a:prstGeom>
                  </pic:spPr>
                </pic:pic>
              </a:graphicData>
            </a:graphic>
          </wp:inline>
        </w:drawing>
      </w:r>
    </w:p>
    <w:p w14:paraId="38A5B5DB" w14:textId="77777777" w:rsidR="00FD6E3A" w:rsidRPr="00FD6E3A" w:rsidRDefault="00FD6E3A" w:rsidP="00FD6E3A">
      <w:pPr>
        <w:spacing w:after="120" w:line="280" w:lineRule="atLeast"/>
        <w:rPr>
          <w:rFonts w:ascii="Times New Roman" w:eastAsia="Times New Roman" w:hAnsi="Times New Roman" w:cs="Times New Roman"/>
          <w:color w:val="000000"/>
          <w:sz w:val="18"/>
          <w:szCs w:val="18"/>
          <w:lang w:val="en-US"/>
        </w:rPr>
      </w:pPr>
      <w:r w:rsidRPr="00FD6E3A">
        <w:rPr>
          <w:rFonts w:ascii="Times New Roman" w:eastAsia="Times New Roman" w:hAnsi="Times New Roman" w:cs="Times New Roman"/>
          <w:color w:val="000000"/>
          <w:sz w:val="18"/>
          <w:szCs w:val="18"/>
          <w:lang w:val="en-US"/>
        </w:rPr>
        <w:t>BKZ=</w:t>
      </w:r>
      <w:proofErr w:type="spellStart"/>
      <w:r w:rsidRPr="00FD6E3A">
        <w:rPr>
          <w:rFonts w:ascii="Times New Roman" w:eastAsia="Times New Roman" w:hAnsi="Times New Roman" w:cs="Times New Roman"/>
          <w:color w:val="000000"/>
          <w:sz w:val="18"/>
          <w:szCs w:val="18"/>
          <w:lang w:val="en-US"/>
        </w:rPr>
        <w:t>bimekizumab</w:t>
      </w:r>
      <w:proofErr w:type="spellEnd"/>
      <w:r w:rsidRPr="00FD6E3A">
        <w:rPr>
          <w:rFonts w:ascii="Times New Roman" w:eastAsia="Times New Roman" w:hAnsi="Times New Roman" w:cs="Times New Roman"/>
          <w:color w:val="000000"/>
          <w:sz w:val="18"/>
          <w:szCs w:val="18"/>
          <w:lang w:val="en-US"/>
        </w:rPr>
        <w:t xml:space="preserve">; </w:t>
      </w:r>
      <w:proofErr w:type="spellStart"/>
      <w:r w:rsidRPr="00FD6E3A">
        <w:rPr>
          <w:rFonts w:ascii="Times New Roman" w:eastAsia="Times New Roman" w:hAnsi="Times New Roman" w:cs="Times New Roman"/>
          <w:color w:val="000000"/>
          <w:sz w:val="18"/>
          <w:szCs w:val="18"/>
          <w:lang w:val="en-US"/>
        </w:rPr>
        <w:t>Uste</w:t>
      </w:r>
      <w:proofErr w:type="spellEnd"/>
      <w:r w:rsidRPr="00FD6E3A">
        <w:rPr>
          <w:rFonts w:ascii="Times New Roman" w:eastAsia="Times New Roman" w:hAnsi="Times New Roman" w:cs="Times New Roman"/>
          <w:color w:val="000000"/>
          <w:sz w:val="18"/>
          <w:szCs w:val="18"/>
          <w:lang w:val="en-US"/>
        </w:rPr>
        <w:t>=</w:t>
      </w:r>
      <w:proofErr w:type="spellStart"/>
      <w:r w:rsidRPr="00FD6E3A">
        <w:rPr>
          <w:rFonts w:ascii="Times New Roman" w:eastAsia="Times New Roman" w:hAnsi="Times New Roman" w:cs="Times New Roman"/>
          <w:color w:val="000000"/>
          <w:sz w:val="18"/>
          <w:szCs w:val="18"/>
          <w:lang w:val="en-US"/>
        </w:rPr>
        <w:t>ustekinumab</w:t>
      </w:r>
      <w:proofErr w:type="spellEnd"/>
      <w:r w:rsidRPr="00FD6E3A">
        <w:rPr>
          <w:rFonts w:ascii="Times New Roman" w:eastAsia="Times New Roman" w:hAnsi="Times New Roman" w:cs="Times New Roman"/>
          <w:color w:val="000000"/>
          <w:sz w:val="18"/>
          <w:szCs w:val="18"/>
          <w:lang w:val="en-US"/>
        </w:rPr>
        <w:t>. NRI is used.</w:t>
      </w:r>
    </w:p>
    <w:p w14:paraId="1BAC4F6E" w14:textId="77777777" w:rsidR="00FD6E3A" w:rsidRPr="00FD6E3A" w:rsidRDefault="00FD6E3A" w:rsidP="00FD6E3A">
      <w:pPr>
        <w:spacing w:after="120" w:line="280" w:lineRule="atLeast"/>
        <w:rPr>
          <w:rFonts w:ascii="Times New Roman" w:eastAsia="Times New Roman" w:hAnsi="Times New Roman" w:cs="Times New Roman"/>
          <w:bCs/>
          <w:szCs w:val="20"/>
          <w:lang w:val="en-US"/>
        </w:rPr>
      </w:pPr>
      <w:r w:rsidRPr="00FD6E3A">
        <w:rPr>
          <w:rFonts w:ascii="Times New Roman" w:eastAsia="Times New Roman" w:hAnsi="Times New Roman" w:cs="Times New Roman"/>
          <w:bCs/>
          <w:szCs w:val="20"/>
          <w:lang w:val="en-US"/>
        </w:rPr>
        <w:t xml:space="preserve">In the BE VIVID study, at Week 52,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-treated patients achieved significantly higher response rates than the </w:t>
      </w:r>
      <w:proofErr w:type="spellStart"/>
      <w:r w:rsidRPr="00FD6E3A">
        <w:rPr>
          <w:rFonts w:ascii="Times New Roman" w:eastAsia="Times New Roman" w:hAnsi="Times New Roman" w:cs="Times New Roman"/>
          <w:bCs/>
          <w:szCs w:val="20"/>
          <w:lang w:val="en-US"/>
        </w:rPr>
        <w:t>ustekinumab</w:t>
      </w:r>
      <w:proofErr w:type="spellEnd"/>
      <w:r w:rsidRPr="00FD6E3A">
        <w:rPr>
          <w:rFonts w:ascii="Times New Roman" w:eastAsia="Times New Roman" w:hAnsi="Times New Roman" w:cs="Times New Roman"/>
          <w:bCs/>
          <w:szCs w:val="20"/>
          <w:lang w:val="en-US"/>
        </w:rPr>
        <w:t xml:space="preserve">-treated patients on the endpoints of PASI 90 (81.6%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vs 55.8% </w:t>
      </w:r>
      <w:proofErr w:type="spellStart"/>
      <w:r w:rsidRPr="00FD6E3A">
        <w:rPr>
          <w:rFonts w:ascii="Times New Roman" w:eastAsia="Times New Roman" w:hAnsi="Times New Roman" w:cs="Times New Roman"/>
          <w:bCs/>
          <w:szCs w:val="20"/>
          <w:lang w:val="en-US"/>
        </w:rPr>
        <w:t>ustekinumab</w:t>
      </w:r>
      <w:proofErr w:type="spellEnd"/>
      <w:r w:rsidRPr="00FD6E3A">
        <w:rPr>
          <w:rFonts w:ascii="Times New Roman" w:eastAsia="Times New Roman" w:hAnsi="Times New Roman" w:cs="Times New Roman"/>
          <w:bCs/>
          <w:szCs w:val="20"/>
          <w:lang w:val="en-US"/>
        </w:rPr>
        <w:t xml:space="preserve">, p&lt;0.001), IGA 0/1 (77.9%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vs 60.7% </w:t>
      </w:r>
      <w:proofErr w:type="spellStart"/>
      <w:r w:rsidRPr="00FD6E3A">
        <w:rPr>
          <w:rFonts w:ascii="Times New Roman" w:eastAsia="Times New Roman" w:hAnsi="Times New Roman" w:cs="Times New Roman"/>
          <w:bCs/>
          <w:szCs w:val="20"/>
          <w:lang w:val="en-US"/>
        </w:rPr>
        <w:t>ustekinumab</w:t>
      </w:r>
      <w:proofErr w:type="spellEnd"/>
      <w:r w:rsidRPr="00FD6E3A">
        <w:rPr>
          <w:rFonts w:ascii="Times New Roman" w:eastAsia="Times New Roman" w:hAnsi="Times New Roman" w:cs="Times New Roman"/>
          <w:bCs/>
          <w:szCs w:val="20"/>
          <w:lang w:val="en-US"/>
        </w:rPr>
        <w:t xml:space="preserve">, p&lt;0.001) and PASI 100 (64.2%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vs 38.0% </w:t>
      </w:r>
      <w:proofErr w:type="spellStart"/>
      <w:r w:rsidRPr="00FD6E3A">
        <w:rPr>
          <w:rFonts w:ascii="Times New Roman" w:eastAsia="Times New Roman" w:hAnsi="Times New Roman" w:cs="Times New Roman"/>
          <w:bCs/>
          <w:szCs w:val="20"/>
          <w:lang w:val="en-US"/>
        </w:rPr>
        <w:t>ustekinumab</w:t>
      </w:r>
      <w:proofErr w:type="spellEnd"/>
      <w:r w:rsidRPr="00FD6E3A">
        <w:rPr>
          <w:rFonts w:ascii="Times New Roman" w:eastAsia="Times New Roman" w:hAnsi="Times New Roman" w:cs="Times New Roman"/>
          <w:bCs/>
          <w:szCs w:val="20"/>
          <w:lang w:val="en-US"/>
        </w:rPr>
        <w:t>).</w:t>
      </w:r>
    </w:p>
    <w:p w14:paraId="3C6FF5D8" w14:textId="77777777" w:rsidR="00FD6E3A" w:rsidRPr="00FD6E3A" w:rsidRDefault="00FD6E3A" w:rsidP="00FD6E3A">
      <w:pPr>
        <w:spacing w:after="120" w:line="280" w:lineRule="atLeast"/>
        <w:rPr>
          <w:rFonts w:ascii="Times New Roman" w:eastAsia="Times New Roman" w:hAnsi="Times New Roman" w:cs="Times New Roman"/>
          <w:bCs/>
          <w:szCs w:val="20"/>
          <w:lang w:val="en-US"/>
        </w:rPr>
      </w:pPr>
      <w:r w:rsidRPr="00FD6E3A">
        <w:rPr>
          <w:rFonts w:ascii="Times New Roman" w:eastAsia="Times New Roman" w:hAnsi="Times New Roman" w:cs="Times New Roman"/>
          <w:bCs/>
          <w:szCs w:val="20"/>
          <w:lang w:val="en-US"/>
        </w:rPr>
        <w:t xml:space="preserve">In the BE SURE study at Week 24, </w:t>
      </w:r>
      <w:bookmarkStart w:id="3" w:name="_Hlk30506658"/>
      <w:r w:rsidRPr="00FD6E3A">
        <w:rPr>
          <w:rFonts w:ascii="Times New Roman" w:eastAsia="Times New Roman" w:hAnsi="Times New Roman" w:cs="Times New Roman"/>
          <w:bCs/>
          <w:szCs w:val="20"/>
          <w:lang w:val="en-US"/>
        </w:rPr>
        <w:t xml:space="preserve">a significantly higher percentage of patients treated with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achieved a PASI 90 and an IGA 0/1 responses as compared with adalimumab </w:t>
      </w:r>
      <w:bookmarkEnd w:id="3"/>
      <w:r w:rsidRPr="00FD6E3A">
        <w:rPr>
          <w:rFonts w:ascii="Times New Roman" w:eastAsia="Times New Roman" w:hAnsi="Times New Roman" w:cs="Times New Roman"/>
          <w:bCs/>
          <w:szCs w:val="20"/>
          <w:lang w:val="en-US"/>
        </w:rPr>
        <w:t xml:space="preserve">(85.6% and 86.5% respectively vs 51.6% and 57.9% respectively, p&lt;0.001). Among the 65 adalimumab non-responders at Week 24 (&lt; PASI 90), 78.5% achieved a PASI 90 response after 16 weeks of treatment with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No new safety findings were observed in patients who switched from adalimumab to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 At Week 56, 70.2% of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-treated patients achieved a PASI 100 response.</w:t>
      </w:r>
    </w:p>
    <w:p w14:paraId="2E3732DE" w14:textId="77777777" w:rsidR="00FD6E3A" w:rsidRPr="00FD6E3A" w:rsidRDefault="00FD6E3A" w:rsidP="00FD6E3A">
      <w:pPr>
        <w:spacing w:before="120" w:after="120" w:line="280" w:lineRule="atLeast"/>
        <w:rPr>
          <w:rFonts w:ascii="Times New Roman" w:eastAsia="Times New Roman" w:hAnsi="Times New Roman" w:cs="Times New Roman"/>
          <w:b/>
          <w:bCs/>
          <w:color w:val="000000"/>
          <w:lang w:val="en-US"/>
        </w:rPr>
      </w:pPr>
    </w:p>
    <w:p w14:paraId="16A7287F" w14:textId="77777777" w:rsidR="00FD6E3A" w:rsidRPr="00FD6E3A" w:rsidRDefault="00FD6E3A" w:rsidP="00FD6E3A">
      <w:pPr>
        <w:spacing w:before="120" w:after="120" w:line="280" w:lineRule="atLeast"/>
        <w:rPr>
          <w:rFonts w:ascii="Times New Roman" w:eastAsia="Times New Roman" w:hAnsi="Times New Roman" w:cs="Times New Roman"/>
          <w:b/>
          <w:bCs/>
          <w:color w:val="000000"/>
          <w:lang w:val="en-US"/>
        </w:rPr>
      </w:pPr>
      <w:r w:rsidRPr="00FD6E3A">
        <w:rPr>
          <w:rFonts w:ascii="Times New Roman" w:eastAsia="Times New Roman" w:hAnsi="Times New Roman" w:cs="Times New Roman"/>
          <w:b/>
          <w:bCs/>
          <w:color w:val="000000"/>
          <w:lang w:val="en-US"/>
        </w:rPr>
        <w:t xml:space="preserve">Figure 2: </w:t>
      </w:r>
      <w:bookmarkStart w:id="4" w:name="_Hlk30154798"/>
      <w:r w:rsidRPr="00FD6E3A">
        <w:rPr>
          <w:rFonts w:ascii="Times New Roman" w:eastAsia="Times New Roman" w:hAnsi="Times New Roman" w:cs="Times New Roman"/>
          <w:b/>
          <w:bCs/>
          <w:color w:val="000000"/>
          <w:lang w:val="en-US"/>
        </w:rPr>
        <w:t>PASI 90 responder rates over time</w:t>
      </w:r>
      <w:bookmarkEnd w:id="4"/>
      <w:r w:rsidRPr="00FD6E3A">
        <w:rPr>
          <w:rFonts w:ascii="Times New Roman" w:eastAsia="Times New Roman" w:hAnsi="Times New Roman" w:cs="Times New Roman"/>
          <w:b/>
          <w:bCs/>
          <w:color w:val="000000"/>
          <w:lang w:val="en-US"/>
        </w:rPr>
        <w:t xml:space="preserve"> in BE SURE  </w:t>
      </w:r>
    </w:p>
    <w:p w14:paraId="25C94C4E" w14:textId="77777777" w:rsidR="00FD6E3A" w:rsidRPr="00FD6E3A" w:rsidRDefault="00FD6E3A" w:rsidP="00FD6E3A">
      <w:pPr>
        <w:spacing w:before="120" w:after="120" w:line="280" w:lineRule="atLeast"/>
        <w:rPr>
          <w:rFonts w:ascii="Times New Roman" w:eastAsia="Times New Roman" w:hAnsi="Times New Roman" w:cs="Times New Roman"/>
          <w:bCs/>
          <w:color w:val="000000"/>
          <w:u w:val="single"/>
          <w:lang w:val="en-US"/>
        </w:rPr>
      </w:pPr>
      <w:r w:rsidRPr="00FD6E3A">
        <w:rPr>
          <w:rFonts w:ascii="Times New Roman" w:eastAsia="Times New Roman" w:hAnsi="Times New Roman" w:cs="Times New Roman"/>
          <w:noProof/>
          <w:sz w:val="24"/>
          <w:szCs w:val="20"/>
          <w:lang w:val="en-US"/>
        </w:rPr>
        <w:lastRenderedPageBreak/>
        <w:drawing>
          <wp:inline distT="0" distB="0" distL="0" distR="0" wp14:anchorId="3E83D03D" wp14:editId="61D897E3">
            <wp:extent cx="5160010" cy="3144129"/>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1058" cy="3163047"/>
                    </a:xfrm>
                    <a:prstGeom prst="rect">
                      <a:avLst/>
                    </a:prstGeom>
                  </pic:spPr>
                </pic:pic>
              </a:graphicData>
            </a:graphic>
          </wp:inline>
        </w:drawing>
      </w:r>
    </w:p>
    <w:p w14:paraId="368120B5" w14:textId="77777777" w:rsidR="00FD6E3A" w:rsidRPr="00FD6E3A" w:rsidRDefault="00FD6E3A" w:rsidP="00FD6E3A">
      <w:pPr>
        <w:spacing w:after="0" w:line="240" w:lineRule="auto"/>
        <w:rPr>
          <w:rFonts w:ascii="Times New Roman" w:eastAsia="Times New Roman" w:hAnsi="Times New Roman" w:cs="Times New Roman"/>
          <w:color w:val="000000"/>
          <w:sz w:val="18"/>
          <w:szCs w:val="18"/>
          <w:lang w:val="en-US"/>
        </w:rPr>
      </w:pPr>
      <w:r w:rsidRPr="00FD6E3A">
        <w:rPr>
          <w:rFonts w:ascii="Times New Roman" w:eastAsia="Times New Roman" w:hAnsi="Times New Roman" w:cs="Times New Roman"/>
          <w:color w:val="000000"/>
          <w:sz w:val="18"/>
          <w:szCs w:val="18"/>
          <w:lang w:val="en-US"/>
        </w:rPr>
        <w:t xml:space="preserve">BKZ 320 mg Q4W = </w:t>
      </w:r>
      <w:proofErr w:type="spellStart"/>
      <w:r w:rsidRPr="00FD6E3A">
        <w:rPr>
          <w:rFonts w:ascii="Times New Roman" w:eastAsia="Times New Roman" w:hAnsi="Times New Roman" w:cs="Times New Roman"/>
          <w:color w:val="000000"/>
          <w:sz w:val="18"/>
          <w:szCs w:val="18"/>
          <w:lang w:val="en-US"/>
        </w:rPr>
        <w:t>bimekizumab</w:t>
      </w:r>
      <w:proofErr w:type="spellEnd"/>
      <w:r w:rsidRPr="00FD6E3A">
        <w:rPr>
          <w:rFonts w:ascii="Times New Roman" w:eastAsia="Times New Roman" w:hAnsi="Times New Roman" w:cs="Times New Roman"/>
          <w:color w:val="000000"/>
          <w:sz w:val="18"/>
          <w:szCs w:val="18"/>
          <w:lang w:val="en-US"/>
        </w:rPr>
        <w:t xml:space="preserve"> every 4 weeks; BKZ 320 mg Q8W = </w:t>
      </w:r>
      <w:proofErr w:type="spellStart"/>
      <w:r w:rsidRPr="00FD6E3A">
        <w:rPr>
          <w:rFonts w:ascii="Times New Roman" w:eastAsia="Times New Roman" w:hAnsi="Times New Roman" w:cs="Times New Roman"/>
          <w:color w:val="000000"/>
          <w:sz w:val="18"/>
          <w:szCs w:val="18"/>
          <w:lang w:val="en-US"/>
        </w:rPr>
        <w:t>bimekizumab</w:t>
      </w:r>
      <w:proofErr w:type="spellEnd"/>
      <w:r w:rsidRPr="00FD6E3A">
        <w:rPr>
          <w:rFonts w:ascii="Times New Roman" w:eastAsia="Times New Roman" w:hAnsi="Times New Roman" w:cs="Times New Roman"/>
          <w:color w:val="000000"/>
          <w:sz w:val="18"/>
          <w:szCs w:val="18"/>
          <w:lang w:val="en-US"/>
        </w:rPr>
        <w:t xml:space="preserve"> every 8 weeks; ADA= adalimumab.</w:t>
      </w:r>
    </w:p>
    <w:p w14:paraId="12D08777" w14:textId="77777777" w:rsidR="00FD6E3A" w:rsidRPr="00FD6E3A" w:rsidRDefault="00FD6E3A" w:rsidP="00FD6E3A">
      <w:pPr>
        <w:spacing w:after="0" w:line="240" w:lineRule="auto"/>
        <w:rPr>
          <w:rFonts w:ascii="Times New Roman" w:eastAsia="Times New Roman" w:hAnsi="Times New Roman" w:cs="Times New Roman"/>
          <w:color w:val="000000"/>
          <w:sz w:val="18"/>
          <w:szCs w:val="18"/>
          <w:lang w:val="en-US"/>
        </w:rPr>
      </w:pPr>
      <w:r w:rsidRPr="00FD6E3A">
        <w:rPr>
          <w:rFonts w:ascii="Times New Roman" w:eastAsia="Times New Roman" w:hAnsi="Times New Roman" w:cs="Times New Roman"/>
          <w:color w:val="000000"/>
          <w:sz w:val="18"/>
          <w:szCs w:val="18"/>
          <w:lang w:val="en-US"/>
        </w:rPr>
        <w:t xml:space="preserve">Note: Only patients who received </w:t>
      </w:r>
      <w:proofErr w:type="spellStart"/>
      <w:r w:rsidRPr="00FD6E3A">
        <w:rPr>
          <w:rFonts w:ascii="Times New Roman" w:eastAsia="Times New Roman" w:hAnsi="Times New Roman" w:cs="Times New Roman"/>
          <w:color w:val="000000"/>
          <w:sz w:val="18"/>
          <w:szCs w:val="18"/>
          <w:lang w:val="en-US"/>
        </w:rPr>
        <w:t>bimekizumab</w:t>
      </w:r>
      <w:proofErr w:type="spellEnd"/>
      <w:r w:rsidRPr="00FD6E3A">
        <w:rPr>
          <w:rFonts w:ascii="Times New Roman" w:eastAsia="Times New Roman" w:hAnsi="Times New Roman" w:cs="Times New Roman"/>
          <w:color w:val="000000"/>
          <w:sz w:val="18"/>
          <w:szCs w:val="18"/>
          <w:lang w:val="en-US"/>
        </w:rPr>
        <w:t xml:space="preserve"> at Week 24 or later are included. Patients in the BKZ Q4W/Q8W group switched from Q4W to Q8W dosing at Week 16. Patients in the ADA/BKZ 320 mg Q4W group switched from ADA to BKZ Q4W at Week 24.</w:t>
      </w:r>
      <w:bookmarkStart w:id="5" w:name="_Hlk30062799"/>
      <w:r w:rsidRPr="00FD6E3A">
        <w:rPr>
          <w:rFonts w:ascii="Times New Roman" w:eastAsia="Times New Roman" w:hAnsi="Times New Roman" w:cs="Times New Roman"/>
          <w:color w:val="000000"/>
          <w:sz w:val="18"/>
          <w:szCs w:val="18"/>
          <w:lang w:val="en-US"/>
        </w:rPr>
        <w:t xml:space="preserve"> NRI is used.</w:t>
      </w:r>
    </w:p>
    <w:p w14:paraId="64E98D2F" w14:textId="77777777" w:rsidR="00FD6E3A" w:rsidRPr="00FD6E3A" w:rsidRDefault="00FD6E3A" w:rsidP="00FD6E3A">
      <w:pPr>
        <w:spacing w:after="120" w:line="280" w:lineRule="atLeast"/>
        <w:rPr>
          <w:rFonts w:ascii="Times New Roman" w:eastAsia="Times New Roman" w:hAnsi="Times New Roman" w:cs="Times New Roman"/>
          <w:color w:val="000000"/>
          <w:sz w:val="18"/>
          <w:szCs w:val="18"/>
          <w:lang w:val="en-US"/>
        </w:rPr>
      </w:pPr>
      <w:bookmarkStart w:id="6" w:name="_Hlk15310680"/>
      <w:bookmarkStart w:id="7" w:name="_Hlk15372137"/>
      <w:bookmarkEnd w:id="5"/>
    </w:p>
    <w:p w14:paraId="6EDA43AD" w14:textId="77777777" w:rsidR="00FD6E3A" w:rsidRPr="00FD6E3A" w:rsidRDefault="00FD6E3A" w:rsidP="00FD6E3A">
      <w:pPr>
        <w:spacing w:after="120" w:line="280" w:lineRule="atLeast"/>
        <w:rPr>
          <w:rFonts w:ascii="Times New Roman" w:eastAsia="Times New Roman" w:hAnsi="Times New Roman" w:cs="Times New Roman"/>
          <w:bCs/>
          <w:lang w:val="en-US"/>
        </w:rPr>
      </w:pPr>
      <w:r w:rsidRPr="00FD6E3A">
        <w:rPr>
          <w:rFonts w:ascii="Times New Roman" w:eastAsia="Times New Roman" w:hAnsi="Times New Roman" w:cs="Times New Roman"/>
          <w:bCs/>
          <w:lang w:val="en-US"/>
        </w:rPr>
        <w:t xml:space="preserve">The efficacy of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was demonstrated regardless of </w:t>
      </w:r>
      <w:bookmarkEnd w:id="6"/>
      <w:r w:rsidRPr="00FD6E3A">
        <w:rPr>
          <w:rFonts w:ascii="Times New Roman" w:eastAsia="Times New Roman" w:hAnsi="Times New Roman" w:cs="Times New Roman"/>
          <w:bCs/>
          <w:lang w:val="en-US"/>
        </w:rPr>
        <w:t xml:space="preserve">age, gender, race, disease duration, body weight, PASI baseline severity and previous treatment with a biologic.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was efficacious in prior biologic exposed patients, including anti-TNF / anti IL-17 and in systemic treatment-naïve patients. </w:t>
      </w:r>
    </w:p>
    <w:p w14:paraId="46632A80" w14:textId="03C27EEF" w:rsidR="00A15FF5" w:rsidRPr="00A579E8" w:rsidRDefault="00FD6E3A" w:rsidP="00FD6E3A">
      <w:pPr>
        <w:spacing w:after="120" w:line="280" w:lineRule="atLeast"/>
        <w:rPr>
          <w:rFonts w:ascii="Times New Roman" w:eastAsia="Times New Roman" w:hAnsi="Times New Roman" w:cs="Times New Roman"/>
          <w:bCs/>
          <w:lang w:val="en-US"/>
        </w:rPr>
      </w:pPr>
      <w:r w:rsidRPr="00A579E8">
        <w:rPr>
          <w:rFonts w:ascii="Times New Roman" w:eastAsia="Times New Roman" w:hAnsi="Times New Roman" w:cs="Times New Roman"/>
          <w:bCs/>
          <w:lang w:val="en-US"/>
        </w:rPr>
        <w:t xml:space="preserve">Based on population PK/ PD analysis in patients with moderate to severe plaque psoriasis, some patients with higher body weight (≥120 kg) benefit from </w:t>
      </w:r>
      <w:proofErr w:type="spellStart"/>
      <w:r w:rsidR="009259E4" w:rsidRPr="00A579E8">
        <w:rPr>
          <w:rFonts w:ascii="Times New Roman" w:hAnsi="Times New Roman" w:cs="Times New Roman"/>
        </w:rPr>
        <w:t>Bimzelx</w:t>
      </w:r>
      <w:proofErr w:type="spellEnd"/>
      <w:r w:rsidRPr="00A579E8">
        <w:rPr>
          <w:rFonts w:ascii="Times New Roman" w:eastAsia="Times New Roman" w:hAnsi="Times New Roman" w:cs="Times New Roman"/>
          <w:bCs/>
          <w:lang w:val="en-US"/>
        </w:rPr>
        <w:t xml:space="preserve"> 320 mg every four weeks after the initial 16 weeks of treatment.</w:t>
      </w:r>
    </w:p>
    <w:p w14:paraId="4410CBC1" w14:textId="6209F5E3" w:rsidR="004F6820" w:rsidRPr="000A7A51" w:rsidRDefault="00A15FF5" w:rsidP="004F6820">
      <w:pPr>
        <w:rPr>
          <w:rFonts w:ascii="Times New Roman" w:hAnsi="Times New Roman" w:cs="Times New Roman"/>
          <w:lang w:eastAsia="ja-JP"/>
        </w:rPr>
      </w:pPr>
      <w:r>
        <w:rPr>
          <w:rFonts w:ascii="Times New Roman" w:eastAsia="Times New Roman" w:hAnsi="Times New Roman" w:cs="Times New Roman"/>
          <w:bCs/>
          <w:lang w:val="en-US"/>
        </w:rPr>
        <w:br w:type="page"/>
      </w:r>
      <w:r w:rsidR="004F6820" w:rsidRPr="00B65FF2">
        <w:rPr>
          <w:rFonts w:ascii="Times New Roman" w:hAnsi="Times New Roman" w:cs="Times New Roman"/>
          <w:lang w:eastAsia="ja-JP"/>
        </w:rPr>
        <w:lastRenderedPageBreak/>
        <w:t xml:space="preserve">Across the entire </w:t>
      </w:r>
      <w:proofErr w:type="spellStart"/>
      <w:r w:rsidR="004F6820" w:rsidRPr="00B65FF2">
        <w:rPr>
          <w:rFonts w:ascii="Times New Roman" w:hAnsi="Times New Roman" w:cs="Times New Roman"/>
          <w:lang w:eastAsia="ja-JP"/>
        </w:rPr>
        <w:t>bimekizumab</w:t>
      </w:r>
      <w:proofErr w:type="spellEnd"/>
      <w:r w:rsidR="004F6820" w:rsidRPr="00B65FF2">
        <w:rPr>
          <w:rFonts w:ascii="Times New Roman" w:hAnsi="Times New Roman" w:cs="Times New Roman"/>
          <w:lang w:eastAsia="ja-JP"/>
        </w:rPr>
        <w:t xml:space="preserve"> Phase 3 </w:t>
      </w:r>
      <w:r w:rsidR="00104DE2">
        <w:rPr>
          <w:rFonts w:ascii="Times New Roman" w:hAnsi="Times New Roman" w:cs="Times New Roman"/>
          <w:lang w:eastAsia="ja-JP"/>
        </w:rPr>
        <w:t xml:space="preserve">psoriasis </w:t>
      </w:r>
      <w:r w:rsidR="004F6820" w:rsidRPr="00B65FF2">
        <w:rPr>
          <w:rFonts w:ascii="Times New Roman" w:hAnsi="Times New Roman" w:cs="Times New Roman"/>
          <w:lang w:eastAsia="ja-JP"/>
        </w:rPr>
        <w:t>program, including 3 pivotal Phase 3 studies (</w:t>
      </w:r>
      <w:r w:rsidR="001463E7" w:rsidRPr="000A7A51">
        <w:rPr>
          <w:rFonts w:ascii="Times New Roman" w:hAnsi="Times New Roman" w:cs="Times New Roman"/>
          <w:lang w:eastAsia="ja-JP"/>
        </w:rPr>
        <w:t>BE SURE, BE VIVID, and BE READY</w:t>
      </w:r>
      <w:r w:rsidR="004F6820" w:rsidRPr="000A7A51">
        <w:rPr>
          <w:rFonts w:ascii="Times New Roman" w:hAnsi="Times New Roman" w:cs="Times New Roman"/>
          <w:lang w:eastAsia="ja-JP"/>
        </w:rPr>
        <w:t xml:space="preserve">) and the Phase 3b study </w:t>
      </w:r>
      <w:r w:rsidR="00053787" w:rsidRPr="000A7A51">
        <w:rPr>
          <w:rFonts w:ascii="Times New Roman" w:hAnsi="Times New Roman" w:cs="Times New Roman"/>
          <w:lang w:eastAsia="ja-JP"/>
        </w:rPr>
        <w:t xml:space="preserve">(BE RADIANT – </w:t>
      </w:r>
      <w:r w:rsidR="004F6820" w:rsidRPr="000A7A51">
        <w:rPr>
          <w:rFonts w:ascii="Times New Roman" w:hAnsi="Times New Roman" w:cs="Times New Roman"/>
          <w:lang w:eastAsia="ja-JP"/>
        </w:rPr>
        <w:t>PS0015</w:t>
      </w:r>
      <w:r w:rsidR="00053787" w:rsidRPr="000A7A51">
        <w:rPr>
          <w:rFonts w:ascii="Times New Roman" w:hAnsi="Times New Roman" w:cs="Times New Roman"/>
          <w:lang w:eastAsia="ja-JP"/>
        </w:rPr>
        <w:t>)</w:t>
      </w:r>
      <w:r w:rsidR="004F6820" w:rsidRPr="000A7A51">
        <w:rPr>
          <w:rFonts w:ascii="Times New Roman" w:hAnsi="Times New Roman" w:cs="Times New Roman"/>
          <w:lang w:eastAsia="ja-JP"/>
        </w:rPr>
        <w:t xml:space="preserve">, a total of 1362 study participants were randomized to treatment with </w:t>
      </w:r>
      <w:proofErr w:type="spellStart"/>
      <w:r w:rsidR="004F6820" w:rsidRPr="000A7A51">
        <w:rPr>
          <w:rFonts w:ascii="Times New Roman" w:hAnsi="Times New Roman" w:cs="Times New Roman"/>
          <w:lang w:eastAsia="ja-JP"/>
        </w:rPr>
        <w:t>bimekizumab</w:t>
      </w:r>
      <w:proofErr w:type="spellEnd"/>
      <w:r w:rsidR="004F6820" w:rsidRPr="000A7A51">
        <w:rPr>
          <w:rFonts w:ascii="Times New Roman" w:hAnsi="Times New Roman" w:cs="Times New Roman"/>
          <w:lang w:eastAsia="ja-JP"/>
        </w:rPr>
        <w:t xml:space="preserve">. Of these, 116 (8.5%) presented with a body weight </w:t>
      </w:r>
      <w:r w:rsidR="005E6D3B" w:rsidRPr="00AD2998">
        <w:rPr>
          <w:rFonts w:ascii="Times New Roman" w:hAnsi="Times New Roman" w:cs="Times New Roman"/>
          <w:lang w:eastAsia="ja-JP"/>
        </w:rPr>
        <w:t>≥</w:t>
      </w:r>
      <w:r w:rsidR="004F6820" w:rsidRPr="000A7A51">
        <w:rPr>
          <w:rFonts w:ascii="Times New Roman" w:hAnsi="Times New Roman" w:cs="Times New Roman"/>
          <w:lang w:eastAsia="ja-JP"/>
        </w:rPr>
        <w:t>120kg at Baseline.</w:t>
      </w:r>
    </w:p>
    <w:p w14:paraId="53658613" w14:textId="56007F96" w:rsidR="004F6820" w:rsidRPr="000A7A51" w:rsidRDefault="004F6820" w:rsidP="004F6820">
      <w:pPr>
        <w:rPr>
          <w:rFonts w:ascii="Times New Roman" w:hAnsi="Times New Roman" w:cs="Times New Roman"/>
          <w:lang w:eastAsia="ja-JP"/>
        </w:rPr>
      </w:pPr>
      <w:r w:rsidRPr="000A7A51">
        <w:rPr>
          <w:rFonts w:ascii="Times New Roman" w:hAnsi="Times New Roman" w:cs="Times New Roman"/>
          <w:lang w:eastAsia="ja-JP"/>
        </w:rPr>
        <w:t xml:space="preserve">A post-hoc analyses of efficacy for the subgroups of study participants weighing &lt;120kg or </w:t>
      </w:r>
      <w:r w:rsidR="005E6D3B" w:rsidRPr="00AD2998">
        <w:rPr>
          <w:rFonts w:ascii="Times New Roman" w:hAnsi="Times New Roman" w:cs="Times New Roman"/>
          <w:lang w:eastAsia="ja-JP"/>
        </w:rPr>
        <w:t>≥</w:t>
      </w:r>
      <w:r w:rsidRPr="000A7A51">
        <w:rPr>
          <w:rFonts w:ascii="Times New Roman" w:hAnsi="Times New Roman" w:cs="Times New Roman"/>
          <w:lang w:eastAsia="ja-JP"/>
        </w:rPr>
        <w:t xml:space="preserve">120kg in the Initial Treatment Period (with </w:t>
      </w:r>
      <w:proofErr w:type="spellStart"/>
      <w:r w:rsidR="00410F4D">
        <w:rPr>
          <w:rFonts w:ascii="Times New Roman" w:hAnsi="Times New Roman" w:cs="Times New Roman"/>
          <w:lang w:eastAsia="ja-JP"/>
        </w:rPr>
        <w:t>bimekizumab</w:t>
      </w:r>
      <w:proofErr w:type="spellEnd"/>
      <w:r w:rsidR="00410F4D">
        <w:rPr>
          <w:rFonts w:ascii="Times New Roman" w:hAnsi="Times New Roman" w:cs="Times New Roman"/>
          <w:lang w:eastAsia="ja-JP"/>
        </w:rPr>
        <w:t xml:space="preserve"> </w:t>
      </w:r>
      <w:r w:rsidRPr="000A7A51">
        <w:rPr>
          <w:rFonts w:ascii="Times New Roman" w:hAnsi="Times New Roman" w:cs="Times New Roman"/>
          <w:lang w:eastAsia="ja-JP"/>
        </w:rPr>
        <w:t>320mg Q4</w:t>
      </w:r>
      <w:r w:rsidR="005855F3" w:rsidRPr="000A7A51">
        <w:rPr>
          <w:rFonts w:ascii="Times New Roman" w:hAnsi="Times New Roman" w:cs="Times New Roman"/>
          <w:lang w:eastAsia="ja-JP"/>
        </w:rPr>
        <w:t>W dosing</w:t>
      </w:r>
      <w:r w:rsidRPr="000A7A51">
        <w:rPr>
          <w:rFonts w:ascii="Times New Roman" w:hAnsi="Times New Roman" w:cs="Times New Roman"/>
          <w:lang w:eastAsia="ja-JP"/>
        </w:rPr>
        <w:t xml:space="preserve"> from Week</w:t>
      </w:r>
      <w:r w:rsidR="001F2601">
        <w:rPr>
          <w:rFonts w:ascii="Times New Roman" w:hAnsi="Times New Roman" w:cs="Times New Roman"/>
          <w:lang w:eastAsia="ja-JP"/>
        </w:rPr>
        <w:t xml:space="preserve"> </w:t>
      </w:r>
      <w:r w:rsidR="0015488C">
        <w:rPr>
          <w:rFonts w:ascii="Times New Roman" w:hAnsi="Times New Roman" w:cs="Times New Roman"/>
          <w:lang w:eastAsia="ja-JP"/>
        </w:rPr>
        <w:t>0</w:t>
      </w:r>
      <w:r w:rsidRPr="000A7A51">
        <w:rPr>
          <w:rFonts w:ascii="Times New Roman" w:hAnsi="Times New Roman" w:cs="Times New Roman"/>
          <w:lang w:eastAsia="ja-JP"/>
        </w:rPr>
        <w:t xml:space="preserve"> to Week</w:t>
      </w:r>
      <w:r w:rsidR="001F2601">
        <w:rPr>
          <w:rFonts w:ascii="Times New Roman" w:hAnsi="Times New Roman" w:cs="Times New Roman"/>
          <w:lang w:eastAsia="ja-JP"/>
        </w:rPr>
        <w:t xml:space="preserve"> </w:t>
      </w:r>
      <w:r w:rsidRPr="000A7A51">
        <w:rPr>
          <w:rFonts w:ascii="Times New Roman" w:hAnsi="Times New Roman" w:cs="Times New Roman"/>
          <w:lang w:eastAsia="ja-JP"/>
        </w:rPr>
        <w:t xml:space="preserve">16), pooled across all </w:t>
      </w:r>
      <w:r w:rsidR="00AB1AB5">
        <w:rPr>
          <w:rFonts w:ascii="Times New Roman" w:hAnsi="Times New Roman" w:cs="Times New Roman"/>
          <w:lang w:eastAsia="ja-JP"/>
        </w:rPr>
        <w:t>psoriasis</w:t>
      </w:r>
      <w:r w:rsidRPr="000A7A51">
        <w:rPr>
          <w:rFonts w:ascii="Times New Roman" w:hAnsi="Times New Roman" w:cs="Times New Roman"/>
          <w:lang w:eastAsia="ja-JP"/>
        </w:rPr>
        <w:t xml:space="preserve"> Phase 3/3b studies is shown below:</w:t>
      </w:r>
    </w:p>
    <w:p w14:paraId="2FDE48D0" w14:textId="6C2B7AA0" w:rsidR="004F6820" w:rsidRPr="00AF739D" w:rsidRDefault="004F6820" w:rsidP="004F6820">
      <w:pPr>
        <w:pStyle w:val="Caption"/>
        <w:rPr>
          <w:sz w:val="22"/>
          <w:szCs w:val="22"/>
        </w:rPr>
      </w:pPr>
      <w:r w:rsidRPr="00AF739D">
        <w:rPr>
          <w:sz w:val="22"/>
          <w:szCs w:val="22"/>
        </w:rPr>
        <w:t>Table</w:t>
      </w:r>
      <w:r w:rsidR="00B65FF2" w:rsidRPr="00AF739D">
        <w:rPr>
          <w:sz w:val="22"/>
          <w:szCs w:val="22"/>
        </w:rPr>
        <w:t xml:space="preserve"> 3</w:t>
      </w:r>
      <w:r w:rsidRPr="00AF739D">
        <w:rPr>
          <w:sz w:val="22"/>
          <w:szCs w:val="22"/>
        </w:rPr>
        <w:t>: Week 16 efficacy outcomes by weight</w:t>
      </w:r>
    </w:p>
    <w:tbl>
      <w:tblPr>
        <w:tblW w:w="9346" w:type="dxa"/>
        <w:tblCellMar>
          <w:left w:w="0" w:type="dxa"/>
          <w:right w:w="0" w:type="dxa"/>
        </w:tblCellMar>
        <w:tblLook w:val="0000" w:firstRow="0" w:lastRow="0" w:firstColumn="0" w:lastColumn="0" w:noHBand="0" w:noVBand="0"/>
      </w:tblPr>
      <w:tblGrid>
        <w:gridCol w:w="2160"/>
        <w:gridCol w:w="2458"/>
        <w:gridCol w:w="2362"/>
        <w:gridCol w:w="2366"/>
      </w:tblGrid>
      <w:tr w:rsidR="004F6820" w:rsidRPr="000A7A51" w14:paraId="2FD126A5" w14:textId="77777777" w:rsidTr="004F6820">
        <w:trPr>
          <w:trHeight w:hRule="exact" w:val="384"/>
        </w:trPr>
        <w:tc>
          <w:tcPr>
            <w:tcW w:w="2160" w:type="dxa"/>
            <w:tcBorders>
              <w:top w:val="single" w:sz="4" w:space="0" w:color="auto"/>
              <w:left w:val="single" w:sz="4" w:space="0" w:color="auto"/>
              <w:bottom w:val="nil"/>
              <w:right w:val="single" w:sz="4" w:space="0" w:color="auto"/>
            </w:tcBorders>
            <w:vAlign w:val="center"/>
          </w:tcPr>
          <w:p w14:paraId="7D9C2767" w14:textId="77777777" w:rsidR="004F6820" w:rsidRPr="000A7A51" w:rsidRDefault="004F6820" w:rsidP="004F6820">
            <w:pPr>
              <w:pStyle w:val="Style"/>
              <w:textAlignment w:val="baseline"/>
              <w:rPr>
                <w:sz w:val="18"/>
                <w:szCs w:val="18"/>
              </w:rPr>
            </w:pPr>
          </w:p>
        </w:tc>
        <w:tc>
          <w:tcPr>
            <w:tcW w:w="7186" w:type="dxa"/>
            <w:gridSpan w:val="3"/>
            <w:tcBorders>
              <w:top w:val="single" w:sz="4" w:space="0" w:color="auto"/>
              <w:left w:val="single" w:sz="4" w:space="0" w:color="auto"/>
              <w:bottom w:val="single" w:sz="4" w:space="0" w:color="auto"/>
              <w:right w:val="single" w:sz="4" w:space="0" w:color="auto"/>
            </w:tcBorders>
            <w:vAlign w:val="center"/>
          </w:tcPr>
          <w:p w14:paraId="6AA0A46F" w14:textId="4A6A99F3" w:rsidR="004F6820" w:rsidRPr="000A7A51" w:rsidRDefault="003656C1" w:rsidP="004F6820">
            <w:pPr>
              <w:pStyle w:val="Style"/>
              <w:ind w:left="14"/>
              <w:jc w:val="center"/>
              <w:textAlignment w:val="baseline"/>
              <w:rPr>
                <w:sz w:val="18"/>
                <w:szCs w:val="18"/>
              </w:rPr>
            </w:pPr>
            <w:r w:rsidRPr="003656C1">
              <w:rPr>
                <w:b/>
                <w:sz w:val="18"/>
                <w:szCs w:val="18"/>
              </w:rPr>
              <w:t>BE SURE, BE VIVID, BE READY and BE RADIANT</w:t>
            </w:r>
          </w:p>
        </w:tc>
      </w:tr>
      <w:tr w:rsidR="004F6820" w:rsidRPr="000A7A51" w14:paraId="28292BD2" w14:textId="77777777" w:rsidTr="004F6820">
        <w:trPr>
          <w:trHeight w:hRule="exact" w:val="384"/>
        </w:trPr>
        <w:tc>
          <w:tcPr>
            <w:tcW w:w="2160" w:type="dxa"/>
            <w:tcBorders>
              <w:top w:val="nil"/>
              <w:left w:val="single" w:sz="4" w:space="0" w:color="auto"/>
              <w:bottom w:val="nil"/>
              <w:right w:val="single" w:sz="4" w:space="0" w:color="auto"/>
            </w:tcBorders>
            <w:vAlign w:val="center"/>
          </w:tcPr>
          <w:p w14:paraId="05C44623" w14:textId="77777777" w:rsidR="004F6820" w:rsidRPr="000A7A51" w:rsidRDefault="004F6820" w:rsidP="004F6820">
            <w:pPr>
              <w:pStyle w:val="Style"/>
              <w:textAlignment w:val="baseline"/>
              <w:rPr>
                <w:sz w:val="18"/>
                <w:szCs w:val="18"/>
              </w:rPr>
            </w:pPr>
            <w:r w:rsidRPr="000A7A51">
              <w:rPr>
                <w:sz w:val="18"/>
                <w:szCs w:val="18"/>
              </w:rPr>
              <w:t xml:space="preserve"> </w:t>
            </w:r>
          </w:p>
        </w:tc>
        <w:tc>
          <w:tcPr>
            <w:tcW w:w="2458" w:type="dxa"/>
            <w:tcBorders>
              <w:top w:val="single" w:sz="4" w:space="0" w:color="auto"/>
              <w:left w:val="single" w:sz="4" w:space="0" w:color="auto"/>
              <w:bottom w:val="nil"/>
              <w:right w:val="single" w:sz="4" w:space="0" w:color="auto"/>
            </w:tcBorders>
            <w:vAlign w:val="center"/>
          </w:tcPr>
          <w:p w14:paraId="55C3570C" w14:textId="77777777" w:rsidR="004F6820" w:rsidRPr="000A7A51" w:rsidRDefault="004F6820" w:rsidP="004F6820">
            <w:pPr>
              <w:pStyle w:val="Style"/>
              <w:ind w:left="14"/>
              <w:jc w:val="center"/>
              <w:textAlignment w:val="baseline"/>
              <w:rPr>
                <w:sz w:val="18"/>
                <w:szCs w:val="18"/>
              </w:rPr>
            </w:pPr>
            <w:r w:rsidRPr="000A7A51">
              <w:rPr>
                <w:b/>
                <w:sz w:val="18"/>
                <w:szCs w:val="18"/>
              </w:rPr>
              <w:t xml:space="preserve">Weight &lt;120kg </w:t>
            </w:r>
          </w:p>
        </w:tc>
        <w:tc>
          <w:tcPr>
            <w:tcW w:w="2362" w:type="dxa"/>
            <w:tcBorders>
              <w:top w:val="single" w:sz="4" w:space="0" w:color="auto"/>
              <w:left w:val="single" w:sz="4" w:space="0" w:color="auto"/>
              <w:bottom w:val="nil"/>
              <w:right w:val="single" w:sz="4" w:space="0" w:color="auto"/>
            </w:tcBorders>
            <w:vAlign w:val="center"/>
          </w:tcPr>
          <w:p w14:paraId="41EF5940" w14:textId="76A0E135" w:rsidR="004F6820" w:rsidRPr="000A7A51" w:rsidRDefault="004F6820" w:rsidP="004F6820">
            <w:pPr>
              <w:pStyle w:val="Style"/>
              <w:ind w:left="10"/>
              <w:jc w:val="center"/>
              <w:textAlignment w:val="baseline"/>
              <w:rPr>
                <w:sz w:val="18"/>
                <w:szCs w:val="18"/>
              </w:rPr>
            </w:pPr>
            <w:r w:rsidRPr="000A7A51">
              <w:rPr>
                <w:b/>
                <w:sz w:val="18"/>
                <w:szCs w:val="18"/>
              </w:rPr>
              <w:t xml:space="preserve">Weight </w:t>
            </w:r>
            <w:r w:rsidR="00F0758D" w:rsidRPr="00F0758D">
              <w:rPr>
                <w:b/>
                <w:sz w:val="18"/>
                <w:szCs w:val="18"/>
              </w:rPr>
              <w:t>≥</w:t>
            </w:r>
            <w:r w:rsidRPr="000A7A51">
              <w:rPr>
                <w:b/>
                <w:sz w:val="18"/>
                <w:szCs w:val="18"/>
              </w:rPr>
              <w:t xml:space="preserve">120kg </w:t>
            </w:r>
          </w:p>
        </w:tc>
        <w:tc>
          <w:tcPr>
            <w:tcW w:w="2366" w:type="dxa"/>
            <w:tcBorders>
              <w:top w:val="single" w:sz="4" w:space="0" w:color="auto"/>
              <w:left w:val="single" w:sz="4" w:space="0" w:color="auto"/>
              <w:bottom w:val="nil"/>
              <w:right w:val="single" w:sz="4" w:space="0" w:color="auto"/>
            </w:tcBorders>
            <w:vAlign w:val="center"/>
          </w:tcPr>
          <w:p w14:paraId="163FC9B0" w14:textId="77777777" w:rsidR="004F6820" w:rsidRPr="000A7A51" w:rsidRDefault="004F6820" w:rsidP="004F6820">
            <w:pPr>
              <w:pStyle w:val="Style"/>
              <w:ind w:left="29"/>
              <w:jc w:val="center"/>
              <w:textAlignment w:val="baseline"/>
              <w:rPr>
                <w:sz w:val="18"/>
                <w:szCs w:val="18"/>
              </w:rPr>
            </w:pPr>
            <w:r w:rsidRPr="000A7A51">
              <w:rPr>
                <w:b/>
                <w:sz w:val="18"/>
                <w:szCs w:val="18"/>
              </w:rPr>
              <w:t xml:space="preserve">BKZ Total </w:t>
            </w:r>
          </w:p>
        </w:tc>
      </w:tr>
      <w:tr w:rsidR="004F6820" w:rsidRPr="000A7A51" w14:paraId="7AD717E7" w14:textId="77777777" w:rsidTr="004F6820">
        <w:trPr>
          <w:trHeight w:hRule="exact" w:val="317"/>
        </w:trPr>
        <w:tc>
          <w:tcPr>
            <w:tcW w:w="2160" w:type="dxa"/>
            <w:tcBorders>
              <w:top w:val="nil"/>
              <w:left w:val="single" w:sz="4" w:space="0" w:color="auto"/>
              <w:bottom w:val="single" w:sz="4" w:space="0" w:color="auto"/>
              <w:right w:val="single" w:sz="4" w:space="0" w:color="auto"/>
            </w:tcBorders>
            <w:vAlign w:val="center"/>
          </w:tcPr>
          <w:p w14:paraId="4E82EAAF" w14:textId="77777777" w:rsidR="004F6820" w:rsidRPr="000A7A51" w:rsidRDefault="004F6820" w:rsidP="004F6820">
            <w:pPr>
              <w:pStyle w:val="Style"/>
              <w:ind w:left="120"/>
              <w:textAlignment w:val="baseline"/>
              <w:rPr>
                <w:sz w:val="18"/>
                <w:szCs w:val="18"/>
              </w:rPr>
            </w:pPr>
            <w:r w:rsidRPr="000A7A51">
              <w:rPr>
                <w:b/>
                <w:sz w:val="18"/>
                <w:szCs w:val="18"/>
              </w:rPr>
              <w:t xml:space="preserve">Key outcomes </w:t>
            </w:r>
          </w:p>
        </w:tc>
        <w:tc>
          <w:tcPr>
            <w:tcW w:w="2458" w:type="dxa"/>
            <w:tcBorders>
              <w:top w:val="nil"/>
              <w:left w:val="single" w:sz="4" w:space="0" w:color="auto"/>
              <w:bottom w:val="single" w:sz="4" w:space="0" w:color="auto"/>
              <w:right w:val="single" w:sz="4" w:space="0" w:color="auto"/>
            </w:tcBorders>
            <w:vAlign w:val="center"/>
          </w:tcPr>
          <w:p w14:paraId="0F721BC9" w14:textId="77777777" w:rsidR="004F6820" w:rsidRPr="000A7A51" w:rsidRDefault="004F6820" w:rsidP="004F6820">
            <w:pPr>
              <w:pStyle w:val="Style"/>
              <w:ind w:left="14"/>
              <w:jc w:val="center"/>
              <w:textAlignment w:val="baseline"/>
              <w:rPr>
                <w:sz w:val="18"/>
                <w:szCs w:val="18"/>
              </w:rPr>
            </w:pPr>
            <w:r w:rsidRPr="000A7A51">
              <w:rPr>
                <w:b/>
                <w:sz w:val="18"/>
                <w:szCs w:val="18"/>
              </w:rPr>
              <w:t xml:space="preserve">N=1246 </w:t>
            </w:r>
          </w:p>
        </w:tc>
        <w:tc>
          <w:tcPr>
            <w:tcW w:w="2362" w:type="dxa"/>
            <w:tcBorders>
              <w:top w:val="nil"/>
              <w:left w:val="single" w:sz="4" w:space="0" w:color="auto"/>
              <w:bottom w:val="single" w:sz="4" w:space="0" w:color="auto"/>
              <w:right w:val="single" w:sz="4" w:space="0" w:color="auto"/>
            </w:tcBorders>
            <w:vAlign w:val="center"/>
          </w:tcPr>
          <w:p w14:paraId="27A0AA30" w14:textId="77777777" w:rsidR="004F6820" w:rsidRPr="000A7A51" w:rsidRDefault="004F6820" w:rsidP="004F6820">
            <w:pPr>
              <w:pStyle w:val="Style"/>
              <w:ind w:left="10"/>
              <w:jc w:val="center"/>
              <w:textAlignment w:val="baseline"/>
              <w:rPr>
                <w:sz w:val="18"/>
                <w:szCs w:val="18"/>
              </w:rPr>
            </w:pPr>
            <w:r w:rsidRPr="000A7A51">
              <w:rPr>
                <w:b/>
                <w:sz w:val="18"/>
                <w:szCs w:val="18"/>
              </w:rPr>
              <w:t xml:space="preserve">N=116 </w:t>
            </w:r>
          </w:p>
        </w:tc>
        <w:tc>
          <w:tcPr>
            <w:tcW w:w="2366" w:type="dxa"/>
            <w:tcBorders>
              <w:top w:val="nil"/>
              <w:left w:val="single" w:sz="4" w:space="0" w:color="auto"/>
              <w:bottom w:val="single" w:sz="4" w:space="0" w:color="auto"/>
              <w:right w:val="single" w:sz="4" w:space="0" w:color="auto"/>
            </w:tcBorders>
            <w:vAlign w:val="center"/>
          </w:tcPr>
          <w:p w14:paraId="59ADC7CE" w14:textId="77777777" w:rsidR="004F6820" w:rsidRPr="000A7A51" w:rsidRDefault="004F6820" w:rsidP="004F6820">
            <w:pPr>
              <w:pStyle w:val="Style"/>
              <w:ind w:left="29"/>
              <w:jc w:val="center"/>
              <w:textAlignment w:val="baseline"/>
              <w:rPr>
                <w:sz w:val="18"/>
                <w:szCs w:val="18"/>
              </w:rPr>
            </w:pPr>
            <w:r w:rsidRPr="000A7A51">
              <w:rPr>
                <w:b/>
                <w:sz w:val="18"/>
                <w:szCs w:val="18"/>
              </w:rPr>
              <w:t xml:space="preserve">N=1362 </w:t>
            </w:r>
          </w:p>
        </w:tc>
      </w:tr>
      <w:tr w:rsidR="004F6820" w:rsidRPr="000A7A51" w14:paraId="4593B8A5" w14:textId="77777777" w:rsidTr="004F6820">
        <w:trPr>
          <w:trHeight w:hRule="exact" w:val="384"/>
        </w:trPr>
        <w:tc>
          <w:tcPr>
            <w:tcW w:w="2160" w:type="dxa"/>
            <w:tcBorders>
              <w:top w:val="single" w:sz="4" w:space="0" w:color="auto"/>
              <w:left w:val="single" w:sz="4" w:space="0" w:color="auto"/>
              <w:bottom w:val="single" w:sz="4" w:space="0" w:color="auto"/>
              <w:right w:val="single" w:sz="4" w:space="0" w:color="auto"/>
            </w:tcBorders>
            <w:vAlign w:val="center"/>
          </w:tcPr>
          <w:p w14:paraId="28BCF29A" w14:textId="48F22C53" w:rsidR="004F6820" w:rsidRPr="000A7A51" w:rsidRDefault="004F6820" w:rsidP="004F6820">
            <w:pPr>
              <w:pStyle w:val="Style"/>
              <w:ind w:left="120"/>
              <w:textAlignment w:val="baseline"/>
              <w:rPr>
                <w:sz w:val="18"/>
                <w:szCs w:val="18"/>
              </w:rPr>
            </w:pPr>
            <w:r w:rsidRPr="000A7A51">
              <w:rPr>
                <w:sz w:val="18"/>
                <w:szCs w:val="18"/>
              </w:rPr>
              <w:t>PASI</w:t>
            </w:r>
            <w:r w:rsidR="00D660B2">
              <w:rPr>
                <w:sz w:val="18"/>
                <w:szCs w:val="18"/>
              </w:rPr>
              <w:t xml:space="preserve"> </w:t>
            </w:r>
            <w:r w:rsidRPr="000A7A51">
              <w:rPr>
                <w:sz w:val="18"/>
                <w:szCs w:val="18"/>
              </w:rPr>
              <w:t xml:space="preserve">90 </w:t>
            </w:r>
          </w:p>
        </w:tc>
        <w:tc>
          <w:tcPr>
            <w:tcW w:w="2458" w:type="dxa"/>
            <w:tcBorders>
              <w:top w:val="single" w:sz="4" w:space="0" w:color="auto"/>
              <w:left w:val="single" w:sz="4" w:space="0" w:color="auto"/>
              <w:bottom w:val="single" w:sz="4" w:space="0" w:color="auto"/>
              <w:right w:val="single" w:sz="4" w:space="0" w:color="auto"/>
            </w:tcBorders>
            <w:vAlign w:val="center"/>
          </w:tcPr>
          <w:p w14:paraId="73B3D72F" w14:textId="77777777" w:rsidR="004F6820" w:rsidRPr="000A7A51" w:rsidRDefault="004F6820" w:rsidP="004F6820">
            <w:pPr>
              <w:pStyle w:val="Style"/>
              <w:ind w:left="14"/>
              <w:jc w:val="center"/>
              <w:textAlignment w:val="baseline"/>
              <w:rPr>
                <w:sz w:val="18"/>
                <w:szCs w:val="18"/>
              </w:rPr>
            </w:pPr>
            <w:r w:rsidRPr="000A7A51">
              <w:rPr>
                <w:sz w:val="18"/>
                <w:szCs w:val="18"/>
              </w:rPr>
              <w:t xml:space="preserve">87.7% </w:t>
            </w:r>
          </w:p>
        </w:tc>
        <w:tc>
          <w:tcPr>
            <w:tcW w:w="2362" w:type="dxa"/>
            <w:tcBorders>
              <w:top w:val="single" w:sz="4" w:space="0" w:color="auto"/>
              <w:left w:val="single" w:sz="4" w:space="0" w:color="auto"/>
              <w:bottom w:val="single" w:sz="4" w:space="0" w:color="auto"/>
              <w:right w:val="single" w:sz="4" w:space="0" w:color="auto"/>
            </w:tcBorders>
            <w:vAlign w:val="center"/>
          </w:tcPr>
          <w:p w14:paraId="55530CBA" w14:textId="77777777" w:rsidR="004F6820" w:rsidRPr="000A7A51" w:rsidRDefault="004F6820" w:rsidP="004F6820">
            <w:pPr>
              <w:pStyle w:val="Style"/>
              <w:ind w:left="10"/>
              <w:jc w:val="center"/>
              <w:textAlignment w:val="baseline"/>
              <w:rPr>
                <w:sz w:val="18"/>
                <w:szCs w:val="18"/>
              </w:rPr>
            </w:pPr>
            <w:r w:rsidRPr="000A7A51">
              <w:rPr>
                <w:sz w:val="18"/>
                <w:szCs w:val="18"/>
              </w:rPr>
              <w:t xml:space="preserve">78.4% </w:t>
            </w:r>
          </w:p>
        </w:tc>
        <w:tc>
          <w:tcPr>
            <w:tcW w:w="2366" w:type="dxa"/>
            <w:tcBorders>
              <w:top w:val="single" w:sz="4" w:space="0" w:color="auto"/>
              <w:left w:val="single" w:sz="4" w:space="0" w:color="auto"/>
              <w:bottom w:val="single" w:sz="4" w:space="0" w:color="auto"/>
              <w:right w:val="single" w:sz="4" w:space="0" w:color="auto"/>
            </w:tcBorders>
            <w:vAlign w:val="center"/>
          </w:tcPr>
          <w:p w14:paraId="6E1C0FB6" w14:textId="77777777" w:rsidR="004F6820" w:rsidRPr="000A7A51" w:rsidRDefault="004F6820" w:rsidP="004F6820">
            <w:pPr>
              <w:pStyle w:val="Style"/>
              <w:ind w:left="29"/>
              <w:jc w:val="center"/>
              <w:textAlignment w:val="baseline"/>
              <w:rPr>
                <w:sz w:val="18"/>
                <w:szCs w:val="18"/>
              </w:rPr>
            </w:pPr>
            <w:r w:rsidRPr="000A7A51">
              <w:rPr>
                <w:sz w:val="18"/>
                <w:szCs w:val="18"/>
              </w:rPr>
              <w:t xml:space="preserve">86.9% </w:t>
            </w:r>
          </w:p>
        </w:tc>
      </w:tr>
      <w:tr w:rsidR="004F6820" w:rsidRPr="000A7A51" w14:paraId="0C9C1281" w14:textId="77777777" w:rsidTr="004F6820">
        <w:trPr>
          <w:trHeight w:hRule="exact" w:val="384"/>
        </w:trPr>
        <w:tc>
          <w:tcPr>
            <w:tcW w:w="2160" w:type="dxa"/>
            <w:tcBorders>
              <w:top w:val="single" w:sz="4" w:space="0" w:color="auto"/>
              <w:left w:val="single" w:sz="4" w:space="0" w:color="auto"/>
              <w:bottom w:val="single" w:sz="4" w:space="0" w:color="auto"/>
              <w:right w:val="single" w:sz="4" w:space="0" w:color="auto"/>
            </w:tcBorders>
            <w:vAlign w:val="center"/>
          </w:tcPr>
          <w:p w14:paraId="4F1F71C6" w14:textId="77777777" w:rsidR="004F6820" w:rsidRPr="000A7A51" w:rsidRDefault="004F6820" w:rsidP="004F6820">
            <w:pPr>
              <w:pStyle w:val="Style"/>
              <w:ind w:left="120"/>
              <w:textAlignment w:val="baseline"/>
              <w:rPr>
                <w:sz w:val="18"/>
                <w:szCs w:val="18"/>
              </w:rPr>
            </w:pPr>
            <w:r w:rsidRPr="000A7A51">
              <w:rPr>
                <w:sz w:val="18"/>
                <w:szCs w:val="18"/>
              </w:rPr>
              <w:t xml:space="preserve">IGA 0/1 </w:t>
            </w:r>
          </w:p>
        </w:tc>
        <w:tc>
          <w:tcPr>
            <w:tcW w:w="2458" w:type="dxa"/>
            <w:tcBorders>
              <w:top w:val="single" w:sz="4" w:space="0" w:color="auto"/>
              <w:left w:val="single" w:sz="4" w:space="0" w:color="auto"/>
              <w:bottom w:val="single" w:sz="4" w:space="0" w:color="auto"/>
              <w:right w:val="single" w:sz="4" w:space="0" w:color="auto"/>
            </w:tcBorders>
            <w:vAlign w:val="center"/>
          </w:tcPr>
          <w:p w14:paraId="045C9EFC" w14:textId="77777777" w:rsidR="004F6820" w:rsidRPr="000A7A51" w:rsidRDefault="004F6820" w:rsidP="004F6820">
            <w:pPr>
              <w:pStyle w:val="Style"/>
              <w:ind w:left="14"/>
              <w:jc w:val="center"/>
              <w:textAlignment w:val="baseline"/>
              <w:rPr>
                <w:sz w:val="18"/>
                <w:szCs w:val="18"/>
              </w:rPr>
            </w:pPr>
            <w:r w:rsidRPr="000A7A51">
              <w:rPr>
                <w:sz w:val="18"/>
                <w:szCs w:val="18"/>
              </w:rPr>
              <w:t xml:space="preserve">87.7% </w:t>
            </w:r>
          </w:p>
        </w:tc>
        <w:tc>
          <w:tcPr>
            <w:tcW w:w="2362" w:type="dxa"/>
            <w:tcBorders>
              <w:top w:val="single" w:sz="4" w:space="0" w:color="auto"/>
              <w:left w:val="single" w:sz="4" w:space="0" w:color="auto"/>
              <w:bottom w:val="single" w:sz="4" w:space="0" w:color="auto"/>
              <w:right w:val="single" w:sz="4" w:space="0" w:color="auto"/>
            </w:tcBorders>
            <w:vAlign w:val="center"/>
          </w:tcPr>
          <w:p w14:paraId="704BEC28" w14:textId="77777777" w:rsidR="004F6820" w:rsidRPr="000A7A51" w:rsidRDefault="004F6820" w:rsidP="004F6820">
            <w:pPr>
              <w:pStyle w:val="Style"/>
              <w:ind w:left="10"/>
              <w:jc w:val="center"/>
              <w:textAlignment w:val="baseline"/>
              <w:rPr>
                <w:sz w:val="18"/>
                <w:szCs w:val="18"/>
              </w:rPr>
            </w:pPr>
            <w:r w:rsidRPr="000A7A51">
              <w:rPr>
                <w:sz w:val="18"/>
                <w:szCs w:val="18"/>
              </w:rPr>
              <w:t xml:space="preserve">78.4% </w:t>
            </w:r>
          </w:p>
        </w:tc>
        <w:tc>
          <w:tcPr>
            <w:tcW w:w="2366" w:type="dxa"/>
            <w:tcBorders>
              <w:top w:val="single" w:sz="4" w:space="0" w:color="auto"/>
              <w:left w:val="single" w:sz="4" w:space="0" w:color="auto"/>
              <w:bottom w:val="single" w:sz="4" w:space="0" w:color="auto"/>
              <w:right w:val="single" w:sz="4" w:space="0" w:color="auto"/>
            </w:tcBorders>
            <w:vAlign w:val="center"/>
          </w:tcPr>
          <w:p w14:paraId="2BAFA6BB" w14:textId="77777777" w:rsidR="004F6820" w:rsidRPr="000A7A51" w:rsidRDefault="004F6820" w:rsidP="004F6820">
            <w:pPr>
              <w:pStyle w:val="Style"/>
              <w:ind w:left="29"/>
              <w:jc w:val="center"/>
              <w:textAlignment w:val="baseline"/>
              <w:rPr>
                <w:sz w:val="18"/>
                <w:szCs w:val="18"/>
              </w:rPr>
            </w:pPr>
            <w:r w:rsidRPr="000A7A51">
              <w:rPr>
                <w:sz w:val="18"/>
                <w:szCs w:val="18"/>
              </w:rPr>
              <w:t xml:space="preserve">86.9% </w:t>
            </w:r>
          </w:p>
        </w:tc>
      </w:tr>
      <w:tr w:rsidR="004F6820" w:rsidRPr="000A7A51" w14:paraId="2CBC9B5E" w14:textId="77777777" w:rsidTr="004F6820">
        <w:trPr>
          <w:trHeight w:hRule="exact" w:val="384"/>
        </w:trPr>
        <w:tc>
          <w:tcPr>
            <w:tcW w:w="2160" w:type="dxa"/>
            <w:tcBorders>
              <w:top w:val="single" w:sz="4" w:space="0" w:color="auto"/>
              <w:left w:val="single" w:sz="4" w:space="0" w:color="auto"/>
              <w:bottom w:val="single" w:sz="4" w:space="0" w:color="auto"/>
              <w:right w:val="single" w:sz="4" w:space="0" w:color="auto"/>
            </w:tcBorders>
            <w:vAlign w:val="center"/>
          </w:tcPr>
          <w:p w14:paraId="5A7E85AD" w14:textId="0D9B459F" w:rsidR="004F6820" w:rsidRPr="000A7A51" w:rsidRDefault="004F6820" w:rsidP="004F6820">
            <w:pPr>
              <w:pStyle w:val="Style"/>
              <w:ind w:left="120"/>
              <w:textAlignment w:val="baseline"/>
              <w:rPr>
                <w:sz w:val="18"/>
                <w:szCs w:val="18"/>
              </w:rPr>
            </w:pPr>
            <w:r w:rsidRPr="000A7A51">
              <w:rPr>
                <w:sz w:val="18"/>
                <w:szCs w:val="18"/>
              </w:rPr>
              <w:t>PASI</w:t>
            </w:r>
            <w:r w:rsidR="00D660B2">
              <w:rPr>
                <w:sz w:val="18"/>
                <w:szCs w:val="18"/>
              </w:rPr>
              <w:t xml:space="preserve"> </w:t>
            </w:r>
            <w:r w:rsidRPr="000A7A51">
              <w:rPr>
                <w:sz w:val="18"/>
                <w:szCs w:val="18"/>
              </w:rPr>
              <w:t xml:space="preserve">100 </w:t>
            </w:r>
          </w:p>
        </w:tc>
        <w:tc>
          <w:tcPr>
            <w:tcW w:w="2458" w:type="dxa"/>
            <w:tcBorders>
              <w:top w:val="single" w:sz="4" w:space="0" w:color="auto"/>
              <w:left w:val="single" w:sz="4" w:space="0" w:color="auto"/>
              <w:bottom w:val="single" w:sz="4" w:space="0" w:color="auto"/>
              <w:right w:val="single" w:sz="4" w:space="0" w:color="auto"/>
            </w:tcBorders>
            <w:vAlign w:val="center"/>
          </w:tcPr>
          <w:p w14:paraId="42DB1B22" w14:textId="77777777" w:rsidR="004F6820" w:rsidRPr="000A7A51" w:rsidRDefault="004F6820" w:rsidP="004F6820">
            <w:pPr>
              <w:pStyle w:val="Style"/>
              <w:ind w:left="14"/>
              <w:jc w:val="center"/>
              <w:textAlignment w:val="baseline"/>
              <w:rPr>
                <w:sz w:val="18"/>
                <w:szCs w:val="18"/>
              </w:rPr>
            </w:pPr>
            <w:r w:rsidRPr="000A7A51">
              <w:rPr>
                <w:sz w:val="18"/>
                <w:szCs w:val="18"/>
              </w:rPr>
              <w:t xml:space="preserve">64.3% </w:t>
            </w:r>
          </w:p>
        </w:tc>
        <w:tc>
          <w:tcPr>
            <w:tcW w:w="2362" w:type="dxa"/>
            <w:tcBorders>
              <w:top w:val="single" w:sz="4" w:space="0" w:color="auto"/>
              <w:left w:val="single" w:sz="4" w:space="0" w:color="auto"/>
              <w:bottom w:val="single" w:sz="4" w:space="0" w:color="auto"/>
              <w:right w:val="single" w:sz="4" w:space="0" w:color="auto"/>
            </w:tcBorders>
            <w:vAlign w:val="center"/>
          </w:tcPr>
          <w:p w14:paraId="6AACC6A8" w14:textId="77777777" w:rsidR="004F6820" w:rsidRPr="000A7A51" w:rsidRDefault="004F6820" w:rsidP="004F6820">
            <w:pPr>
              <w:pStyle w:val="Style"/>
              <w:ind w:left="10"/>
              <w:jc w:val="center"/>
              <w:textAlignment w:val="baseline"/>
              <w:rPr>
                <w:sz w:val="18"/>
                <w:szCs w:val="18"/>
              </w:rPr>
            </w:pPr>
            <w:r w:rsidRPr="000A7A51">
              <w:rPr>
                <w:sz w:val="18"/>
                <w:szCs w:val="18"/>
              </w:rPr>
              <w:t xml:space="preserve">42.2% </w:t>
            </w:r>
          </w:p>
        </w:tc>
        <w:tc>
          <w:tcPr>
            <w:tcW w:w="2366" w:type="dxa"/>
            <w:tcBorders>
              <w:top w:val="single" w:sz="4" w:space="0" w:color="auto"/>
              <w:left w:val="single" w:sz="4" w:space="0" w:color="auto"/>
              <w:bottom w:val="single" w:sz="4" w:space="0" w:color="auto"/>
              <w:right w:val="single" w:sz="4" w:space="0" w:color="auto"/>
            </w:tcBorders>
            <w:vAlign w:val="center"/>
          </w:tcPr>
          <w:p w14:paraId="014E1D09" w14:textId="77777777" w:rsidR="004F6820" w:rsidRPr="000A7A51" w:rsidRDefault="004F6820" w:rsidP="004F6820">
            <w:pPr>
              <w:pStyle w:val="Style"/>
              <w:ind w:left="29"/>
              <w:jc w:val="center"/>
              <w:textAlignment w:val="baseline"/>
              <w:rPr>
                <w:sz w:val="18"/>
                <w:szCs w:val="18"/>
              </w:rPr>
            </w:pPr>
            <w:r w:rsidRPr="000A7A51">
              <w:rPr>
                <w:sz w:val="18"/>
                <w:szCs w:val="18"/>
              </w:rPr>
              <w:t xml:space="preserve">62.4% </w:t>
            </w:r>
          </w:p>
        </w:tc>
      </w:tr>
      <w:tr w:rsidR="004F6820" w:rsidRPr="000A7A51" w14:paraId="45D716BC" w14:textId="77777777" w:rsidTr="004F6820">
        <w:trPr>
          <w:trHeight w:hRule="exact" w:val="379"/>
        </w:trPr>
        <w:tc>
          <w:tcPr>
            <w:tcW w:w="2160" w:type="dxa"/>
            <w:tcBorders>
              <w:top w:val="single" w:sz="4" w:space="0" w:color="auto"/>
              <w:left w:val="single" w:sz="4" w:space="0" w:color="auto"/>
              <w:bottom w:val="single" w:sz="4" w:space="0" w:color="auto"/>
              <w:right w:val="single" w:sz="4" w:space="0" w:color="auto"/>
            </w:tcBorders>
            <w:vAlign w:val="center"/>
          </w:tcPr>
          <w:p w14:paraId="5AA1285C" w14:textId="77777777" w:rsidR="004F6820" w:rsidRPr="000A7A51" w:rsidRDefault="004F6820" w:rsidP="004F6820">
            <w:pPr>
              <w:pStyle w:val="Style"/>
              <w:ind w:left="120"/>
              <w:textAlignment w:val="baseline"/>
              <w:rPr>
                <w:sz w:val="18"/>
                <w:szCs w:val="18"/>
              </w:rPr>
            </w:pPr>
            <w:r w:rsidRPr="000A7A51">
              <w:rPr>
                <w:sz w:val="18"/>
                <w:szCs w:val="18"/>
              </w:rPr>
              <w:t>IGA 0</w:t>
            </w:r>
          </w:p>
        </w:tc>
        <w:tc>
          <w:tcPr>
            <w:tcW w:w="2458" w:type="dxa"/>
            <w:tcBorders>
              <w:top w:val="single" w:sz="4" w:space="0" w:color="auto"/>
              <w:left w:val="single" w:sz="4" w:space="0" w:color="auto"/>
              <w:bottom w:val="single" w:sz="4" w:space="0" w:color="auto"/>
              <w:right w:val="single" w:sz="4" w:space="0" w:color="auto"/>
            </w:tcBorders>
            <w:vAlign w:val="center"/>
          </w:tcPr>
          <w:p w14:paraId="73963423" w14:textId="77777777" w:rsidR="004F6820" w:rsidRPr="000A7A51" w:rsidRDefault="004F6820" w:rsidP="004F6820">
            <w:pPr>
              <w:pStyle w:val="Style"/>
              <w:ind w:left="14"/>
              <w:jc w:val="center"/>
              <w:textAlignment w:val="baseline"/>
              <w:rPr>
                <w:sz w:val="18"/>
                <w:szCs w:val="18"/>
              </w:rPr>
            </w:pPr>
            <w:r w:rsidRPr="000A7A51">
              <w:rPr>
                <w:sz w:val="18"/>
                <w:szCs w:val="18"/>
              </w:rPr>
              <w:t xml:space="preserve">65.4% </w:t>
            </w:r>
          </w:p>
        </w:tc>
        <w:tc>
          <w:tcPr>
            <w:tcW w:w="2362" w:type="dxa"/>
            <w:tcBorders>
              <w:top w:val="single" w:sz="4" w:space="0" w:color="auto"/>
              <w:left w:val="single" w:sz="4" w:space="0" w:color="auto"/>
              <w:bottom w:val="single" w:sz="4" w:space="0" w:color="auto"/>
              <w:right w:val="single" w:sz="4" w:space="0" w:color="auto"/>
            </w:tcBorders>
            <w:vAlign w:val="center"/>
          </w:tcPr>
          <w:p w14:paraId="645B1BA6" w14:textId="77777777" w:rsidR="004F6820" w:rsidRPr="000A7A51" w:rsidRDefault="004F6820" w:rsidP="004F6820">
            <w:pPr>
              <w:pStyle w:val="Style"/>
              <w:ind w:left="10"/>
              <w:jc w:val="center"/>
              <w:textAlignment w:val="baseline"/>
              <w:rPr>
                <w:sz w:val="18"/>
                <w:szCs w:val="18"/>
              </w:rPr>
            </w:pPr>
            <w:r w:rsidRPr="000A7A51">
              <w:rPr>
                <w:sz w:val="18"/>
                <w:szCs w:val="18"/>
              </w:rPr>
              <w:t xml:space="preserve">42.2% </w:t>
            </w:r>
          </w:p>
        </w:tc>
        <w:tc>
          <w:tcPr>
            <w:tcW w:w="2366" w:type="dxa"/>
            <w:tcBorders>
              <w:top w:val="single" w:sz="4" w:space="0" w:color="auto"/>
              <w:left w:val="single" w:sz="4" w:space="0" w:color="auto"/>
              <w:bottom w:val="single" w:sz="4" w:space="0" w:color="auto"/>
              <w:right w:val="single" w:sz="4" w:space="0" w:color="auto"/>
            </w:tcBorders>
            <w:vAlign w:val="center"/>
          </w:tcPr>
          <w:p w14:paraId="16408FBE" w14:textId="77777777" w:rsidR="004F6820" w:rsidRPr="000A7A51" w:rsidRDefault="004F6820" w:rsidP="004F6820">
            <w:pPr>
              <w:pStyle w:val="Style"/>
              <w:ind w:left="29"/>
              <w:jc w:val="center"/>
              <w:textAlignment w:val="baseline"/>
              <w:rPr>
                <w:sz w:val="18"/>
                <w:szCs w:val="18"/>
              </w:rPr>
            </w:pPr>
            <w:r w:rsidRPr="000A7A51">
              <w:rPr>
                <w:sz w:val="18"/>
                <w:szCs w:val="18"/>
              </w:rPr>
              <w:t xml:space="preserve">63.4% </w:t>
            </w:r>
          </w:p>
        </w:tc>
      </w:tr>
    </w:tbl>
    <w:p w14:paraId="678FF24D" w14:textId="495473EB" w:rsidR="004F6820" w:rsidRPr="000A7A51" w:rsidRDefault="004F6820" w:rsidP="004F6820">
      <w:pPr>
        <w:rPr>
          <w:rFonts w:ascii="Times New Roman" w:hAnsi="Times New Roman" w:cs="Times New Roman"/>
          <w:sz w:val="18"/>
          <w:szCs w:val="18"/>
          <w:lang w:eastAsia="ja-JP"/>
        </w:rPr>
      </w:pPr>
      <w:r w:rsidRPr="000A7A51">
        <w:rPr>
          <w:rFonts w:ascii="Times New Roman" w:hAnsi="Times New Roman" w:cs="Times New Roman"/>
          <w:sz w:val="18"/>
          <w:szCs w:val="18"/>
          <w:lang w:eastAsia="ja-JP"/>
        </w:rPr>
        <w:t xml:space="preserve">BKZ = </w:t>
      </w:r>
      <w:proofErr w:type="spellStart"/>
      <w:r w:rsidRPr="000A7A51">
        <w:rPr>
          <w:rFonts w:ascii="Times New Roman" w:hAnsi="Times New Roman" w:cs="Times New Roman"/>
          <w:sz w:val="18"/>
          <w:szCs w:val="18"/>
          <w:lang w:eastAsia="ja-JP"/>
        </w:rPr>
        <w:t>bimekizumab</w:t>
      </w:r>
      <w:proofErr w:type="spellEnd"/>
      <w:r w:rsidRPr="000A7A51">
        <w:rPr>
          <w:rFonts w:ascii="Times New Roman" w:hAnsi="Times New Roman" w:cs="Times New Roman"/>
          <w:sz w:val="18"/>
          <w:szCs w:val="18"/>
          <w:lang w:eastAsia="ja-JP"/>
        </w:rPr>
        <w:t>; IGA= Investigator's Global Assessment; PASI</w:t>
      </w:r>
      <w:r w:rsidR="00976D56">
        <w:rPr>
          <w:rFonts w:ascii="Times New Roman" w:hAnsi="Times New Roman" w:cs="Times New Roman"/>
          <w:sz w:val="18"/>
          <w:szCs w:val="18"/>
          <w:lang w:eastAsia="ja-JP"/>
        </w:rPr>
        <w:t xml:space="preserve"> </w:t>
      </w:r>
      <w:r w:rsidRPr="000A7A51">
        <w:rPr>
          <w:rFonts w:ascii="Times New Roman" w:hAnsi="Times New Roman" w:cs="Times New Roman"/>
          <w:sz w:val="18"/>
          <w:szCs w:val="18"/>
          <w:lang w:eastAsia="ja-JP"/>
        </w:rPr>
        <w:t>90=90% or greater improvement in the Psoriasis Area and Severity Index; PASI</w:t>
      </w:r>
      <w:r w:rsidR="00976D56">
        <w:rPr>
          <w:rFonts w:ascii="Times New Roman" w:hAnsi="Times New Roman" w:cs="Times New Roman"/>
          <w:sz w:val="18"/>
          <w:szCs w:val="18"/>
          <w:lang w:eastAsia="ja-JP"/>
        </w:rPr>
        <w:t xml:space="preserve"> </w:t>
      </w:r>
      <w:r w:rsidRPr="000A7A51">
        <w:rPr>
          <w:rFonts w:ascii="Times New Roman" w:hAnsi="Times New Roman" w:cs="Times New Roman"/>
          <w:sz w:val="18"/>
          <w:szCs w:val="18"/>
          <w:lang w:eastAsia="ja-JP"/>
        </w:rPr>
        <w:t xml:space="preserve">100= 100% improvement in the Psoriasis Area and Severity Index </w:t>
      </w:r>
    </w:p>
    <w:p w14:paraId="5B1F1806" w14:textId="14EC979B" w:rsidR="004F6820" w:rsidRPr="00934801" w:rsidRDefault="004F6820" w:rsidP="00B65FF2">
      <w:pPr>
        <w:spacing w:after="120" w:line="264" w:lineRule="auto"/>
        <w:rPr>
          <w:rFonts w:ascii="Times New Roman" w:hAnsi="Times New Roman" w:cs="Times New Roman"/>
          <w:lang w:eastAsia="ja-JP"/>
        </w:rPr>
      </w:pPr>
      <w:r w:rsidRPr="000A7A51">
        <w:rPr>
          <w:rFonts w:ascii="Times New Roman" w:hAnsi="Times New Roman" w:cs="Times New Roman"/>
          <w:lang w:eastAsia="ja-JP"/>
        </w:rPr>
        <w:t xml:space="preserve">Although the number of subjects in the </w:t>
      </w:r>
      <w:r w:rsidR="003B2B11">
        <w:rPr>
          <w:rFonts w:ascii="Times New Roman" w:hAnsi="Times New Roman" w:cs="Times New Roman"/>
          <w:lang w:eastAsia="ja-JP"/>
        </w:rPr>
        <w:t>≥</w:t>
      </w:r>
      <w:r w:rsidRPr="000A7A51">
        <w:rPr>
          <w:rFonts w:ascii="Times New Roman" w:hAnsi="Times New Roman" w:cs="Times New Roman"/>
          <w:lang w:eastAsia="ja-JP"/>
        </w:rPr>
        <w:t>120 kg group is low, the data demonstrate that response rates were lower in patients weighing more than 120</w:t>
      </w:r>
      <w:r w:rsidR="00D418EC" w:rsidRPr="000A7A51">
        <w:rPr>
          <w:rFonts w:ascii="Times New Roman" w:hAnsi="Times New Roman" w:cs="Times New Roman"/>
          <w:lang w:eastAsia="ja-JP"/>
        </w:rPr>
        <w:t>kg compared</w:t>
      </w:r>
      <w:r w:rsidRPr="000A7A51">
        <w:rPr>
          <w:rFonts w:ascii="Times New Roman" w:hAnsi="Times New Roman" w:cs="Times New Roman"/>
          <w:lang w:eastAsia="ja-JP"/>
        </w:rPr>
        <w:t xml:space="preserve"> with patients who weighed less and, </w:t>
      </w:r>
      <w:r w:rsidRPr="00AD2998">
        <w:rPr>
          <w:rFonts w:ascii="Times New Roman" w:hAnsi="Times New Roman" w:cs="Times New Roman"/>
          <w:lang w:eastAsia="ja-JP"/>
        </w:rPr>
        <w:t xml:space="preserve">represents a clinical correlation with the reduction in exposure as predicted by the PK/PD modelling. </w:t>
      </w:r>
    </w:p>
    <w:p w14:paraId="2DF48D94" w14:textId="48E72A66" w:rsidR="004F6820" w:rsidRPr="00AD2998" w:rsidRDefault="004F6820" w:rsidP="004F6820">
      <w:pPr>
        <w:spacing w:after="120" w:line="264" w:lineRule="auto"/>
        <w:rPr>
          <w:rFonts w:ascii="Times New Roman" w:hAnsi="Times New Roman" w:cs="Times New Roman"/>
          <w:lang w:eastAsia="ja-JP"/>
        </w:rPr>
      </w:pPr>
      <w:bookmarkStart w:id="8" w:name="_Hlk88823617"/>
      <w:r w:rsidRPr="00AD2998">
        <w:rPr>
          <w:rFonts w:ascii="Times New Roman" w:hAnsi="Times New Roman" w:cs="Times New Roman"/>
          <w:lang w:eastAsia="ja-JP"/>
        </w:rPr>
        <w:t xml:space="preserve">The difference with </w:t>
      </w:r>
      <w:proofErr w:type="spellStart"/>
      <w:r w:rsidR="00410F4D">
        <w:rPr>
          <w:rFonts w:ascii="Times New Roman" w:hAnsi="Times New Roman" w:cs="Times New Roman"/>
          <w:lang w:eastAsia="ja-JP"/>
        </w:rPr>
        <w:t>bimekizumab</w:t>
      </w:r>
      <w:proofErr w:type="spellEnd"/>
      <w:r w:rsidRPr="00AD2998">
        <w:rPr>
          <w:rFonts w:ascii="Times New Roman" w:hAnsi="Times New Roman" w:cs="Times New Roman"/>
          <w:lang w:eastAsia="ja-JP"/>
        </w:rPr>
        <w:t xml:space="preserve"> 320mg Q4W dosing between patients &lt;120</w:t>
      </w:r>
      <w:r w:rsidR="0047118C" w:rsidRPr="00AD2998">
        <w:rPr>
          <w:rFonts w:ascii="Times New Roman" w:hAnsi="Times New Roman" w:cs="Times New Roman"/>
          <w:lang w:eastAsia="ja-JP"/>
        </w:rPr>
        <w:t>k</w:t>
      </w:r>
      <w:r w:rsidRPr="00AD2998">
        <w:rPr>
          <w:rFonts w:ascii="Times New Roman" w:hAnsi="Times New Roman" w:cs="Times New Roman"/>
          <w:lang w:eastAsia="ja-JP"/>
        </w:rPr>
        <w:t xml:space="preserve">g and patients </w:t>
      </w:r>
      <w:r w:rsidR="00F20266" w:rsidRPr="00AD2998">
        <w:rPr>
          <w:rFonts w:ascii="Times New Roman" w:hAnsi="Times New Roman" w:cs="Times New Roman"/>
          <w:lang w:eastAsia="ja-JP"/>
        </w:rPr>
        <w:t>≥</w:t>
      </w:r>
      <w:r w:rsidRPr="00AD2998">
        <w:rPr>
          <w:rFonts w:ascii="Times New Roman" w:hAnsi="Times New Roman" w:cs="Times New Roman"/>
          <w:lang w:eastAsia="ja-JP"/>
        </w:rPr>
        <w:t>120</w:t>
      </w:r>
      <w:r w:rsidR="0047118C" w:rsidRPr="00AD2998">
        <w:rPr>
          <w:rFonts w:ascii="Times New Roman" w:hAnsi="Times New Roman" w:cs="Times New Roman"/>
          <w:lang w:eastAsia="ja-JP"/>
        </w:rPr>
        <w:t>k</w:t>
      </w:r>
      <w:r w:rsidRPr="00AD2998">
        <w:rPr>
          <w:rFonts w:ascii="Times New Roman" w:hAnsi="Times New Roman" w:cs="Times New Roman"/>
          <w:lang w:eastAsia="ja-JP"/>
        </w:rPr>
        <w:t xml:space="preserve">g weights, </w:t>
      </w:r>
      <w:r w:rsidR="0061481A" w:rsidRPr="00AD2998">
        <w:rPr>
          <w:rFonts w:ascii="Times New Roman" w:hAnsi="Times New Roman" w:cs="Times New Roman"/>
          <w:lang w:eastAsia="ja-JP"/>
        </w:rPr>
        <w:t>however,</w:t>
      </w:r>
      <w:r w:rsidR="005855F3" w:rsidRPr="00AD2998">
        <w:rPr>
          <w:rFonts w:ascii="Times New Roman" w:hAnsi="Times New Roman" w:cs="Times New Roman"/>
          <w:lang w:eastAsia="ja-JP"/>
        </w:rPr>
        <w:t xml:space="preserve"> </w:t>
      </w:r>
      <w:r w:rsidRPr="00AD2998">
        <w:rPr>
          <w:rFonts w:ascii="Times New Roman" w:hAnsi="Times New Roman" w:cs="Times New Roman"/>
          <w:lang w:eastAsia="ja-JP"/>
        </w:rPr>
        <w:t>is only numerical [ 9.3% for both PASI 90 &amp; IGA  0/1]. T</w:t>
      </w:r>
      <w:r w:rsidR="00D418EC" w:rsidRPr="00AD2998">
        <w:rPr>
          <w:rFonts w:ascii="Times New Roman" w:hAnsi="Times New Roman" w:cs="Times New Roman"/>
          <w:lang w:eastAsia="ja-JP"/>
        </w:rPr>
        <w:t>here was no</w:t>
      </w:r>
      <w:r w:rsidRPr="00AD2998">
        <w:rPr>
          <w:rFonts w:ascii="Times New Roman" w:hAnsi="Times New Roman" w:cs="Times New Roman"/>
          <w:lang w:eastAsia="ja-JP"/>
        </w:rPr>
        <w:t xml:space="preserve"> </w:t>
      </w:r>
      <w:r w:rsidR="00D418EC" w:rsidRPr="00AD2998">
        <w:rPr>
          <w:rFonts w:ascii="Times New Roman" w:hAnsi="Times New Roman" w:cs="Times New Roman"/>
          <w:lang w:eastAsia="ja-JP"/>
        </w:rPr>
        <w:t>statistical analysis</w:t>
      </w:r>
      <w:r w:rsidRPr="00AD2998">
        <w:rPr>
          <w:rFonts w:ascii="Times New Roman" w:hAnsi="Times New Roman" w:cs="Times New Roman"/>
          <w:lang w:eastAsia="ja-JP"/>
        </w:rPr>
        <w:t xml:space="preserve">. </w:t>
      </w:r>
    </w:p>
    <w:p w14:paraId="77A6D4D2" w14:textId="57693B89" w:rsidR="00D418EC" w:rsidRDefault="00E25375" w:rsidP="00B65FF2">
      <w:pPr>
        <w:spacing w:after="0" w:line="240" w:lineRule="auto"/>
        <w:rPr>
          <w:rFonts w:ascii="Times New Roman" w:eastAsia="Times New Roman" w:hAnsi="Times New Roman" w:cs="Times New Roman"/>
        </w:rPr>
      </w:pPr>
      <w:r w:rsidRPr="00AD2998">
        <w:rPr>
          <w:rFonts w:ascii="Times New Roman" w:hAnsi="Times New Roman" w:cs="Times New Roman"/>
          <w:lang w:eastAsia="ja-JP"/>
        </w:rPr>
        <w:t>Based on the pooled analysis, greater increases in PASI</w:t>
      </w:r>
      <w:r w:rsidR="00D660B2">
        <w:rPr>
          <w:rFonts w:ascii="Times New Roman" w:hAnsi="Times New Roman" w:cs="Times New Roman"/>
          <w:lang w:eastAsia="ja-JP"/>
        </w:rPr>
        <w:t xml:space="preserve"> </w:t>
      </w:r>
      <w:r w:rsidRPr="00AD2998">
        <w:rPr>
          <w:rFonts w:ascii="Times New Roman" w:hAnsi="Times New Roman" w:cs="Times New Roman"/>
          <w:lang w:eastAsia="ja-JP"/>
        </w:rPr>
        <w:t>100 and IGA 0 were seen in the patients ≥120kg beyond Week 16 with Q4W maintenance dosing compared to Q8W maintenance</w:t>
      </w:r>
      <w:r w:rsidR="00961E4B">
        <w:rPr>
          <w:rFonts w:ascii="Times New Roman" w:hAnsi="Times New Roman" w:cs="Times New Roman"/>
          <w:lang w:eastAsia="ja-JP"/>
        </w:rPr>
        <w:t xml:space="preserve"> dosing</w:t>
      </w:r>
      <w:r w:rsidRPr="00AD2998">
        <w:rPr>
          <w:rFonts w:ascii="Times New Roman" w:hAnsi="Times New Roman" w:cs="Times New Roman"/>
          <w:lang w:eastAsia="ja-JP"/>
        </w:rPr>
        <w:t xml:space="preserve">. </w:t>
      </w:r>
      <w:r w:rsidR="00934801" w:rsidRPr="00934801">
        <w:rPr>
          <w:rFonts w:ascii="Times New Roman" w:hAnsi="Times New Roman" w:cs="Times New Roman"/>
          <w:lang w:eastAsia="ja-JP"/>
        </w:rPr>
        <w:t>No statistical comparison was performed.</w:t>
      </w:r>
      <w:r w:rsidRPr="00AD2998">
        <w:rPr>
          <w:rFonts w:ascii="Times New Roman" w:hAnsi="Times New Roman" w:cs="Times New Roman"/>
          <w:lang w:eastAsia="ja-JP"/>
        </w:rPr>
        <w:t xml:space="preserve"> </w:t>
      </w:r>
      <w:r w:rsidR="00D418EC" w:rsidRPr="00AD2998">
        <w:rPr>
          <w:rFonts w:ascii="Times New Roman" w:hAnsi="Times New Roman" w:cs="Times New Roman"/>
          <w:lang w:eastAsia="ja-JP"/>
        </w:rPr>
        <w:t xml:space="preserve">Thus, it can be stated that </w:t>
      </w:r>
      <w:r w:rsidR="00D418EC" w:rsidRPr="00AD2998">
        <w:rPr>
          <w:rFonts w:ascii="Times New Roman" w:eastAsia="Times New Roman" w:hAnsi="Times New Roman" w:cs="Times New Roman"/>
        </w:rPr>
        <w:t xml:space="preserve">increasing the dosing frequency in heavier patients has not been shown to result in greater statistically </w:t>
      </w:r>
      <w:r w:rsidR="003F591C" w:rsidRPr="00AD2998">
        <w:rPr>
          <w:rFonts w:ascii="Times New Roman" w:eastAsia="Times New Roman" w:hAnsi="Times New Roman" w:cs="Times New Roman"/>
        </w:rPr>
        <w:t>significant efficacy</w:t>
      </w:r>
      <w:r w:rsidR="00D418EC" w:rsidRPr="00AD2998">
        <w:rPr>
          <w:rFonts w:ascii="Times New Roman" w:eastAsia="Times New Roman" w:hAnsi="Times New Roman" w:cs="Times New Roman"/>
        </w:rPr>
        <w:t xml:space="preserve"> but may be used to increase plasma concentrations of </w:t>
      </w:r>
      <w:proofErr w:type="spellStart"/>
      <w:r w:rsidR="00D418EC" w:rsidRPr="00AD2998">
        <w:rPr>
          <w:rFonts w:ascii="Times New Roman" w:eastAsia="Times New Roman" w:hAnsi="Times New Roman" w:cs="Times New Roman"/>
        </w:rPr>
        <w:t>bimekizumab</w:t>
      </w:r>
      <w:proofErr w:type="spellEnd"/>
      <w:r w:rsidR="00D418EC" w:rsidRPr="00AD2998">
        <w:rPr>
          <w:rFonts w:ascii="Times New Roman" w:eastAsia="Times New Roman" w:hAnsi="Times New Roman" w:cs="Times New Roman"/>
        </w:rPr>
        <w:t xml:space="preserve"> in heavier patients</w:t>
      </w:r>
      <w:r w:rsidR="00873EAD" w:rsidRPr="00AD2998">
        <w:rPr>
          <w:rFonts w:ascii="Times New Roman" w:eastAsia="Times New Roman" w:hAnsi="Times New Roman" w:cs="Times New Roman"/>
        </w:rPr>
        <w:t>.</w:t>
      </w:r>
      <w:r w:rsidR="00D418EC" w:rsidRPr="00AD2998">
        <w:rPr>
          <w:rFonts w:ascii="Times New Roman" w:eastAsia="Times New Roman" w:hAnsi="Times New Roman" w:cs="Times New Roman"/>
        </w:rPr>
        <w:t xml:space="preserve"> </w:t>
      </w:r>
    </w:p>
    <w:p w14:paraId="7B1DDEB1" w14:textId="77777777" w:rsidR="00E20743" w:rsidRPr="00AD2998" w:rsidRDefault="00E20743" w:rsidP="00B65FF2">
      <w:pPr>
        <w:spacing w:after="0" w:line="240" w:lineRule="auto"/>
        <w:rPr>
          <w:rFonts w:ascii="Times New Roman" w:eastAsia="Times New Roman" w:hAnsi="Times New Roman" w:cs="Times New Roman"/>
        </w:rPr>
      </w:pPr>
    </w:p>
    <w:bookmarkEnd w:id="7"/>
    <w:bookmarkEnd w:id="8"/>
    <w:p w14:paraId="656244A4" w14:textId="77777777" w:rsidR="00FD6E3A" w:rsidRPr="00FD6E3A" w:rsidRDefault="00FD6E3A" w:rsidP="00FD6E3A">
      <w:pPr>
        <w:spacing w:after="120" w:line="280" w:lineRule="atLeast"/>
        <w:rPr>
          <w:rFonts w:ascii="Times New Roman" w:eastAsia="Times New Roman" w:hAnsi="Times New Roman" w:cs="Times New Roman"/>
          <w:b/>
          <w:bCs/>
          <w:u w:val="single"/>
          <w:lang w:val="en-US"/>
        </w:rPr>
      </w:pPr>
      <w:r w:rsidRPr="00FD6E3A">
        <w:rPr>
          <w:rFonts w:ascii="Times New Roman" w:eastAsia="Times New Roman" w:hAnsi="Times New Roman" w:cs="Times New Roman"/>
          <w:b/>
          <w:bCs/>
          <w:u w:val="single"/>
          <w:lang w:val="en-US"/>
        </w:rPr>
        <w:t>Maintenance of response</w:t>
      </w:r>
    </w:p>
    <w:p w14:paraId="05F0471C" w14:textId="63DAAE9A" w:rsidR="00FD6E3A" w:rsidRPr="00FD6E3A" w:rsidRDefault="00FD6E3A" w:rsidP="00FD6E3A">
      <w:pPr>
        <w:spacing w:after="120" w:line="280" w:lineRule="atLeast"/>
        <w:rPr>
          <w:rFonts w:ascii="Times New Roman" w:eastAsia="Times New Roman" w:hAnsi="Times New Roman" w:cs="Times New Roman"/>
          <w:b/>
          <w:bCs/>
          <w:lang w:val="en-US"/>
        </w:rPr>
      </w:pPr>
      <w:bookmarkStart w:id="9" w:name="_Hlk36203569"/>
      <w:r w:rsidRPr="00FD6E3A">
        <w:rPr>
          <w:rFonts w:ascii="Times New Roman" w:eastAsia="Times New Roman" w:hAnsi="Times New Roman" w:cs="Times New Roman"/>
          <w:b/>
          <w:bCs/>
          <w:lang w:val="en-US"/>
        </w:rPr>
        <w:t xml:space="preserve">Table </w:t>
      </w:r>
      <w:r w:rsidR="00B65FF2">
        <w:rPr>
          <w:rFonts w:ascii="Times New Roman" w:eastAsia="Times New Roman" w:hAnsi="Times New Roman" w:cs="Times New Roman"/>
          <w:b/>
          <w:bCs/>
          <w:lang w:val="en-US"/>
        </w:rPr>
        <w:t>4</w:t>
      </w:r>
      <w:r w:rsidRPr="00FD6E3A">
        <w:rPr>
          <w:rFonts w:ascii="Times New Roman" w:eastAsia="Times New Roman" w:hAnsi="Times New Roman" w:cs="Times New Roman"/>
          <w:b/>
          <w:bCs/>
          <w:lang w:val="en-US"/>
        </w:rPr>
        <w:t xml:space="preserve">: Maintenance of responses at Week 52 in responders at Week 16* </w:t>
      </w:r>
    </w:p>
    <w:tbl>
      <w:tblPr>
        <w:tblStyle w:val="TableGrid2"/>
        <w:tblW w:w="10343" w:type="dxa"/>
        <w:tblLayout w:type="fixed"/>
        <w:tblLook w:val="04A0" w:firstRow="1" w:lastRow="0" w:firstColumn="1" w:lastColumn="0" w:noHBand="0" w:noVBand="1"/>
      </w:tblPr>
      <w:tblGrid>
        <w:gridCol w:w="1410"/>
        <w:gridCol w:w="1279"/>
        <w:gridCol w:w="1275"/>
        <w:gridCol w:w="1276"/>
        <w:gridCol w:w="1276"/>
        <w:gridCol w:w="1276"/>
        <w:gridCol w:w="1275"/>
        <w:gridCol w:w="1276"/>
      </w:tblGrid>
      <w:tr w:rsidR="00FD6E3A" w:rsidRPr="00FD6E3A" w14:paraId="57DFCEDF" w14:textId="77777777" w:rsidTr="00366F4C">
        <w:tc>
          <w:tcPr>
            <w:tcW w:w="2689" w:type="dxa"/>
            <w:gridSpan w:val="2"/>
          </w:tcPr>
          <w:p w14:paraId="6DE4B67D"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b/>
                <w:bCs/>
                <w:sz w:val="18"/>
                <w:szCs w:val="18"/>
              </w:rPr>
              <w:t>PASI 100</w:t>
            </w:r>
          </w:p>
        </w:tc>
        <w:tc>
          <w:tcPr>
            <w:tcW w:w="2551" w:type="dxa"/>
            <w:gridSpan w:val="2"/>
          </w:tcPr>
          <w:p w14:paraId="7A39D7E3" w14:textId="77777777" w:rsidR="00FD6E3A" w:rsidRPr="00FD6E3A" w:rsidRDefault="00FD6E3A" w:rsidP="00FD6E3A">
            <w:pPr>
              <w:spacing w:before="120" w:after="120"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PASI 90</w:t>
            </w:r>
          </w:p>
        </w:tc>
        <w:tc>
          <w:tcPr>
            <w:tcW w:w="2552" w:type="dxa"/>
            <w:gridSpan w:val="2"/>
          </w:tcPr>
          <w:p w14:paraId="181C10AF"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b/>
                <w:bCs/>
                <w:sz w:val="18"/>
                <w:szCs w:val="18"/>
              </w:rPr>
              <w:t>IGA 0/1</w:t>
            </w:r>
          </w:p>
        </w:tc>
        <w:tc>
          <w:tcPr>
            <w:tcW w:w="2551" w:type="dxa"/>
            <w:gridSpan w:val="2"/>
          </w:tcPr>
          <w:p w14:paraId="07B8CEBD" w14:textId="77777777" w:rsidR="00FD6E3A" w:rsidRPr="00FD6E3A" w:rsidRDefault="00FD6E3A" w:rsidP="00FD6E3A">
            <w:pPr>
              <w:spacing w:before="120" w:after="120"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Absolute PASI ≤ 2</w:t>
            </w:r>
          </w:p>
        </w:tc>
      </w:tr>
      <w:tr w:rsidR="00FD6E3A" w:rsidRPr="00FD6E3A" w14:paraId="6C7549A8" w14:textId="77777777" w:rsidTr="00366F4C">
        <w:tc>
          <w:tcPr>
            <w:tcW w:w="1410" w:type="dxa"/>
          </w:tcPr>
          <w:p w14:paraId="40103347"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Q4W/Q4W</w:t>
            </w:r>
            <w:r w:rsidRPr="00FD6E3A">
              <w:rPr>
                <w:rFonts w:ascii="Times New Roman" w:eastAsia="Times New Roman" w:hAnsi="Times New Roman" w:cs="Times New Roman"/>
                <w:b/>
                <w:bCs/>
                <w:sz w:val="18"/>
                <w:szCs w:val="18"/>
              </w:rPr>
              <w:br/>
              <w:t>(N=355)</w:t>
            </w:r>
          </w:p>
          <w:p w14:paraId="488C04B5"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9" w:type="dxa"/>
          </w:tcPr>
          <w:p w14:paraId="3E9D6C65"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Q4W/Q8W</w:t>
            </w:r>
            <w:r w:rsidRPr="00FD6E3A">
              <w:rPr>
                <w:rFonts w:ascii="Times New Roman" w:eastAsia="Times New Roman" w:hAnsi="Times New Roman" w:cs="Times New Roman"/>
                <w:b/>
                <w:bCs/>
                <w:sz w:val="18"/>
                <w:szCs w:val="18"/>
              </w:rPr>
              <w:br/>
              <w:t>(N=182)</w:t>
            </w:r>
          </w:p>
          <w:p w14:paraId="385433F6"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5" w:type="dxa"/>
          </w:tcPr>
          <w:p w14:paraId="115A32F8"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Q4W/Q4W</w:t>
            </w:r>
            <w:r w:rsidRPr="00FD6E3A">
              <w:rPr>
                <w:rFonts w:ascii="Times New Roman" w:eastAsia="Times New Roman" w:hAnsi="Times New Roman" w:cs="Times New Roman"/>
                <w:b/>
                <w:bCs/>
                <w:sz w:val="18"/>
                <w:szCs w:val="18"/>
              </w:rPr>
              <w:br/>
              <w:t>(N=516)</w:t>
            </w:r>
          </w:p>
          <w:p w14:paraId="4C621C53"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Pr>
          <w:p w14:paraId="6AE579E3"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Q4W/Q8W</w:t>
            </w:r>
            <w:r w:rsidRPr="00FD6E3A">
              <w:rPr>
                <w:rFonts w:ascii="Times New Roman" w:eastAsia="Times New Roman" w:hAnsi="Times New Roman" w:cs="Times New Roman"/>
                <w:b/>
                <w:bCs/>
                <w:sz w:val="18"/>
                <w:szCs w:val="18"/>
              </w:rPr>
              <w:br/>
              <w:t>(N=237)</w:t>
            </w:r>
          </w:p>
          <w:p w14:paraId="0081DC39"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Pr>
          <w:p w14:paraId="10EA39C5"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Q4W/Q4W</w:t>
            </w:r>
            <w:r w:rsidRPr="00FD6E3A">
              <w:rPr>
                <w:rFonts w:ascii="Times New Roman" w:eastAsia="Times New Roman" w:hAnsi="Times New Roman" w:cs="Times New Roman"/>
                <w:b/>
                <w:bCs/>
                <w:sz w:val="18"/>
                <w:szCs w:val="18"/>
              </w:rPr>
              <w:br/>
              <w:t>(N=511)</w:t>
            </w:r>
          </w:p>
          <w:p w14:paraId="04B703DA"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Pr>
          <w:p w14:paraId="7C1B7388"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Q4W/Q8W</w:t>
            </w:r>
            <w:r w:rsidRPr="00FD6E3A">
              <w:rPr>
                <w:rFonts w:ascii="Times New Roman" w:eastAsia="Times New Roman" w:hAnsi="Times New Roman" w:cs="Times New Roman"/>
                <w:b/>
                <w:bCs/>
                <w:sz w:val="18"/>
                <w:szCs w:val="18"/>
              </w:rPr>
              <w:br/>
              <w:t>(N=234)</w:t>
            </w:r>
          </w:p>
          <w:p w14:paraId="442C2CD8"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5" w:type="dxa"/>
          </w:tcPr>
          <w:p w14:paraId="6DC12312"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Q4W/Q4W</w:t>
            </w:r>
          </w:p>
          <w:p w14:paraId="256B6A1E"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(N=511)</w:t>
            </w:r>
          </w:p>
          <w:p w14:paraId="24D2CF0D"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c>
          <w:tcPr>
            <w:tcW w:w="1276" w:type="dxa"/>
          </w:tcPr>
          <w:p w14:paraId="465DEA82"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320mg Q4W/Q8W</w:t>
            </w:r>
            <w:r w:rsidRPr="00FD6E3A">
              <w:rPr>
                <w:rFonts w:ascii="Times New Roman" w:eastAsia="Times New Roman" w:hAnsi="Times New Roman" w:cs="Times New Roman"/>
                <w:b/>
                <w:bCs/>
                <w:sz w:val="18"/>
                <w:szCs w:val="18"/>
              </w:rPr>
              <w:br/>
              <w:t>(N= 238)</w:t>
            </w:r>
          </w:p>
          <w:p w14:paraId="1BFA4D54" w14:textId="77777777" w:rsidR="00FD6E3A" w:rsidRPr="00FD6E3A" w:rsidRDefault="00FD6E3A" w:rsidP="00FD6E3A">
            <w:pPr>
              <w:spacing w:line="280" w:lineRule="atLeast"/>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w:t>
            </w:r>
          </w:p>
        </w:tc>
      </w:tr>
      <w:tr w:rsidR="00FD6E3A" w:rsidRPr="00FD6E3A" w14:paraId="330A9E03" w14:textId="77777777" w:rsidTr="00366F4C">
        <w:tc>
          <w:tcPr>
            <w:tcW w:w="1410" w:type="dxa"/>
          </w:tcPr>
          <w:p w14:paraId="6A97B06F"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bCs/>
                <w:color w:val="000000"/>
                <w:sz w:val="18"/>
                <w:szCs w:val="18"/>
              </w:rPr>
              <w:t>295 (83.1)</w:t>
            </w:r>
          </w:p>
        </w:tc>
        <w:tc>
          <w:tcPr>
            <w:tcW w:w="1279" w:type="dxa"/>
          </w:tcPr>
          <w:p w14:paraId="58587CA5"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bCs/>
                <w:color w:val="000000"/>
                <w:sz w:val="18"/>
                <w:szCs w:val="18"/>
              </w:rPr>
              <w:t>161 (88.5)</w:t>
            </w:r>
          </w:p>
        </w:tc>
        <w:tc>
          <w:tcPr>
            <w:tcW w:w="1275" w:type="dxa"/>
          </w:tcPr>
          <w:p w14:paraId="55B2BC7A" w14:textId="77777777" w:rsidR="00FD6E3A" w:rsidRPr="00FD6E3A" w:rsidRDefault="00FD6E3A" w:rsidP="00FD6E3A">
            <w:pPr>
              <w:spacing w:before="120" w:after="120" w:line="280" w:lineRule="atLeast"/>
              <w:rPr>
                <w:rFonts w:ascii="Times New Roman" w:eastAsia="Times New Roman" w:hAnsi="Times New Roman" w:cs="Times New Roman"/>
                <w:color w:val="000000"/>
                <w:sz w:val="18"/>
                <w:szCs w:val="18"/>
              </w:rPr>
            </w:pPr>
            <w:r w:rsidRPr="00FD6E3A">
              <w:rPr>
                <w:rFonts w:ascii="Times New Roman" w:eastAsia="Times New Roman" w:hAnsi="Times New Roman" w:cs="Times New Roman"/>
                <w:color w:val="000000"/>
                <w:sz w:val="18"/>
                <w:szCs w:val="18"/>
              </w:rPr>
              <w:t>464 (89.9)</w:t>
            </w:r>
          </w:p>
        </w:tc>
        <w:tc>
          <w:tcPr>
            <w:tcW w:w="1276" w:type="dxa"/>
          </w:tcPr>
          <w:p w14:paraId="44F57BCC" w14:textId="77777777" w:rsidR="00FD6E3A" w:rsidRPr="00FD6E3A" w:rsidRDefault="00FD6E3A" w:rsidP="00FD6E3A">
            <w:pPr>
              <w:spacing w:before="120" w:after="120" w:line="280" w:lineRule="atLeast"/>
              <w:rPr>
                <w:rFonts w:ascii="Times New Roman" w:eastAsia="Times New Roman" w:hAnsi="Times New Roman" w:cs="Times New Roman"/>
                <w:color w:val="000000"/>
                <w:sz w:val="18"/>
                <w:szCs w:val="18"/>
              </w:rPr>
            </w:pPr>
            <w:r w:rsidRPr="00FD6E3A">
              <w:rPr>
                <w:rFonts w:ascii="Times New Roman" w:eastAsia="Times New Roman" w:hAnsi="Times New Roman" w:cs="Times New Roman"/>
                <w:color w:val="000000"/>
                <w:sz w:val="18"/>
                <w:szCs w:val="18"/>
              </w:rPr>
              <w:t>214 (90.3)</w:t>
            </w:r>
          </w:p>
        </w:tc>
        <w:tc>
          <w:tcPr>
            <w:tcW w:w="1276" w:type="dxa"/>
          </w:tcPr>
          <w:p w14:paraId="189B1508"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color w:val="000000"/>
                <w:sz w:val="18"/>
                <w:szCs w:val="18"/>
              </w:rPr>
              <w:t>447 (87.5)</w:t>
            </w:r>
          </w:p>
        </w:tc>
        <w:tc>
          <w:tcPr>
            <w:tcW w:w="1276" w:type="dxa"/>
          </w:tcPr>
          <w:p w14:paraId="1082982B" w14:textId="77777777" w:rsidR="00FD6E3A" w:rsidRPr="00FD6E3A" w:rsidRDefault="00FD6E3A" w:rsidP="00FD6E3A">
            <w:pPr>
              <w:spacing w:before="120" w:after="120" w:line="280" w:lineRule="atLeast"/>
              <w:rPr>
                <w:rFonts w:ascii="Times New Roman" w:eastAsia="Times New Roman" w:hAnsi="Times New Roman" w:cs="Times New Roman"/>
                <w:bCs/>
                <w:sz w:val="18"/>
                <w:szCs w:val="18"/>
              </w:rPr>
            </w:pPr>
            <w:r w:rsidRPr="00FD6E3A">
              <w:rPr>
                <w:rFonts w:ascii="Times New Roman" w:eastAsia="Times New Roman" w:hAnsi="Times New Roman" w:cs="Times New Roman"/>
                <w:color w:val="000000"/>
                <w:sz w:val="18"/>
                <w:szCs w:val="18"/>
              </w:rPr>
              <w:t>214 (91.5)</w:t>
            </w:r>
          </w:p>
        </w:tc>
        <w:tc>
          <w:tcPr>
            <w:tcW w:w="1275" w:type="dxa"/>
          </w:tcPr>
          <w:p w14:paraId="7D146F4D" w14:textId="77777777" w:rsidR="00FD6E3A" w:rsidRPr="00FD6E3A" w:rsidRDefault="00FD6E3A" w:rsidP="00FD6E3A">
            <w:pPr>
              <w:spacing w:before="120" w:after="120" w:line="280" w:lineRule="atLeast"/>
              <w:rPr>
                <w:rFonts w:ascii="Times New Roman" w:eastAsia="Times New Roman" w:hAnsi="Times New Roman" w:cs="Times New Roman"/>
                <w:color w:val="000000"/>
                <w:sz w:val="18"/>
                <w:szCs w:val="18"/>
              </w:rPr>
            </w:pPr>
            <w:r w:rsidRPr="00FD6E3A">
              <w:rPr>
                <w:rFonts w:ascii="Times New Roman" w:eastAsia="Times New Roman" w:hAnsi="Times New Roman" w:cs="Times New Roman"/>
                <w:color w:val="000000"/>
                <w:sz w:val="18"/>
                <w:szCs w:val="18"/>
              </w:rPr>
              <w:t>460 (90.0)</w:t>
            </w:r>
          </w:p>
        </w:tc>
        <w:tc>
          <w:tcPr>
            <w:tcW w:w="1276" w:type="dxa"/>
          </w:tcPr>
          <w:p w14:paraId="13FEDA55" w14:textId="77777777" w:rsidR="00FD6E3A" w:rsidRPr="00FD6E3A" w:rsidRDefault="00FD6E3A" w:rsidP="00FD6E3A">
            <w:pPr>
              <w:spacing w:before="120" w:after="120" w:line="280" w:lineRule="atLeast"/>
              <w:rPr>
                <w:rFonts w:ascii="Times New Roman" w:eastAsia="Times New Roman" w:hAnsi="Times New Roman" w:cs="Times New Roman"/>
                <w:color w:val="000000"/>
                <w:sz w:val="18"/>
                <w:szCs w:val="18"/>
              </w:rPr>
            </w:pPr>
            <w:r w:rsidRPr="00FD6E3A">
              <w:rPr>
                <w:rFonts w:ascii="Times New Roman" w:eastAsia="Times New Roman" w:hAnsi="Times New Roman" w:cs="Times New Roman"/>
                <w:color w:val="000000"/>
                <w:sz w:val="18"/>
                <w:szCs w:val="18"/>
              </w:rPr>
              <w:t>215 (90.3)</w:t>
            </w:r>
          </w:p>
        </w:tc>
      </w:tr>
    </w:tbl>
    <w:p w14:paraId="395C963B"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 xml:space="preserve">* Integrated analysis of BE VIVID, BE READY and BE SURE. NRI is used. </w:t>
      </w:r>
    </w:p>
    <w:p w14:paraId="2FFC37AA"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 xml:space="preserve">BKZ 320 mg Q4W/Q4W: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320 mg every 4 weeks followed by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320mg every 4 weeks from Week 16. BKZ 320 mg Q4W/Q8W: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320 mg every 4 weeks followed by </w:t>
      </w:r>
      <w:proofErr w:type="spellStart"/>
      <w:r w:rsidRPr="00FD6E3A">
        <w:rPr>
          <w:rFonts w:ascii="Times New Roman" w:eastAsia="Times New Roman" w:hAnsi="Times New Roman" w:cs="Times New Roman"/>
          <w:bCs/>
          <w:color w:val="000000"/>
          <w:sz w:val="18"/>
          <w:szCs w:val="18"/>
          <w:lang w:val="en-US"/>
        </w:rPr>
        <w:t>bimekizumab</w:t>
      </w:r>
      <w:proofErr w:type="spellEnd"/>
      <w:r w:rsidRPr="00FD6E3A">
        <w:rPr>
          <w:rFonts w:ascii="Times New Roman" w:eastAsia="Times New Roman" w:hAnsi="Times New Roman" w:cs="Times New Roman"/>
          <w:bCs/>
          <w:color w:val="000000"/>
          <w:sz w:val="18"/>
          <w:szCs w:val="18"/>
          <w:lang w:val="en-US"/>
        </w:rPr>
        <w:t xml:space="preserve"> 320mg every 8 weeks from Week 16. </w:t>
      </w:r>
    </w:p>
    <w:p w14:paraId="79F0539D" w14:textId="77777777"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p>
    <w:bookmarkEnd w:id="9"/>
    <w:p w14:paraId="465D2A0B" w14:textId="4A657AE7" w:rsidR="00FD6E3A" w:rsidRDefault="00FD6E3A" w:rsidP="00FD6E3A">
      <w:pPr>
        <w:spacing w:after="120" w:line="280" w:lineRule="atLeast"/>
        <w:rPr>
          <w:rFonts w:ascii="Times New Roman" w:eastAsia="Times New Roman" w:hAnsi="Times New Roman" w:cs="Times New Roman"/>
          <w:b/>
          <w:u w:val="single"/>
          <w:lang w:val="en-US"/>
        </w:rPr>
      </w:pPr>
    </w:p>
    <w:p w14:paraId="3228D752" w14:textId="77777777" w:rsidR="00AD2998" w:rsidRPr="00FD6E3A" w:rsidRDefault="00AD2998" w:rsidP="00FD6E3A">
      <w:pPr>
        <w:spacing w:after="120" w:line="280" w:lineRule="atLeast"/>
        <w:rPr>
          <w:rFonts w:ascii="Times New Roman" w:eastAsia="Times New Roman" w:hAnsi="Times New Roman" w:cs="Times New Roman"/>
          <w:b/>
          <w:u w:val="single"/>
          <w:lang w:val="en-US"/>
        </w:rPr>
      </w:pPr>
    </w:p>
    <w:p w14:paraId="7F22D038" w14:textId="77777777" w:rsidR="00FD6E3A" w:rsidRPr="00FD6E3A" w:rsidRDefault="00FD6E3A" w:rsidP="00FD6E3A">
      <w:pPr>
        <w:spacing w:after="120" w:line="280" w:lineRule="atLeast"/>
        <w:rPr>
          <w:rFonts w:ascii="Times New Roman" w:eastAsia="Times New Roman" w:hAnsi="Times New Roman" w:cs="Times New Roman"/>
          <w:b/>
          <w:bCs/>
          <w:u w:val="single"/>
          <w:lang w:val="en-US"/>
        </w:rPr>
      </w:pPr>
      <w:r w:rsidRPr="00FD6E3A">
        <w:rPr>
          <w:rFonts w:ascii="Times New Roman" w:eastAsia="Times New Roman" w:hAnsi="Times New Roman" w:cs="Times New Roman"/>
          <w:b/>
          <w:u w:val="single"/>
          <w:lang w:val="en-US"/>
        </w:rPr>
        <w:t xml:space="preserve">Durability of PASI 90 response (after </w:t>
      </w:r>
      <w:proofErr w:type="spellStart"/>
      <w:r w:rsidRPr="00FD6E3A">
        <w:rPr>
          <w:rFonts w:ascii="Times New Roman" w:eastAsia="Times New Roman" w:hAnsi="Times New Roman" w:cs="Times New Roman"/>
          <w:b/>
          <w:u w:val="single"/>
          <w:lang w:val="en-US"/>
        </w:rPr>
        <w:t>bimekizumab</w:t>
      </w:r>
      <w:proofErr w:type="spellEnd"/>
      <w:r w:rsidRPr="00FD6E3A">
        <w:rPr>
          <w:rFonts w:ascii="Times New Roman" w:eastAsia="Times New Roman" w:hAnsi="Times New Roman" w:cs="Times New Roman"/>
          <w:b/>
          <w:u w:val="single"/>
          <w:lang w:val="en-US"/>
        </w:rPr>
        <w:t xml:space="preserve"> discontinuation)</w:t>
      </w:r>
    </w:p>
    <w:p w14:paraId="759AE795" w14:textId="77777777" w:rsidR="00FD6E3A" w:rsidRPr="00FD6E3A" w:rsidRDefault="00FD6E3A" w:rsidP="00FD6E3A">
      <w:pPr>
        <w:spacing w:after="120" w:line="280" w:lineRule="atLeast"/>
        <w:rPr>
          <w:rFonts w:ascii="Times New Roman" w:eastAsia="Times New Roman" w:hAnsi="Times New Roman" w:cs="Times New Roman"/>
          <w:b/>
          <w:bCs/>
          <w:lang w:val="en-US"/>
        </w:rPr>
      </w:pPr>
      <w:r w:rsidRPr="00FD6E3A">
        <w:rPr>
          <w:rFonts w:ascii="Times New Roman" w:eastAsia="Times New Roman" w:hAnsi="Times New Roman" w:cs="Times New Roman"/>
          <w:b/>
          <w:bCs/>
          <w:lang w:val="en-US"/>
        </w:rPr>
        <w:t>Figure 3: PASI 90 responder rates over time – Randomized withdrawal period in BE READY</w:t>
      </w:r>
    </w:p>
    <w:p w14:paraId="52B3270E" w14:textId="77777777" w:rsidR="00FD6E3A" w:rsidRPr="00FD6E3A" w:rsidRDefault="00FD6E3A" w:rsidP="00FD6E3A">
      <w:pPr>
        <w:spacing w:after="120" w:line="280" w:lineRule="atLeast"/>
        <w:rPr>
          <w:rFonts w:ascii="Times New Roman" w:eastAsia="Times New Roman" w:hAnsi="Times New Roman" w:cs="Times New Roman"/>
          <w:bCs/>
          <w:u w:val="single"/>
          <w:lang w:val="en-US"/>
        </w:rPr>
      </w:pPr>
      <w:r w:rsidRPr="00FD6E3A">
        <w:rPr>
          <w:rFonts w:ascii="Times New Roman" w:eastAsia="Times New Roman" w:hAnsi="Times New Roman" w:cs="Times New Roman"/>
          <w:noProof/>
          <w:sz w:val="24"/>
          <w:szCs w:val="20"/>
          <w:lang w:val="en-US"/>
        </w:rPr>
        <w:drawing>
          <wp:inline distT="0" distB="0" distL="0" distR="0" wp14:anchorId="4D47D69A" wp14:editId="5800A471">
            <wp:extent cx="5397500" cy="3599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2313" cy="3636372"/>
                    </a:xfrm>
                    <a:prstGeom prst="rect">
                      <a:avLst/>
                    </a:prstGeom>
                  </pic:spPr>
                </pic:pic>
              </a:graphicData>
            </a:graphic>
          </wp:inline>
        </w:drawing>
      </w:r>
    </w:p>
    <w:p w14:paraId="3DEE1B87" w14:textId="77777777" w:rsidR="00FD6E3A" w:rsidRPr="00FD6E3A" w:rsidRDefault="00FD6E3A" w:rsidP="00FD6E3A">
      <w:pPr>
        <w:spacing w:after="120" w:line="280" w:lineRule="atLeast"/>
        <w:rPr>
          <w:rFonts w:ascii="Times New Roman" w:eastAsia="Times New Roman" w:hAnsi="Times New Roman" w:cs="Times New Roman"/>
          <w:bCs/>
          <w:sz w:val="18"/>
          <w:szCs w:val="18"/>
          <w:lang w:val="en-US"/>
        </w:rPr>
      </w:pPr>
      <w:bookmarkStart w:id="10" w:name="_Hlk36203677"/>
      <w:bookmarkStart w:id="11" w:name="_Hlk30780582"/>
      <w:r w:rsidRPr="00FD6E3A">
        <w:rPr>
          <w:rFonts w:ascii="Times New Roman" w:eastAsia="Times New Roman" w:hAnsi="Times New Roman" w:cs="Times New Roman"/>
          <w:bCs/>
          <w:sz w:val="18"/>
          <w:szCs w:val="18"/>
          <w:lang w:val="en-US"/>
        </w:rPr>
        <w:t xml:space="preserve">NRI is used. </w:t>
      </w:r>
    </w:p>
    <w:p w14:paraId="72A2E2E8" w14:textId="178389AC" w:rsidR="00FD6E3A" w:rsidRDefault="00FD6E3A" w:rsidP="00FD6E3A">
      <w:pPr>
        <w:spacing w:after="120" w:line="280" w:lineRule="atLeast"/>
        <w:rPr>
          <w:rFonts w:ascii="Times New Roman" w:eastAsia="Times New Roman" w:hAnsi="Times New Roman" w:cs="Times New Roman"/>
          <w:bCs/>
          <w:lang w:val="en-US"/>
        </w:rPr>
      </w:pPr>
      <w:r w:rsidRPr="00FD6E3A">
        <w:rPr>
          <w:rFonts w:ascii="Times New Roman" w:eastAsia="Times New Roman" w:hAnsi="Times New Roman" w:cs="Times New Roman"/>
          <w:bCs/>
          <w:lang w:val="en-US"/>
        </w:rPr>
        <w:t xml:space="preserve">In BE READY, for PASI 90 responders at Week 16 who were re-randomized to placebo and withdrawn from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the median time to relapse, defined as loss of PASI 75, was approximately 28 weeks (32 weeks after the last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dose).</w:t>
      </w:r>
      <w:bookmarkEnd w:id="10"/>
      <w:r w:rsidRPr="00FD6E3A">
        <w:rPr>
          <w:rFonts w:ascii="Times New Roman" w:eastAsia="Times New Roman" w:hAnsi="Times New Roman" w:cs="Times New Roman"/>
          <w:bCs/>
          <w:lang w:val="en-US"/>
        </w:rPr>
        <w:t xml:space="preserve"> Among these patients, 88.1% regained a PASI 90 response within 12 weeks of restarting treatment with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320 mg every 4 weeks. </w:t>
      </w:r>
    </w:p>
    <w:p w14:paraId="2C4536DF" w14:textId="77777777" w:rsidR="00A15FF5" w:rsidRPr="00FD6E3A" w:rsidRDefault="00A15FF5" w:rsidP="00FD6E3A">
      <w:pPr>
        <w:spacing w:after="120" w:line="280" w:lineRule="atLeast"/>
        <w:rPr>
          <w:rFonts w:ascii="Times New Roman" w:eastAsia="Times New Roman" w:hAnsi="Times New Roman" w:cs="Times New Roman"/>
          <w:bCs/>
          <w:lang w:val="en-US"/>
        </w:rPr>
      </w:pPr>
    </w:p>
    <w:bookmarkEnd w:id="11"/>
    <w:p w14:paraId="6DE7C874" w14:textId="75A5ACBD" w:rsidR="00FD6E3A" w:rsidRPr="00FD6E3A" w:rsidRDefault="00FD6E3A" w:rsidP="00FD6E3A">
      <w:pPr>
        <w:spacing w:after="120" w:line="280" w:lineRule="atLeast"/>
        <w:rPr>
          <w:rFonts w:ascii="Times New Roman" w:eastAsia="Times New Roman" w:hAnsi="Times New Roman" w:cs="Times New Roman"/>
          <w:b/>
          <w:bCs/>
          <w:u w:val="single"/>
          <w:lang w:val="en-US"/>
        </w:rPr>
      </w:pPr>
      <w:r w:rsidRPr="00FD6E3A">
        <w:rPr>
          <w:rFonts w:ascii="Times New Roman" w:eastAsia="Times New Roman" w:hAnsi="Times New Roman" w:cs="Times New Roman"/>
          <w:b/>
          <w:bCs/>
          <w:u w:val="single"/>
          <w:lang w:val="en-US"/>
        </w:rPr>
        <w:t xml:space="preserve">Specific body locations </w:t>
      </w:r>
    </w:p>
    <w:p w14:paraId="7001F2D0" w14:textId="5CC976C8" w:rsidR="00FD6E3A" w:rsidRPr="00FD6E3A" w:rsidRDefault="00FD6E3A" w:rsidP="00FD6E3A">
      <w:pPr>
        <w:spacing w:after="120" w:line="280" w:lineRule="atLeast"/>
        <w:rPr>
          <w:rFonts w:ascii="Times New Roman" w:eastAsia="Times New Roman" w:hAnsi="Times New Roman" w:cs="Times New Roman"/>
          <w:bCs/>
          <w:lang w:val="en-US"/>
        </w:rPr>
      </w:pPr>
      <w:r w:rsidRPr="00FD6E3A">
        <w:rPr>
          <w:rFonts w:ascii="Times New Roman" w:eastAsia="Times New Roman" w:hAnsi="Times New Roman" w:cs="Times New Roman"/>
          <w:bCs/>
          <w:lang w:val="en-US"/>
        </w:rPr>
        <w:t xml:space="preserve">Significant improvements were observed in psoriasis involving the scalp, nails and hands and feet in patients treated with </w:t>
      </w:r>
      <w:proofErr w:type="spellStart"/>
      <w:r w:rsidRPr="00FD6E3A">
        <w:rPr>
          <w:rFonts w:ascii="Times New Roman" w:eastAsia="Times New Roman" w:hAnsi="Times New Roman" w:cs="Times New Roman"/>
          <w:bCs/>
          <w:lang w:val="en-US"/>
        </w:rPr>
        <w:t>bimekizumab</w:t>
      </w:r>
      <w:proofErr w:type="spellEnd"/>
      <w:r w:rsidRPr="00FD6E3A">
        <w:rPr>
          <w:rFonts w:ascii="Times New Roman" w:eastAsia="Times New Roman" w:hAnsi="Times New Roman" w:cs="Times New Roman"/>
          <w:bCs/>
          <w:lang w:val="en-US"/>
        </w:rPr>
        <w:t xml:space="preserve"> at Week 16 (see Table </w:t>
      </w:r>
      <w:r w:rsidR="00AD61F2">
        <w:rPr>
          <w:rFonts w:ascii="Times New Roman" w:eastAsia="Times New Roman" w:hAnsi="Times New Roman" w:cs="Times New Roman"/>
          <w:bCs/>
          <w:lang w:val="en-US"/>
        </w:rPr>
        <w:t>5</w:t>
      </w:r>
      <w:r w:rsidRPr="00FD6E3A">
        <w:rPr>
          <w:rFonts w:ascii="Times New Roman" w:eastAsia="Times New Roman" w:hAnsi="Times New Roman" w:cs="Times New Roman"/>
          <w:bCs/>
          <w:lang w:val="en-US"/>
        </w:rPr>
        <w:t xml:space="preserve">). </w:t>
      </w:r>
    </w:p>
    <w:p w14:paraId="15CD0C54" w14:textId="54E2683E" w:rsidR="00FD6E3A" w:rsidRPr="00FD6E3A" w:rsidRDefault="00FD6E3A" w:rsidP="00FD6E3A">
      <w:pPr>
        <w:spacing w:before="120" w:after="120" w:line="280" w:lineRule="atLeast"/>
        <w:rPr>
          <w:rFonts w:ascii="Times New Roman" w:eastAsia="Times New Roman" w:hAnsi="Times New Roman" w:cs="Times New Roman"/>
          <w:b/>
          <w:bCs/>
          <w:lang w:val="en-US"/>
        </w:rPr>
      </w:pPr>
      <w:r w:rsidRPr="00FD6E3A">
        <w:rPr>
          <w:rFonts w:ascii="Times New Roman" w:eastAsia="Times New Roman" w:hAnsi="Times New Roman" w:cs="Times New Roman"/>
          <w:b/>
          <w:bCs/>
          <w:lang w:val="en-US"/>
        </w:rPr>
        <w:t xml:space="preserve">Table </w:t>
      </w:r>
      <w:r w:rsidR="00B65FF2">
        <w:rPr>
          <w:rFonts w:ascii="Times New Roman" w:eastAsia="Times New Roman" w:hAnsi="Times New Roman" w:cs="Times New Roman"/>
          <w:b/>
          <w:bCs/>
          <w:lang w:val="en-US"/>
        </w:rPr>
        <w:t>5</w:t>
      </w:r>
      <w:r w:rsidRPr="00FD6E3A">
        <w:rPr>
          <w:rFonts w:ascii="Times New Roman" w:eastAsia="Times New Roman" w:hAnsi="Times New Roman" w:cs="Times New Roman"/>
          <w:b/>
          <w:bCs/>
          <w:lang w:val="en-US"/>
        </w:rPr>
        <w:t xml:space="preserve">: Specific body location responses in BE VIVID, BE READY and BE SURE at Week 16 </w:t>
      </w:r>
    </w:p>
    <w:tbl>
      <w:tblPr>
        <w:tblStyle w:val="TableGrid2"/>
        <w:tblW w:w="10201" w:type="dxa"/>
        <w:tblLayout w:type="fixed"/>
        <w:tblLook w:val="04A0" w:firstRow="1" w:lastRow="0" w:firstColumn="1" w:lastColumn="0" w:noHBand="0" w:noVBand="1"/>
      </w:tblPr>
      <w:tblGrid>
        <w:gridCol w:w="1818"/>
        <w:gridCol w:w="967"/>
        <w:gridCol w:w="1080"/>
        <w:gridCol w:w="1260"/>
        <w:gridCol w:w="1170"/>
        <w:gridCol w:w="1350"/>
        <w:gridCol w:w="1260"/>
        <w:gridCol w:w="1296"/>
      </w:tblGrid>
      <w:tr w:rsidR="00FD6E3A" w:rsidRPr="00FD6E3A" w14:paraId="1BB8F4C5" w14:textId="6097A37C" w:rsidTr="00366F4C">
        <w:tc>
          <w:tcPr>
            <w:tcW w:w="1818" w:type="dxa"/>
            <w:tcBorders>
              <w:right w:val="double" w:sz="4" w:space="0" w:color="auto"/>
            </w:tcBorders>
          </w:tcPr>
          <w:p w14:paraId="765EA23E" w14:textId="07EFDD94" w:rsidR="00FD6E3A" w:rsidRPr="00FD6E3A" w:rsidRDefault="00FD6E3A" w:rsidP="00FD6E3A">
            <w:pPr>
              <w:rPr>
                <w:rFonts w:ascii="Times New Roman" w:eastAsia="Times New Roman" w:hAnsi="Times New Roman" w:cs="Times New Roman"/>
                <w:bCs/>
                <w:sz w:val="18"/>
                <w:szCs w:val="18"/>
                <w:u w:val="single"/>
              </w:rPr>
            </w:pPr>
          </w:p>
        </w:tc>
        <w:tc>
          <w:tcPr>
            <w:tcW w:w="3307" w:type="dxa"/>
            <w:gridSpan w:val="3"/>
            <w:tcBorders>
              <w:left w:val="double" w:sz="4" w:space="0" w:color="auto"/>
              <w:right w:val="double" w:sz="4" w:space="0" w:color="auto"/>
            </w:tcBorders>
          </w:tcPr>
          <w:p w14:paraId="2783196A" w14:textId="5A9F476F"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BE VIVID</w:t>
            </w:r>
          </w:p>
        </w:tc>
        <w:tc>
          <w:tcPr>
            <w:tcW w:w="2520" w:type="dxa"/>
            <w:gridSpan w:val="2"/>
            <w:tcBorders>
              <w:left w:val="double" w:sz="4" w:space="0" w:color="auto"/>
            </w:tcBorders>
          </w:tcPr>
          <w:p w14:paraId="6B72B8C5" w14:textId="0D23A280"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BE READY</w:t>
            </w:r>
          </w:p>
        </w:tc>
        <w:tc>
          <w:tcPr>
            <w:tcW w:w="2556" w:type="dxa"/>
            <w:gridSpan w:val="2"/>
            <w:tcBorders>
              <w:left w:val="double" w:sz="4" w:space="0" w:color="auto"/>
            </w:tcBorders>
          </w:tcPr>
          <w:p w14:paraId="2B273F6D" w14:textId="317E97F0"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BE SURE</w:t>
            </w:r>
          </w:p>
        </w:tc>
      </w:tr>
      <w:tr w:rsidR="00FD6E3A" w:rsidRPr="00FD6E3A" w14:paraId="0F026116" w14:textId="5EF75AE1" w:rsidTr="00366F4C">
        <w:tc>
          <w:tcPr>
            <w:tcW w:w="1818" w:type="dxa"/>
            <w:tcBorders>
              <w:right w:val="double" w:sz="4" w:space="0" w:color="auto"/>
            </w:tcBorders>
          </w:tcPr>
          <w:p w14:paraId="2192D793" w14:textId="3467A8F6" w:rsidR="00FD6E3A" w:rsidRPr="00FD6E3A" w:rsidRDefault="00FD6E3A" w:rsidP="00FD6E3A">
            <w:pPr>
              <w:rPr>
                <w:rFonts w:ascii="Times New Roman" w:eastAsia="Times New Roman" w:hAnsi="Times New Roman" w:cs="Times New Roman"/>
                <w:bCs/>
                <w:sz w:val="18"/>
                <w:szCs w:val="18"/>
                <w:u w:val="single"/>
              </w:rPr>
            </w:pPr>
          </w:p>
        </w:tc>
        <w:tc>
          <w:tcPr>
            <w:tcW w:w="967" w:type="dxa"/>
            <w:tcBorders>
              <w:left w:val="double" w:sz="4" w:space="0" w:color="auto"/>
            </w:tcBorders>
          </w:tcPr>
          <w:p w14:paraId="1964EA1D" w14:textId="5D52589F"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Placebo</w:t>
            </w:r>
          </w:p>
          <w:p w14:paraId="4F76077E" w14:textId="3B1EA959" w:rsidR="00FD6E3A" w:rsidRPr="00FD6E3A" w:rsidRDefault="00FD6E3A" w:rsidP="00FD6E3A">
            <w:pPr>
              <w:rPr>
                <w:rFonts w:ascii="Times New Roman" w:eastAsia="Times New Roman" w:hAnsi="Times New Roman" w:cs="Times New Roman"/>
                <w:b/>
                <w:bCs/>
                <w:i/>
                <w:sz w:val="18"/>
                <w:szCs w:val="18"/>
              </w:rPr>
            </w:pPr>
          </w:p>
        </w:tc>
        <w:tc>
          <w:tcPr>
            <w:tcW w:w="1080" w:type="dxa"/>
            <w:tcBorders>
              <w:right w:val="single" w:sz="4" w:space="0" w:color="auto"/>
            </w:tcBorders>
          </w:tcPr>
          <w:p w14:paraId="7E0A4602" w14:textId="7ACDF351"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 mg Q4W</w:t>
            </w:r>
          </w:p>
        </w:tc>
        <w:tc>
          <w:tcPr>
            <w:tcW w:w="1260" w:type="dxa"/>
            <w:tcBorders>
              <w:left w:val="single" w:sz="4" w:space="0" w:color="auto"/>
              <w:right w:val="double" w:sz="4" w:space="0" w:color="auto"/>
            </w:tcBorders>
          </w:tcPr>
          <w:p w14:paraId="6B2CC7BD" w14:textId="74A48805"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Ustekinumab</w:t>
            </w:r>
          </w:p>
        </w:tc>
        <w:tc>
          <w:tcPr>
            <w:tcW w:w="1170" w:type="dxa"/>
            <w:tcBorders>
              <w:left w:val="double" w:sz="4" w:space="0" w:color="auto"/>
            </w:tcBorders>
          </w:tcPr>
          <w:p w14:paraId="2FF7982B" w14:textId="7FFAAFEF"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Placebo</w:t>
            </w:r>
          </w:p>
        </w:tc>
        <w:tc>
          <w:tcPr>
            <w:tcW w:w="1350" w:type="dxa"/>
            <w:tcBorders>
              <w:right w:val="double" w:sz="4" w:space="0" w:color="auto"/>
            </w:tcBorders>
          </w:tcPr>
          <w:p w14:paraId="489582DC" w14:textId="5C883ED6" w:rsidR="00FD6E3A" w:rsidRPr="00FD6E3A" w:rsidRDefault="00FD6E3A" w:rsidP="00FD6E3A">
            <w:pPr>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 mg Q4W</w:t>
            </w:r>
          </w:p>
        </w:tc>
        <w:tc>
          <w:tcPr>
            <w:tcW w:w="1260" w:type="dxa"/>
            <w:tcBorders>
              <w:left w:val="double" w:sz="4" w:space="0" w:color="auto"/>
            </w:tcBorders>
          </w:tcPr>
          <w:p w14:paraId="2ACA1893" w14:textId="24D5CA23"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BKZ 320 mg Q4W</w:t>
            </w:r>
          </w:p>
        </w:tc>
        <w:tc>
          <w:tcPr>
            <w:tcW w:w="1296" w:type="dxa"/>
          </w:tcPr>
          <w:p w14:paraId="261D9366" w14:textId="1711B8F8"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Adalimumab</w:t>
            </w:r>
          </w:p>
          <w:p w14:paraId="57AC7B48" w14:textId="1DF1C3F5" w:rsidR="00FD6E3A" w:rsidRPr="00FD6E3A" w:rsidRDefault="00FD6E3A" w:rsidP="00FD6E3A">
            <w:pPr>
              <w:rPr>
                <w:rFonts w:ascii="Times New Roman" w:eastAsia="Times New Roman" w:hAnsi="Times New Roman" w:cs="Times New Roman"/>
                <w:b/>
                <w:bCs/>
                <w:sz w:val="18"/>
                <w:szCs w:val="18"/>
              </w:rPr>
            </w:pPr>
          </w:p>
        </w:tc>
      </w:tr>
      <w:tr w:rsidR="00FD6E3A" w:rsidRPr="00FD6E3A" w14:paraId="41B0E823" w14:textId="22289AF8" w:rsidTr="00366F4C">
        <w:tc>
          <w:tcPr>
            <w:tcW w:w="1818" w:type="dxa"/>
            <w:tcBorders>
              <w:right w:val="double" w:sz="4" w:space="0" w:color="auto"/>
            </w:tcBorders>
          </w:tcPr>
          <w:p w14:paraId="695339FE" w14:textId="5F667334"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
                <w:bCs/>
                <w:sz w:val="18"/>
                <w:szCs w:val="18"/>
              </w:rPr>
              <w:t>Scalp IGA</w:t>
            </w:r>
            <w:r w:rsidRPr="00FD6E3A">
              <w:rPr>
                <w:rFonts w:ascii="Times New Roman" w:eastAsia="Times New Roman" w:hAnsi="Times New Roman" w:cs="Times New Roman"/>
                <w:bCs/>
                <w:sz w:val="18"/>
                <w:szCs w:val="18"/>
              </w:rPr>
              <w:t xml:space="preserve"> (N)</w:t>
            </w:r>
            <w:r w:rsidRPr="00FD6E3A">
              <w:rPr>
                <w:rFonts w:ascii="Times New Roman" w:eastAsia="Times New Roman" w:hAnsi="Times New Roman" w:cs="Times New Roman"/>
                <w:bCs/>
                <w:sz w:val="18"/>
                <w:szCs w:val="18"/>
                <w:vertAlign w:val="superscript"/>
              </w:rPr>
              <w:t>a</w:t>
            </w:r>
          </w:p>
          <w:p w14:paraId="38E4BD89" w14:textId="5C93915C"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Scalp IGA 0/1, n (%)</w:t>
            </w:r>
          </w:p>
        </w:tc>
        <w:tc>
          <w:tcPr>
            <w:tcW w:w="967" w:type="dxa"/>
            <w:tcBorders>
              <w:left w:val="double" w:sz="4" w:space="0" w:color="auto"/>
            </w:tcBorders>
          </w:tcPr>
          <w:p w14:paraId="3A47F8B4" w14:textId="39306864"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(72)</w:t>
            </w:r>
          </w:p>
          <w:p w14:paraId="761CD340" w14:textId="51A0EA96"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11 (15.3)</w:t>
            </w:r>
          </w:p>
        </w:tc>
        <w:tc>
          <w:tcPr>
            <w:tcW w:w="1080" w:type="dxa"/>
            <w:tcBorders>
              <w:right w:val="single" w:sz="4" w:space="0" w:color="auto"/>
            </w:tcBorders>
          </w:tcPr>
          <w:p w14:paraId="4AE1317D" w14:textId="2FDCC86A"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(285)</w:t>
            </w:r>
          </w:p>
          <w:p w14:paraId="3C347056" w14:textId="4A25E8E6"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 xml:space="preserve">240 (84.2) </w:t>
            </w:r>
            <w:r w:rsidRPr="00FD6E3A">
              <w:rPr>
                <w:rFonts w:ascii="Times New Roman" w:eastAsia="Times New Roman" w:hAnsi="Times New Roman" w:cs="Times New Roman"/>
                <w:bCs/>
                <w:sz w:val="18"/>
                <w:szCs w:val="18"/>
                <w:vertAlign w:val="superscript"/>
              </w:rPr>
              <w:t>b</w:t>
            </w:r>
          </w:p>
        </w:tc>
        <w:tc>
          <w:tcPr>
            <w:tcW w:w="1260" w:type="dxa"/>
            <w:tcBorders>
              <w:left w:val="single" w:sz="4" w:space="0" w:color="auto"/>
              <w:right w:val="double" w:sz="4" w:space="0" w:color="auto"/>
            </w:tcBorders>
          </w:tcPr>
          <w:p w14:paraId="42C66A9C" w14:textId="4FF5A27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(146)</w:t>
            </w:r>
          </w:p>
          <w:p w14:paraId="50F4B491" w14:textId="29877DD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103 (70.5)</w:t>
            </w:r>
          </w:p>
        </w:tc>
        <w:tc>
          <w:tcPr>
            <w:tcW w:w="1170" w:type="dxa"/>
            <w:tcBorders>
              <w:left w:val="double" w:sz="4" w:space="0" w:color="auto"/>
            </w:tcBorders>
          </w:tcPr>
          <w:p w14:paraId="56C00CF8" w14:textId="18F2C92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(74)</w:t>
            </w:r>
          </w:p>
          <w:p w14:paraId="20BE6E52" w14:textId="290E665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5 (6.8)</w:t>
            </w:r>
          </w:p>
        </w:tc>
        <w:tc>
          <w:tcPr>
            <w:tcW w:w="1350" w:type="dxa"/>
            <w:tcBorders>
              <w:right w:val="double" w:sz="4" w:space="0" w:color="auto"/>
            </w:tcBorders>
          </w:tcPr>
          <w:p w14:paraId="449B0CAA" w14:textId="4C2548BF"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(310)</w:t>
            </w:r>
          </w:p>
          <w:p w14:paraId="0B41BD89" w14:textId="68F08F08"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 xml:space="preserve">286 (92.3) </w:t>
            </w:r>
            <w:r w:rsidRPr="00FD6E3A">
              <w:rPr>
                <w:rFonts w:ascii="Times New Roman" w:eastAsia="Times New Roman" w:hAnsi="Times New Roman" w:cs="Times New Roman"/>
                <w:bCs/>
                <w:sz w:val="18"/>
                <w:szCs w:val="18"/>
                <w:vertAlign w:val="superscript"/>
              </w:rPr>
              <w:t>b</w:t>
            </w:r>
          </w:p>
        </w:tc>
        <w:tc>
          <w:tcPr>
            <w:tcW w:w="1260" w:type="dxa"/>
            <w:tcBorders>
              <w:left w:val="double" w:sz="4" w:space="0" w:color="auto"/>
            </w:tcBorders>
          </w:tcPr>
          <w:p w14:paraId="7410FA32" w14:textId="39503C94"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(296)</w:t>
            </w:r>
          </w:p>
          <w:p w14:paraId="4A5B50AA" w14:textId="29A8B93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256 (86.5)</w:t>
            </w:r>
          </w:p>
        </w:tc>
        <w:tc>
          <w:tcPr>
            <w:tcW w:w="1296" w:type="dxa"/>
          </w:tcPr>
          <w:p w14:paraId="2C327761" w14:textId="38E46BE5"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(138)</w:t>
            </w:r>
          </w:p>
          <w:p w14:paraId="271A941D" w14:textId="1F2323F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93 (67.4)</w:t>
            </w:r>
          </w:p>
        </w:tc>
      </w:tr>
      <w:tr w:rsidR="00FD6E3A" w:rsidRPr="00FD6E3A" w14:paraId="7E35F556" w14:textId="3AD62795" w:rsidTr="00366F4C">
        <w:tc>
          <w:tcPr>
            <w:tcW w:w="1818" w:type="dxa"/>
            <w:tcBorders>
              <w:right w:val="double" w:sz="4" w:space="0" w:color="auto"/>
            </w:tcBorders>
          </w:tcPr>
          <w:p w14:paraId="3AC66B1F" w14:textId="26ED861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
                <w:bCs/>
                <w:sz w:val="18"/>
                <w:szCs w:val="18"/>
              </w:rPr>
              <w:t>pp-IGA</w:t>
            </w:r>
            <w:r w:rsidRPr="00FD6E3A">
              <w:rPr>
                <w:rFonts w:ascii="Times New Roman" w:eastAsia="Times New Roman" w:hAnsi="Times New Roman" w:cs="Times New Roman"/>
                <w:bCs/>
                <w:sz w:val="18"/>
                <w:szCs w:val="18"/>
              </w:rPr>
              <w:t xml:space="preserve"> (N)</w:t>
            </w:r>
            <w:r w:rsidRPr="00FD6E3A">
              <w:rPr>
                <w:rFonts w:ascii="Times New Roman" w:eastAsia="Times New Roman" w:hAnsi="Times New Roman" w:cs="Times New Roman"/>
                <w:bCs/>
                <w:sz w:val="18"/>
                <w:szCs w:val="18"/>
                <w:vertAlign w:val="superscript"/>
              </w:rPr>
              <w:t>a</w:t>
            </w:r>
          </w:p>
          <w:p w14:paraId="69084705" w14:textId="681DC769"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pp-IGA 0/1, n (%)</w:t>
            </w:r>
          </w:p>
        </w:tc>
        <w:tc>
          <w:tcPr>
            <w:tcW w:w="967" w:type="dxa"/>
            <w:tcBorders>
              <w:left w:val="double" w:sz="4" w:space="0" w:color="auto"/>
            </w:tcBorders>
          </w:tcPr>
          <w:p w14:paraId="7D9984F2" w14:textId="69DBFFB4"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(29)</w:t>
            </w:r>
          </w:p>
          <w:p w14:paraId="058E3AF8" w14:textId="2E16AD80"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 (24.1)</w:t>
            </w:r>
          </w:p>
        </w:tc>
        <w:tc>
          <w:tcPr>
            <w:tcW w:w="1080" w:type="dxa"/>
            <w:tcBorders>
              <w:right w:val="single" w:sz="4" w:space="0" w:color="auto"/>
            </w:tcBorders>
          </w:tcPr>
          <w:p w14:paraId="3C78E3BB" w14:textId="35D5AAE7"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(105)</w:t>
            </w:r>
          </w:p>
          <w:p w14:paraId="04C55A26" w14:textId="5D377D19"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85 (81.0)</w:t>
            </w:r>
          </w:p>
        </w:tc>
        <w:tc>
          <w:tcPr>
            <w:tcW w:w="1260" w:type="dxa"/>
            <w:tcBorders>
              <w:left w:val="single" w:sz="4" w:space="0" w:color="auto"/>
              <w:right w:val="double" w:sz="4" w:space="0" w:color="auto"/>
            </w:tcBorders>
          </w:tcPr>
          <w:p w14:paraId="222015C9" w14:textId="5686D405"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(47)</w:t>
            </w:r>
          </w:p>
          <w:p w14:paraId="43F0796A" w14:textId="1B0D3D9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39 (83.0)</w:t>
            </w:r>
          </w:p>
        </w:tc>
        <w:tc>
          <w:tcPr>
            <w:tcW w:w="1170" w:type="dxa"/>
            <w:tcBorders>
              <w:left w:val="double" w:sz="4" w:space="0" w:color="auto"/>
            </w:tcBorders>
          </w:tcPr>
          <w:p w14:paraId="7B6EB697" w14:textId="6793FFB2"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(31)</w:t>
            </w:r>
          </w:p>
          <w:p w14:paraId="615FABF3" w14:textId="461579B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10 (32.3)</w:t>
            </w:r>
          </w:p>
        </w:tc>
        <w:tc>
          <w:tcPr>
            <w:tcW w:w="1350" w:type="dxa"/>
            <w:tcBorders>
              <w:right w:val="double" w:sz="4" w:space="0" w:color="auto"/>
            </w:tcBorders>
          </w:tcPr>
          <w:p w14:paraId="2E54751A" w14:textId="04A9AF51"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(97)</w:t>
            </w:r>
          </w:p>
          <w:p w14:paraId="791D2887" w14:textId="216F8B39"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t>91 (93.8)</w:t>
            </w:r>
          </w:p>
        </w:tc>
        <w:tc>
          <w:tcPr>
            <w:tcW w:w="1260" w:type="dxa"/>
            <w:tcBorders>
              <w:left w:val="double" w:sz="4" w:space="0" w:color="auto"/>
            </w:tcBorders>
          </w:tcPr>
          <w:p w14:paraId="6EA8CB2F" w14:textId="6CBBD17F"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(90)</w:t>
            </w:r>
          </w:p>
          <w:p w14:paraId="5C87CBEC" w14:textId="2C55378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75 (83.3)</w:t>
            </w:r>
          </w:p>
        </w:tc>
        <w:tc>
          <w:tcPr>
            <w:tcW w:w="1296" w:type="dxa"/>
          </w:tcPr>
          <w:p w14:paraId="60A714B1" w14:textId="08227D7C"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(34)</w:t>
            </w:r>
          </w:p>
          <w:p w14:paraId="04D1C317" w14:textId="35773FC5"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t>24 (70.6)</w:t>
            </w:r>
          </w:p>
        </w:tc>
      </w:tr>
      <w:tr w:rsidR="00FD6E3A" w:rsidRPr="00FD6E3A" w14:paraId="557794D8" w14:textId="6D819ACD" w:rsidTr="00366F4C">
        <w:tc>
          <w:tcPr>
            <w:tcW w:w="1818" w:type="dxa"/>
            <w:tcBorders>
              <w:right w:val="double" w:sz="4" w:space="0" w:color="auto"/>
            </w:tcBorders>
          </w:tcPr>
          <w:p w14:paraId="7711D5FB" w14:textId="5A0B2F81" w:rsidR="00FD6E3A" w:rsidRPr="00FD6E3A" w:rsidRDefault="00FD6E3A" w:rsidP="00FD6E3A">
            <w:pPr>
              <w:rPr>
                <w:rFonts w:ascii="Times New Roman" w:eastAsia="Times New Roman" w:hAnsi="Times New Roman" w:cs="Times New Roman"/>
                <w:bCs/>
                <w:sz w:val="18"/>
                <w:szCs w:val="18"/>
              </w:rPr>
            </w:pPr>
            <w:proofErr w:type="spellStart"/>
            <w:r w:rsidRPr="00FD6E3A">
              <w:rPr>
                <w:rFonts w:ascii="Times New Roman" w:eastAsia="Times New Roman" w:hAnsi="Times New Roman" w:cs="Times New Roman"/>
                <w:b/>
                <w:bCs/>
                <w:sz w:val="18"/>
                <w:szCs w:val="18"/>
              </w:rPr>
              <w:t>mNAPSI</w:t>
            </w:r>
            <w:proofErr w:type="spellEnd"/>
            <w:r w:rsidRPr="00FD6E3A">
              <w:rPr>
                <w:rFonts w:ascii="Times New Roman" w:eastAsia="Times New Roman" w:hAnsi="Times New Roman" w:cs="Times New Roman"/>
                <w:b/>
                <w:bCs/>
                <w:sz w:val="18"/>
                <w:szCs w:val="18"/>
              </w:rPr>
              <w:t xml:space="preserve"> 100 </w:t>
            </w:r>
            <w:r w:rsidRPr="00FD6E3A">
              <w:rPr>
                <w:rFonts w:ascii="Times New Roman" w:eastAsia="Times New Roman" w:hAnsi="Times New Roman" w:cs="Times New Roman"/>
                <w:bCs/>
                <w:sz w:val="18"/>
                <w:szCs w:val="18"/>
              </w:rPr>
              <w:t>(N)</w:t>
            </w:r>
            <w:r w:rsidRPr="00FD6E3A">
              <w:rPr>
                <w:rFonts w:ascii="Times New Roman" w:eastAsia="Times New Roman" w:hAnsi="Times New Roman" w:cs="Times New Roman"/>
                <w:bCs/>
                <w:sz w:val="18"/>
                <w:szCs w:val="18"/>
                <w:vertAlign w:val="superscript"/>
              </w:rPr>
              <w:t>a</w:t>
            </w:r>
          </w:p>
          <w:p w14:paraId="024AF433" w14:textId="41B74D1B" w:rsidR="00FD6E3A" w:rsidRPr="00FD6E3A" w:rsidRDefault="00FD6E3A" w:rsidP="00FD6E3A">
            <w:pPr>
              <w:rPr>
                <w:rFonts w:ascii="Times New Roman" w:eastAsia="Times New Roman" w:hAnsi="Times New Roman" w:cs="Times New Roman"/>
                <w:bCs/>
                <w:sz w:val="18"/>
                <w:szCs w:val="18"/>
              </w:rPr>
            </w:pPr>
            <w:proofErr w:type="spellStart"/>
            <w:r w:rsidRPr="00FD6E3A">
              <w:rPr>
                <w:rFonts w:ascii="Times New Roman" w:eastAsia="Times New Roman" w:hAnsi="Times New Roman" w:cs="Times New Roman"/>
                <w:bCs/>
                <w:sz w:val="18"/>
                <w:szCs w:val="18"/>
              </w:rPr>
              <w:lastRenderedPageBreak/>
              <w:t>mNAPSI</w:t>
            </w:r>
            <w:proofErr w:type="spellEnd"/>
            <w:r w:rsidRPr="00FD6E3A">
              <w:rPr>
                <w:rFonts w:ascii="Times New Roman" w:eastAsia="Times New Roman" w:hAnsi="Times New Roman" w:cs="Times New Roman"/>
                <w:bCs/>
                <w:sz w:val="18"/>
                <w:szCs w:val="18"/>
              </w:rPr>
              <w:t xml:space="preserve"> 100, n (%)</w:t>
            </w:r>
          </w:p>
        </w:tc>
        <w:tc>
          <w:tcPr>
            <w:tcW w:w="967" w:type="dxa"/>
            <w:tcBorders>
              <w:left w:val="double" w:sz="4" w:space="0" w:color="auto"/>
            </w:tcBorders>
          </w:tcPr>
          <w:p w14:paraId="1086FF4E" w14:textId="5313CC14"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(51)</w:t>
            </w:r>
          </w:p>
          <w:p w14:paraId="25FCFE59" w14:textId="56CB177F"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4 (7.8)</w:t>
            </w:r>
          </w:p>
        </w:tc>
        <w:tc>
          <w:tcPr>
            <w:tcW w:w="1080" w:type="dxa"/>
            <w:tcBorders>
              <w:right w:val="single" w:sz="4" w:space="0" w:color="auto"/>
            </w:tcBorders>
          </w:tcPr>
          <w:p w14:paraId="75B670D9" w14:textId="70B1081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(194)</w:t>
            </w:r>
          </w:p>
          <w:p w14:paraId="731430D6" w14:textId="6E12D005"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lastRenderedPageBreak/>
              <w:t>57 (29.4)</w:t>
            </w:r>
          </w:p>
        </w:tc>
        <w:tc>
          <w:tcPr>
            <w:tcW w:w="1260" w:type="dxa"/>
            <w:tcBorders>
              <w:left w:val="single" w:sz="4" w:space="0" w:color="auto"/>
              <w:right w:val="double" w:sz="4" w:space="0" w:color="auto"/>
            </w:tcBorders>
          </w:tcPr>
          <w:p w14:paraId="68A27342" w14:textId="79E4815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(109)</w:t>
            </w:r>
          </w:p>
          <w:p w14:paraId="3B2C8C02" w14:textId="0DED040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15 (13.8)</w:t>
            </w:r>
          </w:p>
        </w:tc>
        <w:tc>
          <w:tcPr>
            <w:tcW w:w="1170" w:type="dxa"/>
            <w:tcBorders>
              <w:left w:val="double" w:sz="4" w:space="0" w:color="auto"/>
            </w:tcBorders>
          </w:tcPr>
          <w:p w14:paraId="37040B2F" w14:textId="0849CC5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(50)</w:t>
            </w:r>
          </w:p>
          <w:p w14:paraId="312DD77A" w14:textId="6178A47A"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3 (6.0)</w:t>
            </w:r>
          </w:p>
        </w:tc>
        <w:tc>
          <w:tcPr>
            <w:tcW w:w="1350" w:type="dxa"/>
            <w:tcBorders>
              <w:right w:val="double" w:sz="4" w:space="0" w:color="auto"/>
            </w:tcBorders>
          </w:tcPr>
          <w:p w14:paraId="46B02F26" w14:textId="09FBABE8"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(210)</w:t>
            </w:r>
          </w:p>
          <w:p w14:paraId="700D97BF" w14:textId="3EB9AFDB" w:rsidR="00FD6E3A" w:rsidRPr="00FD6E3A" w:rsidRDefault="00FD6E3A" w:rsidP="00FD6E3A">
            <w:pPr>
              <w:rPr>
                <w:rFonts w:ascii="Times New Roman" w:eastAsia="Times New Roman" w:hAnsi="Times New Roman" w:cs="Times New Roman"/>
                <w:bCs/>
                <w:sz w:val="18"/>
                <w:szCs w:val="18"/>
                <w:vertAlign w:val="superscript"/>
              </w:rPr>
            </w:pPr>
            <w:r w:rsidRPr="00FD6E3A">
              <w:rPr>
                <w:rFonts w:ascii="Times New Roman" w:eastAsia="Times New Roman" w:hAnsi="Times New Roman" w:cs="Times New Roman"/>
                <w:bCs/>
                <w:sz w:val="18"/>
                <w:szCs w:val="18"/>
              </w:rPr>
              <w:lastRenderedPageBreak/>
              <w:t>73 (34.8)</w:t>
            </w:r>
          </w:p>
        </w:tc>
        <w:tc>
          <w:tcPr>
            <w:tcW w:w="1260" w:type="dxa"/>
            <w:tcBorders>
              <w:left w:val="double" w:sz="4" w:space="0" w:color="auto"/>
            </w:tcBorders>
          </w:tcPr>
          <w:p w14:paraId="54837D83" w14:textId="2B3A87E6"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(181)</w:t>
            </w:r>
          </w:p>
          <w:p w14:paraId="5372DFA2" w14:textId="5D4E0A43"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54 (29.8)</w:t>
            </w:r>
          </w:p>
        </w:tc>
        <w:tc>
          <w:tcPr>
            <w:tcW w:w="1296" w:type="dxa"/>
          </w:tcPr>
          <w:p w14:paraId="78FA29E8" w14:textId="32792F9E"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(95)</w:t>
            </w:r>
          </w:p>
          <w:p w14:paraId="3026A43D" w14:textId="0E299D3B" w:rsidR="00FD6E3A" w:rsidRPr="00FD6E3A" w:rsidRDefault="00FD6E3A" w:rsidP="00FD6E3A">
            <w:pPr>
              <w:rPr>
                <w:rFonts w:ascii="Times New Roman" w:eastAsia="Times New Roman" w:hAnsi="Times New Roman" w:cs="Times New Roman"/>
                <w:bCs/>
                <w:sz w:val="18"/>
                <w:szCs w:val="18"/>
              </w:rPr>
            </w:pPr>
            <w:r w:rsidRPr="00FD6E3A">
              <w:rPr>
                <w:rFonts w:ascii="Times New Roman" w:eastAsia="Times New Roman" w:hAnsi="Times New Roman" w:cs="Times New Roman"/>
                <w:bCs/>
                <w:sz w:val="18"/>
                <w:szCs w:val="18"/>
              </w:rPr>
              <w:lastRenderedPageBreak/>
              <w:t>21 (22.1)</w:t>
            </w:r>
          </w:p>
        </w:tc>
      </w:tr>
    </w:tbl>
    <w:p w14:paraId="679616C1" w14:textId="03E9C1E9"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lastRenderedPageBreak/>
        <w:t>NRI is used.</w:t>
      </w:r>
    </w:p>
    <w:p w14:paraId="03F3E6B9" w14:textId="726B86F2"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a) Include only patients with a scalp Investigator Global Assessment (IGA) of 2 or greater, a palmoplantar IGA of 2 or greater and a modified Nail Psoriasis and Severity Index (</w:t>
      </w:r>
      <w:proofErr w:type="spellStart"/>
      <w:r w:rsidRPr="00FD6E3A">
        <w:rPr>
          <w:rFonts w:ascii="Times New Roman" w:eastAsia="Times New Roman" w:hAnsi="Times New Roman" w:cs="Times New Roman"/>
          <w:bCs/>
          <w:color w:val="000000"/>
          <w:sz w:val="18"/>
          <w:szCs w:val="18"/>
          <w:lang w:val="en-US"/>
        </w:rPr>
        <w:t>mNAPSI</w:t>
      </w:r>
      <w:proofErr w:type="spellEnd"/>
      <w:r w:rsidRPr="00FD6E3A">
        <w:rPr>
          <w:rFonts w:ascii="Times New Roman" w:eastAsia="Times New Roman" w:hAnsi="Times New Roman" w:cs="Times New Roman"/>
          <w:bCs/>
          <w:color w:val="000000"/>
          <w:sz w:val="18"/>
          <w:szCs w:val="18"/>
          <w:lang w:val="en-US"/>
        </w:rPr>
        <w:t>) score &gt; 0 at baseline. Scalp IGA 0/1 and pp-IGA 0/1 responses were defined as Clear (0) or Almost Clear (1) with ≥2 category improvement relative to Baseline.</w:t>
      </w:r>
    </w:p>
    <w:p w14:paraId="3EE6FD4E" w14:textId="7BE277D1" w:rsidR="00FD6E3A" w:rsidRPr="00FD6E3A" w:rsidRDefault="00FD6E3A" w:rsidP="00FD6E3A">
      <w:pPr>
        <w:spacing w:after="0" w:line="240" w:lineRule="auto"/>
        <w:rPr>
          <w:rFonts w:ascii="Times New Roman" w:eastAsia="Times New Roman" w:hAnsi="Times New Roman" w:cs="Times New Roman"/>
          <w:bCs/>
          <w:color w:val="000000"/>
          <w:sz w:val="18"/>
          <w:szCs w:val="18"/>
          <w:lang w:val="en-US"/>
        </w:rPr>
      </w:pPr>
      <w:r w:rsidRPr="00FD6E3A">
        <w:rPr>
          <w:rFonts w:ascii="Times New Roman" w:eastAsia="Times New Roman" w:hAnsi="Times New Roman" w:cs="Times New Roman"/>
          <w:bCs/>
          <w:color w:val="000000"/>
          <w:sz w:val="18"/>
          <w:szCs w:val="18"/>
          <w:lang w:val="en-US"/>
        </w:rPr>
        <w:t xml:space="preserve">b) p&lt;0.001 versus placebo, adjusted for multiplicity. </w:t>
      </w:r>
    </w:p>
    <w:p w14:paraId="3E9078B8" w14:textId="3A1B7AC5" w:rsidR="00FD6E3A" w:rsidRPr="00FD6E3A" w:rsidRDefault="00FD6E3A" w:rsidP="00FD6E3A">
      <w:pPr>
        <w:spacing w:after="120" w:line="280" w:lineRule="atLeast"/>
        <w:rPr>
          <w:rFonts w:ascii="Times New Roman" w:eastAsia="Times New Roman" w:hAnsi="Times New Roman" w:cs="Times New Roman"/>
          <w:bCs/>
          <w:color w:val="0070C0"/>
          <w:lang w:val="en-US"/>
        </w:rPr>
      </w:pPr>
    </w:p>
    <w:p w14:paraId="47740D73" w14:textId="49072D52" w:rsidR="00FD6E3A" w:rsidRPr="00FD6E3A" w:rsidRDefault="00FD6E3A" w:rsidP="00FD6E3A">
      <w:pPr>
        <w:spacing w:after="120" w:line="280" w:lineRule="atLeast"/>
        <w:rPr>
          <w:rFonts w:ascii="Times New Roman" w:eastAsia="Times New Roman" w:hAnsi="Times New Roman" w:cs="Times New Roman"/>
          <w:lang w:val="en-US"/>
        </w:rPr>
      </w:pPr>
      <w:r w:rsidRPr="00FD6E3A">
        <w:rPr>
          <w:rFonts w:ascii="Times New Roman" w:eastAsia="Times New Roman" w:hAnsi="Times New Roman" w:cs="Times New Roman"/>
          <w:bCs/>
          <w:lang w:val="en-US"/>
        </w:rPr>
        <w:t xml:space="preserve">Scalp IGA and palmoplantar IGA responses were maintained through Week 52/56. </w:t>
      </w:r>
      <w:r w:rsidRPr="00FD6E3A">
        <w:rPr>
          <w:rFonts w:ascii="Times New Roman" w:eastAsia="Times New Roman" w:hAnsi="Times New Roman" w:cs="Times New Roman"/>
          <w:lang w:val="en-US"/>
        </w:rPr>
        <w:t xml:space="preserve">Nail psoriasis continued to improve beyond Week 16. In BE VIVID, at Week 52, </w:t>
      </w:r>
      <w:r w:rsidR="00C618D5" w:rsidRPr="00B87B21">
        <w:rPr>
          <w:rFonts w:ascii="Times New Roman" w:eastAsia="Times New Roman" w:hAnsi="Times New Roman" w:cs="Times New Roman"/>
          <w:bCs/>
          <w:lang w:val="en-US"/>
        </w:rPr>
        <w:t xml:space="preserve">60.3% of patients treated with </w:t>
      </w:r>
      <w:proofErr w:type="spellStart"/>
      <w:r w:rsidR="00C618D5" w:rsidRPr="00B87B21">
        <w:rPr>
          <w:rFonts w:ascii="Times New Roman" w:eastAsia="Times New Roman" w:hAnsi="Times New Roman" w:cs="Times New Roman"/>
          <w:bCs/>
          <w:lang w:val="en-US"/>
        </w:rPr>
        <w:t>bimekizumab</w:t>
      </w:r>
      <w:proofErr w:type="spellEnd"/>
      <w:r w:rsidR="00C618D5" w:rsidRPr="00B87B21">
        <w:rPr>
          <w:rFonts w:ascii="Times New Roman" w:eastAsia="Times New Roman" w:hAnsi="Times New Roman" w:cs="Times New Roman"/>
          <w:bCs/>
          <w:lang w:val="en-US"/>
        </w:rPr>
        <w:t xml:space="preserve"> 320 mg every 4 weeks achieved complete nail clearance (</w:t>
      </w:r>
      <w:proofErr w:type="spellStart"/>
      <w:r w:rsidR="00C618D5" w:rsidRPr="00B87B21">
        <w:rPr>
          <w:rFonts w:ascii="Times New Roman" w:eastAsia="Times New Roman" w:hAnsi="Times New Roman" w:cs="Times New Roman"/>
          <w:bCs/>
          <w:lang w:val="en-US"/>
        </w:rPr>
        <w:t>mNAPSI</w:t>
      </w:r>
      <w:proofErr w:type="spellEnd"/>
      <w:r w:rsidR="00C618D5" w:rsidRPr="00B87B21">
        <w:rPr>
          <w:rFonts w:ascii="Times New Roman" w:eastAsia="Times New Roman" w:hAnsi="Times New Roman" w:cs="Times New Roman"/>
          <w:bCs/>
          <w:lang w:val="en-US"/>
        </w:rPr>
        <w:t xml:space="preserve"> 100).</w:t>
      </w:r>
      <w:r w:rsidRPr="00FD6E3A">
        <w:rPr>
          <w:rFonts w:ascii="Times New Roman" w:eastAsia="Times New Roman" w:hAnsi="Times New Roman" w:cs="Times New Roman"/>
          <w:lang w:val="en-US"/>
        </w:rPr>
        <w:t xml:space="preserve"> In BE READY, at Week 56, 67.7% and 69.8% of Week 16 PASI 90 responders achieved complete nail clearance with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8 weeks and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320 mg every 4 weeks respectively. </w:t>
      </w:r>
    </w:p>
    <w:p w14:paraId="4A34D01D" w14:textId="1868F26A" w:rsidR="00FD6E3A" w:rsidRPr="00FD6E3A" w:rsidRDefault="00FD6E3A" w:rsidP="00FD6E3A">
      <w:pPr>
        <w:spacing w:after="120" w:line="280" w:lineRule="atLeast"/>
        <w:rPr>
          <w:rFonts w:ascii="Times New Roman" w:eastAsia="Times New Roman" w:hAnsi="Times New Roman" w:cs="Times New Roman"/>
          <w:b/>
          <w:bCs/>
          <w:u w:val="single"/>
          <w:lang w:val="en-US"/>
        </w:rPr>
      </w:pPr>
      <w:r w:rsidRPr="00FD6E3A">
        <w:rPr>
          <w:rFonts w:ascii="Times New Roman" w:eastAsia="Times New Roman" w:hAnsi="Times New Roman" w:cs="Times New Roman"/>
          <w:b/>
          <w:bCs/>
          <w:u w:val="single"/>
          <w:lang w:val="en-US"/>
        </w:rPr>
        <w:t>Health-related Quality of Life / Patient reported outcomes</w:t>
      </w:r>
    </w:p>
    <w:p w14:paraId="6720D27B" w14:textId="754B2820" w:rsidR="00FD6E3A" w:rsidRPr="00FD6E3A" w:rsidRDefault="00FD6E3A" w:rsidP="00FD6E3A">
      <w:pPr>
        <w:spacing w:after="120" w:line="280" w:lineRule="atLeast"/>
        <w:rPr>
          <w:rFonts w:ascii="Times New Roman" w:eastAsia="Times New Roman" w:hAnsi="Times New Roman" w:cs="Times New Roman"/>
          <w:lang w:val="en-US"/>
        </w:rPr>
      </w:pPr>
      <w:bookmarkStart w:id="12" w:name="_Hlk32501383"/>
      <w:bookmarkStart w:id="13" w:name="_Hlk32497027"/>
      <w:r w:rsidRPr="00FD6E3A">
        <w:rPr>
          <w:rFonts w:ascii="Times New Roman" w:eastAsia="Times New Roman" w:hAnsi="Times New Roman" w:cs="Times New Roman"/>
          <w:lang w:val="en-US"/>
        </w:rPr>
        <w:t xml:space="preserve">Across all 3 studies, a greater proportion of patients treated with </w:t>
      </w:r>
      <w:proofErr w:type="spellStart"/>
      <w:r w:rsidRPr="00FD6E3A">
        <w:rPr>
          <w:rFonts w:ascii="Times New Roman" w:eastAsia="Times New Roman" w:hAnsi="Times New Roman" w:cs="Times New Roman"/>
          <w:lang w:val="en-US"/>
        </w:rPr>
        <w:t>bimekizumab</w:t>
      </w:r>
      <w:proofErr w:type="spellEnd"/>
      <w:r w:rsidRPr="00FD6E3A">
        <w:rPr>
          <w:rFonts w:ascii="Times New Roman" w:eastAsia="Times New Roman" w:hAnsi="Times New Roman" w:cs="Times New Roman"/>
          <w:lang w:val="en-US"/>
        </w:rPr>
        <w:t xml:space="preserve"> experienced no impact of psoriasis on their quality of life as measured by the Dermatology Life Quality Index (DLQI) compared to placebo and active comparator-treated patients at Week 16 (Table </w:t>
      </w:r>
      <w:r w:rsidR="00AD61F2">
        <w:rPr>
          <w:rFonts w:ascii="Times New Roman" w:eastAsia="Times New Roman" w:hAnsi="Times New Roman" w:cs="Times New Roman"/>
          <w:lang w:val="en-US"/>
        </w:rPr>
        <w:t>6</w:t>
      </w:r>
      <w:r w:rsidRPr="00FD6E3A">
        <w:rPr>
          <w:rFonts w:ascii="Times New Roman" w:eastAsia="Times New Roman" w:hAnsi="Times New Roman" w:cs="Times New Roman"/>
          <w:lang w:val="en-US"/>
        </w:rPr>
        <w:t>)</w:t>
      </w:r>
      <w:bookmarkStart w:id="14" w:name="_Hlk19612909"/>
      <w:r w:rsidRPr="00FD6E3A">
        <w:rPr>
          <w:rFonts w:ascii="Times New Roman" w:eastAsia="Times New Roman" w:hAnsi="Times New Roman" w:cs="Times New Roman"/>
          <w:lang w:val="en-US"/>
        </w:rPr>
        <w:t>.</w:t>
      </w:r>
    </w:p>
    <w:bookmarkEnd w:id="12"/>
    <w:p w14:paraId="7137B2BD" w14:textId="0CC5F342" w:rsidR="00FD6E3A" w:rsidRPr="00FD6E3A" w:rsidRDefault="00FD6E3A" w:rsidP="00FD6E3A">
      <w:pPr>
        <w:spacing w:after="0" w:line="240" w:lineRule="auto"/>
        <w:rPr>
          <w:rFonts w:ascii="Times New Roman" w:eastAsia="Times New Roman" w:hAnsi="Times New Roman" w:cs="Times New Roman"/>
          <w:b/>
          <w:lang w:val="en-US"/>
        </w:rPr>
      </w:pPr>
      <w:r w:rsidRPr="00FD6E3A">
        <w:rPr>
          <w:rFonts w:ascii="Times New Roman" w:eastAsia="Times New Roman" w:hAnsi="Times New Roman" w:cs="Times New Roman"/>
          <w:b/>
          <w:lang w:val="en-US"/>
        </w:rPr>
        <w:t xml:space="preserve">Table </w:t>
      </w:r>
      <w:r w:rsidR="00B65FF2">
        <w:rPr>
          <w:rFonts w:ascii="Times New Roman" w:eastAsia="Times New Roman" w:hAnsi="Times New Roman" w:cs="Times New Roman"/>
          <w:b/>
          <w:lang w:val="en-US"/>
        </w:rPr>
        <w:t>6</w:t>
      </w:r>
      <w:r w:rsidRPr="00FD6E3A">
        <w:rPr>
          <w:rFonts w:ascii="Times New Roman" w:eastAsia="Times New Roman" w:hAnsi="Times New Roman" w:cs="Times New Roman"/>
          <w:b/>
          <w:lang w:val="en-US"/>
        </w:rPr>
        <w:t>: Quality of life in study BE VIVID, BE READY and BE SURE at Week 16</w:t>
      </w:r>
    </w:p>
    <w:p w14:paraId="00D0F8BF" w14:textId="43F35EEB" w:rsidR="00FD6E3A" w:rsidRPr="00FD6E3A" w:rsidRDefault="00FD6E3A" w:rsidP="00FD6E3A">
      <w:pPr>
        <w:spacing w:after="0" w:line="240" w:lineRule="auto"/>
        <w:rPr>
          <w:rFonts w:ascii="Times New Roman" w:eastAsia="Times New Roman" w:hAnsi="Times New Roman" w:cs="Times New Roman"/>
          <w:b/>
          <w:u w:val="single"/>
          <w:lang w:val="en-US"/>
        </w:rPr>
      </w:pPr>
    </w:p>
    <w:tbl>
      <w:tblPr>
        <w:tblStyle w:val="TableGrid2"/>
        <w:tblW w:w="10201" w:type="dxa"/>
        <w:tblLayout w:type="fixed"/>
        <w:tblLook w:val="04A0" w:firstRow="1" w:lastRow="0" w:firstColumn="1" w:lastColumn="0" w:noHBand="0" w:noVBand="1"/>
      </w:tblPr>
      <w:tblGrid>
        <w:gridCol w:w="1255"/>
        <w:gridCol w:w="1170"/>
        <w:gridCol w:w="1350"/>
        <w:gridCol w:w="1350"/>
        <w:gridCol w:w="1260"/>
        <w:gridCol w:w="1350"/>
        <w:gridCol w:w="1332"/>
        <w:gridCol w:w="1134"/>
      </w:tblGrid>
      <w:tr w:rsidR="00FD6E3A" w:rsidRPr="00FD6E3A" w14:paraId="5C21ACE9" w14:textId="0756414E" w:rsidTr="00366F4C">
        <w:tc>
          <w:tcPr>
            <w:tcW w:w="1255" w:type="dxa"/>
          </w:tcPr>
          <w:p w14:paraId="6BE36311" w14:textId="6A8D4465" w:rsidR="00FD6E3A" w:rsidRPr="00FD6E3A" w:rsidRDefault="00FD6E3A" w:rsidP="00FD6E3A">
            <w:pPr>
              <w:rPr>
                <w:rFonts w:ascii="Times New Roman" w:eastAsia="Times New Roman" w:hAnsi="Times New Roman" w:cs="Times New Roman"/>
                <w:b/>
                <w:sz w:val="18"/>
                <w:szCs w:val="18"/>
                <w:u w:val="single"/>
              </w:rPr>
            </w:pPr>
          </w:p>
        </w:tc>
        <w:tc>
          <w:tcPr>
            <w:tcW w:w="3870" w:type="dxa"/>
            <w:gridSpan w:val="3"/>
            <w:tcBorders>
              <w:right w:val="double" w:sz="4" w:space="0" w:color="auto"/>
            </w:tcBorders>
          </w:tcPr>
          <w:p w14:paraId="0D5C7F69" w14:textId="502A9107"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BE VIVID</w:t>
            </w:r>
          </w:p>
        </w:tc>
        <w:tc>
          <w:tcPr>
            <w:tcW w:w="2610" w:type="dxa"/>
            <w:gridSpan w:val="2"/>
            <w:tcBorders>
              <w:left w:val="double" w:sz="4" w:space="0" w:color="auto"/>
              <w:right w:val="double" w:sz="4" w:space="0" w:color="auto"/>
            </w:tcBorders>
          </w:tcPr>
          <w:p w14:paraId="3090A44E" w14:textId="0F292CBB"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BE READY</w:t>
            </w:r>
          </w:p>
        </w:tc>
        <w:tc>
          <w:tcPr>
            <w:tcW w:w="2466" w:type="dxa"/>
            <w:gridSpan w:val="2"/>
            <w:tcBorders>
              <w:left w:val="double" w:sz="4" w:space="0" w:color="auto"/>
            </w:tcBorders>
          </w:tcPr>
          <w:p w14:paraId="37FC10EA" w14:textId="25CB67B5" w:rsidR="00FD6E3A" w:rsidRPr="00FD6E3A" w:rsidRDefault="00FD6E3A" w:rsidP="00FD6E3A">
            <w:pPr>
              <w:rPr>
                <w:rFonts w:ascii="Times New Roman" w:eastAsia="Times New Roman" w:hAnsi="Times New Roman" w:cs="Times New Roman"/>
                <w:b/>
                <w:sz w:val="18"/>
                <w:szCs w:val="18"/>
                <w:u w:val="single"/>
              </w:rPr>
            </w:pPr>
            <w:r w:rsidRPr="00FD6E3A">
              <w:rPr>
                <w:rFonts w:ascii="Times New Roman" w:eastAsia="Times New Roman" w:hAnsi="Times New Roman" w:cs="Times New Roman"/>
                <w:b/>
                <w:sz w:val="18"/>
                <w:szCs w:val="18"/>
              </w:rPr>
              <w:t>BE SURE</w:t>
            </w:r>
          </w:p>
        </w:tc>
      </w:tr>
      <w:tr w:rsidR="00FD6E3A" w:rsidRPr="00FD6E3A" w14:paraId="5EAA848A" w14:textId="63852FD9" w:rsidTr="00366F4C">
        <w:tc>
          <w:tcPr>
            <w:tcW w:w="1255" w:type="dxa"/>
          </w:tcPr>
          <w:p w14:paraId="12F34090" w14:textId="131409CE" w:rsidR="00FD6E3A" w:rsidRPr="00FD6E3A" w:rsidRDefault="00FD6E3A" w:rsidP="00FD6E3A">
            <w:pPr>
              <w:rPr>
                <w:rFonts w:ascii="Times New Roman" w:eastAsia="Times New Roman" w:hAnsi="Times New Roman" w:cs="Times New Roman"/>
                <w:b/>
                <w:sz w:val="18"/>
                <w:szCs w:val="18"/>
              </w:rPr>
            </w:pPr>
          </w:p>
        </w:tc>
        <w:tc>
          <w:tcPr>
            <w:tcW w:w="1170" w:type="dxa"/>
          </w:tcPr>
          <w:p w14:paraId="19008698" w14:textId="71546310"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Placebo</w:t>
            </w:r>
          </w:p>
          <w:p w14:paraId="44382420" w14:textId="5D61B3DE"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83)</w:t>
            </w:r>
          </w:p>
          <w:p w14:paraId="38CEAE3A" w14:textId="083E2A83" w:rsidR="00FD6E3A" w:rsidRPr="00FD6E3A" w:rsidRDefault="00FD6E3A" w:rsidP="00FD6E3A">
            <w:pPr>
              <w:rPr>
                <w:rFonts w:ascii="Times New Roman" w:eastAsia="Times New Roman" w:hAnsi="Times New Roman" w:cs="Arial"/>
                <w:b/>
                <w:bCs/>
                <w:sz w:val="18"/>
                <w:szCs w:val="18"/>
              </w:rPr>
            </w:pPr>
          </w:p>
          <w:p w14:paraId="6BFEAF4D" w14:textId="75FDFBB1"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tc>
        <w:tc>
          <w:tcPr>
            <w:tcW w:w="1350" w:type="dxa"/>
          </w:tcPr>
          <w:p w14:paraId="2497FAB6" w14:textId="3E5E928C"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BKZ 320 mg Q4W</w:t>
            </w:r>
          </w:p>
          <w:p w14:paraId="7579D495" w14:textId="32FFF5B1"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321)</w:t>
            </w:r>
          </w:p>
          <w:p w14:paraId="5DDD485F" w14:textId="1F27CBDD"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tc>
        <w:tc>
          <w:tcPr>
            <w:tcW w:w="1350" w:type="dxa"/>
            <w:tcBorders>
              <w:right w:val="double" w:sz="4" w:space="0" w:color="auto"/>
            </w:tcBorders>
          </w:tcPr>
          <w:p w14:paraId="0D2E4240" w14:textId="16735DAD"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Ustekinumab</w:t>
            </w:r>
          </w:p>
          <w:p w14:paraId="42B04DA4" w14:textId="634F44A0"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163)</w:t>
            </w:r>
          </w:p>
          <w:p w14:paraId="009F75DB" w14:textId="73088E2E" w:rsidR="00FD6E3A" w:rsidRPr="00FD6E3A" w:rsidRDefault="00FD6E3A" w:rsidP="00FD6E3A">
            <w:pPr>
              <w:rPr>
                <w:rFonts w:ascii="Times New Roman" w:eastAsia="Times New Roman" w:hAnsi="Times New Roman" w:cs="Arial"/>
                <w:b/>
                <w:bCs/>
                <w:sz w:val="18"/>
                <w:szCs w:val="18"/>
              </w:rPr>
            </w:pPr>
          </w:p>
          <w:p w14:paraId="00790DE8" w14:textId="7905FDCE"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tc>
        <w:tc>
          <w:tcPr>
            <w:tcW w:w="1260" w:type="dxa"/>
            <w:tcBorders>
              <w:left w:val="double" w:sz="4" w:space="0" w:color="auto"/>
            </w:tcBorders>
          </w:tcPr>
          <w:p w14:paraId="3F172B5D" w14:textId="2FCBEDDE"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Placebo</w:t>
            </w:r>
          </w:p>
          <w:p w14:paraId="76E768F5" w14:textId="3BD2036D"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86)</w:t>
            </w:r>
          </w:p>
          <w:p w14:paraId="26B26C40" w14:textId="02DA4B16" w:rsidR="00FD6E3A" w:rsidRPr="00FD6E3A" w:rsidRDefault="00FD6E3A" w:rsidP="00FD6E3A">
            <w:pPr>
              <w:rPr>
                <w:rFonts w:ascii="Times New Roman" w:eastAsia="Times New Roman" w:hAnsi="Times New Roman" w:cs="Arial"/>
                <w:b/>
                <w:bCs/>
                <w:sz w:val="18"/>
                <w:szCs w:val="18"/>
              </w:rPr>
            </w:pPr>
          </w:p>
          <w:p w14:paraId="25EFA6CC" w14:textId="2BD43009"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p w14:paraId="75DEA7E3" w14:textId="06439F5B" w:rsidR="00FD6E3A" w:rsidRPr="00FD6E3A" w:rsidRDefault="00FD6E3A" w:rsidP="00FD6E3A">
            <w:pPr>
              <w:rPr>
                <w:rFonts w:ascii="Times New Roman" w:eastAsia="Times New Roman" w:hAnsi="Times New Roman" w:cs="Times New Roman"/>
                <w:b/>
                <w:i/>
                <w:sz w:val="18"/>
                <w:szCs w:val="18"/>
              </w:rPr>
            </w:pPr>
          </w:p>
        </w:tc>
        <w:tc>
          <w:tcPr>
            <w:tcW w:w="1350" w:type="dxa"/>
            <w:tcBorders>
              <w:right w:val="double" w:sz="4" w:space="0" w:color="auto"/>
            </w:tcBorders>
          </w:tcPr>
          <w:p w14:paraId="79DBB01D" w14:textId="56B62A12"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BKZ 320 mg Q4W</w:t>
            </w:r>
          </w:p>
          <w:p w14:paraId="7C004417" w14:textId="29D98B26"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349)</w:t>
            </w:r>
          </w:p>
          <w:p w14:paraId="3141146D" w14:textId="5BC386B3"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p w14:paraId="28B96CFF" w14:textId="77137AA2" w:rsidR="00FD6E3A" w:rsidRPr="00FD6E3A" w:rsidRDefault="00FD6E3A" w:rsidP="00FD6E3A">
            <w:pPr>
              <w:rPr>
                <w:rFonts w:ascii="Times New Roman" w:eastAsia="Times New Roman" w:hAnsi="Times New Roman" w:cs="Times New Roman"/>
                <w:b/>
                <w:sz w:val="18"/>
                <w:szCs w:val="18"/>
              </w:rPr>
            </w:pPr>
          </w:p>
        </w:tc>
        <w:tc>
          <w:tcPr>
            <w:tcW w:w="1332" w:type="dxa"/>
            <w:tcBorders>
              <w:left w:val="double" w:sz="4" w:space="0" w:color="auto"/>
            </w:tcBorders>
          </w:tcPr>
          <w:p w14:paraId="6C972C7B" w14:textId="645E2CF8"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Times New Roman"/>
                <w:b/>
                <w:sz w:val="18"/>
                <w:szCs w:val="18"/>
              </w:rPr>
              <w:t>BKZ 320 mg Q4W</w:t>
            </w:r>
          </w:p>
          <w:p w14:paraId="7E924D36" w14:textId="1262582E"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(N= 319)</w:t>
            </w:r>
          </w:p>
          <w:p w14:paraId="4DA90B6D" w14:textId="0B813828"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p w14:paraId="69282358" w14:textId="775410D3" w:rsidR="00FD6E3A" w:rsidRPr="00FD6E3A" w:rsidRDefault="00FD6E3A" w:rsidP="00FD6E3A">
            <w:pPr>
              <w:rPr>
                <w:rFonts w:ascii="Times New Roman" w:eastAsia="Times New Roman" w:hAnsi="Times New Roman" w:cs="Times New Roman"/>
                <w:b/>
                <w:sz w:val="18"/>
                <w:szCs w:val="18"/>
              </w:rPr>
            </w:pPr>
          </w:p>
        </w:tc>
        <w:tc>
          <w:tcPr>
            <w:tcW w:w="1134" w:type="dxa"/>
          </w:tcPr>
          <w:p w14:paraId="43E0E380" w14:textId="46B98692" w:rsidR="00FD6E3A" w:rsidRPr="00FD6E3A" w:rsidRDefault="00FD6E3A" w:rsidP="00FD6E3A">
            <w:pPr>
              <w:spacing w:after="120"/>
              <w:rPr>
                <w:rFonts w:ascii="Times New Roman" w:eastAsia="Times New Roman" w:hAnsi="Times New Roman" w:cs="Times New Roman"/>
                <w:b/>
                <w:bCs/>
                <w:sz w:val="18"/>
                <w:szCs w:val="18"/>
              </w:rPr>
            </w:pPr>
            <w:r w:rsidRPr="00FD6E3A">
              <w:rPr>
                <w:rFonts w:ascii="Times New Roman" w:eastAsia="Times New Roman" w:hAnsi="Times New Roman" w:cs="Times New Roman"/>
                <w:b/>
                <w:bCs/>
                <w:sz w:val="18"/>
                <w:szCs w:val="18"/>
              </w:rPr>
              <w:t>Adalimumab (N= 159)</w:t>
            </w:r>
          </w:p>
          <w:p w14:paraId="25847AFF" w14:textId="566C6009" w:rsidR="00FD6E3A" w:rsidRPr="00FD6E3A" w:rsidRDefault="00FD6E3A" w:rsidP="00FD6E3A">
            <w:pPr>
              <w:rPr>
                <w:rFonts w:ascii="Times New Roman" w:eastAsia="Times New Roman" w:hAnsi="Times New Roman" w:cs="Arial"/>
                <w:b/>
                <w:bCs/>
                <w:sz w:val="18"/>
                <w:szCs w:val="18"/>
              </w:rPr>
            </w:pPr>
          </w:p>
          <w:p w14:paraId="666F45C7" w14:textId="0ACB3370" w:rsidR="00FD6E3A" w:rsidRPr="00FD6E3A" w:rsidRDefault="00FD6E3A" w:rsidP="00FD6E3A">
            <w:pPr>
              <w:rPr>
                <w:rFonts w:ascii="Times New Roman" w:eastAsia="Times New Roman" w:hAnsi="Times New Roman" w:cs="Times New Roman"/>
                <w:b/>
                <w:sz w:val="18"/>
                <w:szCs w:val="18"/>
              </w:rPr>
            </w:pPr>
            <w:r w:rsidRPr="00FD6E3A">
              <w:rPr>
                <w:rFonts w:ascii="Times New Roman" w:eastAsia="Times New Roman" w:hAnsi="Times New Roman" w:cs="Arial"/>
                <w:b/>
                <w:bCs/>
                <w:sz w:val="18"/>
                <w:szCs w:val="18"/>
              </w:rPr>
              <w:t>n (%)</w:t>
            </w:r>
          </w:p>
          <w:p w14:paraId="55D4C586" w14:textId="30811812" w:rsidR="00FD6E3A" w:rsidRPr="00FD6E3A" w:rsidRDefault="00FD6E3A" w:rsidP="00FD6E3A">
            <w:pPr>
              <w:rPr>
                <w:rFonts w:ascii="Times New Roman" w:eastAsia="Times New Roman" w:hAnsi="Times New Roman" w:cs="Times New Roman"/>
                <w:b/>
                <w:sz w:val="18"/>
                <w:szCs w:val="18"/>
              </w:rPr>
            </w:pPr>
          </w:p>
        </w:tc>
      </w:tr>
      <w:tr w:rsidR="00FD6E3A" w:rsidRPr="00FD6E3A" w14:paraId="4113149F" w14:textId="554C3B88" w:rsidTr="00366F4C">
        <w:trPr>
          <w:trHeight w:val="351"/>
        </w:trPr>
        <w:tc>
          <w:tcPr>
            <w:tcW w:w="1255" w:type="dxa"/>
          </w:tcPr>
          <w:p w14:paraId="4EAB7A53" w14:textId="457881F0" w:rsidR="00FD6E3A" w:rsidRPr="00FD6E3A" w:rsidRDefault="00FD6E3A" w:rsidP="00FD6E3A">
            <w:pPr>
              <w:rPr>
                <w:rFonts w:ascii="Times New Roman" w:eastAsia="Times New Roman" w:hAnsi="Times New Roman" w:cs="Times New Roman"/>
                <w:sz w:val="18"/>
                <w:szCs w:val="18"/>
              </w:rPr>
            </w:pPr>
            <w:r w:rsidRPr="00FD6E3A">
              <w:rPr>
                <w:rFonts w:ascii="Times New Roman" w:eastAsia="Times New Roman" w:hAnsi="Times New Roman" w:cs="Times New Roman"/>
                <w:b/>
                <w:bCs/>
                <w:sz w:val="18"/>
                <w:szCs w:val="18"/>
              </w:rPr>
              <w:t>DLQI 0/1</w:t>
            </w:r>
            <w:r w:rsidRPr="00FD6E3A">
              <w:rPr>
                <w:rFonts w:ascii="Times New Roman" w:eastAsia="Times New Roman" w:hAnsi="Times New Roman" w:cs="Times New Roman"/>
                <w:b/>
                <w:bCs/>
                <w:sz w:val="24"/>
                <w:vertAlign w:val="superscript"/>
              </w:rPr>
              <w:t>a</w:t>
            </w:r>
          </w:p>
        </w:tc>
        <w:tc>
          <w:tcPr>
            <w:tcW w:w="1170" w:type="dxa"/>
          </w:tcPr>
          <w:p w14:paraId="238093FA" w14:textId="7B6DE270"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10 (12.0)</w:t>
            </w:r>
          </w:p>
        </w:tc>
        <w:tc>
          <w:tcPr>
            <w:tcW w:w="1350" w:type="dxa"/>
          </w:tcPr>
          <w:p w14:paraId="16B99EC9" w14:textId="06B1A383"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216 (67.3)</w:t>
            </w:r>
          </w:p>
        </w:tc>
        <w:tc>
          <w:tcPr>
            <w:tcW w:w="1350" w:type="dxa"/>
            <w:tcBorders>
              <w:right w:val="double" w:sz="4" w:space="0" w:color="auto"/>
            </w:tcBorders>
          </w:tcPr>
          <w:p w14:paraId="6A0D4B00" w14:textId="45BADFAB"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69 (42.3)</w:t>
            </w:r>
          </w:p>
        </w:tc>
        <w:tc>
          <w:tcPr>
            <w:tcW w:w="1260" w:type="dxa"/>
            <w:tcBorders>
              <w:left w:val="double" w:sz="4" w:space="0" w:color="auto"/>
            </w:tcBorders>
          </w:tcPr>
          <w:p w14:paraId="1B0331DE" w14:textId="447826CF"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5 (5.8)</w:t>
            </w:r>
          </w:p>
        </w:tc>
        <w:tc>
          <w:tcPr>
            <w:tcW w:w="1350" w:type="dxa"/>
            <w:tcBorders>
              <w:right w:val="double" w:sz="4" w:space="0" w:color="auto"/>
            </w:tcBorders>
          </w:tcPr>
          <w:p w14:paraId="649CD695" w14:textId="4C2059F4"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264 (75.6)</w:t>
            </w:r>
          </w:p>
        </w:tc>
        <w:tc>
          <w:tcPr>
            <w:tcW w:w="1332" w:type="dxa"/>
            <w:tcBorders>
              <w:left w:val="double" w:sz="4" w:space="0" w:color="auto"/>
            </w:tcBorders>
          </w:tcPr>
          <w:p w14:paraId="6FE0F029" w14:textId="5FD58442"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201 (63.0)</w:t>
            </w:r>
          </w:p>
        </w:tc>
        <w:tc>
          <w:tcPr>
            <w:tcW w:w="1134" w:type="dxa"/>
          </w:tcPr>
          <w:p w14:paraId="236A5387" w14:textId="33D6DF96" w:rsidR="00FD6E3A" w:rsidRPr="00FD6E3A" w:rsidRDefault="00FD6E3A" w:rsidP="00FD6E3A">
            <w:pPr>
              <w:spacing w:before="120"/>
              <w:rPr>
                <w:rFonts w:ascii="Times New Roman" w:eastAsia="Times New Roman" w:hAnsi="Times New Roman" w:cs="Times New Roman"/>
                <w:sz w:val="18"/>
                <w:szCs w:val="18"/>
              </w:rPr>
            </w:pPr>
            <w:r w:rsidRPr="00FD6E3A">
              <w:rPr>
                <w:rFonts w:ascii="Times New Roman" w:eastAsia="Times New Roman" w:hAnsi="Times New Roman" w:cs="Times New Roman"/>
                <w:sz w:val="18"/>
                <w:szCs w:val="18"/>
              </w:rPr>
              <w:t>74 (46.5)</w:t>
            </w:r>
          </w:p>
        </w:tc>
      </w:tr>
    </w:tbl>
    <w:p w14:paraId="140AE28B" w14:textId="545C1D08" w:rsidR="00FD6E3A" w:rsidRPr="00FD6E3A" w:rsidRDefault="00FD6E3A" w:rsidP="00FD6E3A">
      <w:pPr>
        <w:spacing w:after="0" w:line="240" w:lineRule="auto"/>
        <w:rPr>
          <w:rFonts w:ascii="Times New Roman" w:eastAsia="Times New Roman" w:hAnsi="Times New Roman" w:cs="Times New Roman"/>
          <w:color w:val="000000"/>
          <w:sz w:val="18"/>
          <w:szCs w:val="18"/>
          <w:lang w:val="en-US"/>
        </w:rPr>
      </w:pPr>
      <w:bookmarkStart w:id="15" w:name="_Hlk31033266"/>
      <w:bookmarkEnd w:id="14"/>
      <w:r w:rsidRPr="00FD6E3A">
        <w:rPr>
          <w:rFonts w:ascii="Times New Roman" w:eastAsia="Times New Roman" w:hAnsi="Times New Roman" w:cs="Times New Roman"/>
          <w:color w:val="000000"/>
          <w:sz w:val="24"/>
          <w:szCs w:val="20"/>
          <w:vertAlign w:val="superscript"/>
          <w:lang w:val="en-US"/>
        </w:rPr>
        <w:t>a)</w:t>
      </w:r>
      <w:r w:rsidRPr="00FD6E3A">
        <w:rPr>
          <w:rFonts w:ascii="Times New Roman" w:eastAsia="Times New Roman" w:hAnsi="Times New Roman" w:cs="Times New Roman"/>
          <w:color w:val="000000"/>
          <w:sz w:val="18"/>
          <w:szCs w:val="18"/>
          <w:lang w:val="en-US"/>
        </w:rPr>
        <w:t xml:space="preserve"> DLQI absolute score of 0 or 1 indicates no impact of the disease on health-related quality of life. </w:t>
      </w:r>
    </w:p>
    <w:p w14:paraId="00A1AC9E" w14:textId="69BE4468" w:rsidR="00FD6E3A" w:rsidRPr="00FD6E3A" w:rsidRDefault="00FD6E3A" w:rsidP="00FD6E3A">
      <w:pPr>
        <w:spacing w:after="0" w:line="240" w:lineRule="auto"/>
        <w:rPr>
          <w:rFonts w:ascii="Times New Roman" w:eastAsia="Times New Roman" w:hAnsi="Times New Roman" w:cs="Times New Roman"/>
          <w:color w:val="000000"/>
          <w:sz w:val="18"/>
          <w:szCs w:val="18"/>
          <w:lang w:val="en-US"/>
        </w:rPr>
      </w:pPr>
      <w:r w:rsidRPr="00FD6E3A">
        <w:rPr>
          <w:rFonts w:ascii="Times New Roman" w:eastAsia="Times New Roman" w:hAnsi="Times New Roman" w:cs="Times New Roman"/>
          <w:color w:val="000000"/>
          <w:sz w:val="18"/>
          <w:szCs w:val="18"/>
          <w:lang w:val="en-US"/>
        </w:rPr>
        <w:t>NRI is used.</w:t>
      </w:r>
    </w:p>
    <w:bookmarkEnd w:id="15"/>
    <w:p w14:paraId="5567CCC3" w14:textId="43532651" w:rsidR="00FD6E3A" w:rsidRPr="00FD6E3A" w:rsidRDefault="00FD6E3A" w:rsidP="00FD6E3A">
      <w:pPr>
        <w:spacing w:after="120" w:line="280" w:lineRule="atLeast"/>
        <w:rPr>
          <w:rFonts w:ascii="Times New Roman" w:eastAsia="Times New Roman" w:hAnsi="Times New Roman" w:cs="Times New Roman"/>
          <w:b/>
          <w:bCs/>
          <w:color w:val="0070C0"/>
          <w:szCs w:val="20"/>
          <w:lang w:val="en-US"/>
        </w:rPr>
      </w:pPr>
    </w:p>
    <w:p w14:paraId="0A274ADB" w14:textId="61696D01" w:rsidR="00FD6E3A" w:rsidRPr="00FD6E3A" w:rsidRDefault="00FD6E3A" w:rsidP="00FD6E3A">
      <w:pPr>
        <w:spacing w:after="120" w:line="280" w:lineRule="atLeast"/>
        <w:rPr>
          <w:rFonts w:ascii="Times New Roman" w:eastAsia="Times New Roman" w:hAnsi="Times New Roman" w:cs="Times New Roman"/>
          <w:bCs/>
          <w:szCs w:val="20"/>
          <w:lang w:val="en-US"/>
        </w:rPr>
      </w:pPr>
      <w:r w:rsidRPr="00FD6E3A">
        <w:rPr>
          <w:rFonts w:ascii="Times New Roman" w:eastAsia="Times New Roman" w:hAnsi="Times New Roman" w:cs="Times New Roman"/>
          <w:bCs/>
          <w:szCs w:val="20"/>
          <w:lang w:val="en-US"/>
        </w:rPr>
        <w:t xml:space="preserve">DLQI 0/1 responses continued to increase beyond Week 16 and then were maintained through Week 52 / 56. In BE VIVID, DLQI 0/1 response rate at Week 52 was higher in </w:t>
      </w:r>
      <w:proofErr w:type="spellStart"/>
      <w:r w:rsidRPr="00FD6E3A">
        <w:rPr>
          <w:rFonts w:ascii="Times New Roman" w:eastAsia="Times New Roman" w:hAnsi="Times New Roman" w:cs="Times New Roman"/>
          <w:bCs/>
          <w:szCs w:val="20"/>
          <w:lang w:val="en-US"/>
        </w:rPr>
        <w:t>bimekizumab</w:t>
      </w:r>
      <w:proofErr w:type="spellEnd"/>
      <w:r w:rsidRPr="00FD6E3A">
        <w:rPr>
          <w:rFonts w:ascii="Times New Roman" w:eastAsia="Times New Roman" w:hAnsi="Times New Roman" w:cs="Times New Roman"/>
          <w:bCs/>
          <w:szCs w:val="20"/>
          <w:lang w:val="en-US"/>
        </w:rPr>
        <w:t xml:space="preserve">-treated patients (74.5%) compared with </w:t>
      </w:r>
      <w:proofErr w:type="spellStart"/>
      <w:r w:rsidRPr="00FD6E3A">
        <w:rPr>
          <w:rFonts w:ascii="Times New Roman" w:eastAsia="Times New Roman" w:hAnsi="Times New Roman" w:cs="Times New Roman"/>
          <w:bCs/>
          <w:szCs w:val="20"/>
          <w:lang w:val="en-US"/>
        </w:rPr>
        <w:t>ustekinumab</w:t>
      </w:r>
      <w:proofErr w:type="spellEnd"/>
      <w:r w:rsidRPr="00FD6E3A">
        <w:rPr>
          <w:rFonts w:ascii="Times New Roman" w:eastAsia="Times New Roman" w:hAnsi="Times New Roman" w:cs="Times New Roman"/>
          <w:bCs/>
          <w:szCs w:val="20"/>
          <w:lang w:val="en-US"/>
        </w:rPr>
        <w:t>-treated patients (63.2%).</w:t>
      </w:r>
    </w:p>
    <w:bookmarkEnd w:id="13"/>
    <w:p w14:paraId="33CAA086"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Pharmacokinetic properties </w:t>
      </w:r>
    </w:p>
    <w:p w14:paraId="09375346" w14:textId="0A69FA2C" w:rsidR="00A5336F" w:rsidRDefault="00A5336F" w:rsidP="00A5336F">
      <w:pPr>
        <w:spacing w:after="120" w:line="280" w:lineRule="atLeast"/>
        <w:rPr>
          <w:rFonts w:ascii="Times New Roman" w:eastAsia="Times New Roman" w:hAnsi="Times New Roman" w:cs="Times New Roman"/>
          <w:bCs/>
          <w:szCs w:val="20"/>
          <w:lang w:val="en-US"/>
        </w:rPr>
      </w:pPr>
      <w:proofErr w:type="spellStart"/>
      <w:r w:rsidRPr="00A5336F">
        <w:rPr>
          <w:rFonts w:ascii="Times New Roman" w:eastAsia="Times New Roman" w:hAnsi="Times New Roman" w:cs="Times New Roman"/>
          <w:bCs/>
          <w:szCs w:val="20"/>
          <w:lang w:val="en-US"/>
        </w:rPr>
        <w:t>Bimekizumab</w:t>
      </w:r>
      <w:proofErr w:type="spellEnd"/>
      <w:r w:rsidRPr="00A5336F">
        <w:rPr>
          <w:rFonts w:ascii="Times New Roman" w:eastAsia="Times New Roman" w:hAnsi="Times New Roman" w:cs="Times New Roman"/>
          <w:bCs/>
          <w:szCs w:val="20"/>
          <w:lang w:val="en-US"/>
        </w:rPr>
        <w:t xml:space="preserve"> exhibited dose-proportional pharmacokinetics in patients with plaque psoriasis over a dose range from 64 mg to 480 mg following multiple subcutaneous administrations, with apparent clearance being independent of dose.</w:t>
      </w:r>
    </w:p>
    <w:p w14:paraId="79B74C1A" w14:textId="6AE5B400" w:rsidR="002B2AB7" w:rsidRPr="007E2D65" w:rsidRDefault="00F353AF" w:rsidP="002F2DA9">
      <w:pPr>
        <w:pStyle w:val="Heading3"/>
      </w:pPr>
      <w:r w:rsidRPr="007E2D65">
        <w:t>Absorption</w:t>
      </w:r>
    </w:p>
    <w:p w14:paraId="38D8DE1C" w14:textId="77777777" w:rsidR="00C011D7" w:rsidRPr="00D67EE7" w:rsidRDefault="00C011D7" w:rsidP="00330391">
      <w:pPr>
        <w:pStyle w:val="C-BodyText"/>
        <w:spacing w:before="0"/>
        <w:rPr>
          <w:sz w:val="22"/>
          <w:szCs w:val="22"/>
        </w:rPr>
      </w:pPr>
      <w:r w:rsidRPr="00D67EE7">
        <w:rPr>
          <w:sz w:val="22"/>
          <w:szCs w:val="22"/>
        </w:rPr>
        <w:t xml:space="preserve">Based on population pharmacokinetic analysis, following a single subcutaneous dose of 320 mg in plaque psoriasis patients, </w:t>
      </w:r>
      <w:proofErr w:type="spellStart"/>
      <w:r w:rsidRPr="00D67EE7">
        <w:rPr>
          <w:sz w:val="22"/>
          <w:szCs w:val="22"/>
        </w:rPr>
        <w:t>bimekizumab</w:t>
      </w:r>
      <w:proofErr w:type="spellEnd"/>
      <w:r w:rsidRPr="00D67EE7">
        <w:rPr>
          <w:sz w:val="22"/>
          <w:szCs w:val="22"/>
        </w:rPr>
        <w:t xml:space="preserve"> reached a median (</w:t>
      </w:r>
      <w:r>
        <w:rPr>
          <w:sz w:val="22"/>
          <w:szCs w:val="22"/>
        </w:rPr>
        <w:t>2.</w:t>
      </w:r>
      <w:r w:rsidRPr="00D67EE7">
        <w:rPr>
          <w:sz w:val="22"/>
          <w:szCs w:val="22"/>
        </w:rPr>
        <w:t>5</w:t>
      </w:r>
      <w:r w:rsidRPr="00D67EE7">
        <w:rPr>
          <w:sz w:val="22"/>
          <w:szCs w:val="22"/>
          <w:vertAlign w:val="superscript"/>
        </w:rPr>
        <w:t>th</w:t>
      </w:r>
      <w:r w:rsidRPr="00D67EE7">
        <w:rPr>
          <w:sz w:val="22"/>
          <w:szCs w:val="22"/>
        </w:rPr>
        <w:t xml:space="preserve"> and 9</w:t>
      </w:r>
      <w:r>
        <w:rPr>
          <w:sz w:val="22"/>
          <w:szCs w:val="22"/>
        </w:rPr>
        <w:t>7.5</w:t>
      </w:r>
      <w:r w:rsidRPr="00D67EE7">
        <w:rPr>
          <w:sz w:val="22"/>
          <w:szCs w:val="22"/>
          <w:vertAlign w:val="superscript"/>
        </w:rPr>
        <w:t>th</w:t>
      </w:r>
      <w:r w:rsidRPr="00D67EE7">
        <w:rPr>
          <w:sz w:val="22"/>
          <w:szCs w:val="22"/>
        </w:rPr>
        <w:t xml:space="preserve"> percentile) peak plasma concentration of 25 (12 -50) </w:t>
      </w:r>
      <w:proofErr w:type="spellStart"/>
      <w:r w:rsidRPr="00D67EE7">
        <w:rPr>
          <w:sz w:val="22"/>
          <w:szCs w:val="22"/>
        </w:rPr>
        <w:t>μg</w:t>
      </w:r>
      <w:proofErr w:type="spellEnd"/>
      <w:r w:rsidRPr="00D67EE7">
        <w:rPr>
          <w:sz w:val="22"/>
          <w:szCs w:val="22"/>
        </w:rPr>
        <w:t xml:space="preserve">/ml, between </w:t>
      </w:r>
      <w:proofErr w:type="gramStart"/>
      <w:r w:rsidRPr="00D67EE7">
        <w:rPr>
          <w:sz w:val="22"/>
          <w:szCs w:val="22"/>
        </w:rPr>
        <w:t>3 and 4 days</w:t>
      </w:r>
      <w:proofErr w:type="gramEnd"/>
      <w:r w:rsidRPr="00D67EE7">
        <w:rPr>
          <w:sz w:val="22"/>
          <w:szCs w:val="22"/>
        </w:rPr>
        <w:t xml:space="preserve"> post dose. </w:t>
      </w:r>
    </w:p>
    <w:p w14:paraId="72CD9EAD" w14:textId="77777777" w:rsidR="00C011D7" w:rsidRPr="00D67EE7" w:rsidRDefault="00C011D7" w:rsidP="00330391">
      <w:pPr>
        <w:pStyle w:val="C-BodyText"/>
        <w:spacing w:before="0"/>
        <w:rPr>
          <w:sz w:val="22"/>
          <w:szCs w:val="22"/>
        </w:rPr>
      </w:pPr>
      <w:r w:rsidRPr="00D67EE7">
        <w:rPr>
          <w:sz w:val="22"/>
          <w:szCs w:val="22"/>
        </w:rPr>
        <w:t xml:space="preserve">Population pharmacokinetic analysis showed that </w:t>
      </w:r>
      <w:proofErr w:type="spellStart"/>
      <w:r w:rsidRPr="00D67EE7">
        <w:rPr>
          <w:sz w:val="22"/>
          <w:szCs w:val="22"/>
        </w:rPr>
        <w:t>bimekizumab</w:t>
      </w:r>
      <w:proofErr w:type="spellEnd"/>
      <w:r w:rsidRPr="00D67EE7">
        <w:rPr>
          <w:sz w:val="22"/>
          <w:szCs w:val="22"/>
        </w:rPr>
        <w:t xml:space="preserve"> was absorbed with an average absolute bioavailability of 70.1% in </w:t>
      </w:r>
      <w:r>
        <w:rPr>
          <w:sz w:val="22"/>
          <w:szCs w:val="22"/>
        </w:rPr>
        <w:t>healthy volunteers</w:t>
      </w:r>
      <w:r w:rsidRPr="00D67EE7">
        <w:rPr>
          <w:sz w:val="22"/>
          <w:szCs w:val="22"/>
        </w:rPr>
        <w:t>.</w:t>
      </w:r>
    </w:p>
    <w:p w14:paraId="069EB979" w14:textId="77777777" w:rsidR="002B2AB7" w:rsidRPr="007E2D65" w:rsidRDefault="00F353AF" w:rsidP="002F2DA9">
      <w:pPr>
        <w:pStyle w:val="Heading3"/>
      </w:pPr>
      <w:r w:rsidRPr="007E2D65">
        <w:t>Distribution</w:t>
      </w:r>
    </w:p>
    <w:p w14:paraId="5455DCD2" w14:textId="77777777" w:rsidR="007A229A" w:rsidRPr="00F53AF6" w:rsidRDefault="007A229A" w:rsidP="007A229A">
      <w:pPr>
        <w:pStyle w:val="C-BodyText"/>
        <w:spacing w:before="0"/>
        <w:rPr>
          <w:sz w:val="22"/>
          <w:szCs w:val="22"/>
        </w:rPr>
      </w:pPr>
      <w:r w:rsidRPr="00F53AF6">
        <w:rPr>
          <w:sz w:val="22"/>
          <w:szCs w:val="22"/>
        </w:rPr>
        <w:t xml:space="preserve">Based on population pharmacokinetic analyses, the </w:t>
      </w:r>
      <w:r>
        <w:rPr>
          <w:sz w:val="22"/>
          <w:szCs w:val="22"/>
        </w:rPr>
        <w:t>median (coefficient of variation %)</w:t>
      </w:r>
      <w:r w:rsidRPr="00F53AF6">
        <w:rPr>
          <w:sz w:val="22"/>
          <w:szCs w:val="22"/>
        </w:rPr>
        <w:t xml:space="preserve"> volume of </w:t>
      </w:r>
      <w:r>
        <w:rPr>
          <w:sz w:val="22"/>
          <w:szCs w:val="22"/>
        </w:rPr>
        <w:t>distribution (V/F)</w:t>
      </w:r>
      <w:r w:rsidRPr="00F53AF6">
        <w:rPr>
          <w:sz w:val="22"/>
          <w:szCs w:val="22"/>
        </w:rPr>
        <w:t xml:space="preserve"> at steady state was 11.2 </w:t>
      </w:r>
      <w:r>
        <w:rPr>
          <w:sz w:val="22"/>
          <w:szCs w:val="22"/>
        </w:rPr>
        <w:t xml:space="preserve">(30.5%) </w:t>
      </w:r>
      <w:r w:rsidRPr="00F53AF6">
        <w:rPr>
          <w:sz w:val="22"/>
          <w:szCs w:val="22"/>
        </w:rPr>
        <w:t>L in plaque psoriasis patients.</w:t>
      </w:r>
    </w:p>
    <w:p w14:paraId="73761B39" w14:textId="77777777" w:rsidR="002B2AB7" w:rsidRPr="007E2D65" w:rsidRDefault="00F353AF" w:rsidP="002F2DA9">
      <w:pPr>
        <w:pStyle w:val="Heading3"/>
      </w:pPr>
      <w:r w:rsidRPr="007E2D65">
        <w:lastRenderedPageBreak/>
        <w:t>Metabolism</w:t>
      </w:r>
    </w:p>
    <w:p w14:paraId="14FF5065" w14:textId="68A8FC85" w:rsidR="002B2AB7" w:rsidRPr="007E2D65" w:rsidRDefault="00954A5A" w:rsidP="00142A7A">
      <w:pPr>
        <w:rPr>
          <w:rFonts w:ascii="Times New Roman" w:hAnsi="Times New Roman" w:cs="Times New Roman"/>
        </w:rPr>
      </w:pPr>
      <w:proofErr w:type="spellStart"/>
      <w:r w:rsidRPr="00954A5A">
        <w:rPr>
          <w:rFonts w:ascii="Times New Roman" w:hAnsi="Times New Roman" w:cs="Times New Roman"/>
        </w:rPr>
        <w:t>Bimekizumab</w:t>
      </w:r>
      <w:proofErr w:type="spellEnd"/>
      <w:r w:rsidRPr="00954A5A">
        <w:rPr>
          <w:rFonts w:ascii="Times New Roman" w:hAnsi="Times New Roman" w:cs="Times New Roman"/>
        </w:rPr>
        <w:t xml:space="preserve"> is a monoclonal antibody and is expected to be degraded into small peptides and amino acids via catabolic pathways in the same manner as endogenous immunoglobulins.</w:t>
      </w:r>
    </w:p>
    <w:p w14:paraId="21BC01BE" w14:textId="77777777" w:rsidR="002B2AB7" w:rsidRPr="007E2D65" w:rsidRDefault="00F353AF" w:rsidP="002F2DA9">
      <w:pPr>
        <w:pStyle w:val="Heading3"/>
      </w:pPr>
      <w:r w:rsidRPr="007E2D65">
        <w:t>Excretion</w:t>
      </w:r>
    </w:p>
    <w:p w14:paraId="00AB1AE8" w14:textId="30161DFD" w:rsidR="00E3376C" w:rsidRPr="00E3376C" w:rsidRDefault="00E3376C" w:rsidP="00E3376C">
      <w:pPr>
        <w:rPr>
          <w:rFonts w:ascii="Times New Roman" w:hAnsi="Times New Roman" w:cs="Times New Roman"/>
        </w:rPr>
      </w:pPr>
      <w:r w:rsidRPr="00E3376C">
        <w:rPr>
          <w:rFonts w:ascii="Times New Roman" w:hAnsi="Times New Roman" w:cs="Times New Roman"/>
        </w:rPr>
        <w:t xml:space="preserve">Based on population pharmacokinetic analyses, the median (coefficient of variation %) apparent clearance (CL/F) of </w:t>
      </w:r>
      <w:proofErr w:type="spellStart"/>
      <w:r w:rsidRPr="00E3376C">
        <w:rPr>
          <w:rFonts w:ascii="Times New Roman" w:hAnsi="Times New Roman" w:cs="Times New Roman"/>
        </w:rPr>
        <w:t>bimekizumab</w:t>
      </w:r>
      <w:proofErr w:type="spellEnd"/>
      <w:r w:rsidRPr="00E3376C">
        <w:rPr>
          <w:rFonts w:ascii="Times New Roman" w:hAnsi="Times New Roman" w:cs="Times New Roman"/>
        </w:rPr>
        <w:t xml:space="preserve"> was 0.337 L/day (32.7%) and the mean terminal elimination half-life of </w:t>
      </w:r>
      <w:proofErr w:type="spellStart"/>
      <w:r w:rsidRPr="00E3376C">
        <w:rPr>
          <w:rFonts w:ascii="Times New Roman" w:hAnsi="Times New Roman" w:cs="Times New Roman"/>
        </w:rPr>
        <w:t>bimekizumab</w:t>
      </w:r>
      <w:proofErr w:type="spellEnd"/>
      <w:r w:rsidRPr="00E3376C">
        <w:rPr>
          <w:rFonts w:ascii="Times New Roman" w:hAnsi="Times New Roman" w:cs="Times New Roman"/>
        </w:rPr>
        <w:t xml:space="preserve"> was 23 days in clinical studies in patients with plaque psoriasis.</w:t>
      </w:r>
    </w:p>
    <w:p w14:paraId="3F33E988" w14:textId="77777777" w:rsidR="00E3376C" w:rsidRPr="00E3376C" w:rsidRDefault="00E3376C" w:rsidP="00E3376C">
      <w:pPr>
        <w:rPr>
          <w:rFonts w:ascii="Times New Roman" w:hAnsi="Times New Roman" w:cs="Times New Roman"/>
        </w:rPr>
      </w:pPr>
      <w:r w:rsidRPr="00E3376C">
        <w:rPr>
          <w:rFonts w:ascii="Times New Roman" w:hAnsi="Times New Roman" w:cs="Times New Roman"/>
        </w:rPr>
        <w:t>Based on simulated data, the median (2.5th and 97.5th percentile) peak and trough concentration at steady-state following subcutaneous administration of 320 mg every 4 weeks are 43 (20-91) µg/ml and 20 (7-50) µg/ml respectively and steady-state is reached after approximately 16 weeks with every 4 weeks dosing regimen. Compared with exposure after a single dose, the population pharmacokinetic analysis showed that patients exhibited a 1.74-fold increase in peak plasma concentrations and area under the curve (AUC) following repeated four weekly dosing.</w:t>
      </w:r>
    </w:p>
    <w:p w14:paraId="449BA1B3" w14:textId="0E6CC716" w:rsidR="002B2AB7" w:rsidRDefault="00E3376C" w:rsidP="00E3376C">
      <w:pPr>
        <w:rPr>
          <w:rFonts w:ascii="Times New Roman" w:hAnsi="Times New Roman" w:cs="Times New Roman"/>
        </w:rPr>
      </w:pPr>
      <w:r w:rsidRPr="00E3376C">
        <w:rPr>
          <w:rFonts w:ascii="Times New Roman" w:hAnsi="Times New Roman" w:cs="Times New Roman"/>
        </w:rPr>
        <w:t xml:space="preserve">After switching from the 320 mg every 4 weeks dosing regimen to 320 mg every 8 weeks dosing regimen at Week 16, </w:t>
      </w:r>
      <w:proofErr w:type="gramStart"/>
      <w:r w:rsidRPr="00E3376C">
        <w:rPr>
          <w:rFonts w:ascii="Times New Roman" w:hAnsi="Times New Roman" w:cs="Times New Roman"/>
        </w:rPr>
        <w:t>steady-state</w:t>
      </w:r>
      <w:proofErr w:type="gramEnd"/>
      <w:r w:rsidRPr="00E3376C">
        <w:rPr>
          <w:rFonts w:ascii="Times New Roman" w:hAnsi="Times New Roman" w:cs="Times New Roman"/>
        </w:rPr>
        <w:t xml:space="preserve"> is achieved approximately 16 weeks after the switch. Median (2.5th and 97.5th percentile) peak and trough plasma concentrations are 30 (14 -60) </w:t>
      </w:r>
      <w:proofErr w:type="spellStart"/>
      <w:r w:rsidRPr="00E3376C">
        <w:rPr>
          <w:rFonts w:ascii="Times New Roman" w:hAnsi="Times New Roman" w:cs="Times New Roman"/>
        </w:rPr>
        <w:t>μg</w:t>
      </w:r>
      <w:proofErr w:type="spellEnd"/>
      <w:r w:rsidRPr="00E3376C">
        <w:rPr>
          <w:rFonts w:ascii="Times New Roman" w:hAnsi="Times New Roman" w:cs="Times New Roman"/>
        </w:rPr>
        <w:t xml:space="preserve">/ml and 5 (1-16) </w:t>
      </w:r>
      <w:proofErr w:type="spellStart"/>
      <w:r w:rsidRPr="00E3376C">
        <w:rPr>
          <w:rFonts w:ascii="Times New Roman" w:hAnsi="Times New Roman" w:cs="Times New Roman"/>
        </w:rPr>
        <w:t>μg</w:t>
      </w:r>
      <w:proofErr w:type="spellEnd"/>
      <w:r w:rsidRPr="00E3376C">
        <w:rPr>
          <w:rFonts w:ascii="Times New Roman" w:hAnsi="Times New Roman" w:cs="Times New Roman"/>
        </w:rPr>
        <w:t>/ml respectively</w:t>
      </w:r>
      <w:r w:rsidR="00726EA0">
        <w:rPr>
          <w:rFonts w:ascii="Times New Roman" w:hAnsi="Times New Roman" w:cs="Times New Roman"/>
        </w:rPr>
        <w:t>.</w:t>
      </w:r>
    </w:p>
    <w:p w14:paraId="31FD6385" w14:textId="77777777" w:rsidR="00726EA0" w:rsidRPr="007E2D65" w:rsidRDefault="00726EA0" w:rsidP="00726EA0">
      <w:pPr>
        <w:pStyle w:val="Heading3"/>
      </w:pPr>
      <w:r w:rsidRPr="007E2D65">
        <w:t>Pharmacokinetic/pharmacodynamic relationship</w:t>
      </w:r>
    </w:p>
    <w:p w14:paraId="60DFBC4E" w14:textId="77777777" w:rsidR="00726EA0" w:rsidRPr="007E2D65" w:rsidRDefault="00726EA0" w:rsidP="00726EA0">
      <w:pPr>
        <w:rPr>
          <w:rFonts w:ascii="Times New Roman" w:hAnsi="Times New Roman" w:cs="Times New Roman"/>
        </w:rPr>
      </w:pPr>
      <w:r w:rsidRPr="00726EA0">
        <w:rPr>
          <w:rFonts w:ascii="Times New Roman" w:hAnsi="Times New Roman" w:cs="Times New Roman"/>
        </w:rPr>
        <w:t xml:space="preserve">A population pharmacokinetic/pharmacodynamic model was developed using all available data in moderate to severe plaque psoriasis patients. The analysis showed that higher </w:t>
      </w:r>
      <w:proofErr w:type="spellStart"/>
      <w:r w:rsidRPr="00726EA0">
        <w:rPr>
          <w:rFonts w:ascii="Times New Roman" w:hAnsi="Times New Roman" w:cs="Times New Roman"/>
        </w:rPr>
        <w:t>bimekizumab</w:t>
      </w:r>
      <w:proofErr w:type="spellEnd"/>
      <w:r w:rsidRPr="00726EA0">
        <w:rPr>
          <w:rFonts w:ascii="Times New Roman" w:hAnsi="Times New Roman" w:cs="Times New Roman"/>
        </w:rPr>
        <w:t xml:space="preserve"> concentrations are related to better Psoriasis Area and Severity Index (PASI) and Investigators Global Assessment (IGA) response and a dose of 320 mg at Week 0, 4, 8, 12, 16 and every 8 weeks thereafter provides maximum benefit to the majority of moderate to severe plaque psoriasis patients (see special population, body weight).</w:t>
      </w:r>
    </w:p>
    <w:p w14:paraId="7EEB9946" w14:textId="79A7EC5D" w:rsidR="0016413B" w:rsidRDefault="0016413B" w:rsidP="0016413B">
      <w:pPr>
        <w:pStyle w:val="Heading3"/>
      </w:pPr>
      <w:r>
        <w:t>Special population</w:t>
      </w:r>
      <w:r w:rsidR="00490067">
        <w:t>s</w:t>
      </w:r>
    </w:p>
    <w:p w14:paraId="092C79F8" w14:textId="77777777" w:rsidR="00F80C67" w:rsidRPr="00F80C67" w:rsidRDefault="00F80C67" w:rsidP="00F80C67">
      <w:pPr>
        <w:tabs>
          <w:tab w:val="left" w:pos="709"/>
        </w:tabs>
        <w:spacing w:after="120" w:line="280" w:lineRule="atLeast"/>
        <w:rPr>
          <w:rFonts w:ascii="Times New Roman" w:eastAsia="Times New Roman" w:hAnsi="Times New Roman" w:cs="Times New Roman"/>
          <w:bCs/>
          <w:i/>
          <w:iCs/>
          <w:u w:val="single"/>
          <w:lang w:val="en-GB"/>
        </w:rPr>
      </w:pPr>
      <w:r w:rsidRPr="00F80C67">
        <w:rPr>
          <w:rFonts w:ascii="Times New Roman" w:eastAsia="Times New Roman" w:hAnsi="Times New Roman" w:cs="Times New Roman"/>
          <w:bCs/>
          <w:i/>
          <w:iCs/>
          <w:u w:val="single"/>
          <w:lang w:val="en-GB"/>
        </w:rPr>
        <w:t>Elderly</w:t>
      </w:r>
    </w:p>
    <w:p w14:paraId="0A4FDF89" w14:textId="77777777" w:rsidR="00F80C67" w:rsidRPr="00F80C67" w:rsidRDefault="00F80C67" w:rsidP="00F80C67">
      <w:pPr>
        <w:spacing w:after="120" w:line="280" w:lineRule="atLeast"/>
        <w:rPr>
          <w:rFonts w:ascii="Times New Roman" w:eastAsia="Times New Roman" w:hAnsi="Times New Roman" w:cs="Calibri"/>
          <w:lang w:val="en-GB"/>
        </w:rPr>
      </w:pPr>
      <w:r w:rsidRPr="00F80C67">
        <w:rPr>
          <w:rFonts w:ascii="Times New Roman" w:eastAsia="Times New Roman" w:hAnsi="Times New Roman" w:cs="Arial"/>
          <w:lang w:val="en-GB"/>
        </w:rPr>
        <w:t xml:space="preserve">Based on population pharmacokinetic analysis with a limited number of elderly patients (n = </w:t>
      </w:r>
      <w:r w:rsidRPr="00F80C67">
        <w:rPr>
          <w:rFonts w:ascii="Times New Roman" w:eastAsia="Times New Roman" w:hAnsi="Times New Roman" w:cs="Arial"/>
          <w:bCs/>
          <w:lang w:val="en-GB"/>
        </w:rPr>
        <w:t>110</w:t>
      </w:r>
      <w:r w:rsidRPr="00F80C67">
        <w:rPr>
          <w:rFonts w:ascii="Times New Roman" w:eastAsia="Times New Roman" w:hAnsi="Times New Roman" w:cs="Arial"/>
          <w:lang w:val="en-GB"/>
        </w:rPr>
        <w:t xml:space="preserve"> for age ≥ 65 years and n = </w:t>
      </w:r>
      <w:r w:rsidRPr="00F80C67">
        <w:rPr>
          <w:rFonts w:ascii="Times New Roman" w:eastAsia="Times New Roman" w:hAnsi="Times New Roman" w:cs="Arial"/>
          <w:bCs/>
          <w:lang w:val="en-GB"/>
        </w:rPr>
        <w:t>14</w:t>
      </w:r>
      <w:r w:rsidRPr="00F80C67">
        <w:rPr>
          <w:rFonts w:ascii="Times New Roman" w:eastAsia="Times New Roman" w:hAnsi="Times New Roman" w:cs="Arial"/>
          <w:lang w:val="en-GB"/>
        </w:rPr>
        <w:t xml:space="preserve"> for age ≥ 75 years), apparent clearance (CL/F) in elderly patients and patients less than 65 years of age was similar. No dose adjustment is required.</w:t>
      </w:r>
    </w:p>
    <w:p w14:paraId="353F4657" w14:textId="77777777" w:rsidR="00F80C67" w:rsidRPr="00F80C67" w:rsidRDefault="00F80C67" w:rsidP="00F80C67">
      <w:pPr>
        <w:tabs>
          <w:tab w:val="left" w:pos="709"/>
        </w:tabs>
        <w:spacing w:after="120" w:line="280" w:lineRule="atLeast"/>
        <w:rPr>
          <w:rFonts w:ascii="Times New Roman" w:eastAsia="Times New Roman" w:hAnsi="Times New Roman" w:cs="Times New Roman"/>
          <w:bCs/>
          <w:i/>
          <w:iCs/>
          <w:u w:val="single"/>
          <w:lang w:val="en-GB"/>
        </w:rPr>
      </w:pPr>
      <w:r w:rsidRPr="00F80C67">
        <w:rPr>
          <w:rFonts w:ascii="Times New Roman" w:eastAsia="Times New Roman" w:hAnsi="Times New Roman" w:cs="Times New Roman"/>
          <w:bCs/>
          <w:i/>
          <w:iCs/>
          <w:u w:val="single"/>
          <w:lang w:val="en-GB"/>
        </w:rPr>
        <w:t>Renal or hepatic impairment</w:t>
      </w:r>
    </w:p>
    <w:p w14:paraId="577A3A97" w14:textId="0D41FECB" w:rsidR="00F80C67" w:rsidRPr="00F80C67" w:rsidRDefault="00F80C67" w:rsidP="00F80C67">
      <w:pPr>
        <w:tabs>
          <w:tab w:val="left" w:pos="567"/>
        </w:tabs>
        <w:spacing w:after="120" w:line="280" w:lineRule="atLeast"/>
        <w:rPr>
          <w:rFonts w:ascii="Times New Roman" w:eastAsia="Times New Roman" w:hAnsi="Times New Roman" w:cs="Times New Roman"/>
          <w:bCs/>
          <w:iCs/>
          <w:lang w:val="en-US"/>
        </w:rPr>
      </w:pPr>
      <w:r w:rsidRPr="00F80C67">
        <w:rPr>
          <w:rFonts w:ascii="Times New Roman" w:eastAsia="Times New Roman" w:hAnsi="Times New Roman" w:cs="Times New Roman"/>
          <w:bCs/>
          <w:iCs/>
          <w:lang w:val="en-US"/>
        </w:rPr>
        <w:t xml:space="preserve">No specific studies have been conducted to determine the effect of renal or hepatic impairment on the pharmacokinetics of </w:t>
      </w:r>
      <w:proofErr w:type="spellStart"/>
      <w:r w:rsidRPr="00F80C67">
        <w:rPr>
          <w:rFonts w:ascii="Times New Roman" w:eastAsia="Times New Roman" w:hAnsi="Times New Roman" w:cs="Times New Roman"/>
          <w:bCs/>
          <w:iCs/>
          <w:lang w:val="en-US"/>
        </w:rPr>
        <w:t>bimekizumab</w:t>
      </w:r>
      <w:proofErr w:type="spellEnd"/>
      <w:r w:rsidRPr="00F80C67">
        <w:rPr>
          <w:rFonts w:ascii="Times New Roman" w:eastAsia="Times New Roman" w:hAnsi="Times New Roman" w:cs="Times New Roman"/>
          <w:bCs/>
          <w:iCs/>
          <w:lang w:val="en-US"/>
        </w:rPr>
        <w:t>.</w:t>
      </w:r>
      <w:r w:rsidR="008F3DB9">
        <w:rPr>
          <w:rFonts w:ascii="Times New Roman" w:eastAsia="Times New Roman" w:hAnsi="Times New Roman" w:cs="Times New Roman"/>
          <w:bCs/>
          <w:iCs/>
          <w:lang w:val="en-US"/>
        </w:rPr>
        <w:t xml:space="preserve"> </w:t>
      </w:r>
      <w:r w:rsidR="008F3DB9" w:rsidRPr="008F3DB9">
        <w:rPr>
          <w:rFonts w:ascii="Times New Roman" w:eastAsia="Times New Roman" w:hAnsi="Times New Roman" w:cs="Times New Roman"/>
          <w:bCs/>
          <w:iCs/>
          <w:lang w:val="en-US"/>
        </w:rPr>
        <w:t>Caution should be taken in people with hepatic and renal dysfunction, due to the absence of data from these populations</w:t>
      </w:r>
      <w:r w:rsidR="00004700">
        <w:rPr>
          <w:rFonts w:ascii="Times New Roman" w:eastAsia="Times New Roman" w:hAnsi="Times New Roman" w:cs="Times New Roman"/>
          <w:bCs/>
          <w:iCs/>
          <w:lang w:val="en-US"/>
        </w:rPr>
        <w:t xml:space="preserve"> in the studies</w:t>
      </w:r>
      <w:r w:rsidR="008F3DB9">
        <w:rPr>
          <w:rFonts w:ascii="Times New Roman" w:eastAsia="Times New Roman" w:hAnsi="Times New Roman" w:cs="Times New Roman"/>
          <w:bCs/>
          <w:iCs/>
          <w:lang w:val="en-US"/>
        </w:rPr>
        <w:t>.</w:t>
      </w:r>
      <w:r w:rsidRPr="00F80C67">
        <w:rPr>
          <w:rFonts w:ascii="Times New Roman" w:eastAsia="Times New Roman" w:hAnsi="Times New Roman" w:cs="Times New Roman"/>
          <w:bCs/>
          <w:iCs/>
          <w:lang w:val="en-US"/>
        </w:rPr>
        <w:t xml:space="preserve"> The renal elimination of intact </w:t>
      </w:r>
      <w:proofErr w:type="spellStart"/>
      <w:r w:rsidRPr="00F80C67">
        <w:rPr>
          <w:rFonts w:ascii="Times New Roman" w:eastAsia="Times New Roman" w:hAnsi="Times New Roman" w:cs="Times New Roman"/>
          <w:bCs/>
          <w:iCs/>
          <w:lang w:val="en-US"/>
        </w:rPr>
        <w:t>bimekizumab</w:t>
      </w:r>
      <w:proofErr w:type="spellEnd"/>
      <w:r w:rsidRPr="00F80C67">
        <w:rPr>
          <w:rFonts w:ascii="Times New Roman" w:eastAsia="Times New Roman" w:hAnsi="Times New Roman" w:cs="Times New Roman"/>
          <w:bCs/>
          <w:iCs/>
          <w:lang w:val="en-US"/>
        </w:rPr>
        <w:t xml:space="preserve">, an IgG monoclonal antibody, is expected to be low and of minor importance. Similarly, </w:t>
      </w:r>
      <w:proofErr w:type="spellStart"/>
      <w:proofErr w:type="gramStart"/>
      <w:r w:rsidRPr="00F80C67">
        <w:rPr>
          <w:rFonts w:ascii="Times New Roman" w:eastAsia="Times New Roman" w:hAnsi="Times New Roman" w:cs="Times New Roman"/>
          <w:bCs/>
          <w:iCs/>
          <w:lang w:val="en-US"/>
        </w:rPr>
        <w:t>IgGs</w:t>
      </w:r>
      <w:proofErr w:type="spellEnd"/>
      <w:proofErr w:type="gramEnd"/>
      <w:r w:rsidRPr="00F80C67">
        <w:rPr>
          <w:rFonts w:ascii="Times New Roman" w:eastAsia="Times New Roman" w:hAnsi="Times New Roman" w:cs="Times New Roman"/>
          <w:bCs/>
          <w:iCs/>
          <w:lang w:val="en-US"/>
        </w:rPr>
        <w:t xml:space="preserve"> are mainly eliminated via intracellular catabolism and hepatic impairment is not expected to influence clearance of </w:t>
      </w:r>
      <w:proofErr w:type="spellStart"/>
      <w:r w:rsidRPr="00F80C67">
        <w:rPr>
          <w:rFonts w:ascii="Times New Roman" w:eastAsia="Times New Roman" w:hAnsi="Times New Roman" w:cs="Times New Roman"/>
          <w:bCs/>
          <w:iCs/>
          <w:lang w:val="en-US"/>
        </w:rPr>
        <w:t>bimekizumab</w:t>
      </w:r>
      <w:proofErr w:type="spellEnd"/>
      <w:r w:rsidRPr="00F80C67">
        <w:rPr>
          <w:rFonts w:ascii="Times New Roman" w:eastAsia="Times New Roman" w:hAnsi="Times New Roman" w:cs="Times New Roman"/>
          <w:bCs/>
          <w:iCs/>
          <w:lang w:val="en-US"/>
        </w:rPr>
        <w:t xml:space="preserve">. Based on population pharmacokinetic analyses, hepatic function markers (ALT/ bilirubin) did not have any impact on </w:t>
      </w:r>
      <w:proofErr w:type="spellStart"/>
      <w:r w:rsidRPr="00F80C67">
        <w:rPr>
          <w:rFonts w:ascii="Times New Roman" w:eastAsia="Times New Roman" w:hAnsi="Times New Roman" w:cs="Times New Roman"/>
          <w:bCs/>
          <w:iCs/>
          <w:lang w:val="en-US"/>
        </w:rPr>
        <w:t>bimekizumab</w:t>
      </w:r>
      <w:proofErr w:type="spellEnd"/>
      <w:r w:rsidRPr="00F80C67">
        <w:rPr>
          <w:rFonts w:ascii="Times New Roman" w:eastAsia="Times New Roman" w:hAnsi="Times New Roman" w:cs="Times New Roman"/>
          <w:bCs/>
          <w:iCs/>
          <w:lang w:val="en-US"/>
        </w:rPr>
        <w:t xml:space="preserve"> clearance in patients with plaque psoriasis.</w:t>
      </w:r>
    </w:p>
    <w:p w14:paraId="07269B89" w14:textId="77777777" w:rsidR="00F80C67" w:rsidRPr="00F80C67" w:rsidRDefault="00F80C67" w:rsidP="00F80C67">
      <w:pPr>
        <w:tabs>
          <w:tab w:val="left" w:pos="709"/>
        </w:tabs>
        <w:spacing w:after="120" w:line="280" w:lineRule="atLeast"/>
        <w:rPr>
          <w:rFonts w:ascii="Times New Roman" w:eastAsia="Times New Roman" w:hAnsi="Times New Roman" w:cs="Times New Roman"/>
          <w:bCs/>
          <w:i/>
          <w:iCs/>
          <w:u w:val="single"/>
          <w:lang w:val="en-GB"/>
        </w:rPr>
      </w:pPr>
      <w:r w:rsidRPr="00F80C67">
        <w:rPr>
          <w:rFonts w:ascii="Times New Roman" w:eastAsia="Times New Roman" w:hAnsi="Times New Roman" w:cs="Times New Roman"/>
          <w:bCs/>
          <w:i/>
          <w:iCs/>
          <w:u w:val="single"/>
          <w:lang w:val="en-GB"/>
        </w:rPr>
        <w:t xml:space="preserve">Body weight </w:t>
      </w:r>
    </w:p>
    <w:p w14:paraId="6F2980BA" w14:textId="059A2768" w:rsidR="00F80C67" w:rsidRPr="00F80C67" w:rsidRDefault="00F80C67" w:rsidP="00F80C67">
      <w:pPr>
        <w:spacing w:after="120" w:line="280" w:lineRule="atLeast"/>
        <w:rPr>
          <w:rFonts w:ascii="Times New Roman" w:eastAsia="Times New Roman" w:hAnsi="Times New Roman" w:cs="Times New Roman"/>
          <w:bCs/>
          <w:iCs/>
          <w:lang w:val="en-US"/>
        </w:rPr>
      </w:pPr>
      <w:r w:rsidRPr="00F80C67">
        <w:rPr>
          <w:rFonts w:ascii="Times New Roman" w:eastAsia="Times New Roman" w:hAnsi="Times New Roman" w:cs="Times New Roman"/>
          <w:bCs/>
          <w:iCs/>
          <w:lang w:val="en-US"/>
        </w:rPr>
        <w:t xml:space="preserve">Population pharmacokinetic modelling indicated that exposure decreased as body weight increased. The average plasma concentration in adult patients weighing ≥120 kg following a 320 mg </w:t>
      </w:r>
      <w:r w:rsidRPr="00F80C67">
        <w:rPr>
          <w:rFonts w:ascii="Times New Roman" w:eastAsia="Times New Roman" w:hAnsi="Times New Roman" w:cs="Times New Roman"/>
          <w:bCs/>
          <w:iCs/>
          <w:lang w:val="en-US"/>
        </w:rPr>
        <w:lastRenderedPageBreak/>
        <w:t>subcutaneous injection was predicted to be at least 30% lower than in adult patients weighing 90 kg. Dose adjustment may be appropriate in some patients (see section 4.2</w:t>
      </w:r>
      <w:r w:rsidR="006601C2">
        <w:rPr>
          <w:rFonts w:ascii="Times New Roman" w:eastAsia="Times New Roman" w:hAnsi="Times New Roman" w:cs="Times New Roman"/>
          <w:bCs/>
          <w:iCs/>
          <w:lang w:val="en-US"/>
        </w:rPr>
        <w:t xml:space="preserve"> Dose and method of administration</w:t>
      </w:r>
      <w:r w:rsidRPr="00F80C67">
        <w:rPr>
          <w:rFonts w:ascii="Times New Roman" w:eastAsia="Times New Roman" w:hAnsi="Times New Roman" w:cs="Times New Roman"/>
          <w:bCs/>
          <w:iCs/>
          <w:lang w:val="en-US"/>
        </w:rPr>
        <w:t>).</w:t>
      </w:r>
    </w:p>
    <w:p w14:paraId="263C54FC" w14:textId="77777777" w:rsidR="00F80C67" w:rsidRPr="00F80C67" w:rsidRDefault="00F80C67" w:rsidP="00F80C67">
      <w:pPr>
        <w:tabs>
          <w:tab w:val="left" w:pos="709"/>
        </w:tabs>
        <w:spacing w:after="120" w:line="280" w:lineRule="atLeast"/>
        <w:rPr>
          <w:rFonts w:ascii="Times New Roman" w:eastAsia="Times New Roman" w:hAnsi="Times New Roman" w:cs="Times New Roman"/>
          <w:bCs/>
          <w:i/>
          <w:iCs/>
          <w:u w:val="single"/>
          <w:lang w:val="en-GB"/>
        </w:rPr>
      </w:pPr>
      <w:r w:rsidRPr="00F80C67">
        <w:rPr>
          <w:rFonts w:ascii="Times New Roman" w:eastAsia="Times New Roman" w:hAnsi="Times New Roman" w:cs="Times New Roman"/>
          <w:bCs/>
          <w:i/>
          <w:iCs/>
          <w:u w:val="single"/>
          <w:lang w:val="en-GB"/>
        </w:rPr>
        <w:t>Race / Gender</w:t>
      </w:r>
    </w:p>
    <w:p w14:paraId="7395134C" w14:textId="77777777" w:rsidR="00F80C67" w:rsidRPr="00F80C67" w:rsidRDefault="00F80C67" w:rsidP="00F80C67">
      <w:pPr>
        <w:spacing w:after="120" w:line="280" w:lineRule="atLeast"/>
        <w:rPr>
          <w:rFonts w:ascii="Times New Roman" w:eastAsia="Times New Roman" w:hAnsi="Times New Roman" w:cs="Times New Roman"/>
          <w:lang w:val="en-US"/>
        </w:rPr>
      </w:pPr>
      <w:r w:rsidRPr="00F80C67">
        <w:rPr>
          <w:rFonts w:ascii="Times New Roman" w:eastAsia="Times New Roman" w:hAnsi="Times New Roman" w:cs="Times New Roman"/>
          <w:lang w:val="en-US"/>
        </w:rPr>
        <w:t xml:space="preserve">No clinically meaningful differences in </w:t>
      </w:r>
      <w:proofErr w:type="spellStart"/>
      <w:r w:rsidRPr="00F80C67">
        <w:rPr>
          <w:rFonts w:ascii="Times New Roman" w:eastAsia="Times New Roman" w:hAnsi="Times New Roman" w:cs="Times New Roman"/>
          <w:lang w:val="en-US"/>
        </w:rPr>
        <w:t>bimekizumab</w:t>
      </w:r>
      <w:proofErr w:type="spellEnd"/>
      <w:r w:rsidRPr="00F80C67">
        <w:rPr>
          <w:rFonts w:ascii="Times New Roman" w:eastAsia="Times New Roman" w:hAnsi="Times New Roman" w:cs="Times New Roman"/>
          <w:lang w:val="en-US"/>
        </w:rPr>
        <w:t xml:space="preserve"> exposure were observed in Japanese subjects compared to Caucasian subjects in a clinical pharmacokinetic study. No dose adjustment is required.</w:t>
      </w:r>
    </w:p>
    <w:p w14:paraId="39123CF3" w14:textId="77777777" w:rsidR="00F80C67" w:rsidRPr="00F80C67" w:rsidRDefault="00F80C67" w:rsidP="00F80C67">
      <w:pPr>
        <w:spacing w:after="120" w:line="280" w:lineRule="atLeast"/>
        <w:rPr>
          <w:rFonts w:ascii="Times New Roman" w:eastAsia="Times New Roman" w:hAnsi="Times New Roman" w:cs="Times New Roman"/>
          <w:lang w:val="en-US"/>
        </w:rPr>
      </w:pPr>
      <w:r w:rsidRPr="00F80C67">
        <w:rPr>
          <w:rFonts w:ascii="Times New Roman" w:eastAsia="Times New Roman" w:hAnsi="Times New Roman" w:cs="Times New Roman"/>
          <w:lang w:val="en-US"/>
        </w:rPr>
        <w:t xml:space="preserve">Population pharmacokinetic modelling indicated females may have 9% faster apparent clearance (CL/F) compared to males and it is not clinically meaningful. No dose adjustment is required. </w:t>
      </w:r>
    </w:p>
    <w:p w14:paraId="794246F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Preclinical safety data</w:t>
      </w:r>
    </w:p>
    <w:p w14:paraId="7EAA84FE" w14:textId="726DA42F" w:rsidR="002B2AB7" w:rsidRPr="007E2D65" w:rsidRDefault="00F353AF" w:rsidP="002F2DA9">
      <w:pPr>
        <w:pStyle w:val="Heading3"/>
      </w:pPr>
      <w:r w:rsidRPr="007E2D65">
        <w:t>Genotoxicity</w:t>
      </w:r>
    </w:p>
    <w:p w14:paraId="6EBCF4E3" w14:textId="25BF20B3" w:rsidR="002B2AB7" w:rsidRPr="007E2D65" w:rsidRDefault="005653B6" w:rsidP="00142A7A">
      <w:pPr>
        <w:rPr>
          <w:rFonts w:ascii="Times New Roman" w:hAnsi="Times New Roman" w:cs="Times New Roman"/>
        </w:rPr>
      </w:pPr>
      <w:r w:rsidRPr="005653B6">
        <w:rPr>
          <w:rFonts w:ascii="Times New Roman" w:hAnsi="Times New Roman" w:cs="Times New Roman"/>
        </w:rPr>
        <w:t xml:space="preserve">No </w:t>
      </w:r>
      <w:r w:rsidR="00F83714">
        <w:rPr>
          <w:rFonts w:ascii="Times New Roman" w:hAnsi="Times New Roman" w:cs="Times New Roman"/>
        </w:rPr>
        <w:t>genotoxicity</w:t>
      </w:r>
      <w:r w:rsidR="00F83714" w:rsidRPr="005653B6">
        <w:rPr>
          <w:rFonts w:ascii="Times New Roman" w:hAnsi="Times New Roman" w:cs="Times New Roman"/>
        </w:rPr>
        <w:t xml:space="preserve"> </w:t>
      </w:r>
      <w:r w:rsidRPr="005653B6">
        <w:rPr>
          <w:rFonts w:ascii="Times New Roman" w:hAnsi="Times New Roman" w:cs="Times New Roman"/>
        </w:rPr>
        <w:t xml:space="preserve">studies were conducted with </w:t>
      </w:r>
      <w:proofErr w:type="spellStart"/>
      <w:r w:rsidRPr="005653B6">
        <w:rPr>
          <w:rFonts w:ascii="Times New Roman" w:hAnsi="Times New Roman" w:cs="Times New Roman"/>
        </w:rPr>
        <w:t>bimekizumab</w:t>
      </w:r>
      <w:proofErr w:type="spellEnd"/>
      <w:r w:rsidRPr="005653B6">
        <w:rPr>
          <w:rFonts w:ascii="Times New Roman" w:hAnsi="Times New Roman" w:cs="Times New Roman"/>
        </w:rPr>
        <w:t xml:space="preserve">. However monoclonal antibodies are not expected to damage DNA or chromosomes. </w:t>
      </w:r>
    </w:p>
    <w:p w14:paraId="620BA8F7" w14:textId="77777777" w:rsidR="002B2AB7" w:rsidRPr="007E2D65" w:rsidRDefault="00F353AF" w:rsidP="002F2DA9">
      <w:pPr>
        <w:pStyle w:val="Heading3"/>
      </w:pPr>
      <w:r w:rsidRPr="007E2D65">
        <w:t>Carcinogenicity</w:t>
      </w:r>
    </w:p>
    <w:p w14:paraId="745DF959" w14:textId="6FDF26E4" w:rsidR="002B2AB7" w:rsidRPr="007E2D65" w:rsidRDefault="005653B6" w:rsidP="00142A7A">
      <w:pPr>
        <w:rPr>
          <w:rFonts w:ascii="Times New Roman" w:hAnsi="Times New Roman" w:cs="Times New Roman"/>
        </w:rPr>
      </w:pPr>
      <w:r w:rsidRPr="005653B6">
        <w:rPr>
          <w:rFonts w:ascii="Times New Roman" w:hAnsi="Times New Roman" w:cs="Times New Roman"/>
        </w:rPr>
        <w:t xml:space="preserve">No carcinogenicity studies were conducted with </w:t>
      </w:r>
      <w:proofErr w:type="spellStart"/>
      <w:r w:rsidRPr="005653B6">
        <w:rPr>
          <w:rFonts w:ascii="Times New Roman" w:hAnsi="Times New Roman" w:cs="Times New Roman"/>
        </w:rPr>
        <w:t>bimekizumab</w:t>
      </w:r>
      <w:proofErr w:type="spellEnd"/>
      <w:r w:rsidRPr="005653B6">
        <w:rPr>
          <w:rFonts w:ascii="Times New Roman" w:hAnsi="Times New Roman" w:cs="Times New Roman"/>
        </w:rPr>
        <w:t xml:space="preserve">. </w:t>
      </w:r>
    </w:p>
    <w:p w14:paraId="5433C191"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Pharmaceutical particulars</w:t>
      </w:r>
    </w:p>
    <w:p w14:paraId="6095C9CA"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List of excipients </w:t>
      </w:r>
    </w:p>
    <w:p w14:paraId="6D6B3CB9" w14:textId="2C613310" w:rsidR="00503965" w:rsidRPr="00395449" w:rsidRDefault="00503965" w:rsidP="00BB36E6">
      <w:pPr>
        <w:rPr>
          <w:rFonts w:ascii="Times New Roman" w:hAnsi="Times New Roman" w:cs="Times New Roman"/>
          <w:lang w:val="en-GB"/>
        </w:rPr>
      </w:pPr>
      <w:r w:rsidRPr="007E2D65">
        <w:rPr>
          <w:rFonts w:ascii="Times New Roman" w:hAnsi="Times New Roman" w:cs="Times New Roman"/>
          <w:lang w:val="en-GB"/>
        </w:rPr>
        <w:t xml:space="preserve">The inactive ingredients are </w:t>
      </w:r>
      <w:r w:rsidR="00BB36E6">
        <w:rPr>
          <w:rFonts w:ascii="Times New Roman" w:hAnsi="Times New Roman" w:cs="Times New Roman"/>
          <w:lang w:val="en-GB"/>
        </w:rPr>
        <w:t>g</w:t>
      </w:r>
      <w:r w:rsidR="00BB36E6" w:rsidRPr="00BB36E6">
        <w:rPr>
          <w:rFonts w:ascii="Times New Roman" w:hAnsi="Times New Roman" w:cs="Times New Roman"/>
          <w:lang w:val="en-GB"/>
        </w:rPr>
        <w:t>lycine</w:t>
      </w:r>
      <w:r w:rsidR="00BB36E6">
        <w:rPr>
          <w:rFonts w:ascii="Times New Roman" w:hAnsi="Times New Roman" w:cs="Times New Roman"/>
          <w:lang w:val="en-GB"/>
        </w:rPr>
        <w:t>, so</w:t>
      </w:r>
      <w:r w:rsidR="00BB36E6" w:rsidRPr="00BB36E6">
        <w:rPr>
          <w:rFonts w:ascii="Times New Roman" w:hAnsi="Times New Roman" w:cs="Times New Roman"/>
          <w:lang w:val="en-GB"/>
        </w:rPr>
        <w:t>dium acetate trihydrate</w:t>
      </w:r>
      <w:r w:rsidR="00395449">
        <w:rPr>
          <w:rFonts w:ascii="Times New Roman" w:hAnsi="Times New Roman" w:cs="Times New Roman"/>
          <w:lang w:val="en-GB"/>
        </w:rPr>
        <w:t>, a</w:t>
      </w:r>
      <w:r w:rsidR="00BB36E6" w:rsidRPr="00BB36E6">
        <w:rPr>
          <w:rFonts w:ascii="Times New Roman" w:hAnsi="Times New Roman" w:cs="Times New Roman"/>
          <w:lang w:val="en-GB"/>
        </w:rPr>
        <w:t>cetic acid</w:t>
      </w:r>
      <w:r w:rsidR="00395449">
        <w:rPr>
          <w:rFonts w:ascii="Times New Roman" w:hAnsi="Times New Roman" w:cs="Times New Roman"/>
          <w:lang w:val="en-GB"/>
        </w:rPr>
        <w:t>, p</w:t>
      </w:r>
      <w:r w:rsidR="00BB36E6" w:rsidRPr="00BB36E6">
        <w:rPr>
          <w:rFonts w:ascii="Times New Roman" w:hAnsi="Times New Roman" w:cs="Times New Roman"/>
          <w:lang w:val="en-GB"/>
        </w:rPr>
        <w:t>olysorbate 80</w:t>
      </w:r>
      <w:r w:rsidR="00395449">
        <w:rPr>
          <w:rFonts w:ascii="Times New Roman" w:hAnsi="Times New Roman" w:cs="Times New Roman"/>
          <w:lang w:val="en-GB"/>
        </w:rPr>
        <w:t>, w</w:t>
      </w:r>
      <w:r w:rsidR="00BB36E6" w:rsidRPr="00BB36E6">
        <w:rPr>
          <w:rFonts w:ascii="Times New Roman" w:hAnsi="Times New Roman" w:cs="Times New Roman"/>
          <w:lang w:val="en-GB"/>
        </w:rPr>
        <w:t>ater for injection</w:t>
      </w:r>
    </w:p>
    <w:p w14:paraId="46056617"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Incompatibilities </w:t>
      </w:r>
    </w:p>
    <w:p w14:paraId="582A54F3" w14:textId="010FF07F" w:rsidR="00503965" w:rsidRPr="007E2D65" w:rsidRDefault="007F0FF8" w:rsidP="00142A7A">
      <w:pPr>
        <w:rPr>
          <w:rFonts w:ascii="Times New Roman" w:hAnsi="Times New Roman" w:cs="Times New Roman"/>
        </w:rPr>
      </w:pPr>
      <w:r w:rsidRPr="007F0FF8">
        <w:rPr>
          <w:rFonts w:ascii="Times New Roman" w:hAnsi="Times New Roman" w:cs="Times New Roman"/>
        </w:rPr>
        <w:t>In the absence of compatibility studies, this medicinal product must not be mixed with other medicinal products.</w:t>
      </w:r>
    </w:p>
    <w:p w14:paraId="6B09CAE3" w14:textId="77777777" w:rsidR="002B2AB7" w:rsidRDefault="00F353AF" w:rsidP="0091038F">
      <w:pPr>
        <w:pStyle w:val="Heading2"/>
        <w:rPr>
          <w:rFonts w:ascii="Times New Roman" w:hAnsi="Times New Roman"/>
          <w:lang w:val="en-US"/>
        </w:rPr>
      </w:pPr>
      <w:r w:rsidRPr="007E2D65">
        <w:rPr>
          <w:rFonts w:ascii="Times New Roman" w:hAnsi="Times New Roman"/>
          <w:lang w:val="en-US"/>
        </w:rPr>
        <w:t xml:space="preserve">Shelf life </w:t>
      </w:r>
    </w:p>
    <w:p w14:paraId="59D1EA4D" w14:textId="3C6DB941" w:rsidR="00F01688" w:rsidRPr="00BC798A" w:rsidRDefault="008F6363" w:rsidP="00F01688">
      <w:pPr>
        <w:rPr>
          <w:rFonts w:ascii="Times New Roman" w:hAnsi="Times New Roman" w:cs="Times New Roman"/>
          <w:lang w:val="en-US"/>
        </w:rPr>
      </w:pPr>
      <w:r>
        <w:rPr>
          <w:rFonts w:ascii="Times New Roman" w:hAnsi="Times New Roman" w:cs="Times New Roman"/>
          <w:lang w:val="en-US"/>
        </w:rPr>
        <w:t>36</w:t>
      </w:r>
      <w:r w:rsidR="00F01688" w:rsidRPr="00BC798A">
        <w:rPr>
          <w:rFonts w:ascii="Times New Roman" w:hAnsi="Times New Roman" w:cs="Times New Roman"/>
          <w:lang w:val="en-US"/>
        </w:rPr>
        <w:t xml:space="preserve"> months.</w:t>
      </w:r>
    </w:p>
    <w:p w14:paraId="6DD02075"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storage </w:t>
      </w:r>
    </w:p>
    <w:p w14:paraId="47EE0531" w14:textId="77777777" w:rsidR="006F6D00" w:rsidRPr="006F6D00" w:rsidRDefault="006F6D00" w:rsidP="006F6D00">
      <w:pPr>
        <w:rPr>
          <w:rFonts w:ascii="Times New Roman" w:hAnsi="Times New Roman" w:cs="Times New Roman"/>
        </w:rPr>
      </w:pPr>
      <w:r w:rsidRPr="006F6D00">
        <w:rPr>
          <w:rFonts w:ascii="Times New Roman" w:hAnsi="Times New Roman" w:cs="Times New Roman"/>
        </w:rPr>
        <w:t>Store in a refrigerator (2°C – 8°C).</w:t>
      </w:r>
    </w:p>
    <w:p w14:paraId="114A0F4E" w14:textId="77777777" w:rsidR="006F6D00" w:rsidRPr="006F6D00" w:rsidRDefault="006F6D00" w:rsidP="006F6D00">
      <w:pPr>
        <w:rPr>
          <w:rFonts w:ascii="Times New Roman" w:hAnsi="Times New Roman" w:cs="Times New Roman"/>
        </w:rPr>
      </w:pPr>
      <w:r w:rsidRPr="006F6D00">
        <w:rPr>
          <w:rFonts w:ascii="Times New Roman" w:hAnsi="Times New Roman" w:cs="Times New Roman"/>
        </w:rPr>
        <w:t>Do not freeze.</w:t>
      </w:r>
    </w:p>
    <w:p w14:paraId="6139E964" w14:textId="0C0B0AE6" w:rsidR="006F6D00" w:rsidRPr="006F6D00" w:rsidRDefault="006F6D00" w:rsidP="006F6D00">
      <w:pPr>
        <w:rPr>
          <w:rFonts w:ascii="Times New Roman" w:hAnsi="Times New Roman" w:cs="Times New Roman"/>
        </w:rPr>
      </w:pPr>
      <w:r w:rsidRPr="006F6D00">
        <w:rPr>
          <w:rFonts w:ascii="Times New Roman" w:hAnsi="Times New Roman" w:cs="Times New Roman"/>
        </w:rPr>
        <w:t>Keep the pre-filled syringe</w:t>
      </w:r>
      <w:r w:rsidR="00947D7F">
        <w:rPr>
          <w:rFonts w:ascii="Times New Roman" w:hAnsi="Times New Roman" w:cs="Times New Roman"/>
        </w:rPr>
        <w:t xml:space="preserve"> or pen</w:t>
      </w:r>
      <w:r w:rsidRPr="006F6D00">
        <w:rPr>
          <w:rFonts w:ascii="Times New Roman" w:hAnsi="Times New Roman" w:cs="Times New Roman"/>
        </w:rPr>
        <w:t xml:space="preserve"> in the outer carton </w:t>
      </w:r>
      <w:proofErr w:type="gramStart"/>
      <w:r w:rsidRPr="006F6D00">
        <w:rPr>
          <w:rFonts w:ascii="Times New Roman" w:hAnsi="Times New Roman" w:cs="Times New Roman"/>
        </w:rPr>
        <w:t>in order to</w:t>
      </w:r>
      <w:proofErr w:type="gramEnd"/>
      <w:r w:rsidRPr="006F6D00">
        <w:rPr>
          <w:rFonts w:ascii="Times New Roman" w:hAnsi="Times New Roman" w:cs="Times New Roman"/>
        </w:rPr>
        <w:t xml:space="preserve"> protect from light.</w:t>
      </w:r>
    </w:p>
    <w:p w14:paraId="4112902D" w14:textId="3513437E" w:rsidR="00F01688" w:rsidRPr="007E2D65" w:rsidRDefault="006F6D00" w:rsidP="006F6D00">
      <w:pPr>
        <w:rPr>
          <w:rFonts w:ascii="Times New Roman" w:hAnsi="Times New Roman" w:cs="Times New Roman"/>
        </w:rPr>
      </w:pPr>
      <w:r w:rsidRPr="006F6D00">
        <w:rPr>
          <w:rFonts w:ascii="Times New Roman" w:hAnsi="Times New Roman" w:cs="Times New Roman"/>
        </w:rPr>
        <w:t xml:space="preserve">The </w:t>
      </w:r>
      <w:proofErr w:type="spellStart"/>
      <w:r w:rsidR="009259E4">
        <w:rPr>
          <w:rFonts w:ascii="Times New Roman" w:hAnsi="Times New Roman" w:cs="Times New Roman"/>
        </w:rPr>
        <w:t>Bimzelx</w:t>
      </w:r>
      <w:proofErr w:type="spellEnd"/>
      <w:r w:rsidRPr="006F6D00">
        <w:rPr>
          <w:rFonts w:ascii="Times New Roman" w:hAnsi="Times New Roman" w:cs="Times New Roman"/>
        </w:rPr>
        <w:t xml:space="preserve"> pre-filled syringe and pre-filled pen may be stored at room temperature (up to 25°C) for a single period of maximum 30 days with protection from light. Once removed from the refrigerator and stored under these conditions, discard after 30 days or by the expiry date printed on the container, whichever occurs first. A field for the date is provided on the carton to record the date removed from the refrigerator.</w:t>
      </w:r>
    </w:p>
    <w:p w14:paraId="2F218648"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Nature and contents of container </w:t>
      </w:r>
    </w:p>
    <w:p w14:paraId="769F0953" w14:textId="15229C83" w:rsidR="00D06FD6" w:rsidRPr="00DE1441" w:rsidRDefault="009259E4" w:rsidP="00D06FD6">
      <w:pPr>
        <w:pStyle w:val="C-BodyText"/>
        <w:shd w:val="clear" w:color="auto" w:fill="FFFFFF" w:themeFill="background1"/>
        <w:spacing w:before="0"/>
        <w:rPr>
          <w:b/>
          <w:sz w:val="22"/>
          <w:szCs w:val="22"/>
          <w:u w:val="single"/>
          <w:lang w:val="en-GB"/>
        </w:rPr>
      </w:pPr>
      <w:proofErr w:type="spellStart"/>
      <w:r>
        <w:rPr>
          <w:b/>
          <w:sz w:val="22"/>
          <w:szCs w:val="22"/>
          <w:u w:val="single"/>
          <w:lang w:val="en-GB"/>
        </w:rPr>
        <w:lastRenderedPageBreak/>
        <w:t>Bimzelx</w:t>
      </w:r>
      <w:proofErr w:type="spellEnd"/>
      <w:r w:rsidR="00D06FD6" w:rsidRPr="00DE1441">
        <w:rPr>
          <w:b/>
          <w:sz w:val="22"/>
          <w:szCs w:val="22"/>
          <w:u w:val="single"/>
          <w:lang w:val="en-GB"/>
        </w:rPr>
        <w:t xml:space="preserve"> 160 mg solution for injections in pre-filled syringe.</w:t>
      </w:r>
    </w:p>
    <w:p w14:paraId="4E35B368" w14:textId="77777777" w:rsidR="00D06FD6" w:rsidRDefault="00D06FD6" w:rsidP="00D06FD6">
      <w:pPr>
        <w:pStyle w:val="C-BodyText"/>
        <w:shd w:val="clear" w:color="auto" w:fill="FFFFFF" w:themeFill="background1"/>
        <w:spacing w:before="0"/>
        <w:rPr>
          <w:sz w:val="22"/>
          <w:szCs w:val="22"/>
          <w:lang w:val="en-GB"/>
        </w:rPr>
      </w:pPr>
      <w:r>
        <w:rPr>
          <w:sz w:val="22"/>
          <w:szCs w:val="22"/>
          <w:lang w:val="en-GB"/>
        </w:rPr>
        <w:t xml:space="preserve">One ml pre-filled syringe (type I glass) with a fluoropolymer-laminated </w:t>
      </w:r>
      <w:proofErr w:type="spellStart"/>
      <w:r>
        <w:rPr>
          <w:sz w:val="22"/>
          <w:szCs w:val="22"/>
          <w:lang w:val="en-GB"/>
        </w:rPr>
        <w:t>bromobutyl</w:t>
      </w:r>
      <w:proofErr w:type="spellEnd"/>
      <w:r>
        <w:rPr>
          <w:sz w:val="22"/>
          <w:szCs w:val="22"/>
          <w:lang w:val="en-GB"/>
        </w:rPr>
        <w:t xml:space="preserve"> rubber stopper, staked 27G, ½” thin wall needle, and a polypropylene rigid needle shield assembled in a passive safety device.</w:t>
      </w:r>
    </w:p>
    <w:p w14:paraId="49CD2635" w14:textId="77777777" w:rsidR="00D06FD6" w:rsidRDefault="00D06FD6" w:rsidP="00D06FD6">
      <w:pPr>
        <w:pStyle w:val="C-BodyText"/>
        <w:shd w:val="clear" w:color="auto" w:fill="FFFFFF" w:themeFill="background1"/>
        <w:spacing w:before="0"/>
        <w:rPr>
          <w:sz w:val="22"/>
          <w:szCs w:val="22"/>
          <w:lang w:val="en-GB"/>
        </w:rPr>
      </w:pPr>
      <w:r>
        <w:rPr>
          <w:sz w:val="22"/>
          <w:szCs w:val="22"/>
          <w:lang w:val="en-GB"/>
        </w:rPr>
        <w:t>Pack size of 2 pre-filled syringes.</w:t>
      </w:r>
    </w:p>
    <w:p w14:paraId="39FD40E6" w14:textId="6EF94A95" w:rsidR="00D06FD6" w:rsidRPr="00DE1441" w:rsidRDefault="009259E4" w:rsidP="00D06FD6">
      <w:pPr>
        <w:pStyle w:val="C-BodyText"/>
        <w:shd w:val="clear" w:color="auto" w:fill="FFFFFF" w:themeFill="background1"/>
        <w:spacing w:before="0"/>
        <w:rPr>
          <w:b/>
          <w:sz w:val="22"/>
          <w:szCs w:val="22"/>
          <w:u w:val="single"/>
          <w:lang w:val="en-GB"/>
        </w:rPr>
      </w:pPr>
      <w:proofErr w:type="spellStart"/>
      <w:r>
        <w:rPr>
          <w:b/>
          <w:sz w:val="22"/>
          <w:szCs w:val="22"/>
          <w:u w:val="single"/>
          <w:lang w:val="en-GB"/>
        </w:rPr>
        <w:t>Bimzelx</w:t>
      </w:r>
      <w:proofErr w:type="spellEnd"/>
      <w:r>
        <w:rPr>
          <w:b/>
          <w:sz w:val="22"/>
          <w:szCs w:val="22"/>
          <w:u w:val="single"/>
          <w:lang w:val="en-GB"/>
        </w:rPr>
        <w:t xml:space="preserve"> </w:t>
      </w:r>
      <w:r w:rsidR="00D06FD6" w:rsidRPr="00DE1441">
        <w:rPr>
          <w:b/>
          <w:sz w:val="22"/>
          <w:szCs w:val="22"/>
          <w:u w:val="single"/>
          <w:lang w:val="en-GB"/>
        </w:rPr>
        <w:t>160 mg solution for injections in pre-filled pen.</w:t>
      </w:r>
    </w:p>
    <w:p w14:paraId="43AF9B0F" w14:textId="77777777" w:rsidR="00D06FD6" w:rsidRDefault="00D06FD6" w:rsidP="00D06FD6">
      <w:pPr>
        <w:pStyle w:val="C-BodyText"/>
        <w:shd w:val="clear" w:color="auto" w:fill="FFFFFF" w:themeFill="background1"/>
        <w:spacing w:before="0"/>
        <w:rPr>
          <w:sz w:val="22"/>
          <w:szCs w:val="22"/>
          <w:lang w:val="en-GB"/>
        </w:rPr>
      </w:pPr>
      <w:r>
        <w:rPr>
          <w:sz w:val="22"/>
          <w:szCs w:val="22"/>
          <w:lang w:val="en-GB"/>
        </w:rPr>
        <w:t xml:space="preserve">One ml pre-filled pen containing a pre-filled syringe (type I glass) with a fluoropolymer-laminated </w:t>
      </w:r>
      <w:proofErr w:type="spellStart"/>
      <w:r>
        <w:rPr>
          <w:sz w:val="22"/>
          <w:szCs w:val="22"/>
          <w:lang w:val="en-GB"/>
        </w:rPr>
        <w:t>bromobutyl</w:t>
      </w:r>
      <w:proofErr w:type="spellEnd"/>
      <w:r>
        <w:rPr>
          <w:sz w:val="22"/>
          <w:szCs w:val="22"/>
          <w:lang w:val="en-GB"/>
        </w:rPr>
        <w:t xml:space="preserve"> rubber stopper, staked 27G, ½” thin wall needle, and a polypropylene rigid needle shield.</w:t>
      </w:r>
    </w:p>
    <w:p w14:paraId="2F164280" w14:textId="1AB0F263" w:rsidR="002B2AB7" w:rsidRPr="00D06FD6" w:rsidRDefault="00D06FD6" w:rsidP="00D06FD6">
      <w:pPr>
        <w:pStyle w:val="C-BodyText"/>
        <w:shd w:val="clear" w:color="auto" w:fill="FFFFFF" w:themeFill="background1"/>
        <w:spacing w:before="0"/>
        <w:rPr>
          <w:sz w:val="22"/>
          <w:szCs w:val="22"/>
          <w:lang w:val="en-GB"/>
        </w:rPr>
      </w:pPr>
      <w:r>
        <w:rPr>
          <w:sz w:val="22"/>
          <w:szCs w:val="22"/>
          <w:lang w:val="en-GB"/>
        </w:rPr>
        <w:t>Pack size of 2 pre-filled pens.</w:t>
      </w:r>
    </w:p>
    <w:p w14:paraId="0402003F"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 xml:space="preserve">Special precautions for disposal </w:t>
      </w:r>
    </w:p>
    <w:p w14:paraId="5BD018E6" w14:textId="77777777" w:rsidR="00072E52" w:rsidRPr="007E2D65" w:rsidRDefault="00BC798A" w:rsidP="00072E52">
      <w:pPr>
        <w:rPr>
          <w:rFonts w:ascii="Times New Roman" w:hAnsi="Times New Roman" w:cs="Times New Roman"/>
        </w:rPr>
      </w:pPr>
      <w:r w:rsidRPr="00BC798A">
        <w:rPr>
          <w:rFonts w:ascii="Times New Roman" w:hAnsi="Times New Roman" w:cs="Times New Roman"/>
        </w:rPr>
        <w:t>In Australia, any unused medicine or waste material should be disposed of by taking to your local pharmacy.</w:t>
      </w:r>
    </w:p>
    <w:p w14:paraId="5958093E" w14:textId="77777777" w:rsidR="002B2AB7" w:rsidRPr="007E2D65" w:rsidRDefault="00F353AF" w:rsidP="0091038F">
      <w:pPr>
        <w:pStyle w:val="Heading2"/>
        <w:rPr>
          <w:rFonts w:ascii="Times New Roman" w:hAnsi="Times New Roman"/>
          <w:lang w:val="en-US"/>
        </w:rPr>
      </w:pPr>
      <w:r w:rsidRPr="007E2D65">
        <w:rPr>
          <w:rFonts w:ascii="Times New Roman" w:hAnsi="Times New Roman"/>
          <w:lang w:val="en-US"/>
        </w:rPr>
        <w:t>Physicochemical properties</w:t>
      </w:r>
    </w:p>
    <w:p w14:paraId="216779A0" w14:textId="73EBD382" w:rsidR="002417C7" w:rsidRDefault="002417C7" w:rsidP="001B347D">
      <w:pPr>
        <w:spacing w:after="0"/>
        <w:rPr>
          <w:rFonts w:ascii="Times New Roman" w:hAnsi="Times New Roman" w:cs="Times New Roman"/>
          <w:vertAlign w:val="superscript"/>
        </w:rPr>
      </w:pPr>
      <w:r w:rsidRPr="007E2D65">
        <w:rPr>
          <w:rFonts w:ascii="Times New Roman" w:hAnsi="Times New Roman" w:cs="Times New Roman"/>
        </w:rPr>
        <w:t xml:space="preserve">Chemical Name: </w:t>
      </w:r>
      <w:r w:rsidR="00C412B4">
        <w:rPr>
          <w:rFonts w:ascii="Times New Roman" w:hAnsi="Times New Roman" w:cs="Times New Roman"/>
        </w:rPr>
        <w:t>Immunoglobulin G1</w:t>
      </w:r>
      <w:r w:rsidR="007F6CAB">
        <w:rPr>
          <w:rFonts w:ascii="Times New Roman" w:hAnsi="Times New Roman" w:cs="Times New Roman"/>
        </w:rPr>
        <w:t>, anti-IL17A</w:t>
      </w:r>
      <w:r w:rsidR="00142F1C">
        <w:rPr>
          <w:rFonts w:ascii="Times New Roman" w:hAnsi="Times New Roman" w:cs="Times New Roman"/>
        </w:rPr>
        <w:t xml:space="preserve"> and anti-IL17F</w:t>
      </w:r>
      <w:r w:rsidRPr="007E2D65">
        <w:rPr>
          <w:rFonts w:ascii="Times New Roman" w:hAnsi="Times New Roman" w:cs="Times New Roman"/>
        </w:rPr>
        <w:br/>
      </w:r>
      <w:r w:rsidR="001B347D">
        <w:rPr>
          <w:rFonts w:ascii="Times New Roman" w:hAnsi="Times New Roman" w:cs="Times New Roman"/>
        </w:rPr>
        <w:t>Nominal theoretical molecular mass</w:t>
      </w:r>
      <w:r w:rsidRPr="007E2D65">
        <w:rPr>
          <w:rFonts w:ascii="Times New Roman" w:hAnsi="Times New Roman" w:cs="Times New Roman"/>
        </w:rPr>
        <w:t xml:space="preserve">: approximately </w:t>
      </w:r>
      <w:r w:rsidR="00193A91">
        <w:rPr>
          <w:rFonts w:ascii="Times New Roman" w:hAnsi="Times New Roman" w:cs="Times New Roman"/>
        </w:rPr>
        <w:t>149</w:t>
      </w:r>
      <w:r w:rsidR="00177075">
        <w:rPr>
          <w:rFonts w:ascii="Times New Roman" w:hAnsi="Times New Roman" w:cs="Times New Roman"/>
        </w:rPr>
        <w:t>,886</w:t>
      </w:r>
      <w:r w:rsidRPr="007E2D65">
        <w:rPr>
          <w:rFonts w:ascii="Times New Roman" w:hAnsi="Times New Roman" w:cs="Times New Roman"/>
        </w:rPr>
        <w:t xml:space="preserve"> </w:t>
      </w:r>
      <w:proofErr w:type="spellStart"/>
      <w:r w:rsidRPr="007E2D65">
        <w:rPr>
          <w:rFonts w:ascii="Times New Roman" w:hAnsi="Times New Roman" w:cs="Times New Roman"/>
        </w:rPr>
        <w:t>Da</w:t>
      </w:r>
      <w:r w:rsidR="00177075" w:rsidRPr="00177075">
        <w:rPr>
          <w:rFonts w:ascii="Times New Roman" w:hAnsi="Times New Roman" w:cs="Times New Roman"/>
          <w:vertAlign w:val="superscript"/>
        </w:rPr>
        <w:t>a</w:t>
      </w:r>
      <w:proofErr w:type="spellEnd"/>
    </w:p>
    <w:p w14:paraId="68BC6727" w14:textId="57E5EAEF" w:rsidR="00177075" w:rsidRPr="001B347D" w:rsidRDefault="00177075" w:rsidP="002417C7">
      <w:pPr>
        <w:rPr>
          <w:rFonts w:ascii="Times New Roman" w:hAnsi="Times New Roman" w:cs="Times New Roman"/>
          <w:sz w:val="18"/>
          <w:szCs w:val="18"/>
        </w:rPr>
      </w:pPr>
      <w:proofErr w:type="spellStart"/>
      <w:r w:rsidRPr="001B347D">
        <w:rPr>
          <w:rFonts w:ascii="Times New Roman" w:hAnsi="Times New Roman" w:cs="Times New Roman"/>
          <w:sz w:val="18"/>
          <w:szCs w:val="18"/>
          <w:vertAlign w:val="superscript"/>
        </w:rPr>
        <w:t>a</w:t>
      </w:r>
      <w:r w:rsidRPr="001B347D">
        <w:rPr>
          <w:rFonts w:ascii="Times New Roman" w:hAnsi="Times New Roman" w:cs="Times New Roman"/>
          <w:sz w:val="18"/>
          <w:szCs w:val="18"/>
        </w:rPr>
        <w:t>Theoretical</w:t>
      </w:r>
      <w:proofErr w:type="spellEnd"/>
      <w:r w:rsidRPr="001B347D">
        <w:rPr>
          <w:rFonts w:ascii="Times New Roman" w:hAnsi="Times New Roman" w:cs="Times New Roman"/>
          <w:sz w:val="18"/>
          <w:szCs w:val="18"/>
        </w:rPr>
        <w:t xml:space="preserve"> </w:t>
      </w:r>
      <w:r w:rsidR="001B347D" w:rsidRPr="001B347D">
        <w:rPr>
          <w:rFonts w:ascii="Times New Roman" w:hAnsi="Times New Roman" w:cs="Times New Roman"/>
          <w:sz w:val="18"/>
          <w:szCs w:val="18"/>
        </w:rPr>
        <w:t>mass based on presence of G0F glycans and clipped heavy chain C-terminal modifications</w:t>
      </w:r>
    </w:p>
    <w:p w14:paraId="19B1AA65" w14:textId="5CB157DA" w:rsidR="009566E2" w:rsidRDefault="0066701C" w:rsidP="002F2DA9">
      <w:pPr>
        <w:pStyle w:val="Heading3"/>
        <w:rPr>
          <w:rStyle w:val="KendleHiddenChar"/>
          <w:noProof/>
          <w:vanish w:val="0"/>
        </w:rPr>
      </w:pPr>
      <w:r w:rsidRPr="007E2D65">
        <w:t>Chemical structure</w:t>
      </w:r>
    </w:p>
    <w:p w14:paraId="1A84359E" w14:textId="250F0ED1" w:rsidR="008258BF" w:rsidRPr="007E2D65" w:rsidRDefault="008258BF" w:rsidP="008258BF">
      <w:r>
        <w:rPr>
          <w:noProof/>
        </w:rPr>
        <w:drawing>
          <wp:inline distT="0" distB="0" distL="0" distR="0" wp14:anchorId="4DB81E66" wp14:editId="2B730AEB">
            <wp:extent cx="5238750"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38750" cy="3467100"/>
                    </a:xfrm>
                    <a:prstGeom prst="rect">
                      <a:avLst/>
                    </a:prstGeom>
                  </pic:spPr>
                </pic:pic>
              </a:graphicData>
            </a:graphic>
          </wp:inline>
        </w:drawing>
      </w:r>
    </w:p>
    <w:p w14:paraId="4FE2B22B" w14:textId="77777777" w:rsidR="0066701C" w:rsidRPr="007E2D65" w:rsidRDefault="0066701C" w:rsidP="002417C7">
      <w:pPr>
        <w:pStyle w:val="Heading3"/>
      </w:pPr>
      <w:r w:rsidRPr="007E2D65">
        <w:t>CAS number</w:t>
      </w:r>
    </w:p>
    <w:p w14:paraId="46D9EE6B" w14:textId="36A5BCA7" w:rsidR="0066701C" w:rsidRDefault="001F06B7" w:rsidP="00142A7A">
      <w:pPr>
        <w:rPr>
          <w:rFonts w:ascii="Times New Roman" w:hAnsi="Times New Roman" w:cs="Times New Roman"/>
        </w:rPr>
      </w:pPr>
      <w:r w:rsidRPr="001F06B7">
        <w:rPr>
          <w:rFonts w:ascii="Times New Roman" w:hAnsi="Times New Roman" w:cs="Times New Roman"/>
        </w:rPr>
        <w:t>1418205-77-2</w:t>
      </w:r>
    </w:p>
    <w:p w14:paraId="545D82CD"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lastRenderedPageBreak/>
        <w:t>Medicine schedule (Poisons Standard)</w:t>
      </w:r>
    </w:p>
    <w:p w14:paraId="226FC3D9" w14:textId="77777777" w:rsidR="002B2AB7" w:rsidRPr="007E2D65" w:rsidRDefault="00FE5585" w:rsidP="00142A7A">
      <w:pPr>
        <w:rPr>
          <w:rFonts w:ascii="Times New Roman" w:hAnsi="Times New Roman" w:cs="Times New Roman"/>
        </w:rPr>
      </w:pPr>
      <w:r w:rsidRPr="007E2D65">
        <w:rPr>
          <w:rFonts w:ascii="Times New Roman" w:hAnsi="Times New Roman" w:cs="Times New Roman"/>
        </w:rPr>
        <w:t>S4</w:t>
      </w:r>
    </w:p>
    <w:p w14:paraId="34B91959"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Sponsor </w:t>
      </w:r>
    </w:p>
    <w:p w14:paraId="3C0E4A0B" w14:textId="77777777" w:rsidR="002B2AB7" w:rsidRDefault="006B17AE" w:rsidP="00142A7A">
      <w:pPr>
        <w:rPr>
          <w:rFonts w:ascii="Times New Roman" w:hAnsi="Times New Roman" w:cs="Times New Roman"/>
          <w:lang w:val="en-GB"/>
        </w:rPr>
      </w:pPr>
      <w:r w:rsidRPr="007E2D65">
        <w:rPr>
          <w:rFonts w:ascii="Times New Roman" w:hAnsi="Times New Roman" w:cs="Times New Roman"/>
          <w:lang w:val="en-GB"/>
        </w:rPr>
        <w:t>UCB Pharma</w:t>
      </w:r>
      <w:r w:rsidRPr="007E2D65">
        <w:rPr>
          <w:rFonts w:ascii="Times New Roman" w:hAnsi="Times New Roman" w:cs="Times New Roman"/>
          <w:lang w:val="en-GB"/>
        </w:rPr>
        <w:br/>
        <w:t>A division of UCB Australia Pty Ltd</w:t>
      </w:r>
      <w:r w:rsidRPr="007E2D65">
        <w:rPr>
          <w:rFonts w:ascii="Times New Roman" w:hAnsi="Times New Roman" w:cs="Times New Roman"/>
          <w:lang w:val="en-GB"/>
        </w:rPr>
        <w:br/>
        <w:t>Level 1, 1155 Malvern Road</w:t>
      </w:r>
      <w:r w:rsidRPr="007E2D65">
        <w:rPr>
          <w:rFonts w:ascii="Times New Roman" w:hAnsi="Times New Roman" w:cs="Times New Roman"/>
          <w:lang w:val="en-GB"/>
        </w:rPr>
        <w:br/>
        <w:t>Malvern VIC 3144, Australia</w:t>
      </w:r>
    </w:p>
    <w:p w14:paraId="0B3B5241" w14:textId="77777777" w:rsidR="00BC798A" w:rsidRDefault="00BC798A" w:rsidP="00BC798A">
      <w:pPr>
        <w:spacing w:after="0"/>
        <w:rPr>
          <w:rFonts w:ascii="Times New Roman" w:hAnsi="Times New Roman" w:cs="Times New Roman"/>
        </w:rPr>
      </w:pPr>
      <w:bookmarkStart w:id="16" w:name="_Hlk516062485"/>
      <w:r>
        <w:rPr>
          <w:rFonts w:ascii="Times New Roman" w:hAnsi="Times New Roman" w:cs="Times New Roman"/>
        </w:rPr>
        <w:t>Phone: +613 9828 1800</w:t>
      </w:r>
    </w:p>
    <w:p w14:paraId="7DCF3B4F"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Website: </w:t>
      </w:r>
      <w:hyperlink r:id="rId17" w:history="1">
        <w:r w:rsidRPr="00716242">
          <w:rPr>
            <w:rStyle w:val="Hyperlink"/>
            <w:rFonts w:ascii="Times New Roman" w:hAnsi="Times New Roman" w:cs="Times New Roman"/>
          </w:rPr>
          <w:t>www.ucbaustralia.com.au</w:t>
        </w:r>
      </w:hyperlink>
    </w:p>
    <w:p w14:paraId="122352A4" w14:textId="77777777" w:rsidR="00BC798A" w:rsidRDefault="00BC798A" w:rsidP="00BC798A">
      <w:pPr>
        <w:spacing w:after="0"/>
        <w:rPr>
          <w:rFonts w:ascii="Times New Roman" w:hAnsi="Times New Roman" w:cs="Times New Roman"/>
        </w:rPr>
      </w:pPr>
      <w:r>
        <w:rPr>
          <w:rFonts w:ascii="Times New Roman" w:hAnsi="Times New Roman" w:cs="Times New Roman"/>
        </w:rPr>
        <w:t xml:space="preserve">E-mail: </w:t>
      </w:r>
      <w:bookmarkStart w:id="17" w:name="_Hlk516068805"/>
      <w:r>
        <w:rPr>
          <w:rFonts w:ascii="Times New Roman" w:hAnsi="Times New Roman" w:cs="Times New Roman"/>
        </w:rPr>
        <w:t>medicalinformationAU@ucb.com</w:t>
      </w:r>
      <w:bookmarkEnd w:id="17"/>
    </w:p>
    <w:bookmarkEnd w:id="16"/>
    <w:p w14:paraId="70262AAD" w14:textId="77777777" w:rsidR="00BC798A" w:rsidRPr="007E2D65" w:rsidRDefault="00BC798A" w:rsidP="00142A7A">
      <w:pPr>
        <w:rPr>
          <w:rFonts w:ascii="Times New Roman" w:hAnsi="Times New Roman" w:cs="Times New Roman"/>
        </w:rPr>
      </w:pPr>
    </w:p>
    <w:p w14:paraId="03402B8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first approval  </w:t>
      </w:r>
    </w:p>
    <w:p w14:paraId="4FD2BD79" w14:textId="7F7ABE62" w:rsidR="002B2AB7" w:rsidRPr="007E2D65" w:rsidRDefault="00155DA5" w:rsidP="00142A7A">
      <w:pPr>
        <w:rPr>
          <w:rFonts w:ascii="Times New Roman" w:hAnsi="Times New Roman" w:cs="Times New Roman"/>
        </w:rPr>
      </w:pPr>
      <w:r>
        <w:rPr>
          <w:rFonts w:ascii="Times New Roman" w:hAnsi="Times New Roman" w:cs="Times New Roman"/>
        </w:rPr>
        <w:t>24</w:t>
      </w:r>
      <w:r w:rsidR="00631981">
        <w:rPr>
          <w:rFonts w:ascii="Times New Roman" w:hAnsi="Times New Roman" w:cs="Times New Roman"/>
        </w:rPr>
        <w:t xml:space="preserve"> March 2022</w:t>
      </w:r>
    </w:p>
    <w:p w14:paraId="62BBA638" w14:textId="77777777" w:rsidR="002B2AB7" w:rsidRPr="007E2D65" w:rsidRDefault="00F353AF" w:rsidP="00142A7A">
      <w:pPr>
        <w:pStyle w:val="Heading1"/>
        <w:rPr>
          <w:rFonts w:ascii="Times New Roman" w:hAnsi="Times New Roman" w:cs="Times New Roman"/>
          <w:lang w:val="en-US"/>
        </w:rPr>
      </w:pPr>
      <w:r w:rsidRPr="007E2D65">
        <w:rPr>
          <w:rFonts w:ascii="Times New Roman" w:hAnsi="Times New Roman" w:cs="Times New Roman"/>
          <w:lang w:val="en-US"/>
        </w:rPr>
        <w:t xml:space="preserve">Date of revision </w:t>
      </w:r>
    </w:p>
    <w:p w14:paraId="53E4AC53" w14:textId="7C9E471D" w:rsidR="002B2AB7" w:rsidRPr="007E2D65" w:rsidRDefault="00631981" w:rsidP="00142A7A">
      <w:pPr>
        <w:rPr>
          <w:rFonts w:ascii="Times New Roman" w:hAnsi="Times New Roman" w:cs="Times New Roman"/>
        </w:rPr>
      </w:pPr>
      <w:r>
        <w:rPr>
          <w:rFonts w:ascii="Times New Roman" w:hAnsi="Times New Roman" w:cs="Times New Roman"/>
        </w:rPr>
        <w:t>N/A</w:t>
      </w:r>
    </w:p>
    <w:p w14:paraId="06B3E145" w14:textId="77777777" w:rsidR="009F65E4" w:rsidRPr="007E2D65" w:rsidRDefault="009F65E4" w:rsidP="00072E52">
      <w:pPr>
        <w:pStyle w:val="Heading2"/>
        <w:numPr>
          <w:ilvl w:val="0"/>
          <w:numId w:val="0"/>
        </w:numPr>
        <w:ind w:left="576" w:hanging="576"/>
        <w:rPr>
          <w:rFonts w:ascii="Times New Roman" w:hAnsi="Times New Roman"/>
          <w:lang w:val="en-US"/>
        </w:rPr>
      </w:pPr>
      <w:r w:rsidRPr="007E2D65">
        <w:rPr>
          <w:rFonts w:ascii="Times New Roman" w:hAnsi="Times New Roman"/>
          <w:lang w:val="en-US"/>
        </w:rPr>
        <w:t>Summary table of changes</w:t>
      </w:r>
    </w:p>
    <w:tbl>
      <w:tblPr>
        <w:tblStyle w:val="LightGrid"/>
        <w:tblW w:w="0" w:type="auto"/>
        <w:tblCellMar>
          <w:top w:w="57" w:type="dxa"/>
          <w:bottom w:w="57" w:type="dxa"/>
        </w:tblCellMar>
        <w:tblLook w:val="06A0" w:firstRow="1" w:lastRow="0" w:firstColumn="1" w:lastColumn="0" w:noHBand="1" w:noVBand="1"/>
      </w:tblPr>
      <w:tblGrid>
        <w:gridCol w:w="1373"/>
        <w:gridCol w:w="7633"/>
      </w:tblGrid>
      <w:tr w:rsidR="009F65E4" w:rsidRPr="007E2D65" w14:paraId="333A935F" w14:textId="77777777" w:rsidTr="002A4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3" w:type="dxa"/>
            <w:shd w:val="clear" w:color="auto" w:fill="F2F2F2"/>
            <w:vAlign w:val="center"/>
          </w:tcPr>
          <w:p w14:paraId="3DD5C3DF" w14:textId="77777777" w:rsidR="009F65E4" w:rsidRPr="007E2D65" w:rsidRDefault="009F65E4" w:rsidP="002F2DA9">
            <w:pPr>
              <w:rPr>
                <w:rFonts w:ascii="Times New Roman" w:hAnsi="Times New Roman" w:cs="Times New Roman"/>
                <w:lang w:val="en-US"/>
              </w:rPr>
            </w:pPr>
            <w:r w:rsidRPr="007E2D65">
              <w:rPr>
                <w:rFonts w:ascii="Times New Roman" w:hAnsi="Times New Roman" w:cs="Times New Roman"/>
                <w:lang w:val="en-US"/>
              </w:rPr>
              <w:t>Section Changed</w:t>
            </w:r>
          </w:p>
        </w:tc>
        <w:tc>
          <w:tcPr>
            <w:tcW w:w="7633" w:type="dxa"/>
            <w:shd w:val="clear" w:color="auto" w:fill="F2F2F2"/>
            <w:vAlign w:val="center"/>
          </w:tcPr>
          <w:p w14:paraId="4CC81781" w14:textId="77777777" w:rsidR="009F65E4" w:rsidRPr="007E2D65" w:rsidRDefault="009F65E4" w:rsidP="002F2DA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7E2D65">
              <w:rPr>
                <w:rFonts w:ascii="Times New Roman" w:hAnsi="Times New Roman" w:cs="Times New Roman"/>
                <w:lang w:val="en-US"/>
              </w:rPr>
              <w:t>Summary of new information</w:t>
            </w:r>
          </w:p>
        </w:tc>
      </w:tr>
      <w:tr w:rsidR="009F65E4" w:rsidRPr="007E2D65" w14:paraId="2AB6F646" w14:textId="77777777" w:rsidTr="002A46A7">
        <w:tc>
          <w:tcPr>
            <w:cnfStyle w:val="001000000000" w:firstRow="0" w:lastRow="0" w:firstColumn="1" w:lastColumn="0" w:oddVBand="0" w:evenVBand="0" w:oddHBand="0" w:evenHBand="0" w:firstRowFirstColumn="0" w:firstRowLastColumn="0" w:lastRowFirstColumn="0" w:lastRowLastColumn="0"/>
            <w:tcW w:w="1373" w:type="dxa"/>
            <w:vAlign w:val="center"/>
          </w:tcPr>
          <w:p w14:paraId="69345F61" w14:textId="3C3D468F" w:rsidR="009F65E4" w:rsidRPr="007E2D65" w:rsidRDefault="001A5230" w:rsidP="002F2DA9">
            <w:pPr>
              <w:rPr>
                <w:rFonts w:ascii="Times New Roman" w:hAnsi="Times New Roman" w:cs="Times New Roman"/>
                <w:lang w:val="en-US"/>
              </w:rPr>
            </w:pPr>
            <w:r>
              <w:rPr>
                <w:rFonts w:ascii="Times New Roman" w:hAnsi="Times New Roman" w:cs="Times New Roman"/>
                <w:lang w:val="en-US"/>
              </w:rPr>
              <w:t>All</w:t>
            </w:r>
          </w:p>
        </w:tc>
        <w:tc>
          <w:tcPr>
            <w:tcW w:w="7633" w:type="dxa"/>
            <w:vAlign w:val="center"/>
          </w:tcPr>
          <w:p w14:paraId="193BEB1A" w14:textId="65A6CB1F" w:rsidR="009F65E4" w:rsidRPr="007E2D65" w:rsidRDefault="001A5230" w:rsidP="002F2DA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Initial Submission</w:t>
            </w:r>
          </w:p>
        </w:tc>
      </w:tr>
    </w:tbl>
    <w:p w14:paraId="2A305A58" w14:textId="77777777" w:rsidR="00072E52" w:rsidRPr="007E2D65" w:rsidRDefault="00072E52" w:rsidP="00930C38">
      <w:pPr>
        <w:rPr>
          <w:rFonts w:ascii="Times New Roman" w:hAnsi="Times New Roman" w:cs="Times New Roman"/>
        </w:rPr>
      </w:pPr>
    </w:p>
    <w:sectPr w:rsidR="00072E52" w:rsidRPr="007E2D65" w:rsidSect="008830F4">
      <w:headerReference w:type="default" r:id="rId18"/>
      <w:footerReference w:type="default" r:id="rId19"/>
      <w:pgSz w:w="11906" w:h="16838"/>
      <w:pgMar w:top="1440" w:right="1440" w:bottom="1440" w:left="1440" w:header="708" w:footer="8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6945" w14:textId="77777777" w:rsidR="007829FF" w:rsidRDefault="007829FF" w:rsidP="00142A7A">
      <w:r>
        <w:separator/>
      </w:r>
    </w:p>
  </w:endnote>
  <w:endnote w:type="continuationSeparator" w:id="0">
    <w:p w14:paraId="3FC7CF40" w14:textId="77777777" w:rsidR="007829FF" w:rsidRDefault="007829FF" w:rsidP="00142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AE83" w14:textId="1D0C9741" w:rsidR="004F6820" w:rsidRPr="001C32E6" w:rsidRDefault="004F6820" w:rsidP="009F65E4">
    <w:pPr>
      <w:pStyle w:val="Footer"/>
      <w:jc w:val="right"/>
      <w:rPr>
        <w:rFonts w:ascii="Times New Roman" w:hAnsi="Times New Roman" w:cs="Times New Roman"/>
        <w:sz w:val="20"/>
        <w:szCs w:val="20"/>
      </w:rPr>
    </w:pPr>
    <w:r w:rsidRPr="001C32E6">
      <w:rPr>
        <w:rFonts w:ascii="Times New Roman" w:hAnsi="Times New Roman" w:cs="Times New Roman"/>
        <w:sz w:val="20"/>
        <w:szCs w:val="20"/>
      </w:rPr>
      <w:t xml:space="preserve">Page </w:t>
    </w:r>
    <w:sdt>
      <w:sdtPr>
        <w:rPr>
          <w:rFonts w:ascii="Times New Roman" w:hAnsi="Times New Roman" w:cs="Times New Roman"/>
          <w:sz w:val="20"/>
          <w:szCs w:val="20"/>
        </w:rPr>
        <w:id w:val="-416639373"/>
        <w:docPartObj>
          <w:docPartGallery w:val="Page Numbers (Bottom of Page)"/>
          <w:docPartUnique/>
        </w:docPartObj>
      </w:sdtPr>
      <w:sdtEndPr>
        <w:rPr>
          <w:noProof/>
        </w:rPr>
      </w:sdtEndPr>
      <w:sdtContent>
        <w:r w:rsidRPr="001C32E6">
          <w:rPr>
            <w:rFonts w:ascii="Times New Roman" w:hAnsi="Times New Roman" w:cs="Times New Roman"/>
            <w:sz w:val="20"/>
            <w:szCs w:val="20"/>
          </w:rPr>
          <w:fldChar w:fldCharType="begin"/>
        </w:r>
        <w:r w:rsidRPr="001C32E6">
          <w:rPr>
            <w:rFonts w:ascii="Times New Roman" w:hAnsi="Times New Roman" w:cs="Times New Roman"/>
            <w:sz w:val="20"/>
            <w:szCs w:val="20"/>
          </w:rPr>
          <w:instrText xml:space="preserve"> PAGE   \* MERGEFORMAT </w:instrText>
        </w:r>
        <w:r w:rsidRPr="001C32E6">
          <w:rPr>
            <w:rFonts w:ascii="Times New Roman" w:hAnsi="Times New Roman" w:cs="Times New Roman"/>
            <w:sz w:val="20"/>
            <w:szCs w:val="20"/>
          </w:rPr>
          <w:fldChar w:fldCharType="separate"/>
        </w:r>
        <w:r>
          <w:rPr>
            <w:rFonts w:ascii="Times New Roman" w:hAnsi="Times New Roman" w:cs="Times New Roman"/>
            <w:noProof/>
            <w:sz w:val="20"/>
            <w:szCs w:val="20"/>
          </w:rPr>
          <w:t>41</w:t>
        </w:r>
        <w:r w:rsidRPr="001C32E6">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9CF46" w14:textId="77777777" w:rsidR="007829FF" w:rsidRDefault="007829FF" w:rsidP="00142A7A">
      <w:r>
        <w:separator/>
      </w:r>
    </w:p>
  </w:footnote>
  <w:footnote w:type="continuationSeparator" w:id="0">
    <w:p w14:paraId="4B0E67B5" w14:textId="77777777" w:rsidR="007829FF" w:rsidRDefault="007829FF" w:rsidP="00142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shd w:val="clear" w:color="auto" w:fill="E4F2E0"/>
      <w:tblLook w:val="04A0" w:firstRow="1" w:lastRow="0" w:firstColumn="1" w:lastColumn="0" w:noHBand="0" w:noVBand="1"/>
    </w:tblPr>
    <w:tblGrid>
      <w:gridCol w:w="9016"/>
    </w:tblGrid>
    <w:tr w:rsidR="00A01B87" w:rsidRPr="000B2145" w14:paraId="5CCC1DE1" w14:textId="77777777" w:rsidTr="00A01B87">
      <w:trPr>
        <w:trHeight w:val="1012"/>
        <w:jc w:val="center"/>
      </w:trPr>
      <w:tc>
        <w:tcPr>
          <w:tcW w:w="9039" w:type="dxa"/>
          <w:shd w:val="clear" w:color="auto" w:fill="E4F2E0"/>
        </w:tcPr>
        <w:p w14:paraId="72951824" w14:textId="77777777" w:rsidR="00A01B87" w:rsidRPr="000E4791" w:rsidRDefault="00A01B87" w:rsidP="00A01B87">
          <w:pPr>
            <w:pStyle w:val="Footer"/>
            <w:rPr>
              <w:b/>
              <w:sz w:val="18"/>
              <w:szCs w:val="18"/>
            </w:rPr>
          </w:pPr>
          <w:bookmarkStart w:id="18" w:name="_Hlk80611440"/>
          <w:r w:rsidRPr="000E4791">
            <w:rPr>
              <w:b/>
              <w:sz w:val="18"/>
              <w:szCs w:val="18"/>
            </w:rPr>
            <w:t>Attachment 1</w:t>
          </w:r>
          <w:r>
            <w:t xml:space="preserve"> </w:t>
          </w:r>
          <w:proofErr w:type="spellStart"/>
          <w:r w:rsidRPr="00FD4016">
            <w:rPr>
              <w:b/>
              <w:sz w:val="18"/>
              <w:szCs w:val="18"/>
            </w:rPr>
            <w:t>AusPAR</w:t>
          </w:r>
          <w:proofErr w:type="spellEnd"/>
          <w:r w:rsidRPr="00FD4016">
            <w:rPr>
              <w:b/>
              <w:sz w:val="18"/>
              <w:szCs w:val="18"/>
            </w:rPr>
            <w:t xml:space="preserve"> - </w:t>
          </w:r>
          <w:proofErr w:type="spellStart"/>
          <w:r w:rsidRPr="00FD4016">
            <w:rPr>
              <w:b/>
              <w:sz w:val="18"/>
              <w:szCs w:val="18"/>
            </w:rPr>
            <w:t>Bimzelx</w:t>
          </w:r>
          <w:proofErr w:type="spellEnd"/>
          <w:r w:rsidRPr="00FD4016">
            <w:rPr>
              <w:b/>
              <w:sz w:val="18"/>
              <w:szCs w:val="18"/>
            </w:rPr>
            <w:t xml:space="preserve"> – </w:t>
          </w:r>
          <w:proofErr w:type="spellStart"/>
          <w:r w:rsidRPr="00FD4016">
            <w:rPr>
              <w:b/>
              <w:sz w:val="18"/>
              <w:szCs w:val="18"/>
            </w:rPr>
            <w:t>bimekizumab</w:t>
          </w:r>
          <w:proofErr w:type="spellEnd"/>
          <w:r w:rsidRPr="00FD4016">
            <w:rPr>
              <w:b/>
              <w:sz w:val="18"/>
              <w:szCs w:val="18"/>
            </w:rPr>
            <w:t xml:space="preserve"> - UCB Pharma PM-2020-06299-1-1</w:t>
          </w:r>
          <w:r>
            <w:rPr>
              <w:b/>
              <w:sz w:val="18"/>
              <w:szCs w:val="18"/>
            </w:rPr>
            <w:t xml:space="preserve"> </w:t>
          </w:r>
          <w:r w:rsidRPr="00FD4016">
            <w:rPr>
              <w:b/>
              <w:sz w:val="18"/>
              <w:szCs w:val="18"/>
            </w:rPr>
            <w:t>FINAL 18 April 2023</w:t>
          </w:r>
          <w:r w:rsidRPr="000E4791">
            <w:rPr>
              <w:b/>
            </w:rPr>
            <w:t>.</w:t>
          </w:r>
          <w:r w:rsidRPr="000E4791">
            <w:rPr>
              <w:b/>
              <w:sz w:val="18"/>
              <w:szCs w:val="18"/>
            </w:rPr>
            <w:t xml:space="preserve"> This is the Product Information that was approved with the submission described in this </w:t>
          </w:r>
          <w:proofErr w:type="spellStart"/>
          <w:r w:rsidRPr="000E4791">
            <w:rPr>
              <w:b/>
              <w:sz w:val="18"/>
              <w:szCs w:val="18"/>
            </w:rPr>
            <w:t>AusPAR</w:t>
          </w:r>
          <w:proofErr w:type="spellEnd"/>
          <w:r w:rsidRPr="000E4791">
            <w:rPr>
              <w:b/>
              <w:sz w:val="18"/>
              <w:szCs w:val="18"/>
            </w:rPr>
            <w:t>. It may have been superseded. For the most recent PI, please refer to the TGA website at &lt;</w:t>
          </w:r>
          <w:hyperlink r:id="rId1" w:history="1">
            <w:r w:rsidRPr="000E4791">
              <w:rPr>
                <w:rStyle w:val="Hyperlink"/>
                <w:b/>
                <w:sz w:val="18"/>
                <w:szCs w:val="18"/>
              </w:rPr>
              <w:t>https://www.tga.gov.au/product-information-pi</w:t>
            </w:r>
          </w:hyperlink>
          <w:r w:rsidRPr="000E4791">
            <w:rPr>
              <w:b/>
              <w:sz w:val="18"/>
              <w:szCs w:val="18"/>
              <w:u w:val="single"/>
            </w:rPr>
            <w:t>&gt;</w:t>
          </w:r>
        </w:p>
      </w:tc>
    </w:tr>
    <w:bookmarkEnd w:id="18"/>
  </w:tbl>
  <w:p w14:paraId="7C1636C8" w14:textId="77777777" w:rsidR="00A01B87" w:rsidRDefault="00A0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96CBFA"/>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15:restartNumberingAfterBreak="0">
    <w:nsid w:val="00000002"/>
    <w:multiLevelType w:val="multilevel"/>
    <w:tmpl w:val="E05473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15:restartNumberingAfterBreak="0">
    <w:nsid w:val="00000003"/>
    <w:multiLevelType w:val="multilevel"/>
    <w:tmpl w:val="4B78AB3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4"/>
    <w:multiLevelType w:val="multilevel"/>
    <w:tmpl w:val="D1542EE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0000005"/>
    <w:multiLevelType w:val="multilevel"/>
    <w:tmpl w:val="92544DE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0000006"/>
    <w:multiLevelType w:val="multilevel"/>
    <w:tmpl w:val="531CD16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0000007"/>
    <w:multiLevelType w:val="multilevel"/>
    <w:tmpl w:val="7FB23D4C"/>
    <w:lvl w:ilvl="0">
      <w:start w:val="1"/>
      <w:numFmt w:val="decimal"/>
      <w:lvlText w:val="Note %1:"/>
      <w:lvlJc w:val="left"/>
      <w:pPr>
        <w:ind w:left="1021" w:hanging="1021"/>
      </w:pPr>
      <w:rPr>
        <w:rFonts w:ascii="Cambria" w:eastAsia="Cambria" w:hAnsi="Cambria" w:cs="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000008"/>
    <w:multiLevelType w:val="multilevel"/>
    <w:tmpl w:val="1AE2A35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00000009"/>
    <w:multiLevelType w:val="multilevel"/>
    <w:tmpl w:val="B226F0B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0000000A"/>
    <w:multiLevelType w:val="multilevel"/>
    <w:tmpl w:val="D9ECD08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0000000B"/>
    <w:multiLevelType w:val="multilevel"/>
    <w:tmpl w:val="8E9A55A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000000C"/>
    <w:multiLevelType w:val="multilevel"/>
    <w:tmpl w:val="BC92E20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7832689"/>
    <w:multiLevelType w:val="hybridMultilevel"/>
    <w:tmpl w:val="31E698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ACF2C83"/>
    <w:multiLevelType w:val="hybridMultilevel"/>
    <w:tmpl w:val="C7ACC84C"/>
    <w:lvl w:ilvl="0" w:tplc="29948106">
      <w:start w:val="1"/>
      <w:numFmt w:val="bullet"/>
      <w:lvlText w:val="►"/>
      <w:lvlJc w:val="left"/>
      <w:pPr>
        <w:ind w:left="2700" w:hanging="360"/>
      </w:pPr>
      <w:rPr>
        <w:rFonts w:ascii="Arial" w:eastAsia="Arial" w:hAnsi="Arial" w:hint="default"/>
        <w:color w:val="auto"/>
        <w:w w:val="105"/>
        <w:sz w:val="22"/>
        <w:szCs w:val="22"/>
      </w:rPr>
    </w:lvl>
    <w:lvl w:ilvl="1" w:tplc="0C090003" w:tentative="1">
      <w:start w:val="1"/>
      <w:numFmt w:val="bullet"/>
      <w:lvlText w:val="o"/>
      <w:lvlJc w:val="left"/>
      <w:pPr>
        <w:ind w:left="3420" w:hanging="360"/>
      </w:pPr>
      <w:rPr>
        <w:rFonts w:ascii="Courier New" w:hAnsi="Courier New" w:cs="Courier New" w:hint="default"/>
      </w:rPr>
    </w:lvl>
    <w:lvl w:ilvl="2" w:tplc="0C090005" w:tentative="1">
      <w:start w:val="1"/>
      <w:numFmt w:val="bullet"/>
      <w:lvlText w:val=""/>
      <w:lvlJc w:val="left"/>
      <w:pPr>
        <w:ind w:left="4140" w:hanging="360"/>
      </w:pPr>
      <w:rPr>
        <w:rFonts w:ascii="Wingdings" w:hAnsi="Wingdings" w:hint="default"/>
      </w:rPr>
    </w:lvl>
    <w:lvl w:ilvl="3" w:tplc="0C090001" w:tentative="1">
      <w:start w:val="1"/>
      <w:numFmt w:val="bullet"/>
      <w:lvlText w:val=""/>
      <w:lvlJc w:val="left"/>
      <w:pPr>
        <w:ind w:left="4860" w:hanging="360"/>
      </w:pPr>
      <w:rPr>
        <w:rFonts w:ascii="Symbol" w:hAnsi="Symbol" w:hint="default"/>
      </w:rPr>
    </w:lvl>
    <w:lvl w:ilvl="4" w:tplc="0C090003" w:tentative="1">
      <w:start w:val="1"/>
      <w:numFmt w:val="bullet"/>
      <w:lvlText w:val="o"/>
      <w:lvlJc w:val="left"/>
      <w:pPr>
        <w:ind w:left="5580" w:hanging="360"/>
      </w:pPr>
      <w:rPr>
        <w:rFonts w:ascii="Courier New" w:hAnsi="Courier New" w:cs="Courier New" w:hint="default"/>
      </w:rPr>
    </w:lvl>
    <w:lvl w:ilvl="5" w:tplc="0C090005" w:tentative="1">
      <w:start w:val="1"/>
      <w:numFmt w:val="bullet"/>
      <w:lvlText w:val=""/>
      <w:lvlJc w:val="left"/>
      <w:pPr>
        <w:ind w:left="6300" w:hanging="360"/>
      </w:pPr>
      <w:rPr>
        <w:rFonts w:ascii="Wingdings" w:hAnsi="Wingdings" w:hint="default"/>
      </w:rPr>
    </w:lvl>
    <w:lvl w:ilvl="6" w:tplc="0C090001" w:tentative="1">
      <w:start w:val="1"/>
      <w:numFmt w:val="bullet"/>
      <w:lvlText w:val=""/>
      <w:lvlJc w:val="left"/>
      <w:pPr>
        <w:ind w:left="7020" w:hanging="360"/>
      </w:pPr>
      <w:rPr>
        <w:rFonts w:ascii="Symbol" w:hAnsi="Symbol" w:hint="default"/>
      </w:rPr>
    </w:lvl>
    <w:lvl w:ilvl="7" w:tplc="0C090003" w:tentative="1">
      <w:start w:val="1"/>
      <w:numFmt w:val="bullet"/>
      <w:lvlText w:val="o"/>
      <w:lvlJc w:val="left"/>
      <w:pPr>
        <w:ind w:left="7740" w:hanging="360"/>
      </w:pPr>
      <w:rPr>
        <w:rFonts w:ascii="Courier New" w:hAnsi="Courier New" w:cs="Courier New" w:hint="default"/>
      </w:rPr>
    </w:lvl>
    <w:lvl w:ilvl="8" w:tplc="0C090005" w:tentative="1">
      <w:start w:val="1"/>
      <w:numFmt w:val="bullet"/>
      <w:lvlText w:val=""/>
      <w:lvlJc w:val="left"/>
      <w:pPr>
        <w:ind w:left="8460" w:hanging="360"/>
      </w:pPr>
      <w:rPr>
        <w:rFonts w:ascii="Wingdings" w:hAnsi="Wingdings" w:hint="default"/>
      </w:rPr>
    </w:lvl>
  </w:abstractNum>
  <w:abstractNum w:abstractNumId="14" w15:restartNumberingAfterBreak="0">
    <w:nsid w:val="2A8740A1"/>
    <w:multiLevelType w:val="hybridMultilevel"/>
    <w:tmpl w:val="64CAF6E8"/>
    <w:lvl w:ilvl="0" w:tplc="7B1C7300">
      <w:start w:val="1"/>
      <w:numFmt w:val="bullet"/>
      <w:lvlText w:val="-"/>
      <w:lvlJc w:val="left"/>
      <w:pPr>
        <w:ind w:left="72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D631C"/>
    <w:multiLevelType w:val="hybridMultilevel"/>
    <w:tmpl w:val="0646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924E0F"/>
    <w:multiLevelType w:val="hybridMultilevel"/>
    <w:tmpl w:val="92BCD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E4648"/>
    <w:multiLevelType w:val="hybridMultilevel"/>
    <w:tmpl w:val="6F465D3A"/>
    <w:lvl w:ilvl="0" w:tplc="E184FF5E">
      <w:start w:val="1"/>
      <w:numFmt w:val="decimal"/>
      <w:lvlText w:val="%1."/>
      <w:lvlJc w:val="left"/>
      <w:pPr>
        <w:ind w:left="405" w:hanging="360"/>
      </w:pPr>
    </w:lvl>
    <w:lvl w:ilvl="1" w:tplc="0C090019">
      <w:start w:val="1"/>
      <w:numFmt w:val="lowerLetter"/>
      <w:lvlText w:val="%2."/>
      <w:lvlJc w:val="left"/>
      <w:pPr>
        <w:ind w:left="1125" w:hanging="360"/>
      </w:pPr>
    </w:lvl>
    <w:lvl w:ilvl="2" w:tplc="0C09001B">
      <w:start w:val="1"/>
      <w:numFmt w:val="lowerRoman"/>
      <w:lvlText w:val="%3."/>
      <w:lvlJc w:val="right"/>
      <w:pPr>
        <w:ind w:left="1845" w:hanging="180"/>
      </w:pPr>
    </w:lvl>
    <w:lvl w:ilvl="3" w:tplc="0C09000F">
      <w:start w:val="1"/>
      <w:numFmt w:val="decimal"/>
      <w:lvlText w:val="%4."/>
      <w:lvlJc w:val="left"/>
      <w:pPr>
        <w:ind w:left="2565" w:hanging="360"/>
      </w:pPr>
    </w:lvl>
    <w:lvl w:ilvl="4" w:tplc="0C090019">
      <w:start w:val="1"/>
      <w:numFmt w:val="lowerLetter"/>
      <w:lvlText w:val="%5."/>
      <w:lvlJc w:val="left"/>
      <w:pPr>
        <w:ind w:left="3285" w:hanging="360"/>
      </w:pPr>
    </w:lvl>
    <w:lvl w:ilvl="5" w:tplc="0C09001B">
      <w:start w:val="1"/>
      <w:numFmt w:val="lowerRoman"/>
      <w:lvlText w:val="%6."/>
      <w:lvlJc w:val="right"/>
      <w:pPr>
        <w:ind w:left="4005" w:hanging="180"/>
      </w:pPr>
    </w:lvl>
    <w:lvl w:ilvl="6" w:tplc="0C09000F">
      <w:start w:val="1"/>
      <w:numFmt w:val="decimal"/>
      <w:lvlText w:val="%7."/>
      <w:lvlJc w:val="left"/>
      <w:pPr>
        <w:ind w:left="4725" w:hanging="360"/>
      </w:pPr>
    </w:lvl>
    <w:lvl w:ilvl="7" w:tplc="0C090019">
      <w:start w:val="1"/>
      <w:numFmt w:val="lowerLetter"/>
      <w:lvlText w:val="%8."/>
      <w:lvlJc w:val="left"/>
      <w:pPr>
        <w:ind w:left="5445" w:hanging="360"/>
      </w:pPr>
    </w:lvl>
    <w:lvl w:ilvl="8" w:tplc="0C09001B">
      <w:start w:val="1"/>
      <w:numFmt w:val="lowerRoman"/>
      <w:lvlText w:val="%9."/>
      <w:lvlJc w:val="right"/>
      <w:pPr>
        <w:ind w:left="6165" w:hanging="180"/>
      </w:pPr>
    </w:lvl>
  </w:abstractNum>
  <w:abstractNum w:abstractNumId="18" w15:restartNumberingAfterBreak="0">
    <w:nsid w:val="527A5A4F"/>
    <w:multiLevelType w:val="hybridMultilevel"/>
    <w:tmpl w:val="0344A3F6"/>
    <w:lvl w:ilvl="0" w:tplc="0ABC30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A0170C"/>
    <w:multiLevelType w:val="hybridMultilevel"/>
    <w:tmpl w:val="504A86AC"/>
    <w:lvl w:ilvl="0" w:tplc="29948106">
      <w:start w:val="1"/>
      <w:numFmt w:val="bullet"/>
      <w:lvlText w:val="►"/>
      <w:lvlJc w:val="left"/>
      <w:pPr>
        <w:ind w:left="720" w:hanging="360"/>
      </w:pPr>
      <w:rPr>
        <w:rFonts w:ascii="Arial" w:eastAsia="Arial" w:hAnsi="Arial" w:hint="default"/>
        <w:color w:val="auto"/>
        <w:w w:val="105"/>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916A9A"/>
    <w:multiLevelType w:val="hybridMultilevel"/>
    <w:tmpl w:val="A80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D5FE0"/>
    <w:multiLevelType w:val="hybridMultilevel"/>
    <w:tmpl w:val="222A091C"/>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5"/>
  </w:num>
  <w:num w:numId="14">
    <w:abstractNumId w:val="20"/>
  </w:num>
  <w:num w:numId="15">
    <w:abstractNumId w:val="16"/>
  </w:num>
  <w:num w:numId="16">
    <w:abstractNumId w:val="12"/>
  </w:num>
  <w:num w:numId="17">
    <w:abstractNumId w:val="18"/>
  </w:num>
  <w:num w:numId="18">
    <w:abstractNumId w:val="21"/>
  </w:num>
  <w:num w:numId="19">
    <w:abstractNumId w:val="19"/>
  </w:num>
  <w:num w:numId="20">
    <w:abstractNumId w:val="14"/>
  </w:num>
  <w:num w:numId="21">
    <w:abstractNumId w:val="1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B7"/>
    <w:rsid w:val="00002A55"/>
    <w:rsid w:val="00002E5D"/>
    <w:rsid w:val="00004700"/>
    <w:rsid w:val="00006CD4"/>
    <w:rsid w:val="00010FF8"/>
    <w:rsid w:val="000136DB"/>
    <w:rsid w:val="000154B3"/>
    <w:rsid w:val="00016702"/>
    <w:rsid w:val="00026144"/>
    <w:rsid w:val="00041E12"/>
    <w:rsid w:val="00042027"/>
    <w:rsid w:val="000425FF"/>
    <w:rsid w:val="00046E3D"/>
    <w:rsid w:val="000528D6"/>
    <w:rsid w:val="00053787"/>
    <w:rsid w:val="0005762E"/>
    <w:rsid w:val="000608EA"/>
    <w:rsid w:val="00061139"/>
    <w:rsid w:val="000627C7"/>
    <w:rsid w:val="00064298"/>
    <w:rsid w:val="00064B49"/>
    <w:rsid w:val="00072E52"/>
    <w:rsid w:val="000852FF"/>
    <w:rsid w:val="00086FDA"/>
    <w:rsid w:val="00090E00"/>
    <w:rsid w:val="000927FF"/>
    <w:rsid w:val="00094F62"/>
    <w:rsid w:val="00096184"/>
    <w:rsid w:val="000A7A51"/>
    <w:rsid w:val="000B47F7"/>
    <w:rsid w:val="000C48DC"/>
    <w:rsid w:val="000C7456"/>
    <w:rsid w:val="000D0F44"/>
    <w:rsid w:val="000D3C27"/>
    <w:rsid w:val="000E0C3F"/>
    <w:rsid w:val="000E31EC"/>
    <w:rsid w:val="000E40AA"/>
    <w:rsid w:val="000F584F"/>
    <w:rsid w:val="000F6278"/>
    <w:rsid w:val="00104DE2"/>
    <w:rsid w:val="0010637F"/>
    <w:rsid w:val="001071C9"/>
    <w:rsid w:val="001136A4"/>
    <w:rsid w:val="00115868"/>
    <w:rsid w:val="00121EE9"/>
    <w:rsid w:val="0012311F"/>
    <w:rsid w:val="001301D6"/>
    <w:rsid w:val="001318F4"/>
    <w:rsid w:val="0013705D"/>
    <w:rsid w:val="00137129"/>
    <w:rsid w:val="00137598"/>
    <w:rsid w:val="00137E78"/>
    <w:rsid w:val="001400BF"/>
    <w:rsid w:val="001412AC"/>
    <w:rsid w:val="00142A7A"/>
    <w:rsid w:val="00142F1C"/>
    <w:rsid w:val="001463E7"/>
    <w:rsid w:val="00153D5E"/>
    <w:rsid w:val="0015488C"/>
    <w:rsid w:val="001549C6"/>
    <w:rsid w:val="0015575B"/>
    <w:rsid w:val="00155DA5"/>
    <w:rsid w:val="00163337"/>
    <w:rsid w:val="0016413B"/>
    <w:rsid w:val="001725D8"/>
    <w:rsid w:val="00175C2C"/>
    <w:rsid w:val="00175E40"/>
    <w:rsid w:val="0017682C"/>
    <w:rsid w:val="00177075"/>
    <w:rsid w:val="001831A9"/>
    <w:rsid w:val="001865AC"/>
    <w:rsid w:val="001874E6"/>
    <w:rsid w:val="00187B60"/>
    <w:rsid w:val="001920F8"/>
    <w:rsid w:val="00193A91"/>
    <w:rsid w:val="00194F30"/>
    <w:rsid w:val="00195523"/>
    <w:rsid w:val="001A0EB6"/>
    <w:rsid w:val="001A37C6"/>
    <w:rsid w:val="001A5230"/>
    <w:rsid w:val="001B347D"/>
    <w:rsid w:val="001C32E6"/>
    <w:rsid w:val="001C33DF"/>
    <w:rsid w:val="001C3D8E"/>
    <w:rsid w:val="001D0BFB"/>
    <w:rsid w:val="001D1659"/>
    <w:rsid w:val="001D2722"/>
    <w:rsid w:val="001D327E"/>
    <w:rsid w:val="001D4FBD"/>
    <w:rsid w:val="001E4C18"/>
    <w:rsid w:val="001F06B7"/>
    <w:rsid w:val="001F0E9B"/>
    <w:rsid w:val="001F2601"/>
    <w:rsid w:val="002004CA"/>
    <w:rsid w:val="002062F4"/>
    <w:rsid w:val="00212A36"/>
    <w:rsid w:val="00213006"/>
    <w:rsid w:val="00214236"/>
    <w:rsid w:val="00215F8F"/>
    <w:rsid w:val="002179AA"/>
    <w:rsid w:val="002200E7"/>
    <w:rsid w:val="00232672"/>
    <w:rsid w:val="002343E9"/>
    <w:rsid w:val="00234BA7"/>
    <w:rsid w:val="002417C7"/>
    <w:rsid w:val="00251AE4"/>
    <w:rsid w:val="002623C9"/>
    <w:rsid w:val="002665D0"/>
    <w:rsid w:val="002708E6"/>
    <w:rsid w:val="00271B69"/>
    <w:rsid w:val="00274E68"/>
    <w:rsid w:val="002937D6"/>
    <w:rsid w:val="002942AA"/>
    <w:rsid w:val="002A0E17"/>
    <w:rsid w:val="002A0F6B"/>
    <w:rsid w:val="002A1568"/>
    <w:rsid w:val="002A46A7"/>
    <w:rsid w:val="002A51E6"/>
    <w:rsid w:val="002B06A0"/>
    <w:rsid w:val="002B0F67"/>
    <w:rsid w:val="002B2AB7"/>
    <w:rsid w:val="002B4B5E"/>
    <w:rsid w:val="002B6CBB"/>
    <w:rsid w:val="002C05A7"/>
    <w:rsid w:val="002C6A05"/>
    <w:rsid w:val="002D6BAB"/>
    <w:rsid w:val="002D6C2F"/>
    <w:rsid w:val="002E7DDC"/>
    <w:rsid w:val="002F0003"/>
    <w:rsid w:val="002F2600"/>
    <w:rsid w:val="002F2AD3"/>
    <w:rsid w:val="002F2DA9"/>
    <w:rsid w:val="002F613E"/>
    <w:rsid w:val="00301ABD"/>
    <w:rsid w:val="00306A6C"/>
    <w:rsid w:val="00312910"/>
    <w:rsid w:val="00330391"/>
    <w:rsid w:val="00337D00"/>
    <w:rsid w:val="00347735"/>
    <w:rsid w:val="00350253"/>
    <w:rsid w:val="00352D43"/>
    <w:rsid w:val="00357659"/>
    <w:rsid w:val="00357F5D"/>
    <w:rsid w:val="00362BD1"/>
    <w:rsid w:val="003656C1"/>
    <w:rsid w:val="00366F4C"/>
    <w:rsid w:val="00372E94"/>
    <w:rsid w:val="00382DDA"/>
    <w:rsid w:val="00384D7D"/>
    <w:rsid w:val="00395087"/>
    <w:rsid w:val="00395449"/>
    <w:rsid w:val="003961B9"/>
    <w:rsid w:val="00397DFD"/>
    <w:rsid w:val="003A03DA"/>
    <w:rsid w:val="003A1302"/>
    <w:rsid w:val="003A436E"/>
    <w:rsid w:val="003A78D4"/>
    <w:rsid w:val="003B1A0C"/>
    <w:rsid w:val="003B2B11"/>
    <w:rsid w:val="003B51D4"/>
    <w:rsid w:val="003C1B86"/>
    <w:rsid w:val="003C593F"/>
    <w:rsid w:val="003D1B03"/>
    <w:rsid w:val="003E090C"/>
    <w:rsid w:val="003E4843"/>
    <w:rsid w:val="003E5545"/>
    <w:rsid w:val="003E6DAB"/>
    <w:rsid w:val="003F1CE4"/>
    <w:rsid w:val="003F591C"/>
    <w:rsid w:val="00400F0A"/>
    <w:rsid w:val="00401D6C"/>
    <w:rsid w:val="004035D9"/>
    <w:rsid w:val="00405659"/>
    <w:rsid w:val="00410BC1"/>
    <w:rsid w:val="00410F4D"/>
    <w:rsid w:val="004123A3"/>
    <w:rsid w:val="0041285D"/>
    <w:rsid w:val="00413AF8"/>
    <w:rsid w:val="0041496D"/>
    <w:rsid w:val="00415470"/>
    <w:rsid w:val="004168D1"/>
    <w:rsid w:val="00417D7A"/>
    <w:rsid w:val="00422985"/>
    <w:rsid w:val="00427296"/>
    <w:rsid w:val="0044305C"/>
    <w:rsid w:val="004448C2"/>
    <w:rsid w:val="004475E6"/>
    <w:rsid w:val="0044790E"/>
    <w:rsid w:val="00452B3A"/>
    <w:rsid w:val="004531FE"/>
    <w:rsid w:val="0046073A"/>
    <w:rsid w:val="0046134F"/>
    <w:rsid w:val="0046375C"/>
    <w:rsid w:val="004666DF"/>
    <w:rsid w:val="004675B5"/>
    <w:rsid w:val="0047118C"/>
    <w:rsid w:val="00471733"/>
    <w:rsid w:val="00471DAE"/>
    <w:rsid w:val="00473181"/>
    <w:rsid w:val="004754EA"/>
    <w:rsid w:val="004821AF"/>
    <w:rsid w:val="004836D2"/>
    <w:rsid w:val="00484AE1"/>
    <w:rsid w:val="004865D8"/>
    <w:rsid w:val="004866BA"/>
    <w:rsid w:val="00490067"/>
    <w:rsid w:val="00490947"/>
    <w:rsid w:val="004930F9"/>
    <w:rsid w:val="00494479"/>
    <w:rsid w:val="00495865"/>
    <w:rsid w:val="004A09A3"/>
    <w:rsid w:val="004A2C2D"/>
    <w:rsid w:val="004A6BC6"/>
    <w:rsid w:val="004B5661"/>
    <w:rsid w:val="004C291A"/>
    <w:rsid w:val="004C307D"/>
    <w:rsid w:val="004C402E"/>
    <w:rsid w:val="004D4094"/>
    <w:rsid w:val="004E145D"/>
    <w:rsid w:val="004E1A16"/>
    <w:rsid w:val="004E4103"/>
    <w:rsid w:val="004E4494"/>
    <w:rsid w:val="004E6BF5"/>
    <w:rsid w:val="004F4E2D"/>
    <w:rsid w:val="004F6820"/>
    <w:rsid w:val="00503965"/>
    <w:rsid w:val="00505C05"/>
    <w:rsid w:val="0050615A"/>
    <w:rsid w:val="00511725"/>
    <w:rsid w:val="00514399"/>
    <w:rsid w:val="00516ECD"/>
    <w:rsid w:val="00521EFA"/>
    <w:rsid w:val="00524C1A"/>
    <w:rsid w:val="00534DFA"/>
    <w:rsid w:val="005369A3"/>
    <w:rsid w:val="005462D0"/>
    <w:rsid w:val="005473C6"/>
    <w:rsid w:val="005507E1"/>
    <w:rsid w:val="00553090"/>
    <w:rsid w:val="00555A5C"/>
    <w:rsid w:val="005653B6"/>
    <w:rsid w:val="005663D3"/>
    <w:rsid w:val="005775E5"/>
    <w:rsid w:val="00581810"/>
    <w:rsid w:val="00583473"/>
    <w:rsid w:val="005855F3"/>
    <w:rsid w:val="005A1843"/>
    <w:rsid w:val="005C0D0C"/>
    <w:rsid w:val="005C2C73"/>
    <w:rsid w:val="005C3A05"/>
    <w:rsid w:val="005C3C9B"/>
    <w:rsid w:val="005D074B"/>
    <w:rsid w:val="005D1A5C"/>
    <w:rsid w:val="005D4650"/>
    <w:rsid w:val="005D5473"/>
    <w:rsid w:val="005E0E32"/>
    <w:rsid w:val="005E30F1"/>
    <w:rsid w:val="005E67DC"/>
    <w:rsid w:val="005E690F"/>
    <w:rsid w:val="005E6D3B"/>
    <w:rsid w:val="005F0FEF"/>
    <w:rsid w:val="005F1714"/>
    <w:rsid w:val="005F247A"/>
    <w:rsid w:val="005F7F14"/>
    <w:rsid w:val="006024B9"/>
    <w:rsid w:val="00606123"/>
    <w:rsid w:val="006074A6"/>
    <w:rsid w:val="0061481A"/>
    <w:rsid w:val="0061518E"/>
    <w:rsid w:val="006164CB"/>
    <w:rsid w:val="006173EE"/>
    <w:rsid w:val="00620C3E"/>
    <w:rsid w:val="006217D3"/>
    <w:rsid w:val="0062199B"/>
    <w:rsid w:val="00622B52"/>
    <w:rsid w:val="006240F6"/>
    <w:rsid w:val="006255F4"/>
    <w:rsid w:val="0063036A"/>
    <w:rsid w:val="00631981"/>
    <w:rsid w:val="006345FE"/>
    <w:rsid w:val="006355D3"/>
    <w:rsid w:val="00636CF8"/>
    <w:rsid w:val="0064384B"/>
    <w:rsid w:val="00646D6C"/>
    <w:rsid w:val="006474E9"/>
    <w:rsid w:val="00652500"/>
    <w:rsid w:val="00652921"/>
    <w:rsid w:val="0065441C"/>
    <w:rsid w:val="00654B8E"/>
    <w:rsid w:val="006601C2"/>
    <w:rsid w:val="006607FA"/>
    <w:rsid w:val="00664187"/>
    <w:rsid w:val="0066701C"/>
    <w:rsid w:val="00667D2C"/>
    <w:rsid w:val="00673EF4"/>
    <w:rsid w:val="0067429A"/>
    <w:rsid w:val="00675F77"/>
    <w:rsid w:val="00680F4F"/>
    <w:rsid w:val="00681BBB"/>
    <w:rsid w:val="00683F14"/>
    <w:rsid w:val="006860E9"/>
    <w:rsid w:val="006902AB"/>
    <w:rsid w:val="006905E3"/>
    <w:rsid w:val="00691EFE"/>
    <w:rsid w:val="0069769B"/>
    <w:rsid w:val="006A18C8"/>
    <w:rsid w:val="006A43B3"/>
    <w:rsid w:val="006A5521"/>
    <w:rsid w:val="006A7096"/>
    <w:rsid w:val="006B17AE"/>
    <w:rsid w:val="006B4D00"/>
    <w:rsid w:val="006B7A03"/>
    <w:rsid w:val="006C01A4"/>
    <w:rsid w:val="006C34A7"/>
    <w:rsid w:val="006C4317"/>
    <w:rsid w:val="006D28ED"/>
    <w:rsid w:val="006D600F"/>
    <w:rsid w:val="006E4706"/>
    <w:rsid w:val="006E7E45"/>
    <w:rsid w:val="006F3ED2"/>
    <w:rsid w:val="006F6D00"/>
    <w:rsid w:val="006F7F10"/>
    <w:rsid w:val="006F7F3E"/>
    <w:rsid w:val="007021B0"/>
    <w:rsid w:val="00707D29"/>
    <w:rsid w:val="00711671"/>
    <w:rsid w:val="00712F1E"/>
    <w:rsid w:val="00722360"/>
    <w:rsid w:val="00726EA0"/>
    <w:rsid w:val="007360B2"/>
    <w:rsid w:val="0073709A"/>
    <w:rsid w:val="007461BD"/>
    <w:rsid w:val="00750336"/>
    <w:rsid w:val="007534A7"/>
    <w:rsid w:val="0075546B"/>
    <w:rsid w:val="00762D9C"/>
    <w:rsid w:val="007741BA"/>
    <w:rsid w:val="00776BCE"/>
    <w:rsid w:val="00782064"/>
    <w:rsid w:val="007825E8"/>
    <w:rsid w:val="007829FF"/>
    <w:rsid w:val="00787AA1"/>
    <w:rsid w:val="007A12BA"/>
    <w:rsid w:val="007A229A"/>
    <w:rsid w:val="007A2A18"/>
    <w:rsid w:val="007B7954"/>
    <w:rsid w:val="007C3360"/>
    <w:rsid w:val="007C4A29"/>
    <w:rsid w:val="007C767C"/>
    <w:rsid w:val="007D1DEB"/>
    <w:rsid w:val="007D3641"/>
    <w:rsid w:val="007D4F21"/>
    <w:rsid w:val="007E2D65"/>
    <w:rsid w:val="007E3A40"/>
    <w:rsid w:val="007E5136"/>
    <w:rsid w:val="007F0FF8"/>
    <w:rsid w:val="007F623C"/>
    <w:rsid w:val="007F6CAB"/>
    <w:rsid w:val="008008A3"/>
    <w:rsid w:val="00802BD2"/>
    <w:rsid w:val="00812CFB"/>
    <w:rsid w:val="00816978"/>
    <w:rsid w:val="00817636"/>
    <w:rsid w:val="00820543"/>
    <w:rsid w:val="00823B08"/>
    <w:rsid w:val="008258BF"/>
    <w:rsid w:val="00833813"/>
    <w:rsid w:val="00835EDA"/>
    <w:rsid w:val="00847915"/>
    <w:rsid w:val="00847A2C"/>
    <w:rsid w:val="00853B72"/>
    <w:rsid w:val="00853F5C"/>
    <w:rsid w:val="00854601"/>
    <w:rsid w:val="00854603"/>
    <w:rsid w:val="008604AB"/>
    <w:rsid w:val="0086536C"/>
    <w:rsid w:val="00866757"/>
    <w:rsid w:val="00866CBD"/>
    <w:rsid w:val="00867F0B"/>
    <w:rsid w:val="00873EAD"/>
    <w:rsid w:val="008744B9"/>
    <w:rsid w:val="00875FA8"/>
    <w:rsid w:val="00876829"/>
    <w:rsid w:val="008830F4"/>
    <w:rsid w:val="008919E6"/>
    <w:rsid w:val="00891E0A"/>
    <w:rsid w:val="00895715"/>
    <w:rsid w:val="00896254"/>
    <w:rsid w:val="00897139"/>
    <w:rsid w:val="0089724A"/>
    <w:rsid w:val="008A5195"/>
    <w:rsid w:val="008A5D91"/>
    <w:rsid w:val="008B0ACB"/>
    <w:rsid w:val="008B4493"/>
    <w:rsid w:val="008B6F14"/>
    <w:rsid w:val="008C1F46"/>
    <w:rsid w:val="008C2DC4"/>
    <w:rsid w:val="008E3304"/>
    <w:rsid w:val="008E5A82"/>
    <w:rsid w:val="008F3DB9"/>
    <w:rsid w:val="008F4C98"/>
    <w:rsid w:val="008F6363"/>
    <w:rsid w:val="008F689A"/>
    <w:rsid w:val="008F7BEF"/>
    <w:rsid w:val="00906CBE"/>
    <w:rsid w:val="00907243"/>
    <w:rsid w:val="0091038F"/>
    <w:rsid w:val="00911985"/>
    <w:rsid w:val="00911E3A"/>
    <w:rsid w:val="00913B13"/>
    <w:rsid w:val="009173F3"/>
    <w:rsid w:val="009240B1"/>
    <w:rsid w:val="00924148"/>
    <w:rsid w:val="00924232"/>
    <w:rsid w:val="009259E4"/>
    <w:rsid w:val="00930C38"/>
    <w:rsid w:val="00934801"/>
    <w:rsid w:val="00940C71"/>
    <w:rsid w:val="00942AD0"/>
    <w:rsid w:val="00942E1F"/>
    <w:rsid w:val="00947D7F"/>
    <w:rsid w:val="0095305D"/>
    <w:rsid w:val="00954A5A"/>
    <w:rsid w:val="009566E2"/>
    <w:rsid w:val="00961E4B"/>
    <w:rsid w:val="00976D56"/>
    <w:rsid w:val="00986E97"/>
    <w:rsid w:val="00987708"/>
    <w:rsid w:val="00996608"/>
    <w:rsid w:val="0099743D"/>
    <w:rsid w:val="009A5CFA"/>
    <w:rsid w:val="009B004C"/>
    <w:rsid w:val="009B0E67"/>
    <w:rsid w:val="009B45CE"/>
    <w:rsid w:val="009B5048"/>
    <w:rsid w:val="009B6979"/>
    <w:rsid w:val="009C1313"/>
    <w:rsid w:val="009C15E0"/>
    <w:rsid w:val="009C1A4C"/>
    <w:rsid w:val="009C54B6"/>
    <w:rsid w:val="009D7652"/>
    <w:rsid w:val="009E0355"/>
    <w:rsid w:val="009E225D"/>
    <w:rsid w:val="009E481A"/>
    <w:rsid w:val="009F02BC"/>
    <w:rsid w:val="009F44ED"/>
    <w:rsid w:val="009F65E4"/>
    <w:rsid w:val="00A00B1A"/>
    <w:rsid w:val="00A01B87"/>
    <w:rsid w:val="00A15FF5"/>
    <w:rsid w:val="00A204E1"/>
    <w:rsid w:val="00A23E74"/>
    <w:rsid w:val="00A5336F"/>
    <w:rsid w:val="00A548B0"/>
    <w:rsid w:val="00A579E8"/>
    <w:rsid w:val="00A651FF"/>
    <w:rsid w:val="00A71771"/>
    <w:rsid w:val="00A72406"/>
    <w:rsid w:val="00A7748D"/>
    <w:rsid w:val="00A83D0F"/>
    <w:rsid w:val="00A87578"/>
    <w:rsid w:val="00A90D81"/>
    <w:rsid w:val="00A9357C"/>
    <w:rsid w:val="00AA008F"/>
    <w:rsid w:val="00AA2D2E"/>
    <w:rsid w:val="00AA3A55"/>
    <w:rsid w:val="00AA5CD4"/>
    <w:rsid w:val="00AB1AB5"/>
    <w:rsid w:val="00AB1EE8"/>
    <w:rsid w:val="00AB5CCD"/>
    <w:rsid w:val="00AB7B11"/>
    <w:rsid w:val="00AD0F58"/>
    <w:rsid w:val="00AD1D6D"/>
    <w:rsid w:val="00AD2998"/>
    <w:rsid w:val="00AD4AA2"/>
    <w:rsid w:val="00AD4E31"/>
    <w:rsid w:val="00AD61F2"/>
    <w:rsid w:val="00AE117A"/>
    <w:rsid w:val="00AE2EBE"/>
    <w:rsid w:val="00AE5A52"/>
    <w:rsid w:val="00AE7477"/>
    <w:rsid w:val="00AE7CEB"/>
    <w:rsid w:val="00AF739D"/>
    <w:rsid w:val="00B0060C"/>
    <w:rsid w:val="00B03BA3"/>
    <w:rsid w:val="00B04735"/>
    <w:rsid w:val="00B06CC5"/>
    <w:rsid w:val="00B12C38"/>
    <w:rsid w:val="00B1502B"/>
    <w:rsid w:val="00B215F4"/>
    <w:rsid w:val="00B24E2D"/>
    <w:rsid w:val="00B30BF1"/>
    <w:rsid w:val="00B30F75"/>
    <w:rsid w:val="00B37BE0"/>
    <w:rsid w:val="00B40440"/>
    <w:rsid w:val="00B40ED7"/>
    <w:rsid w:val="00B46B2D"/>
    <w:rsid w:val="00B51AC1"/>
    <w:rsid w:val="00B54341"/>
    <w:rsid w:val="00B63664"/>
    <w:rsid w:val="00B65FF2"/>
    <w:rsid w:val="00B727AB"/>
    <w:rsid w:val="00B72B31"/>
    <w:rsid w:val="00B7370A"/>
    <w:rsid w:val="00B817F4"/>
    <w:rsid w:val="00B83A60"/>
    <w:rsid w:val="00B84D13"/>
    <w:rsid w:val="00B87B1E"/>
    <w:rsid w:val="00B87B21"/>
    <w:rsid w:val="00B91272"/>
    <w:rsid w:val="00BA5E7D"/>
    <w:rsid w:val="00BB2CEA"/>
    <w:rsid w:val="00BB36E6"/>
    <w:rsid w:val="00BC040C"/>
    <w:rsid w:val="00BC3E4F"/>
    <w:rsid w:val="00BC3E91"/>
    <w:rsid w:val="00BC4A7C"/>
    <w:rsid w:val="00BC798A"/>
    <w:rsid w:val="00BE0087"/>
    <w:rsid w:val="00BE3F66"/>
    <w:rsid w:val="00BF374E"/>
    <w:rsid w:val="00C011D7"/>
    <w:rsid w:val="00C10A34"/>
    <w:rsid w:val="00C131DA"/>
    <w:rsid w:val="00C133CC"/>
    <w:rsid w:val="00C13FCD"/>
    <w:rsid w:val="00C206DA"/>
    <w:rsid w:val="00C21DEB"/>
    <w:rsid w:val="00C22292"/>
    <w:rsid w:val="00C24017"/>
    <w:rsid w:val="00C2419C"/>
    <w:rsid w:val="00C2730B"/>
    <w:rsid w:val="00C27C1E"/>
    <w:rsid w:val="00C303AE"/>
    <w:rsid w:val="00C37176"/>
    <w:rsid w:val="00C3797D"/>
    <w:rsid w:val="00C412B4"/>
    <w:rsid w:val="00C47974"/>
    <w:rsid w:val="00C518B9"/>
    <w:rsid w:val="00C539BE"/>
    <w:rsid w:val="00C604AC"/>
    <w:rsid w:val="00C6088A"/>
    <w:rsid w:val="00C618D5"/>
    <w:rsid w:val="00C6279C"/>
    <w:rsid w:val="00C65573"/>
    <w:rsid w:val="00C72FE8"/>
    <w:rsid w:val="00C73FFC"/>
    <w:rsid w:val="00C821B8"/>
    <w:rsid w:val="00C82635"/>
    <w:rsid w:val="00C8430F"/>
    <w:rsid w:val="00C8441E"/>
    <w:rsid w:val="00C943DC"/>
    <w:rsid w:val="00CA07FD"/>
    <w:rsid w:val="00CA0C74"/>
    <w:rsid w:val="00CA18AB"/>
    <w:rsid w:val="00CA66F3"/>
    <w:rsid w:val="00CA7762"/>
    <w:rsid w:val="00CB0E6B"/>
    <w:rsid w:val="00CB36D0"/>
    <w:rsid w:val="00CB5976"/>
    <w:rsid w:val="00CB6483"/>
    <w:rsid w:val="00CC2F94"/>
    <w:rsid w:val="00CC721A"/>
    <w:rsid w:val="00CE357F"/>
    <w:rsid w:val="00D02654"/>
    <w:rsid w:val="00D06FD6"/>
    <w:rsid w:val="00D13621"/>
    <w:rsid w:val="00D2312A"/>
    <w:rsid w:val="00D418EC"/>
    <w:rsid w:val="00D473D1"/>
    <w:rsid w:val="00D50C30"/>
    <w:rsid w:val="00D52A12"/>
    <w:rsid w:val="00D560FF"/>
    <w:rsid w:val="00D6203F"/>
    <w:rsid w:val="00D62141"/>
    <w:rsid w:val="00D660B2"/>
    <w:rsid w:val="00D67A82"/>
    <w:rsid w:val="00D70952"/>
    <w:rsid w:val="00D74E2E"/>
    <w:rsid w:val="00D76EBF"/>
    <w:rsid w:val="00D80B21"/>
    <w:rsid w:val="00D8184B"/>
    <w:rsid w:val="00D828AB"/>
    <w:rsid w:val="00D906CE"/>
    <w:rsid w:val="00D90EEE"/>
    <w:rsid w:val="00D914C6"/>
    <w:rsid w:val="00D956F2"/>
    <w:rsid w:val="00D966FD"/>
    <w:rsid w:val="00D96F8E"/>
    <w:rsid w:val="00DA0565"/>
    <w:rsid w:val="00DA1553"/>
    <w:rsid w:val="00DA6733"/>
    <w:rsid w:val="00DB2941"/>
    <w:rsid w:val="00DB2A35"/>
    <w:rsid w:val="00DB2A5F"/>
    <w:rsid w:val="00DB44EF"/>
    <w:rsid w:val="00DB73DA"/>
    <w:rsid w:val="00DC380E"/>
    <w:rsid w:val="00DC4E17"/>
    <w:rsid w:val="00DC6489"/>
    <w:rsid w:val="00DC6655"/>
    <w:rsid w:val="00DC72CF"/>
    <w:rsid w:val="00DC7E87"/>
    <w:rsid w:val="00DD05E2"/>
    <w:rsid w:val="00DD1A93"/>
    <w:rsid w:val="00DD305F"/>
    <w:rsid w:val="00DD394A"/>
    <w:rsid w:val="00DD6D64"/>
    <w:rsid w:val="00DE59A1"/>
    <w:rsid w:val="00DE6B48"/>
    <w:rsid w:val="00DE6F99"/>
    <w:rsid w:val="00DF37C8"/>
    <w:rsid w:val="00DF5C4B"/>
    <w:rsid w:val="00DF5DC8"/>
    <w:rsid w:val="00DF6A41"/>
    <w:rsid w:val="00DF6AD7"/>
    <w:rsid w:val="00E00FD3"/>
    <w:rsid w:val="00E01146"/>
    <w:rsid w:val="00E02A26"/>
    <w:rsid w:val="00E044CF"/>
    <w:rsid w:val="00E113E0"/>
    <w:rsid w:val="00E20743"/>
    <w:rsid w:val="00E22A5E"/>
    <w:rsid w:val="00E23FF8"/>
    <w:rsid w:val="00E24B18"/>
    <w:rsid w:val="00E25375"/>
    <w:rsid w:val="00E30B1A"/>
    <w:rsid w:val="00E32CEE"/>
    <w:rsid w:val="00E3376C"/>
    <w:rsid w:val="00E33DA9"/>
    <w:rsid w:val="00E46582"/>
    <w:rsid w:val="00E47C52"/>
    <w:rsid w:val="00E53791"/>
    <w:rsid w:val="00E560C4"/>
    <w:rsid w:val="00E5773F"/>
    <w:rsid w:val="00E71766"/>
    <w:rsid w:val="00E73735"/>
    <w:rsid w:val="00E742CD"/>
    <w:rsid w:val="00E81FD8"/>
    <w:rsid w:val="00E861CB"/>
    <w:rsid w:val="00E870BF"/>
    <w:rsid w:val="00E901D3"/>
    <w:rsid w:val="00E90A94"/>
    <w:rsid w:val="00E970A9"/>
    <w:rsid w:val="00E97176"/>
    <w:rsid w:val="00EA1FE4"/>
    <w:rsid w:val="00EA62A5"/>
    <w:rsid w:val="00EB0C5F"/>
    <w:rsid w:val="00EB278E"/>
    <w:rsid w:val="00EC42F4"/>
    <w:rsid w:val="00ED1442"/>
    <w:rsid w:val="00ED4C6D"/>
    <w:rsid w:val="00EE3C66"/>
    <w:rsid w:val="00EE4100"/>
    <w:rsid w:val="00EE5280"/>
    <w:rsid w:val="00EF0255"/>
    <w:rsid w:val="00EF02E6"/>
    <w:rsid w:val="00F01688"/>
    <w:rsid w:val="00F035B7"/>
    <w:rsid w:val="00F03F3D"/>
    <w:rsid w:val="00F05366"/>
    <w:rsid w:val="00F0758D"/>
    <w:rsid w:val="00F07A23"/>
    <w:rsid w:val="00F1265B"/>
    <w:rsid w:val="00F12F5B"/>
    <w:rsid w:val="00F1685F"/>
    <w:rsid w:val="00F20266"/>
    <w:rsid w:val="00F23F3E"/>
    <w:rsid w:val="00F30C1E"/>
    <w:rsid w:val="00F316A1"/>
    <w:rsid w:val="00F353AF"/>
    <w:rsid w:val="00F41C3B"/>
    <w:rsid w:val="00F445B8"/>
    <w:rsid w:val="00F45097"/>
    <w:rsid w:val="00F4682D"/>
    <w:rsid w:val="00F52305"/>
    <w:rsid w:val="00F54CF9"/>
    <w:rsid w:val="00F615AE"/>
    <w:rsid w:val="00F64117"/>
    <w:rsid w:val="00F6549F"/>
    <w:rsid w:val="00F74CC1"/>
    <w:rsid w:val="00F75662"/>
    <w:rsid w:val="00F807D4"/>
    <w:rsid w:val="00F80C67"/>
    <w:rsid w:val="00F83714"/>
    <w:rsid w:val="00F94256"/>
    <w:rsid w:val="00F96627"/>
    <w:rsid w:val="00FA3A1C"/>
    <w:rsid w:val="00FA7CD6"/>
    <w:rsid w:val="00FB612D"/>
    <w:rsid w:val="00FB79A8"/>
    <w:rsid w:val="00FC35AA"/>
    <w:rsid w:val="00FC4EF0"/>
    <w:rsid w:val="00FD2D2A"/>
    <w:rsid w:val="00FD6E3A"/>
    <w:rsid w:val="00FE008D"/>
    <w:rsid w:val="00FE1B33"/>
    <w:rsid w:val="00FE5585"/>
    <w:rsid w:val="00FF5882"/>
    <w:rsid w:val="00FF6B3D"/>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DEAC67"/>
  <w15:docId w15:val="{EF80D31A-5A62-4CF2-92DA-947623A7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A7A"/>
    <w:rPr>
      <w:rFonts w:asciiTheme="majorHAnsi" w:eastAsia="Cambria" w:hAnsiTheme="majorHAnsi" w:cs="Cambria"/>
    </w:rPr>
  </w:style>
  <w:style w:type="paragraph" w:styleId="Heading1">
    <w:name w:val="heading 1"/>
    <w:basedOn w:val="Normal"/>
    <w:link w:val="Heading1Char"/>
    <w:qFormat/>
    <w:rsid w:val="00142A7A"/>
    <w:pPr>
      <w:keepNext/>
      <w:keepLines/>
      <w:numPr>
        <w:numId w:val="9"/>
      </w:numPr>
      <w:spacing w:after="120"/>
      <w:outlineLvl w:val="0"/>
    </w:pPr>
    <w:rPr>
      <w:b/>
      <w:bCs/>
      <w:caps/>
      <w:sz w:val="28"/>
      <w:szCs w:val="28"/>
    </w:rPr>
  </w:style>
  <w:style w:type="paragraph" w:styleId="Heading2">
    <w:name w:val="heading 2"/>
    <w:basedOn w:val="Normal"/>
    <w:link w:val="Heading2Char"/>
    <w:unhideWhenUsed/>
    <w:qFormat/>
    <w:rsid w:val="0091038F"/>
    <w:pPr>
      <w:numPr>
        <w:ilvl w:val="1"/>
        <w:numId w:val="9"/>
      </w:numPr>
      <w:spacing w:before="240" w:after="120"/>
      <w:outlineLvl w:val="1"/>
    </w:pPr>
    <w:rPr>
      <w:rFonts w:ascii="Times New Roman Bold" w:hAnsi="Times New Roman Bold" w:cs="Times New Roman"/>
      <w:b/>
      <w:caps/>
      <w:sz w:val="24"/>
    </w:rPr>
  </w:style>
  <w:style w:type="paragraph" w:styleId="Heading3">
    <w:name w:val="heading 3"/>
    <w:basedOn w:val="Normal"/>
    <w:link w:val="Heading3Char"/>
    <w:unhideWhenUsed/>
    <w:qFormat/>
    <w:rsid w:val="002F2DA9"/>
    <w:pPr>
      <w:keepNext/>
      <w:keepLines/>
      <w:spacing w:before="200" w:after="0"/>
      <w:outlineLvl w:val="2"/>
    </w:pPr>
    <w:rPr>
      <w:rFonts w:ascii="Times New Roman" w:hAnsi="Times New Roman" w:cs="Times New Roman"/>
      <w:b/>
      <w:bCs/>
    </w:rPr>
  </w:style>
  <w:style w:type="paragraph" w:styleId="Heading4">
    <w:name w:val="heading 4"/>
    <w:basedOn w:val="Normal"/>
    <w:link w:val="Heading4Char"/>
    <w:unhideWhenUsed/>
    <w:qFormat/>
    <w:pPr>
      <w:keepNext/>
      <w:keepLines/>
      <w:numPr>
        <w:ilvl w:val="3"/>
        <w:numId w:val="9"/>
      </w:numPr>
      <w:spacing w:before="200" w:after="0"/>
      <w:outlineLvl w:val="3"/>
    </w:pPr>
    <w:rPr>
      <w:b/>
      <w:bCs/>
      <w:i/>
      <w:iCs/>
      <w:color w:val="4F81BD"/>
    </w:rPr>
  </w:style>
  <w:style w:type="paragraph" w:styleId="Heading5">
    <w:name w:val="heading 5"/>
    <w:basedOn w:val="Normal"/>
    <w:link w:val="Heading5Char"/>
    <w:semiHidden/>
    <w:unhideWhenUsed/>
    <w:qFormat/>
    <w:pPr>
      <w:keepNext/>
      <w:keepLines/>
      <w:numPr>
        <w:ilvl w:val="4"/>
        <w:numId w:val="9"/>
      </w:numPr>
      <w:spacing w:before="200" w:after="0"/>
      <w:outlineLvl w:val="4"/>
    </w:pPr>
    <w:rPr>
      <w:color w:val="243F60"/>
    </w:rPr>
  </w:style>
  <w:style w:type="paragraph" w:styleId="Heading6">
    <w:name w:val="heading 6"/>
    <w:basedOn w:val="Normal"/>
    <w:link w:val="Heading6Char"/>
    <w:semiHidden/>
    <w:unhideWhenUsed/>
    <w:qFormat/>
    <w:pPr>
      <w:keepNext/>
      <w:keepLines/>
      <w:numPr>
        <w:ilvl w:val="5"/>
        <w:numId w:val="9"/>
      </w:numPr>
      <w:spacing w:before="200" w:after="0"/>
      <w:outlineLvl w:val="5"/>
    </w:pPr>
    <w:rPr>
      <w:i/>
      <w:iCs/>
      <w:color w:val="243F60"/>
    </w:rPr>
  </w:style>
  <w:style w:type="paragraph" w:styleId="Heading7">
    <w:name w:val="heading 7"/>
    <w:basedOn w:val="Normal"/>
    <w:link w:val="Heading7Char"/>
    <w:semiHidden/>
    <w:unhideWhenUsed/>
    <w:qFormat/>
    <w:pPr>
      <w:keepNext/>
      <w:keepLines/>
      <w:numPr>
        <w:ilvl w:val="6"/>
        <w:numId w:val="9"/>
      </w:numPr>
      <w:spacing w:before="200" w:after="0"/>
      <w:outlineLvl w:val="6"/>
    </w:pPr>
    <w:rPr>
      <w:i/>
      <w:iCs/>
      <w:color w:val="404040"/>
    </w:rPr>
  </w:style>
  <w:style w:type="paragraph" w:styleId="Heading8">
    <w:name w:val="heading 8"/>
    <w:basedOn w:val="Normal"/>
    <w:link w:val="Heading8Char"/>
    <w:semiHidden/>
    <w:unhideWhenUsed/>
    <w:qFormat/>
    <w:pPr>
      <w:keepNext/>
      <w:keepLines/>
      <w:numPr>
        <w:ilvl w:val="7"/>
        <w:numId w:val="9"/>
      </w:numPr>
      <w:spacing w:before="200" w:after="0"/>
      <w:outlineLvl w:val="7"/>
    </w:pPr>
    <w:rPr>
      <w:color w:val="404040"/>
      <w:sz w:val="20"/>
      <w:szCs w:val="20"/>
    </w:rPr>
  </w:style>
  <w:style w:type="paragraph" w:styleId="Heading9">
    <w:name w:val="heading 9"/>
    <w:basedOn w:val="Normal"/>
    <w:link w:val="Heading9Char"/>
    <w:semiHidden/>
    <w:unhideWhenUsed/>
    <w:qFormat/>
    <w:pPr>
      <w:keepNext/>
      <w:keepLines/>
      <w:numPr>
        <w:ilvl w:val="8"/>
        <w:numId w:val="9"/>
      </w:numPr>
      <w:spacing w:before="200" w:after="0"/>
      <w:outlineLvl w:val="8"/>
    </w:pPr>
    <w:rPr>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List1">
    <w:name w:val="No List1"/>
    <w:semiHidden/>
    <w:unhideWhenUsed/>
  </w:style>
  <w:style w:type="character" w:customStyle="1" w:styleId="Heading1Char">
    <w:name w:val="Heading 1 Char"/>
    <w:basedOn w:val="DefaultParagraphFont"/>
    <w:link w:val="Heading1"/>
    <w:rsid w:val="00142A7A"/>
    <w:rPr>
      <w:rFonts w:asciiTheme="majorHAnsi" w:eastAsia="Cambria" w:hAnsiTheme="majorHAnsi" w:cs="Cambria"/>
      <w:b/>
      <w:bCs/>
      <w:caps/>
      <w:sz w:val="28"/>
      <w:szCs w:val="28"/>
    </w:rPr>
  </w:style>
  <w:style w:type="character" w:customStyle="1" w:styleId="Heading2Char">
    <w:name w:val="Heading 2 Char"/>
    <w:basedOn w:val="DefaultParagraphFont"/>
    <w:link w:val="Heading2"/>
    <w:rsid w:val="0091038F"/>
    <w:rPr>
      <w:rFonts w:ascii="Times New Roman Bold" w:eastAsia="Cambria" w:hAnsi="Times New Roman Bold" w:cs="Times New Roman"/>
      <w:b/>
      <w:caps/>
      <w:sz w:val="24"/>
    </w:rPr>
  </w:style>
  <w:style w:type="character" w:customStyle="1" w:styleId="Heading3Char">
    <w:name w:val="Heading 3 Char"/>
    <w:basedOn w:val="DefaultParagraphFont"/>
    <w:link w:val="Heading3"/>
    <w:rsid w:val="002F2DA9"/>
    <w:rPr>
      <w:rFonts w:ascii="Times New Roman" w:eastAsia="Cambria" w:hAnsi="Times New Roman" w:cs="Times New Roman"/>
      <w:b/>
      <w:bCs/>
    </w:rPr>
  </w:style>
  <w:style w:type="character" w:customStyle="1" w:styleId="Heading4Char">
    <w:name w:val="Heading 4 Char"/>
    <w:basedOn w:val="DefaultParagraphFont"/>
    <w:link w:val="Heading4"/>
    <w:rPr>
      <w:rFonts w:ascii="Cambria" w:eastAsia="Cambria" w:hAnsi="Cambria" w:cs="Cambria"/>
      <w:b/>
      <w:bCs/>
      <w:i/>
      <w:iCs/>
      <w:color w:val="4F81BD"/>
    </w:rPr>
  </w:style>
  <w:style w:type="character" w:customStyle="1" w:styleId="Heading5Char">
    <w:name w:val="Heading 5 Char"/>
    <w:basedOn w:val="DefaultParagraphFont"/>
    <w:link w:val="Heading5"/>
    <w:semiHidden/>
    <w:rPr>
      <w:rFonts w:ascii="Cambria" w:eastAsia="Cambria" w:hAnsi="Cambria" w:cs="Cambria"/>
      <w:color w:val="243F60"/>
    </w:rPr>
  </w:style>
  <w:style w:type="character" w:customStyle="1" w:styleId="Heading6Char">
    <w:name w:val="Heading 6 Char"/>
    <w:basedOn w:val="DefaultParagraphFont"/>
    <w:link w:val="Heading6"/>
    <w:semiHidden/>
    <w:rPr>
      <w:rFonts w:ascii="Cambria" w:eastAsia="Cambria" w:hAnsi="Cambria" w:cs="Cambria"/>
      <w:i/>
      <w:iCs/>
      <w:color w:val="243F60"/>
    </w:rPr>
  </w:style>
  <w:style w:type="character" w:customStyle="1" w:styleId="Heading7Char">
    <w:name w:val="Heading 7 Char"/>
    <w:basedOn w:val="DefaultParagraphFont"/>
    <w:link w:val="Heading7"/>
    <w:semiHidden/>
    <w:rPr>
      <w:rFonts w:ascii="Cambria" w:eastAsia="Cambria" w:hAnsi="Cambria" w:cs="Cambria"/>
      <w:i/>
      <w:iCs/>
      <w:color w:val="404040"/>
    </w:rPr>
  </w:style>
  <w:style w:type="character" w:customStyle="1" w:styleId="Heading8Char">
    <w:name w:val="Heading 8 Char"/>
    <w:basedOn w:val="DefaultParagraphFont"/>
    <w:link w:val="Heading8"/>
    <w:semiHidden/>
    <w:rPr>
      <w:rFonts w:ascii="Cambria" w:eastAsia="Cambria" w:hAnsi="Cambria" w:cs="Cambria"/>
      <w:color w:val="404040"/>
      <w:sz w:val="20"/>
      <w:szCs w:val="20"/>
    </w:rPr>
  </w:style>
  <w:style w:type="character" w:customStyle="1" w:styleId="Heading9Char">
    <w:name w:val="Heading 9 Char"/>
    <w:basedOn w:val="DefaultParagraphFont"/>
    <w:link w:val="Heading9"/>
    <w:semiHidden/>
    <w:rPr>
      <w:rFonts w:ascii="Cambria" w:eastAsia="Cambria" w:hAnsi="Cambria" w:cs="Cambria"/>
      <w:i/>
      <w:iCs/>
      <w:color w:val="404040"/>
      <w:sz w:val="20"/>
      <w:szCs w:val="20"/>
    </w:rPr>
  </w:style>
  <w:style w:type="paragraph" w:styleId="ListParagraph">
    <w:name w:val="List Paragraph"/>
    <w:aliases w:val="List normal"/>
    <w:basedOn w:val="Normal"/>
    <w:link w:val="ListParagraphChar"/>
    <w:uiPriority w:val="34"/>
    <w:qFormat/>
    <w:pPr>
      <w:ind w:left="720"/>
      <w:contextualSpacing/>
    </w:pPr>
  </w:style>
  <w:style w:type="character" w:customStyle="1" w:styleId="CommentReference1">
    <w:name w:val="Comment Reference1"/>
    <w:basedOn w:val="DefaultParagraphFont"/>
    <w:semiHidden/>
    <w:unhideWhenUsed/>
    <w:rPr>
      <w:sz w:val="16"/>
      <w:szCs w:val="16"/>
    </w:rPr>
  </w:style>
  <w:style w:type="paragraph" w:customStyle="1" w:styleId="CommentText1">
    <w:name w:val="Comment Text1"/>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1"/>
    <w:semiHidden/>
    <w:rPr>
      <w:rFonts w:ascii="Cambria" w:eastAsia="Cambria" w:hAnsi="Cambria" w:cs="Cambria"/>
      <w:sz w:val="20"/>
      <w:szCs w:val="20"/>
    </w:rPr>
  </w:style>
  <w:style w:type="paragraph" w:styleId="FootnoteText">
    <w:name w:val="footnote text"/>
    <w:basedOn w:val="Normal"/>
    <w:link w:val="FootnoteTextChar"/>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rPr>
      <w:rFonts w:ascii="Calibri" w:eastAsia="Calibri" w:hAnsi="Calibri" w:cs="Times New Roman"/>
      <w:sz w:val="20"/>
    </w:rPr>
  </w:style>
  <w:style w:type="character" w:styleId="FootnoteReference">
    <w:name w:val="footnote reference"/>
    <w:basedOn w:val="DefaultParagraphFont"/>
    <w:unhideWhenUsed/>
    <w:rPr>
      <w:vertAlign w:val="superscript"/>
    </w:rPr>
  </w:style>
  <w:style w:type="paragraph" w:styleId="ListBullet">
    <w:name w:val="List Bullet"/>
    <w:basedOn w:val="Normal"/>
    <w:unhideWhenUsed/>
    <w:pPr>
      <w:ind w:left="425" w:hanging="425"/>
      <w:contextualSpacing/>
    </w:pPr>
  </w:style>
  <w:style w:type="character" w:styleId="Hyperlink">
    <w:name w:val="Hyperlink"/>
    <w:basedOn w:val="DefaultParagraphFont"/>
    <w:uiPriority w:val="99"/>
    <w:unhideWhenUsed/>
    <w:rPr>
      <w:color w:val="0000FF"/>
      <w:u w:val="single"/>
    </w:rPr>
  </w:style>
  <w:style w:type="table" w:styleId="LightGrid">
    <w:name w:val="Light Grid"/>
    <w:basedOn w:val="TableNormal"/>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Cambria" w:hAnsi="Cambria" w:cs="Cambri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vAlign w:val="top"/>
      </w:tcPr>
    </w:tblStylePr>
    <w:tblStylePr w:type="lastRow">
      <w:pPr>
        <w:spacing w:before="0" w:after="0" w:line="240" w:lineRule="auto"/>
      </w:pPr>
      <w:rPr>
        <w:rFonts w:ascii="Cambria" w:eastAsia="Cambria" w:hAnsi="Cambria" w:cs="Cambri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vAlign w:val="top"/>
      </w:tcPr>
    </w:tblStylePr>
    <w:tblStylePr w:type="firstCol">
      <w:rPr>
        <w:rFonts w:ascii="Cambria" w:eastAsia="Cambria" w:hAnsi="Cambria" w:cs="Cambria"/>
        <w:b/>
        <w:bCs/>
      </w:rPr>
    </w:tblStylePr>
    <w:tblStylePr w:type="lastCol">
      <w:rPr>
        <w:rFonts w:ascii="Cambria" w:eastAsia="Cambria" w:hAnsi="Cambria" w:cs="Cambria"/>
        <w:b/>
        <w:bCs/>
      </w:rPr>
      <w:tblPr/>
      <w:tcPr>
        <w:tcBorders>
          <w:top w:val="single" w:sz="8" w:space="0" w:color="000000"/>
          <w:left w:val="single" w:sz="8" w:space="0" w:color="000000"/>
          <w:bottom w:val="single" w:sz="8" w:space="0" w:color="000000"/>
          <w:right w:val="single" w:sz="8" w:space="0" w:color="000000"/>
        </w:tcBorders>
        <w:vAlign w:val="top"/>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vAlign w:val="top"/>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vAlign w:val="top"/>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vAlign w:val="top"/>
      </w:tcPr>
    </w:tblStyle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rPr>
      <w:rFonts w:ascii="Cambria" w:eastAsia="Cambria" w:hAnsi="Cambria" w:cs="Cambria"/>
    </w:rPr>
  </w:style>
  <w:style w:type="paragraph" w:styleId="BalloonText">
    <w:name w:val="Balloon Text"/>
    <w:basedOn w:val="Normal"/>
    <w:link w:val="BalloonTextChar"/>
    <w:semiHidden/>
    <w:unhideWhenUse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paragraph" w:customStyle="1" w:styleId="BoxWarning">
    <w:name w:val="BoxWarning"/>
    <w:basedOn w:val="Normal"/>
    <w:link w:val="BoxWarningChar"/>
    <w:qFormat/>
    <w:pPr>
      <w:pBdr>
        <w:top w:val="single" w:sz="4" w:space="1" w:color="auto"/>
        <w:left w:val="single" w:sz="4" w:space="4" w:color="auto"/>
        <w:bottom w:val="single" w:sz="4" w:space="1" w:color="auto"/>
        <w:right w:val="single" w:sz="4" w:space="4" w:color="auto"/>
      </w:pBdr>
    </w:pPr>
    <w:rPr>
      <w:b/>
      <w:snapToGrid w:val="0"/>
      <w:color w:val="000000"/>
    </w:rPr>
  </w:style>
  <w:style w:type="character" w:customStyle="1" w:styleId="BoxWarningChar">
    <w:name w:val="BoxWarning Char"/>
    <w:basedOn w:val="DefaultParagraphFont"/>
    <w:link w:val="BoxWarning"/>
    <w:rPr>
      <w:b/>
      <w:snapToGrid w:val="0"/>
      <w:color w:val="000000"/>
    </w:rPr>
  </w:style>
  <w:style w:type="paragraph" w:customStyle="1" w:styleId="Paragraph">
    <w:name w:val="Paragraph"/>
    <w:rsid w:val="00F353AF"/>
    <w:pPr>
      <w:spacing w:after="120" w:line="240" w:lineRule="auto"/>
    </w:pPr>
    <w:rPr>
      <w:rFonts w:ascii="Times New Roman" w:eastAsia="Times New Roman" w:hAnsi="Times New Roman" w:cs="Times New Roman"/>
      <w:sz w:val="24"/>
      <w:szCs w:val="24"/>
      <w:lang w:val="en-US"/>
    </w:rPr>
  </w:style>
  <w:style w:type="table" w:customStyle="1" w:styleId="TableGrid0">
    <w:name w:val="TableGrid"/>
    <w:rsid w:val="00F353AF"/>
    <w:pPr>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styleId="Header">
    <w:name w:val="header"/>
    <w:link w:val="HeaderChar"/>
    <w:uiPriority w:val="99"/>
    <w:rsid w:val="00F353AF"/>
    <w:pPr>
      <w:tabs>
        <w:tab w:val="center" w:pos="4507"/>
        <w:tab w:val="right" w:pos="900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F353AF"/>
    <w:rPr>
      <w:rFonts w:ascii="Times New Roman" w:eastAsia="Times New Roman" w:hAnsi="Times New Roman" w:cs="Times New Roman"/>
      <w:sz w:val="20"/>
      <w:szCs w:val="20"/>
      <w:lang w:val="en-US"/>
    </w:rPr>
  </w:style>
  <w:style w:type="paragraph" w:styleId="BodyText">
    <w:name w:val="Body Text"/>
    <w:basedOn w:val="Normal"/>
    <w:link w:val="BodyTextChar"/>
    <w:rsid w:val="00F353AF"/>
    <w:pPr>
      <w:spacing w:before="160" w:after="120" w:line="240" w:lineRule="auto"/>
    </w:pPr>
    <w:rPr>
      <w:rFonts w:ascii="Times New Roman" w:eastAsia="MS Mincho" w:hAnsi="Times New Roman" w:cs="Times New Roman"/>
      <w:sz w:val="24"/>
      <w:szCs w:val="24"/>
    </w:rPr>
  </w:style>
  <w:style w:type="character" w:customStyle="1" w:styleId="BodyTextChar">
    <w:name w:val="Body Text Char"/>
    <w:basedOn w:val="DefaultParagraphFont"/>
    <w:link w:val="BodyText"/>
    <w:rsid w:val="00F353AF"/>
    <w:rPr>
      <w:rFonts w:ascii="Times New Roman" w:eastAsia="MS Mincho" w:hAnsi="Times New Roman" w:cs="Times New Roman"/>
      <w:sz w:val="24"/>
      <w:szCs w:val="24"/>
    </w:rPr>
  </w:style>
  <w:style w:type="paragraph" w:customStyle="1" w:styleId="TableNote">
    <w:name w:val="Table Note"/>
    <w:basedOn w:val="BodyText"/>
    <w:next w:val="BodyText"/>
    <w:link w:val="TableNoteChar"/>
    <w:rsid w:val="00F353AF"/>
    <w:pPr>
      <w:spacing w:before="0" w:after="0"/>
    </w:pPr>
    <w:rPr>
      <w:sz w:val="18"/>
      <w:szCs w:val="20"/>
      <w:lang w:val="en-US"/>
    </w:rPr>
  </w:style>
  <w:style w:type="character" w:customStyle="1" w:styleId="TableNoteChar">
    <w:name w:val="Table Note Char"/>
    <w:link w:val="TableNote"/>
    <w:locked/>
    <w:rsid w:val="00F353AF"/>
    <w:rPr>
      <w:rFonts w:ascii="Times New Roman" w:eastAsia="MS Mincho" w:hAnsi="Times New Roman" w:cs="Times New Roman"/>
      <w:sz w:val="18"/>
      <w:szCs w:val="20"/>
      <w:lang w:val="en-US"/>
    </w:rPr>
  </w:style>
  <w:style w:type="paragraph" w:customStyle="1" w:styleId="TN10">
    <w:name w:val="TN10"/>
    <w:basedOn w:val="BodyText"/>
    <w:next w:val="BodyText"/>
    <w:rsid w:val="00F353AF"/>
    <w:pPr>
      <w:spacing w:before="0" w:after="0"/>
    </w:pPr>
    <w:rPr>
      <w:sz w:val="20"/>
      <w:szCs w:val="20"/>
      <w:lang w:val="en-US"/>
    </w:rPr>
  </w:style>
  <w:style w:type="paragraph" w:customStyle="1" w:styleId="KendleHidden">
    <w:name w:val="Kendle Hidden"/>
    <w:basedOn w:val="Normal"/>
    <w:next w:val="Normal"/>
    <w:link w:val="KendleHiddenChar"/>
    <w:locked/>
    <w:rsid w:val="003C1B86"/>
    <w:pPr>
      <w:spacing w:after="0" w:line="240" w:lineRule="auto"/>
    </w:pPr>
    <w:rPr>
      <w:rFonts w:ascii="Times New Roman" w:eastAsia="MS Mincho" w:hAnsi="Times New Roman" w:cs="Times New Roman"/>
      <w:vanish/>
      <w:color w:val="0000FF"/>
      <w:sz w:val="20"/>
      <w:szCs w:val="24"/>
      <w:lang w:eastAsia="en-AU"/>
    </w:rPr>
  </w:style>
  <w:style w:type="character" w:customStyle="1" w:styleId="KendleHiddenChar">
    <w:name w:val="Kendle Hidden Char"/>
    <w:link w:val="KendleHidden"/>
    <w:locked/>
    <w:rsid w:val="003C1B86"/>
    <w:rPr>
      <w:rFonts w:ascii="Times New Roman" w:eastAsia="MS Mincho" w:hAnsi="Times New Roman" w:cs="Times New Roman"/>
      <w:vanish/>
      <w:color w:val="0000FF"/>
      <w:sz w:val="20"/>
      <w:szCs w:val="24"/>
      <w:lang w:eastAsia="en-AU"/>
    </w:rPr>
  </w:style>
  <w:style w:type="paragraph" w:customStyle="1" w:styleId="TableCenter">
    <w:name w:val="Table Center"/>
    <w:basedOn w:val="Normal"/>
    <w:rsid w:val="007741BA"/>
    <w:pPr>
      <w:spacing w:after="60" w:line="240" w:lineRule="auto"/>
      <w:jc w:val="center"/>
    </w:pPr>
    <w:rPr>
      <w:rFonts w:ascii="Times New Roman" w:eastAsia="Times New Roman" w:hAnsi="Times New Roman" w:cs="Times New Roman"/>
      <w:sz w:val="24"/>
      <w:szCs w:val="24"/>
      <w:lang w:val="en-US"/>
    </w:rPr>
  </w:style>
  <w:style w:type="paragraph" w:customStyle="1" w:styleId="TableFixedWidth">
    <w:name w:val="Table Fixed Width"/>
    <w:rsid w:val="00940C71"/>
    <w:pPr>
      <w:spacing w:after="0" w:line="240" w:lineRule="auto"/>
    </w:pPr>
    <w:rPr>
      <w:rFonts w:ascii="Courier New" w:eastAsia="Times New Roman" w:hAnsi="Courier New" w:cs="Times New Roman"/>
      <w:sz w:val="20"/>
      <w:szCs w:val="20"/>
      <w:lang w:val="en-US"/>
    </w:rPr>
  </w:style>
  <w:style w:type="paragraph" w:customStyle="1" w:styleId="Heading1Unnumbered">
    <w:name w:val="Heading 1 Unnumbered"/>
    <w:next w:val="Paragraph"/>
    <w:rsid w:val="00940C71"/>
    <w:pPr>
      <w:keepNext/>
      <w:keepLines/>
      <w:tabs>
        <w:tab w:val="left" w:pos="1440"/>
      </w:tabs>
      <w:spacing w:before="120" w:after="120" w:line="240" w:lineRule="auto"/>
      <w:outlineLvl w:val="0"/>
    </w:pPr>
    <w:rPr>
      <w:rFonts w:ascii="Arial" w:eastAsia="Times New Roman" w:hAnsi="Arial" w:cs="Arial"/>
      <w:b/>
      <w:bCs/>
      <w:caps/>
      <w:kern w:val="32"/>
      <w:sz w:val="28"/>
      <w:szCs w:val="48"/>
      <w:lang w:val="en-US"/>
    </w:rPr>
  </w:style>
  <w:style w:type="paragraph" w:customStyle="1" w:styleId="Figure">
    <w:name w:val="Figure"/>
    <w:next w:val="Paragraph"/>
    <w:rsid w:val="00940C71"/>
    <w:pPr>
      <w:keepLines/>
      <w:spacing w:after="120" w:line="240" w:lineRule="auto"/>
      <w:jc w:val="center"/>
    </w:pPr>
    <w:rPr>
      <w:rFonts w:ascii="Times New Roman" w:eastAsia="Times New Roman" w:hAnsi="Times New Roman" w:cs="Times New Roman"/>
      <w:sz w:val="24"/>
      <w:szCs w:val="20"/>
      <w:lang w:val="en-US"/>
    </w:rPr>
  </w:style>
  <w:style w:type="paragraph" w:customStyle="1" w:styleId="TableFootnoteSymbol">
    <w:name w:val="Table Footnote Symbol"/>
    <w:basedOn w:val="Normal"/>
    <w:rsid w:val="00940C71"/>
    <w:pPr>
      <w:spacing w:after="60" w:line="240" w:lineRule="auto"/>
    </w:pPr>
    <w:rPr>
      <w:rFonts w:ascii="Times New Roman" w:eastAsia="Times New Roman" w:hAnsi="Times New Roman" w:cs="Times New Roman"/>
      <w:sz w:val="20"/>
      <w:szCs w:val="48"/>
      <w:lang w:val="en-US"/>
    </w:rPr>
  </w:style>
  <w:style w:type="character" w:customStyle="1" w:styleId="UnresolvedMention1">
    <w:name w:val="Unresolved Mention1"/>
    <w:basedOn w:val="DefaultParagraphFont"/>
    <w:uiPriority w:val="99"/>
    <w:semiHidden/>
    <w:unhideWhenUsed/>
    <w:rsid w:val="006240F6"/>
    <w:rPr>
      <w:color w:val="808080"/>
      <w:shd w:val="clear" w:color="auto" w:fill="E6E6E6"/>
    </w:rPr>
  </w:style>
  <w:style w:type="character" w:styleId="CommentReference">
    <w:name w:val="annotation reference"/>
    <w:basedOn w:val="DefaultParagraphFont"/>
    <w:uiPriority w:val="99"/>
    <w:semiHidden/>
    <w:unhideWhenUsed/>
    <w:rsid w:val="005C3A05"/>
    <w:rPr>
      <w:sz w:val="16"/>
      <w:szCs w:val="16"/>
    </w:rPr>
  </w:style>
  <w:style w:type="paragraph" w:styleId="CommentText">
    <w:name w:val="annotation text"/>
    <w:basedOn w:val="Normal"/>
    <w:link w:val="CommentTextChar1"/>
    <w:uiPriority w:val="99"/>
    <w:unhideWhenUsed/>
    <w:rsid w:val="005C3A05"/>
    <w:pPr>
      <w:spacing w:line="240" w:lineRule="auto"/>
    </w:pPr>
    <w:rPr>
      <w:sz w:val="20"/>
      <w:szCs w:val="20"/>
    </w:rPr>
  </w:style>
  <w:style w:type="character" w:customStyle="1" w:styleId="CommentTextChar1">
    <w:name w:val="Comment Text Char1"/>
    <w:basedOn w:val="DefaultParagraphFont"/>
    <w:link w:val="CommentText"/>
    <w:uiPriority w:val="99"/>
    <w:rsid w:val="005C3A05"/>
    <w:rPr>
      <w:rFonts w:asciiTheme="majorHAnsi" w:eastAsia="Cambria" w:hAnsiTheme="majorHAnsi" w:cs="Cambria"/>
      <w:sz w:val="20"/>
      <w:szCs w:val="20"/>
    </w:rPr>
  </w:style>
  <w:style w:type="paragraph" w:styleId="CommentSubject">
    <w:name w:val="annotation subject"/>
    <w:basedOn w:val="CommentText"/>
    <w:next w:val="CommentText"/>
    <w:link w:val="CommentSubjectChar"/>
    <w:uiPriority w:val="99"/>
    <w:semiHidden/>
    <w:unhideWhenUsed/>
    <w:rsid w:val="005C3A05"/>
    <w:rPr>
      <w:b/>
      <w:bCs/>
    </w:rPr>
  </w:style>
  <w:style w:type="character" w:customStyle="1" w:styleId="CommentSubjectChar">
    <w:name w:val="Comment Subject Char"/>
    <w:basedOn w:val="CommentTextChar1"/>
    <w:link w:val="CommentSubject"/>
    <w:uiPriority w:val="99"/>
    <w:semiHidden/>
    <w:rsid w:val="005C3A05"/>
    <w:rPr>
      <w:rFonts w:asciiTheme="majorHAnsi" w:eastAsia="Cambria" w:hAnsiTheme="majorHAnsi" w:cs="Cambria"/>
      <w:b/>
      <w:bCs/>
      <w:sz w:val="20"/>
      <w:szCs w:val="20"/>
    </w:rPr>
  </w:style>
  <w:style w:type="paragraph" w:styleId="Revision">
    <w:name w:val="Revision"/>
    <w:hidden/>
    <w:uiPriority w:val="99"/>
    <w:semiHidden/>
    <w:rsid w:val="00A9357C"/>
    <w:pPr>
      <w:spacing w:after="0" w:line="240" w:lineRule="auto"/>
    </w:pPr>
    <w:rPr>
      <w:rFonts w:asciiTheme="majorHAnsi" w:eastAsia="Cambria" w:hAnsiTheme="majorHAnsi" w:cs="Cambria"/>
    </w:rPr>
  </w:style>
  <w:style w:type="paragraph" w:styleId="NormalWeb">
    <w:name w:val="Normal (Web)"/>
    <w:basedOn w:val="Normal"/>
    <w:uiPriority w:val="99"/>
    <w:rsid w:val="00680F4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680F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680F4F"/>
    <w:pPr>
      <w:spacing w:before="120" w:after="120" w:line="240" w:lineRule="auto"/>
    </w:pPr>
    <w:rPr>
      <w:rFonts w:ascii="Times New Roman" w:eastAsia="Times New Roman" w:hAnsi="Times New Roman" w:cs="Times New Roman"/>
      <w:b/>
      <w:bCs/>
      <w:sz w:val="20"/>
      <w:szCs w:val="20"/>
      <w:lang w:val="en-US" w:eastAsia="en-CA"/>
    </w:rPr>
  </w:style>
  <w:style w:type="paragraph" w:customStyle="1" w:styleId="Default">
    <w:name w:val="Default"/>
    <w:rsid w:val="001E4C18"/>
    <w:pPr>
      <w:autoSpaceDE w:val="0"/>
      <w:autoSpaceDN w:val="0"/>
      <w:adjustRightInd w:val="0"/>
      <w:spacing w:after="0" w:line="240" w:lineRule="auto"/>
    </w:pPr>
    <w:rPr>
      <w:rFonts w:ascii="Cambria" w:hAnsi="Cambria" w:cs="Cambria"/>
      <w:color w:val="000000"/>
      <w:sz w:val="24"/>
      <w:szCs w:val="24"/>
    </w:rPr>
  </w:style>
  <w:style w:type="paragraph" w:customStyle="1" w:styleId="C-BodyText">
    <w:name w:val="C-Body Text"/>
    <w:link w:val="C-BodyTextChar"/>
    <w:rsid w:val="00090E00"/>
    <w:pPr>
      <w:spacing w:before="120" w:after="120" w:line="280" w:lineRule="atLeast"/>
    </w:pPr>
    <w:rPr>
      <w:rFonts w:ascii="Times New Roman" w:eastAsia="Times New Roman" w:hAnsi="Times New Roman" w:cs="Times New Roman"/>
      <w:sz w:val="24"/>
      <w:szCs w:val="20"/>
      <w:lang w:val="en-US"/>
    </w:rPr>
  </w:style>
  <w:style w:type="character" w:customStyle="1" w:styleId="C-BodyTextChar">
    <w:name w:val="C-Body Text Char"/>
    <w:link w:val="C-BodyText"/>
    <w:rsid w:val="00090E00"/>
    <w:rPr>
      <w:rFonts w:ascii="Times New Roman" w:eastAsia="Times New Roman" w:hAnsi="Times New Roman" w:cs="Times New Roman"/>
      <w:sz w:val="24"/>
      <w:szCs w:val="20"/>
      <w:lang w:val="en-US"/>
    </w:rPr>
  </w:style>
  <w:style w:type="table" w:customStyle="1" w:styleId="TableGrid2">
    <w:name w:val="Table Grid2"/>
    <w:basedOn w:val="TableNormal"/>
    <w:next w:val="TableGrid"/>
    <w:rsid w:val="00FD6E3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4F6820"/>
    <w:pPr>
      <w:widowControl w:val="0"/>
      <w:autoSpaceDE w:val="0"/>
      <w:autoSpaceDN w:val="0"/>
      <w:adjustRightInd w:val="0"/>
      <w:spacing w:after="0" w:line="240" w:lineRule="auto"/>
    </w:pPr>
    <w:rPr>
      <w:rFonts w:ascii="Times New Roman" w:eastAsiaTheme="minorEastAsia" w:hAnsi="Times New Roman" w:cs="Times New Roman"/>
      <w:sz w:val="24"/>
      <w:szCs w:val="24"/>
      <w:lang w:val="en-US" w:eastAsia="zh-CN"/>
    </w:rPr>
  </w:style>
  <w:style w:type="character" w:customStyle="1" w:styleId="ListParagraphChar">
    <w:name w:val="List Paragraph Char"/>
    <w:aliases w:val="List normal Char"/>
    <w:basedOn w:val="DefaultParagraphFont"/>
    <w:link w:val="ListParagraph"/>
    <w:uiPriority w:val="34"/>
    <w:rsid w:val="004F6820"/>
    <w:rPr>
      <w:rFonts w:asciiTheme="majorHAnsi" w:eastAsia="Cambria" w:hAnsiTheme="majorHAnsi"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87141">
      <w:bodyDiv w:val="1"/>
      <w:marLeft w:val="0"/>
      <w:marRight w:val="0"/>
      <w:marTop w:val="0"/>
      <w:marBottom w:val="0"/>
      <w:divBdr>
        <w:top w:val="none" w:sz="0" w:space="0" w:color="auto"/>
        <w:left w:val="none" w:sz="0" w:space="0" w:color="auto"/>
        <w:bottom w:val="none" w:sz="0" w:space="0" w:color="auto"/>
        <w:right w:val="none" w:sz="0" w:space="0" w:color="auto"/>
      </w:divBdr>
    </w:div>
    <w:div w:id="318384016">
      <w:bodyDiv w:val="1"/>
      <w:marLeft w:val="0"/>
      <w:marRight w:val="0"/>
      <w:marTop w:val="0"/>
      <w:marBottom w:val="0"/>
      <w:divBdr>
        <w:top w:val="none" w:sz="0" w:space="0" w:color="auto"/>
        <w:left w:val="none" w:sz="0" w:space="0" w:color="auto"/>
        <w:bottom w:val="none" w:sz="0" w:space="0" w:color="auto"/>
        <w:right w:val="none" w:sz="0" w:space="0" w:color="auto"/>
      </w:divBdr>
    </w:div>
    <w:div w:id="333801025">
      <w:bodyDiv w:val="1"/>
      <w:marLeft w:val="0"/>
      <w:marRight w:val="0"/>
      <w:marTop w:val="0"/>
      <w:marBottom w:val="0"/>
      <w:divBdr>
        <w:top w:val="none" w:sz="0" w:space="0" w:color="auto"/>
        <w:left w:val="none" w:sz="0" w:space="0" w:color="auto"/>
        <w:bottom w:val="none" w:sz="0" w:space="0" w:color="auto"/>
        <w:right w:val="none" w:sz="0" w:space="0" w:color="auto"/>
      </w:divBdr>
    </w:div>
    <w:div w:id="444036517">
      <w:bodyDiv w:val="1"/>
      <w:marLeft w:val="0"/>
      <w:marRight w:val="0"/>
      <w:marTop w:val="0"/>
      <w:marBottom w:val="0"/>
      <w:divBdr>
        <w:top w:val="none" w:sz="0" w:space="0" w:color="auto"/>
        <w:left w:val="none" w:sz="0" w:space="0" w:color="auto"/>
        <w:bottom w:val="none" w:sz="0" w:space="0" w:color="auto"/>
        <w:right w:val="none" w:sz="0" w:space="0" w:color="auto"/>
      </w:divBdr>
      <w:divsChild>
        <w:div w:id="1835994747">
          <w:marLeft w:val="0"/>
          <w:marRight w:val="0"/>
          <w:marTop w:val="0"/>
          <w:marBottom w:val="0"/>
          <w:divBdr>
            <w:top w:val="none" w:sz="0" w:space="0" w:color="auto"/>
            <w:left w:val="none" w:sz="0" w:space="0" w:color="auto"/>
            <w:bottom w:val="none" w:sz="0" w:space="0" w:color="auto"/>
            <w:right w:val="none" w:sz="0" w:space="0" w:color="auto"/>
          </w:divBdr>
          <w:divsChild>
            <w:div w:id="1887057209">
              <w:marLeft w:val="0"/>
              <w:marRight w:val="0"/>
              <w:marTop w:val="0"/>
              <w:marBottom w:val="0"/>
              <w:divBdr>
                <w:top w:val="none" w:sz="0" w:space="0" w:color="auto"/>
                <w:left w:val="none" w:sz="0" w:space="0" w:color="auto"/>
                <w:bottom w:val="none" w:sz="0" w:space="0" w:color="auto"/>
                <w:right w:val="none" w:sz="0" w:space="0" w:color="auto"/>
              </w:divBdr>
              <w:divsChild>
                <w:div w:id="1687749972">
                  <w:marLeft w:val="0"/>
                  <w:marRight w:val="0"/>
                  <w:marTop w:val="0"/>
                  <w:marBottom w:val="0"/>
                  <w:divBdr>
                    <w:top w:val="none" w:sz="0" w:space="0" w:color="auto"/>
                    <w:left w:val="none" w:sz="0" w:space="0" w:color="auto"/>
                    <w:bottom w:val="none" w:sz="0" w:space="0" w:color="auto"/>
                    <w:right w:val="none" w:sz="0" w:space="0" w:color="auto"/>
                  </w:divBdr>
                  <w:divsChild>
                    <w:div w:id="800540042">
                      <w:marLeft w:val="0"/>
                      <w:marRight w:val="0"/>
                      <w:marTop w:val="0"/>
                      <w:marBottom w:val="0"/>
                      <w:divBdr>
                        <w:top w:val="none" w:sz="0" w:space="0" w:color="auto"/>
                        <w:left w:val="none" w:sz="0" w:space="0" w:color="auto"/>
                        <w:bottom w:val="none" w:sz="0" w:space="0" w:color="auto"/>
                        <w:right w:val="none" w:sz="0" w:space="0" w:color="auto"/>
                      </w:divBdr>
                      <w:divsChild>
                        <w:div w:id="2113160568">
                          <w:marLeft w:val="0"/>
                          <w:marRight w:val="0"/>
                          <w:marTop w:val="0"/>
                          <w:marBottom w:val="0"/>
                          <w:divBdr>
                            <w:top w:val="none" w:sz="0" w:space="0" w:color="auto"/>
                            <w:left w:val="none" w:sz="0" w:space="0" w:color="auto"/>
                            <w:bottom w:val="none" w:sz="0" w:space="0" w:color="auto"/>
                            <w:right w:val="none" w:sz="0" w:space="0" w:color="auto"/>
                          </w:divBdr>
                          <w:divsChild>
                            <w:div w:id="138163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896911">
      <w:bodyDiv w:val="1"/>
      <w:marLeft w:val="0"/>
      <w:marRight w:val="0"/>
      <w:marTop w:val="0"/>
      <w:marBottom w:val="0"/>
      <w:divBdr>
        <w:top w:val="none" w:sz="0" w:space="0" w:color="auto"/>
        <w:left w:val="none" w:sz="0" w:space="0" w:color="auto"/>
        <w:bottom w:val="none" w:sz="0" w:space="0" w:color="auto"/>
        <w:right w:val="none" w:sz="0" w:space="0" w:color="auto"/>
      </w:divBdr>
    </w:div>
    <w:div w:id="633680222">
      <w:bodyDiv w:val="1"/>
      <w:marLeft w:val="0"/>
      <w:marRight w:val="0"/>
      <w:marTop w:val="0"/>
      <w:marBottom w:val="0"/>
      <w:divBdr>
        <w:top w:val="none" w:sz="0" w:space="0" w:color="auto"/>
        <w:left w:val="none" w:sz="0" w:space="0" w:color="auto"/>
        <w:bottom w:val="none" w:sz="0" w:space="0" w:color="auto"/>
        <w:right w:val="none" w:sz="0" w:space="0" w:color="auto"/>
      </w:divBdr>
    </w:div>
    <w:div w:id="709303434">
      <w:bodyDiv w:val="1"/>
      <w:marLeft w:val="0"/>
      <w:marRight w:val="0"/>
      <w:marTop w:val="0"/>
      <w:marBottom w:val="0"/>
      <w:divBdr>
        <w:top w:val="none" w:sz="0" w:space="0" w:color="auto"/>
        <w:left w:val="none" w:sz="0" w:space="0" w:color="auto"/>
        <w:bottom w:val="none" w:sz="0" w:space="0" w:color="auto"/>
        <w:right w:val="none" w:sz="0" w:space="0" w:color="auto"/>
      </w:divBdr>
    </w:div>
    <w:div w:id="1068268524">
      <w:bodyDiv w:val="1"/>
      <w:marLeft w:val="0"/>
      <w:marRight w:val="0"/>
      <w:marTop w:val="0"/>
      <w:marBottom w:val="0"/>
      <w:divBdr>
        <w:top w:val="none" w:sz="0" w:space="0" w:color="auto"/>
        <w:left w:val="none" w:sz="0" w:space="0" w:color="auto"/>
        <w:bottom w:val="none" w:sz="0" w:space="0" w:color="auto"/>
        <w:right w:val="none" w:sz="0" w:space="0" w:color="auto"/>
      </w:divBdr>
    </w:div>
    <w:div w:id="1209532966">
      <w:bodyDiv w:val="1"/>
      <w:marLeft w:val="0"/>
      <w:marRight w:val="0"/>
      <w:marTop w:val="0"/>
      <w:marBottom w:val="0"/>
      <w:divBdr>
        <w:top w:val="none" w:sz="0" w:space="0" w:color="auto"/>
        <w:left w:val="none" w:sz="0" w:space="0" w:color="auto"/>
        <w:bottom w:val="none" w:sz="0" w:space="0" w:color="auto"/>
        <w:right w:val="none" w:sz="0" w:space="0" w:color="auto"/>
      </w:divBdr>
    </w:div>
    <w:div w:id="1289049755">
      <w:bodyDiv w:val="1"/>
      <w:marLeft w:val="0"/>
      <w:marRight w:val="0"/>
      <w:marTop w:val="0"/>
      <w:marBottom w:val="0"/>
      <w:divBdr>
        <w:top w:val="none" w:sz="0" w:space="0" w:color="auto"/>
        <w:left w:val="none" w:sz="0" w:space="0" w:color="auto"/>
        <w:bottom w:val="none" w:sz="0" w:space="0" w:color="auto"/>
        <w:right w:val="none" w:sz="0" w:space="0" w:color="auto"/>
      </w:divBdr>
    </w:div>
    <w:div w:id="1295450130">
      <w:bodyDiv w:val="1"/>
      <w:marLeft w:val="0"/>
      <w:marRight w:val="0"/>
      <w:marTop w:val="0"/>
      <w:marBottom w:val="0"/>
      <w:divBdr>
        <w:top w:val="none" w:sz="0" w:space="0" w:color="auto"/>
        <w:left w:val="none" w:sz="0" w:space="0" w:color="auto"/>
        <w:bottom w:val="none" w:sz="0" w:space="0" w:color="auto"/>
        <w:right w:val="none" w:sz="0" w:space="0" w:color="auto"/>
      </w:divBdr>
    </w:div>
    <w:div w:id="1547717956">
      <w:bodyDiv w:val="1"/>
      <w:marLeft w:val="0"/>
      <w:marRight w:val="0"/>
      <w:marTop w:val="0"/>
      <w:marBottom w:val="0"/>
      <w:divBdr>
        <w:top w:val="none" w:sz="0" w:space="0" w:color="auto"/>
        <w:left w:val="none" w:sz="0" w:space="0" w:color="auto"/>
        <w:bottom w:val="none" w:sz="0" w:space="0" w:color="auto"/>
        <w:right w:val="none" w:sz="0" w:space="0" w:color="auto"/>
      </w:divBdr>
    </w:div>
    <w:div w:id="1642424048">
      <w:bodyDiv w:val="1"/>
      <w:marLeft w:val="0"/>
      <w:marRight w:val="0"/>
      <w:marTop w:val="0"/>
      <w:marBottom w:val="0"/>
      <w:divBdr>
        <w:top w:val="none" w:sz="0" w:space="0" w:color="auto"/>
        <w:left w:val="none" w:sz="0" w:space="0" w:color="auto"/>
        <w:bottom w:val="none" w:sz="0" w:space="0" w:color="auto"/>
        <w:right w:val="none" w:sz="0" w:space="0" w:color="auto"/>
      </w:divBdr>
    </w:div>
    <w:div w:id="1643583261">
      <w:bodyDiv w:val="1"/>
      <w:marLeft w:val="0"/>
      <w:marRight w:val="0"/>
      <w:marTop w:val="0"/>
      <w:marBottom w:val="0"/>
      <w:divBdr>
        <w:top w:val="none" w:sz="0" w:space="0" w:color="auto"/>
        <w:left w:val="none" w:sz="0" w:space="0" w:color="auto"/>
        <w:bottom w:val="none" w:sz="0" w:space="0" w:color="auto"/>
        <w:right w:val="none" w:sz="0" w:space="0" w:color="auto"/>
      </w:divBdr>
      <w:divsChild>
        <w:div w:id="351999347">
          <w:marLeft w:val="0"/>
          <w:marRight w:val="0"/>
          <w:marTop w:val="0"/>
          <w:marBottom w:val="0"/>
          <w:divBdr>
            <w:top w:val="none" w:sz="0" w:space="0" w:color="auto"/>
            <w:left w:val="none" w:sz="0" w:space="0" w:color="auto"/>
            <w:bottom w:val="none" w:sz="0" w:space="0" w:color="auto"/>
            <w:right w:val="none" w:sz="0" w:space="0" w:color="auto"/>
          </w:divBdr>
          <w:divsChild>
            <w:div w:id="704133621">
              <w:marLeft w:val="0"/>
              <w:marRight w:val="0"/>
              <w:marTop w:val="0"/>
              <w:marBottom w:val="0"/>
              <w:divBdr>
                <w:top w:val="none" w:sz="0" w:space="0" w:color="auto"/>
                <w:left w:val="none" w:sz="0" w:space="0" w:color="auto"/>
                <w:bottom w:val="none" w:sz="0" w:space="0" w:color="auto"/>
                <w:right w:val="none" w:sz="0" w:space="0" w:color="auto"/>
              </w:divBdr>
              <w:divsChild>
                <w:div w:id="1754742196">
                  <w:marLeft w:val="0"/>
                  <w:marRight w:val="0"/>
                  <w:marTop w:val="0"/>
                  <w:marBottom w:val="0"/>
                  <w:divBdr>
                    <w:top w:val="none" w:sz="0" w:space="0" w:color="auto"/>
                    <w:left w:val="none" w:sz="0" w:space="0" w:color="auto"/>
                    <w:bottom w:val="none" w:sz="0" w:space="0" w:color="auto"/>
                    <w:right w:val="none" w:sz="0" w:space="0" w:color="auto"/>
                  </w:divBdr>
                  <w:divsChild>
                    <w:div w:id="757870655">
                      <w:marLeft w:val="0"/>
                      <w:marRight w:val="0"/>
                      <w:marTop w:val="0"/>
                      <w:marBottom w:val="0"/>
                      <w:divBdr>
                        <w:top w:val="none" w:sz="0" w:space="0" w:color="auto"/>
                        <w:left w:val="none" w:sz="0" w:space="0" w:color="auto"/>
                        <w:bottom w:val="none" w:sz="0" w:space="0" w:color="auto"/>
                        <w:right w:val="none" w:sz="0" w:space="0" w:color="auto"/>
                      </w:divBdr>
                      <w:divsChild>
                        <w:div w:id="553388621">
                          <w:marLeft w:val="0"/>
                          <w:marRight w:val="0"/>
                          <w:marTop w:val="0"/>
                          <w:marBottom w:val="0"/>
                          <w:divBdr>
                            <w:top w:val="none" w:sz="0" w:space="0" w:color="auto"/>
                            <w:left w:val="none" w:sz="0" w:space="0" w:color="auto"/>
                            <w:bottom w:val="none" w:sz="0" w:space="0" w:color="auto"/>
                            <w:right w:val="none" w:sz="0" w:space="0" w:color="auto"/>
                          </w:divBdr>
                          <w:divsChild>
                            <w:div w:id="8063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438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tga.gov.au/reporting-problems" TargetMode="External"/><Relationship Id="rId17" Type="http://schemas.openxmlformats.org/officeDocument/2006/relationships/hyperlink" Target="http://www.ucbaustralia.com.a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ga.gov.au/reporting-problems"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24E3FA4510D244B53A28417D43CB69" ma:contentTypeVersion="13" ma:contentTypeDescription="Create a new document." ma:contentTypeScope="" ma:versionID="2216bb258ffad7133e54245bd0dbb65d">
  <xsd:schema xmlns:xsd="http://www.w3.org/2001/XMLSchema" xmlns:xs="http://www.w3.org/2001/XMLSchema" xmlns:p="http://schemas.microsoft.com/office/2006/metadata/properties" xmlns:ns3="ccb46266-bab2-4c74-b9f9-1d80475c54fe" xmlns:ns4="1389b5dc-9753-4ffa-8f28-596d63023778" targetNamespace="http://schemas.microsoft.com/office/2006/metadata/properties" ma:root="true" ma:fieldsID="4c7570cc6cb872ec520069896df47274" ns3:_="" ns4:_="">
    <xsd:import namespace="ccb46266-bab2-4c74-b9f9-1d80475c54fe"/>
    <xsd:import namespace="1389b5dc-9753-4ffa-8f28-596d6302377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46266-bab2-4c74-b9f9-1d80475c54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9b5dc-9753-4ffa-8f28-596d6302377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A601C-5F96-47FE-B1EC-1CA03E3CFC6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ccb46266-bab2-4c74-b9f9-1d80475c54fe"/>
    <ds:schemaRef ds:uri="http://purl.org/dc/dcmitype/"/>
    <ds:schemaRef ds:uri="1389b5dc-9753-4ffa-8f28-596d63023778"/>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8247A883-37C0-4802-BEE6-95FE9C370994}">
  <ds:schemaRefs>
    <ds:schemaRef ds:uri="http://schemas.microsoft.com/sharepoint/v3/contenttype/forms"/>
  </ds:schemaRefs>
</ds:datastoreItem>
</file>

<file path=customXml/itemProps3.xml><?xml version="1.0" encoding="utf-8"?>
<ds:datastoreItem xmlns:ds="http://schemas.openxmlformats.org/officeDocument/2006/customXml" ds:itemID="{0D7A76E5-86A0-47FE-BAAD-C0AFC2C9E86C}">
  <ds:schemaRefs>
    <ds:schemaRef ds:uri="http://schemas.openxmlformats.org/officeDocument/2006/bibliography"/>
  </ds:schemaRefs>
</ds:datastoreItem>
</file>

<file path=customXml/itemProps4.xml><?xml version="1.0" encoding="utf-8"?>
<ds:datastoreItem xmlns:ds="http://schemas.openxmlformats.org/officeDocument/2006/customXml" ds:itemID="{38C865E6-91CC-43DA-8337-ADB12BCB6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46266-bab2-4c74-b9f9-1d80475c54fe"/>
    <ds:schemaRef ds:uri="1389b5dc-9753-4ffa-8f28-596d63023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5525</Words>
  <Characters>31493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UCB Pharma</Company>
  <LinksUpToDate>false</LinksUpToDate>
  <CharactersWithSpaces>36945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for Bimzelx</dc:title>
  <dc:subject>Prescription medicines</dc:subject>
  <dc:creator>UCB Pharma</dc:creator>
  <cp:lastModifiedBy>KOLARIK-O'REILLY, Kristy</cp:lastModifiedBy>
  <cp:revision>4</cp:revision>
  <cp:lastPrinted>2020-11-18T04:07:00Z</cp:lastPrinted>
  <dcterms:created xsi:type="dcterms:W3CDTF">2023-04-18T04:42:00Z</dcterms:created>
  <dcterms:modified xsi:type="dcterms:W3CDTF">2023-04-26T05:38:00Z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0x0101003924E3FA4510D244B53A28417D43CB69</vt:lpwstr>
  </property>
</Properties>
</file>