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tblpY="3316"/>
        <w:tblW w:w="9079" w:type="dxa"/>
        <w:tblLayout w:type="fixed"/>
        <w:tblLook w:val="04A0" w:firstRow="1" w:lastRow="0" w:firstColumn="1" w:lastColumn="0" w:noHBand="0" w:noVBand="1"/>
      </w:tblPr>
      <w:tblGrid>
        <w:gridCol w:w="9079"/>
      </w:tblGrid>
      <w:tr w:rsidR="00172397" w:rsidRPr="00172397" w14:paraId="4E49EA5D" w14:textId="77777777" w:rsidTr="00172397">
        <w:trPr>
          <w:trHeight w:val="1416"/>
        </w:trPr>
        <w:tc>
          <w:tcPr>
            <w:tcW w:w="9079" w:type="dxa"/>
          </w:tcPr>
          <w:p w14:paraId="6C748CC9" w14:textId="170DC7B8" w:rsidR="0032583B" w:rsidRPr="00172397" w:rsidRDefault="0032583B" w:rsidP="00F931CE">
            <w:pPr>
              <w:pStyle w:val="Title"/>
              <w:framePr w:hSpace="0" w:wrap="auto" w:vAnchor="margin" w:yAlign="inline"/>
              <w:rPr>
                <w:color w:val="001871"/>
              </w:rPr>
            </w:pPr>
            <w:r w:rsidRPr="00172397">
              <w:rPr>
                <w:color w:val="001871"/>
              </w:rPr>
              <w:t>Australian Public Assessment Report for</w:t>
            </w:r>
            <w:r w:rsidR="00AF2313" w:rsidRPr="00172397">
              <w:rPr>
                <w:color w:val="001871"/>
              </w:rPr>
              <w:t xml:space="preserve"> </w:t>
            </w:r>
            <w:proofErr w:type="spellStart"/>
            <w:r w:rsidR="00D907D9" w:rsidRPr="00172397">
              <w:rPr>
                <w:color w:val="001871"/>
              </w:rPr>
              <w:t>Bimzelx</w:t>
            </w:r>
            <w:proofErr w:type="spellEnd"/>
          </w:p>
        </w:tc>
      </w:tr>
      <w:tr w:rsidR="0032583B" w:rsidRPr="00B64760" w14:paraId="0D0D8FF9" w14:textId="77777777" w:rsidTr="0032583B">
        <w:tc>
          <w:tcPr>
            <w:tcW w:w="9079" w:type="dxa"/>
          </w:tcPr>
          <w:p w14:paraId="04B0C8A2" w14:textId="35F9A1F3" w:rsidR="0032583B" w:rsidRPr="00172397" w:rsidRDefault="00BB75D6" w:rsidP="00172397">
            <w:pPr>
              <w:pStyle w:val="Subtitle"/>
              <w:framePr w:hSpace="0" w:wrap="auto" w:vAnchor="margin" w:yAlign="inline"/>
              <w:ind w:left="0"/>
              <w:rPr>
                <w:color w:val="006BA6"/>
              </w:rPr>
            </w:pPr>
            <w:r w:rsidRPr="00172397">
              <w:rPr>
                <w:color w:val="006BA6"/>
              </w:rPr>
              <w:t>Active ingredients</w:t>
            </w:r>
            <w:r w:rsidR="0032583B" w:rsidRPr="00172397">
              <w:rPr>
                <w:color w:val="006BA6"/>
              </w:rPr>
              <w:t xml:space="preserve">: </w:t>
            </w:r>
            <w:proofErr w:type="spellStart"/>
            <w:r w:rsidR="00D907D9" w:rsidRPr="00172397">
              <w:rPr>
                <w:color w:val="006BA6"/>
              </w:rPr>
              <w:t>Bimekizumab</w:t>
            </w:r>
            <w:proofErr w:type="spellEnd"/>
          </w:p>
        </w:tc>
      </w:tr>
      <w:tr w:rsidR="0032583B" w:rsidRPr="00B64760" w14:paraId="5DA9AD9D" w14:textId="77777777" w:rsidTr="00172397">
        <w:trPr>
          <w:trHeight w:val="1212"/>
        </w:trPr>
        <w:tc>
          <w:tcPr>
            <w:tcW w:w="9079" w:type="dxa"/>
          </w:tcPr>
          <w:p w14:paraId="5C5901DF" w14:textId="0BAE6200" w:rsidR="0032583B" w:rsidRPr="00172397" w:rsidRDefault="00460036" w:rsidP="00172397">
            <w:pPr>
              <w:pStyle w:val="Subtitle"/>
              <w:framePr w:hSpace="0" w:wrap="auto" w:vAnchor="margin" w:yAlign="inline"/>
              <w:ind w:left="0"/>
              <w:rPr>
                <w:color w:val="006BA6"/>
              </w:rPr>
            </w:pPr>
            <w:r w:rsidRPr="00172397">
              <w:rPr>
                <w:color w:val="006BA6"/>
              </w:rPr>
              <w:t>Sponsor:</w:t>
            </w:r>
            <w:r w:rsidR="00D907D9" w:rsidRPr="00172397">
              <w:rPr>
                <w:color w:val="006BA6"/>
              </w:rPr>
              <w:t xml:space="preserve"> UCB Pharma</w:t>
            </w:r>
          </w:p>
        </w:tc>
      </w:tr>
      <w:tr w:rsidR="00172397" w:rsidRPr="00B64760" w14:paraId="05935D3B" w14:textId="77777777" w:rsidTr="00172397">
        <w:trPr>
          <w:trHeight w:val="1267"/>
        </w:trPr>
        <w:tc>
          <w:tcPr>
            <w:tcW w:w="9079" w:type="dxa"/>
          </w:tcPr>
          <w:p w14:paraId="0E62F666" w14:textId="78C3F1B6" w:rsidR="00172397" w:rsidRPr="00172397" w:rsidRDefault="00172397" w:rsidP="009556D7">
            <w:pPr>
              <w:pStyle w:val="Subtitle"/>
              <w:framePr w:hSpace="0" w:wrap="auto" w:vAnchor="margin" w:yAlign="inline"/>
              <w:rPr>
                <w:color w:val="333F4A"/>
                <w:sz w:val="28"/>
                <w:szCs w:val="28"/>
              </w:rPr>
            </w:pPr>
            <w:r w:rsidRPr="00172397">
              <w:rPr>
                <w:color w:val="333F4A"/>
                <w:sz w:val="28"/>
                <w:szCs w:val="28"/>
              </w:rPr>
              <w:t>April 2023</w:t>
            </w:r>
          </w:p>
        </w:tc>
      </w:tr>
    </w:tbl>
    <w:p w14:paraId="51764590" w14:textId="77777777" w:rsidR="008E7846" w:rsidRPr="0085156D" w:rsidRDefault="008E7846" w:rsidP="0085156D">
      <w:r w:rsidRPr="0085156D">
        <w:br w:type="page"/>
      </w:r>
    </w:p>
    <w:p w14:paraId="415783DF" w14:textId="77777777" w:rsidR="008E7846" w:rsidRPr="001F6CBA" w:rsidRDefault="008E7846" w:rsidP="008E7846">
      <w:pPr>
        <w:pStyle w:val="NonTOCHeading2"/>
      </w:pPr>
      <w:r w:rsidRPr="001F6CBA">
        <w:lastRenderedPageBreak/>
        <w:t>About the Therapeutic Goods Administration (TGA)</w:t>
      </w:r>
    </w:p>
    <w:p w14:paraId="556AE4B1" w14:textId="77777777" w:rsidR="00AF2313" w:rsidRPr="00391B0C" w:rsidRDefault="00AF2313" w:rsidP="00AF2313">
      <w:pPr>
        <w:pStyle w:val="ListBullet"/>
      </w:pPr>
      <w:r w:rsidRPr="00391B0C">
        <w:t>The Therapeutic Goods Administration (TGA) is part of the Australian Government Department of Health and is responsible for regulating therapeutic goods, including medicines, medical devices, and biologicals.</w:t>
      </w:r>
    </w:p>
    <w:p w14:paraId="00D43C9C" w14:textId="77777777" w:rsidR="00AF2313" w:rsidRPr="00391B0C" w:rsidRDefault="00AF2313" w:rsidP="00AF2313">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w:t>
      </w:r>
      <w:r w:rsidR="00CC5044" w:rsidRPr="00391B0C">
        <w:t>safety,</w:t>
      </w:r>
      <w:r w:rsidRPr="00391B0C">
        <w:t xml:space="preserve"> and efficacy.</w:t>
      </w:r>
    </w:p>
    <w:p w14:paraId="6925EC22" w14:textId="77777777" w:rsidR="00AF2313" w:rsidRPr="003C6D1F" w:rsidRDefault="00AF2313" w:rsidP="00AF2313">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6EE0CEC8" w14:textId="77777777" w:rsidR="00AF2313" w:rsidRPr="003C6D1F" w:rsidRDefault="00AF2313" w:rsidP="00AF2313">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4169D2AE" w14:textId="3D37B81D" w:rsidR="00AF2313" w:rsidRDefault="00AF2313" w:rsidP="00AF2313">
      <w:pPr>
        <w:pStyle w:val="ListBullet"/>
      </w:pPr>
      <w:r w:rsidRPr="003C6D1F">
        <w:t xml:space="preserve">To report a problem with a </w:t>
      </w:r>
      <w:r>
        <w:t>therapeutic good</w:t>
      </w:r>
      <w:r w:rsidRPr="003C6D1F">
        <w:t xml:space="preserve">, please see the information on the </w:t>
      </w:r>
      <w:hyperlink r:id="rId8" w:history="1">
        <w:r w:rsidRPr="000F15B4">
          <w:rPr>
            <w:rStyle w:val="Hyperlink"/>
          </w:rPr>
          <w:t>TGA website</w:t>
        </w:r>
      </w:hyperlink>
      <w:r w:rsidRPr="003C6D1F">
        <w:t>.</w:t>
      </w:r>
    </w:p>
    <w:p w14:paraId="13C43927" w14:textId="77777777" w:rsidR="008E7846" w:rsidRDefault="008E7846" w:rsidP="00875A6B">
      <w:pPr>
        <w:pStyle w:val="NonTOCHeading2"/>
      </w:pPr>
      <w:r>
        <w:t xml:space="preserve">About </w:t>
      </w:r>
      <w:proofErr w:type="spellStart"/>
      <w:r>
        <w:t>AusPARs</w:t>
      </w:r>
      <w:proofErr w:type="spellEnd"/>
    </w:p>
    <w:p w14:paraId="69D13BC5" w14:textId="1D9F05CE" w:rsidR="00AF2313" w:rsidRPr="003C6D1F" w:rsidRDefault="00AF2313" w:rsidP="00AF2313">
      <w:pPr>
        <w:pStyle w:val="ListBullet"/>
      </w:pPr>
      <w:r>
        <w:t>The</w:t>
      </w:r>
      <w:r w:rsidRPr="003C6D1F">
        <w:t xml:space="preserve"> Australian Public Assessment Report (</w:t>
      </w:r>
      <w:proofErr w:type="spellStart"/>
      <w:r w:rsidRPr="003C6D1F">
        <w:t>AusPAR</w:t>
      </w:r>
      <w:proofErr w:type="spellEnd"/>
      <w:r w:rsidRPr="003C6D1F">
        <w:t>) provides information about the evaluation of a prescription medicine and the considerations that led the TGA to approve or not approve a prescription medicine submission.</w:t>
      </w:r>
      <w:r>
        <w:t xml:space="preserve"> Further information can be found in </w:t>
      </w:r>
      <w:hyperlink r:id="rId9" w:history="1">
        <w:r w:rsidRPr="005A2EB8">
          <w:rPr>
            <w:rStyle w:val="Hyperlink"/>
          </w:rPr>
          <w:t>Australian Public Assessment Report (</w:t>
        </w:r>
        <w:proofErr w:type="spellStart"/>
        <w:r w:rsidRPr="005A2EB8">
          <w:rPr>
            <w:rStyle w:val="Hyperlink"/>
          </w:rPr>
          <w:t>AusPAR</w:t>
        </w:r>
        <w:proofErr w:type="spellEnd"/>
        <w:r w:rsidRPr="005A2EB8">
          <w:rPr>
            <w:rStyle w:val="Hyperlink"/>
          </w:rPr>
          <w:t>) guidance</w:t>
        </w:r>
      </w:hyperlink>
      <w:r>
        <w:t>.</w:t>
      </w:r>
    </w:p>
    <w:p w14:paraId="1AEEF406" w14:textId="77777777" w:rsidR="00AF2313" w:rsidRPr="003C6D1F" w:rsidRDefault="00AF2313" w:rsidP="00AF2313">
      <w:pPr>
        <w:pStyle w:val="ListBullet"/>
      </w:pPr>
      <w:proofErr w:type="spellStart"/>
      <w:r w:rsidRPr="003C6D1F">
        <w:t>AusPARs</w:t>
      </w:r>
      <w:proofErr w:type="spellEnd"/>
      <w:r w:rsidRPr="003C6D1F">
        <w:t xml:space="preserve"> are prepared and published by the TGA.</w:t>
      </w:r>
    </w:p>
    <w:p w14:paraId="5C143C88" w14:textId="77777777" w:rsidR="00AF2313" w:rsidRPr="003C6D1F" w:rsidRDefault="00AF2313" w:rsidP="00AF2313">
      <w:pPr>
        <w:pStyle w:val="ListBullet"/>
      </w:pPr>
      <w:proofErr w:type="spellStart"/>
      <w:r w:rsidRPr="003C6D1F">
        <w:t>AusPAR</w:t>
      </w:r>
      <w:r>
        <w:t>s</w:t>
      </w:r>
      <w:proofErr w:type="spellEnd"/>
      <w:r>
        <w:t xml:space="preserve"> are </w:t>
      </w:r>
      <w:r w:rsidRPr="003C6D1F">
        <w:t>static document</w:t>
      </w:r>
      <w:r>
        <w:t xml:space="preserve">s that </w:t>
      </w:r>
      <w:r w:rsidRPr="003C6D1F">
        <w:t>provide information that relates to a submission at a particular point in time.</w:t>
      </w:r>
      <w:r w:rsidR="008110BC">
        <w:t xml:space="preserve"> The publication of an </w:t>
      </w:r>
      <w:proofErr w:type="spellStart"/>
      <w:r w:rsidR="008110BC">
        <w:t>AusPAR</w:t>
      </w:r>
      <w:proofErr w:type="spellEnd"/>
      <w:r w:rsidR="008110BC">
        <w:t xml:space="preserve"> is an important part of the transparency of the TGA’s decision-making process.</w:t>
      </w:r>
    </w:p>
    <w:p w14:paraId="0F6309A5" w14:textId="77777777" w:rsidR="00AF2313" w:rsidRPr="003C6D1F" w:rsidRDefault="00AF2313" w:rsidP="00AF2313">
      <w:pPr>
        <w:pStyle w:val="ListBullet"/>
      </w:pPr>
      <w:r w:rsidRPr="003C6D1F">
        <w:t xml:space="preserve">A new </w:t>
      </w:r>
      <w:proofErr w:type="spellStart"/>
      <w:r w:rsidRPr="003C6D1F">
        <w:t>AusPAR</w:t>
      </w:r>
      <w:proofErr w:type="spellEnd"/>
      <w:r w:rsidRPr="003C6D1F">
        <w:t xml:space="preserve"> </w:t>
      </w:r>
      <w:r>
        <w:t xml:space="preserve">may be provided </w:t>
      </w:r>
      <w:r w:rsidRPr="003C6D1F">
        <w:t>to reflect changes to indications or major variations to a prescription medicine subject to evaluation by the TGA.</w:t>
      </w:r>
    </w:p>
    <w:p w14:paraId="6575C96B" w14:textId="77777777" w:rsidR="00924482" w:rsidRPr="00DF1D7F" w:rsidRDefault="00924482" w:rsidP="00F54B65">
      <w:pPr>
        <w:pStyle w:val="LegalSubheading"/>
        <w:spacing w:before="3120"/>
      </w:pPr>
      <w:r w:rsidRPr="00DF1D7F">
        <w:t>Copyright</w:t>
      </w:r>
    </w:p>
    <w:p w14:paraId="72BCFCD6" w14:textId="78AE7E6F"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9B153D">
        <w:rPr>
          <w:rFonts w:cs="Arial"/>
          <w:lang w:val="en-GB"/>
        </w:rPr>
        <w:t>3</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w:t>
      </w:r>
      <w:r w:rsidR="00EB36D6" w:rsidRPr="00191B3B">
        <w:rPr>
          <w:rFonts w:cs="Arial"/>
          <w:lang w:val="en-GB"/>
        </w:rPr>
        <w:t>reserved,</w:t>
      </w:r>
      <w:r w:rsidRPr="00191B3B">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14:paraId="573C9E51" w14:textId="77777777"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Cs w:val="0"/>
        </w:rPr>
      </w:sdtEndPr>
      <w:sdtContent>
        <w:p w14:paraId="4B927DF0" w14:textId="77777777" w:rsidR="0089635C" w:rsidRPr="0089635C" w:rsidRDefault="0089635C" w:rsidP="0010788A">
          <w:pPr>
            <w:pStyle w:val="Contents"/>
          </w:pPr>
          <w:r w:rsidRPr="0010788A">
            <w:t>Contents</w:t>
          </w:r>
        </w:p>
        <w:p w14:paraId="4FA0505C" w14:textId="2A90C062" w:rsidR="00B54079"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132726784" w:history="1">
            <w:r w:rsidR="00B54079" w:rsidRPr="00B24679">
              <w:rPr>
                <w:rStyle w:val="Hyperlink"/>
                <w:noProof/>
              </w:rPr>
              <w:t>List of abbreviations</w:t>
            </w:r>
            <w:r w:rsidR="00B54079">
              <w:rPr>
                <w:noProof/>
                <w:webHidden/>
              </w:rPr>
              <w:tab/>
            </w:r>
            <w:r w:rsidR="00B54079">
              <w:rPr>
                <w:noProof/>
                <w:webHidden/>
              </w:rPr>
              <w:fldChar w:fldCharType="begin"/>
            </w:r>
            <w:r w:rsidR="00B54079">
              <w:rPr>
                <w:noProof/>
                <w:webHidden/>
              </w:rPr>
              <w:instrText xml:space="preserve"> PAGEREF _Toc132726784 \h </w:instrText>
            </w:r>
            <w:r w:rsidR="00B54079">
              <w:rPr>
                <w:noProof/>
                <w:webHidden/>
              </w:rPr>
            </w:r>
            <w:r w:rsidR="00B54079">
              <w:rPr>
                <w:noProof/>
                <w:webHidden/>
              </w:rPr>
              <w:fldChar w:fldCharType="separate"/>
            </w:r>
            <w:r w:rsidR="00B54079">
              <w:rPr>
                <w:noProof/>
                <w:webHidden/>
              </w:rPr>
              <w:t>4</w:t>
            </w:r>
            <w:r w:rsidR="00B54079">
              <w:rPr>
                <w:noProof/>
                <w:webHidden/>
              </w:rPr>
              <w:fldChar w:fldCharType="end"/>
            </w:r>
          </w:hyperlink>
        </w:p>
        <w:p w14:paraId="5437B595" w14:textId="349D4353" w:rsidR="00B54079" w:rsidRDefault="00172397">
          <w:pPr>
            <w:pStyle w:val="TOC1"/>
            <w:rPr>
              <w:rFonts w:asciiTheme="minorHAnsi" w:eastAsiaTheme="minorEastAsia" w:hAnsiTheme="minorHAnsi" w:cstheme="minorBidi"/>
              <w:b w:val="0"/>
              <w:noProof/>
              <w:sz w:val="22"/>
              <w:lang w:eastAsia="en-AU"/>
            </w:rPr>
          </w:pPr>
          <w:hyperlink w:anchor="_Toc132726785" w:history="1">
            <w:r w:rsidR="00B54079" w:rsidRPr="00B24679">
              <w:rPr>
                <w:rStyle w:val="Hyperlink"/>
                <w:noProof/>
              </w:rPr>
              <w:t>Product submission</w:t>
            </w:r>
            <w:r w:rsidR="00B54079">
              <w:rPr>
                <w:noProof/>
                <w:webHidden/>
              </w:rPr>
              <w:tab/>
            </w:r>
            <w:r w:rsidR="00B54079">
              <w:rPr>
                <w:noProof/>
                <w:webHidden/>
              </w:rPr>
              <w:fldChar w:fldCharType="begin"/>
            </w:r>
            <w:r w:rsidR="00B54079">
              <w:rPr>
                <w:noProof/>
                <w:webHidden/>
              </w:rPr>
              <w:instrText xml:space="preserve"> PAGEREF _Toc132726785 \h </w:instrText>
            </w:r>
            <w:r w:rsidR="00B54079">
              <w:rPr>
                <w:noProof/>
                <w:webHidden/>
              </w:rPr>
            </w:r>
            <w:r w:rsidR="00B54079">
              <w:rPr>
                <w:noProof/>
                <w:webHidden/>
              </w:rPr>
              <w:fldChar w:fldCharType="separate"/>
            </w:r>
            <w:r w:rsidR="00B54079">
              <w:rPr>
                <w:noProof/>
                <w:webHidden/>
              </w:rPr>
              <w:t>6</w:t>
            </w:r>
            <w:r w:rsidR="00B54079">
              <w:rPr>
                <w:noProof/>
                <w:webHidden/>
              </w:rPr>
              <w:fldChar w:fldCharType="end"/>
            </w:r>
          </w:hyperlink>
        </w:p>
        <w:p w14:paraId="783DFF00" w14:textId="34E789DF" w:rsidR="00B54079" w:rsidRDefault="00172397">
          <w:pPr>
            <w:pStyle w:val="TOC2"/>
            <w:rPr>
              <w:rFonts w:asciiTheme="minorHAnsi" w:eastAsiaTheme="minorEastAsia" w:hAnsiTheme="minorHAnsi" w:cstheme="minorBidi"/>
              <w:b w:val="0"/>
              <w:noProof/>
              <w:sz w:val="22"/>
              <w:lang w:eastAsia="en-AU"/>
            </w:rPr>
          </w:pPr>
          <w:hyperlink w:anchor="_Toc132726786" w:history="1">
            <w:r w:rsidR="00B54079" w:rsidRPr="00B24679">
              <w:rPr>
                <w:rStyle w:val="Hyperlink"/>
                <w:noProof/>
                <w:lang w:eastAsia="en-AU"/>
              </w:rPr>
              <w:t>Submission details</w:t>
            </w:r>
            <w:r w:rsidR="00B54079">
              <w:rPr>
                <w:noProof/>
                <w:webHidden/>
              </w:rPr>
              <w:tab/>
            </w:r>
            <w:r w:rsidR="00B54079">
              <w:rPr>
                <w:noProof/>
                <w:webHidden/>
              </w:rPr>
              <w:fldChar w:fldCharType="begin"/>
            </w:r>
            <w:r w:rsidR="00B54079">
              <w:rPr>
                <w:noProof/>
                <w:webHidden/>
              </w:rPr>
              <w:instrText xml:space="preserve"> PAGEREF _Toc132726786 \h </w:instrText>
            </w:r>
            <w:r w:rsidR="00B54079">
              <w:rPr>
                <w:noProof/>
                <w:webHidden/>
              </w:rPr>
            </w:r>
            <w:r w:rsidR="00B54079">
              <w:rPr>
                <w:noProof/>
                <w:webHidden/>
              </w:rPr>
              <w:fldChar w:fldCharType="separate"/>
            </w:r>
            <w:r w:rsidR="00B54079">
              <w:rPr>
                <w:noProof/>
                <w:webHidden/>
              </w:rPr>
              <w:t>6</w:t>
            </w:r>
            <w:r w:rsidR="00B54079">
              <w:rPr>
                <w:noProof/>
                <w:webHidden/>
              </w:rPr>
              <w:fldChar w:fldCharType="end"/>
            </w:r>
          </w:hyperlink>
        </w:p>
        <w:p w14:paraId="7D6C9616" w14:textId="14D4F303" w:rsidR="00B54079" w:rsidRDefault="00172397">
          <w:pPr>
            <w:pStyle w:val="TOC2"/>
            <w:rPr>
              <w:rFonts w:asciiTheme="minorHAnsi" w:eastAsiaTheme="minorEastAsia" w:hAnsiTheme="minorHAnsi" w:cstheme="minorBidi"/>
              <w:b w:val="0"/>
              <w:noProof/>
              <w:sz w:val="22"/>
              <w:lang w:eastAsia="en-AU"/>
            </w:rPr>
          </w:pPr>
          <w:hyperlink w:anchor="_Toc132726787" w:history="1">
            <w:r w:rsidR="00B54079" w:rsidRPr="00B24679">
              <w:rPr>
                <w:rStyle w:val="Hyperlink"/>
                <w:noProof/>
              </w:rPr>
              <w:t>Product background</w:t>
            </w:r>
            <w:r w:rsidR="00B54079">
              <w:rPr>
                <w:noProof/>
                <w:webHidden/>
              </w:rPr>
              <w:tab/>
            </w:r>
            <w:r w:rsidR="00B54079">
              <w:rPr>
                <w:noProof/>
                <w:webHidden/>
              </w:rPr>
              <w:fldChar w:fldCharType="begin"/>
            </w:r>
            <w:r w:rsidR="00B54079">
              <w:rPr>
                <w:noProof/>
                <w:webHidden/>
              </w:rPr>
              <w:instrText xml:space="preserve"> PAGEREF _Toc132726787 \h </w:instrText>
            </w:r>
            <w:r w:rsidR="00B54079">
              <w:rPr>
                <w:noProof/>
                <w:webHidden/>
              </w:rPr>
            </w:r>
            <w:r w:rsidR="00B54079">
              <w:rPr>
                <w:noProof/>
                <w:webHidden/>
              </w:rPr>
              <w:fldChar w:fldCharType="separate"/>
            </w:r>
            <w:r w:rsidR="00B54079">
              <w:rPr>
                <w:noProof/>
                <w:webHidden/>
              </w:rPr>
              <w:t>7</w:t>
            </w:r>
            <w:r w:rsidR="00B54079">
              <w:rPr>
                <w:noProof/>
                <w:webHidden/>
              </w:rPr>
              <w:fldChar w:fldCharType="end"/>
            </w:r>
          </w:hyperlink>
        </w:p>
        <w:p w14:paraId="49C6CA32" w14:textId="0962D980" w:rsidR="00B54079" w:rsidRDefault="00172397">
          <w:pPr>
            <w:pStyle w:val="TOC2"/>
            <w:rPr>
              <w:rFonts w:asciiTheme="minorHAnsi" w:eastAsiaTheme="minorEastAsia" w:hAnsiTheme="minorHAnsi" w:cstheme="minorBidi"/>
              <w:b w:val="0"/>
              <w:noProof/>
              <w:sz w:val="22"/>
              <w:lang w:eastAsia="en-AU"/>
            </w:rPr>
          </w:pPr>
          <w:hyperlink w:anchor="_Toc132726788" w:history="1">
            <w:r w:rsidR="00B54079" w:rsidRPr="00B24679">
              <w:rPr>
                <w:rStyle w:val="Hyperlink"/>
                <w:noProof/>
              </w:rPr>
              <w:t>Regulatory status</w:t>
            </w:r>
            <w:r w:rsidR="00B54079">
              <w:rPr>
                <w:noProof/>
                <w:webHidden/>
              </w:rPr>
              <w:tab/>
            </w:r>
            <w:r w:rsidR="00B54079">
              <w:rPr>
                <w:noProof/>
                <w:webHidden/>
              </w:rPr>
              <w:fldChar w:fldCharType="begin"/>
            </w:r>
            <w:r w:rsidR="00B54079">
              <w:rPr>
                <w:noProof/>
                <w:webHidden/>
              </w:rPr>
              <w:instrText xml:space="preserve"> PAGEREF _Toc132726788 \h </w:instrText>
            </w:r>
            <w:r w:rsidR="00B54079">
              <w:rPr>
                <w:noProof/>
                <w:webHidden/>
              </w:rPr>
            </w:r>
            <w:r w:rsidR="00B54079">
              <w:rPr>
                <w:noProof/>
                <w:webHidden/>
              </w:rPr>
              <w:fldChar w:fldCharType="separate"/>
            </w:r>
            <w:r w:rsidR="00B54079">
              <w:rPr>
                <w:noProof/>
                <w:webHidden/>
              </w:rPr>
              <w:t>13</w:t>
            </w:r>
            <w:r w:rsidR="00B54079">
              <w:rPr>
                <w:noProof/>
                <w:webHidden/>
              </w:rPr>
              <w:fldChar w:fldCharType="end"/>
            </w:r>
          </w:hyperlink>
        </w:p>
        <w:p w14:paraId="6A47B1E9" w14:textId="206DD039" w:rsidR="00B54079" w:rsidRDefault="00172397">
          <w:pPr>
            <w:pStyle w:val="TOC2"/>
            <w:rPr>
              <w:rFonts w:asciiTheme="minorHAnsi" w:eastAsiaTheme="minorEastAsia" w:hAnsiTheme="minorHAnsi" w:cstheme="minorBidi"/>
              <w:b w:val="0"/>
              <w:noProof/>
              <w:sz w:val="22"/>
              <w:lang w:eastAsia="en-AU"/>
            </w:rPr>
          </w:pPr>
          <w:hyperlink w:anchor="_Toc132726789" w:history="1">
            <w:r w:rsidR="00B54079" w:rsidRPr="00B24679">
              <w:rPr>
                <w:rStyle w:val="Hyperlink"/>
                <w:noProof/>
              </w:rPr>
              <w:t>Product Information</w:t>
            </w:r>
            <w:r w:rsidR="00B54079">
              <w:rPr>
                <w:noProof/>
                <w:webHidden/>
              </w:rPr>
              <w:tab/>
            </w:r>
            <w:r w:rsidR="00B54079">
              <w:rPr>
                <w:noProof/>
                <w:webHidden/>
              </w:rPr>
              <w:fldChar w:fldCharType="begin"/>
            </w:r>
            <w:r w:rsidR="00B54079">
              <w:rPr>
                <w:noProof/>
                <w:webHidden/>
              </w:rPr>
              <w:instrText xml:space="preserve"> PAGEREF _Toc132726789 \h </w:instrText>
            </w:r>
            <w:r w:rsidR="00B54079">
              <w:rPr>
                <w:noProof/>
                <w:webHidden/>
              </w:rPr>
            </w:r>
            <w:r w:rsidR="00B54079">
              <w:rPr>
                <w:noProof/>
                <w:webHidden/>
              </w:rPr>
              <w:fldChar w:fldCharType="separate"/>
            </w:r>
            <w:r w:rsidR="00B54079">
              <w:rPr>
                <w:noProof/>
                <w:webHidden/>
              </w:rPr>
              <w:t>14</w:t>
            </w:r>
            <w:r w:rsidR="00B54079">
              <w:rPr>
                <w:noProof/>
                <w:webHidden/>
              </w:rPr>
              <w:fldChar w:fldCharType="end"/>
            </w:r>
          </w:hyperlink>
        </w:p>
        <w:p w14:paraId="5B811800" w14:textId="3DE2BDEA" w:rsidR="00B54079" w:rsidRDefault="00172397">
          <w:pPr>
            <w:pStyle w:val="TOC1"/>
            <w:rPr>
              <w:rFonts w:asciiTheme="minorHAnsi" w:eastAsiaTheme="minorEastAsia" w:hAnsiTheme="minorHAnsi" w:cstheme="minorBidi"/>
              <w:b w:val="0"/>
              <w:noProof/>
              <w:sz w:val="22"/>
              <w:lang w:eastAsia="en-AU"/>
            </w:rPr>
          </w:pPr>
          <w:hyperlink w:anchor="_Toc132726790" w:history="1">
            <w:r w:rsidR="00B54079" w:rsidRPr="00B24679">
              <w:rPr>
                <w:rStyle w:val="Hyperlink"/>
                <w:noProof/>
              </w:rPr>
              <w:t>Registration timeline</w:t>
            </w:r>
            <w:r w:rsidR="00B54079">
              <w:rPr>
                <w:noProof/>
                <w:webHidden/>
              </w:rPr>
              <w:tab/>
            </w:r>
            <w:r w:rsidR="00B54079">
              <w:rPr>
                <w:noProof/>
                <w:webHidden/>
              </w:rPr>
              <w:fldChar w:fldCharType="begin"/>
            </w:r>
            <w:r w:rsidR="00B54079">
              <w:rPr>
                <w:noProof/>
                <w:webHidden/>
              </w:rPr>
              <w:instrText xml:space="preserve"> PAGEREF _Toc132726790 \h </w:instrText>
            </w:r>
            <w:r w:rsidR="00B54079">
              <w:rPr>
                <w:noProof/>
                <w:webHidden/>
              </w:rPr>
            </w:r>
            <w:r w:rsidR="00B54079">
              <w:rPr>
                <w:noProof/>
                <w:webHidden/>
              </w:rPr>
              <w:fldChar w:fldCharType="separate"/>
            </w:r>
            <w:r w:rsidR="00B54079">
              <w:rPr>
                <w:noProof/>
                <w:webHidden/>
              </w:rPr>
              <w:t>14</w:t>
            </w:r>
            <w:r w:rsidR="00B54079">
              <w:rPr>
                <w:noProof/>
                <w:webHidden/>
              </w:rPr>
              <w:fldChar w:fldCharType="end"/>
            </w:r>
          </w:hyperlink>
        </w:p>
        <w:p w14:paraId="0282A879" w14:textId="7D215CD6" w:rsidR="00B54079" w:rsidRDefault="00172397">
          <w:pPr>
            <w:pStyle w:val="TOC1"/>
            <w:rPr>
              <w:rFonts w:asciiTheme="minorHAnsi" w:eastAsiaTheme="minorEastAsia" w:hAnsiTheme="minorHAnsi" w:cstheme="minorBidi"/>
              <w:b w:val="0"/>
              <w:noProof/>
              <w:sz w:val="22"/>
              <w:lang w:eastAsia="en-AU"/>
            </w:rPr>
          </w:pPr>
          <w:hyperlink w:anchor="_Toc132726791" w:history="1">
            <w:r w:rsidR="00B54079" w:rsidRPr="00B24679">
              <w:rPr>
                <w:rStyle w:val="Hyperlink"/>
                <w:noProof/>
              </w:rPr>
              <w:t>Submission overview and risk/benefit assessment</w:t>
            </w:r>
            <w:r w:rsidR="00B54079">
              <w:rPr>
                <w:noProof/>
                <w:webHidden/>
              </w:rPr>
              <w:tab/>
            </w:r>
            <w:r w:rsidR="00B54079">
              <w:rPr>
                <w:noProof/>
                <w:webHidden/>
              </w:rPr>
              <w:fldChar w:fldCharType="begin"/>
            </w:r>
            <w:r w:rsidR="00B54079">
              <w:rPr>
                <w:noProof/>
                <w:webHidden/>
              </w:rPr>
              <w:instrText xml:space="preserve"> PAGEREF _Toc132726791 \h </w:instrText>
            </w:r>
            <w:r w:rsidR="00B54079">
              <w:rPr>
                <w:noProof/>
                <w:webHidden/>
              </w:rPr>
            </w:r>
            <w:r w:rsidR="00B54079">
              <w:rPr>
                <w:noProof/>
                <w:webHidden/>
              </w:rPr>
              <w:fldChar w:fldCharType="separate"/>
            </w:r>
            <w:r w:rsidR="00B54079">
              <w:rPr>
                <w:noProof/>
                <w:webHidden/>
              </w:rPr>
              <w:t>15</w:t>
            </w:r>
            <w:r w:rsidR="00B54079">
              <w:rPr>
                <w:noProof/>
                <w:webHidden/>
              </w:rPr>
              <w:fldChar w:fldCharType="end"/>
            </w:r>
          </w:hyperlink>
        </w:p>
        <w:p w14:paraId="6985CFB8" w14:textId="0EAE8DAD" w:rsidR="00B54079" w:rsidRDefault="00172397">
          <w:pPr>
            <w:pStyle w:val="TOC2"/>
            <w:rPr>
              <w:rFonts w:asciiTheme="minorHAnsi" w:eastAsiaTheme="minorEastAsia" w:hAnsiTheme="minorHAnsi" w:cstheme="minorBidi"/>
              <w:b w:val="0"/>
              <w:noProof/>
              <w:sz w:val="22"/>
              <w:lang w:eastAsia="en-AU"/>
            </w:rPr>
          </w:pPr>
          <w:hyperlink w:anchor="_Toc132726792" w:history="1">
            <w:r w:rsidR="00B54079" w:rsidRPr="00B24679">
              <w:rPr>
                <w:rStyle w:val="Hyperlink"/>
                <w:noProof/>
              </w:rPr>
              <w:t>Quality</w:t>
            </w:r>
            <w:r w:rsidR="00B54079">
              <w:rPr>
                <w:noProof/>
                <w:webHidden/>
              </w:rPr>
              <w:tab/>
            </w:r>
            <w:r w:rsidR="00B54079">
              <w:rPr>
                <w:noProof/>
                <w:webHidden/>
              </w:rPr>
              <w:fldChar w:fldCharType="begin"/>
            </w:r>
            <w:r w:rsidR="00B54079">
              <w:rPr>
                <w:noProof/>
                <w:webHidden/>
              </w:rPr>
              <w:instrText xml:space="preserve"> PAGEREF _Toc132726792 \h </w:instrText>
            </w:r>
            <w:r w:rsidR="00B54079">
              <w:rPr>
                <w:noProof/>
                <w:webHidden/>
              </w:rPr>
            </w:r>
            <w:r w:rsidR="00B54079">
              <w:rPr>
                <w:noProof/>
                <w:webHidden/>
              </w:rPr>
              <w:fldChar w:fldCharType="separate"/>
            </w:r>
            <w:r w:rsidR="00B54079">
              <w:rPr>
                <w:noProof/>
                <w:webHidden/>
              </w:rPr>
              <w:t>15</w:t>
            </w:r>
            <w:r w:rsidR="00B54079">
              <w:rPr>
                <w:noProof/>
                <w:webHidden/>
              </w:rPr>
              <w:fldChar w:fldCharType="end"/>
            </w:r>
          </w:hyperlink>
        </w:p>
        <w:p w14:paraId="4D7EB4AA" w14:textId="0455AA8F" w:rsidR="00B54079" w:rsidRDefault="00172397">
          <w:pPr>
            <w:pStyle w:val="TOC2"/>
            <w:rPr>
              <w:rFonts w:asciiTheme="minorHAnsi" w:eastAsiaTheme="minorEastAsia" w:hAnsiTheme="minorHAnsi" w:cstheme="minorBidi"/>
              <w:b w:val="0"/>
              <w:noProof/>
              <w:sz w:val="22"/>
              <w:lang w:eastAsia="en-AU"/>
            </w:rPr>
          </w:pPr>
          <w:hyperlink w:anchor="_Toc132726793" w:history="1">
            <w:r w:rsidR="00B54079" w:rsidRPr="00B24679">
              <w:rPr>
                <w:rStyle w:val="Hyperlink"/>
                <w:noProof/>
              </w:rPr>
              <w:t>Nonclinical</w:t>
            </w:r>
            <w:r w:rsidR="00B54079">
              <w:rPr>
                <w:noProof/>
                <w:webHidden/>
              </w:rPr>
              <w:tab/>
            </w:r>
            <w:r w:rsidR="00B54079">
              <w:rPr>
                <w:noProof/>
                <w:webHidden/>
              </w:rPr>
              <w:fldChar w:fldCharType="begin"/>
            </w:r>
            <w:r w:rsidR="00B54079">
              <w:rPr>
                <w:noProof/>
                <w:webHidden/>
              </w:rPr>
              <w:instrText xml:space="preserve"> PAGEREF _Toc132726793 \h </w:instrText>
            </w:r>
            <w:r w:rsidR="00B54079">
              <w:rPr>
                <w:noProof/>
                <w:webHidden/>
              </w:rPr>
            </w:r>
            <w:r w:rsidR="00B54079">
              <w:rPr>
                <w:noProof/>
                <w:webHidden/>
              </w:rPr>
              <w:fldChar w:fldCharType="separate"/>
            </w:r>
            <w:r w:rsidR="00B54079">
              <w:rPr>
                <w:noProof/>
                <w:webHidden/>
              </w:rPr>
              <w:t>16</w:t>
            </w:r>
            <w:r w:rsidR="00B54079">
              <w:rPr>
                <w:noProof/>
                <w:webHidden/>
              </w:rPr>
              <w:fldChar w:fldCharType="end"/>
            </w:r>
          </w:hyperlink>
        </w:p>
        <w:p w14:paraId="10E5C10A" w14:textId="2BAEF299" w:rsidR="00B54079" w:rsidRDefault="00172397">
          <w:pPr>
            <w:pStyle w:val="TOC2"/>
            <w:rPr>
              <w:rFonts w:asciiTheme="minorHAnsi" w:eastAsiaTheme="minorEastAsia" w:hAnsiTheme="minorHAnsi" w:cstheme="minorBidi"/>
              <w:b w:val="0"/>
              <w:noProof/>
              <w:sz w:val="22"/>
              <w:lang w:eastAsia="en-AU"/>
            </w:rPr>
          </w:pPr>
          <w:hyperlink w:anchor="_Toc132726794" w:history="1">
            <w:r w:rsidR="00B54079" w:rsidRPr="00B24679">
              <w:rPr>
                <w:rStyle w:val="Hyperlink"/>
                <w:noProof/>
              </w:rPr>
              <w:t>Clinical</w:t>
            </w:r>
            <w:r w:rsidR="00B54079">
              <w:rPr>
                <w:noProof/>
                <w:webHidden/>
              </w:rPr>
              <w:tab/>
            </w:r>
            <w:r w:rsidR="00B54079">
              <w:rPr>
                <w:noProof/>
                <w:webHidden/>
              </w:rPr>
              <w:fldChar w:fldCharType="begin"/>
            </w:r>
            <w:r w:rsidR="00B54079">
              <w:rPr>
                <w:noProof/>
                <w:webHidden/>
              </w:rPr>
              <w:instrText xml:space="preserve"> PAGEREF _Toc132726794 \h </w:instrText>
            </w:r>
            <w:r w:rsidR="00B54079">
              <w:rPr>
                <w:noProof/>
                <w:webHidden/>
              </w:rPr>
            </w:r>
            <w:r w:rsidR="00B54079">
              <w:rPr>
                <w:noProof/>
                <w:webHidden/>
              </w:rPr>
              <w:fldChar w:fldCharType="separate"/>
            </w:r>
            <w:r w:rsidR="00B54079">
              <w:rPr>
                <w:noProof/>
                <w:webHidden/>
              </w:rPr>
              <w:t>17</w:t>
            </w:r>
            <w:r w:rsidR="00B54079">
              <w:rPr>
                <w:noProof/>
                <w:webHidden/>
              </w:rPr>
              <w:fldChar w:fldCharType="end"/>
            </w:r>
          </w:hyperlink>
        </w:p>
        <w:p w14:paraId="592B69F5" w14:textId="148BA7FF" w:rsidR="00B54079" w:rsidRDefault="00172397">
          <w:pPr>
            <w:pStyle w:val="TOC2"/>
            <w:rPr>
              <w:rFonts w:asciiTheme="minorHAnsi" w:eastAsiaTheme="minorEastAsia" w:hAnsiTheme="minorHAnsi" w:cstheme="minorBidi"/>
              <w:b w:val="0"/>
              <w:noProof/>
              <w:sz w:val="22"/>
              <w:lang w:eastAsia="en-AU"/>
            </w:rPr>
          </w:pPr>
          <w:hyperlink w:anchor="_Toc132726795" w:history="1">
            <w:r w:rsidR="00B54079" w:rsidRPr="00B24679">
              <w:rPr>
                <w:rStyle w:val="Hyperlink"/>
                <w:noProof/>
                <w:lang w:eastAsia="en-AU"/>
              </w:rPr>
              <w:t>Risk management plan</w:t>
            </w:r>
            <w:r w:rsidR="00B54079">
              <w:rPr>
                <w:noProof/>
                <w:webHidden/>
              </w:rPr>
              <w:tab/>
            </w:r>
            <w:r w:rsidR="00B54079">
              <w:rPr>
                <w:noProof/>
                <w:webHidden/>
              </w:rPr>
              <w:fldChar w:fldCharType="begin"/>
            </w:r>
            <w:r w:rsidR="00B54079">
              <w:rPr>
                <w:noProof/>
                <w:webHidden/>
              </w:rPr>
              <w:instrText xml:space="preserve"> PAGEREF _Toc132726795 \h </w:instrText>
            </w:r>
            <w:r w:rsidR="00B54079">
              <w:rPr>
                <w:noProof/>
                <w:webHidden/>
              </w:rPr>
            </w:r>
            <w:r w:rsidR="00B54079">
              <w:rPr>
                <w:noProof/>
                <w:webHidden/>
              </w:rPr>
              <w:fldChar w:fldCharType="separate"/>
            </w:r>
            <w:r w:rsidR="00B54079">
              <w:rPr>
                <w:noProof/>
                <w:webHidden/>
              </w:rPr>
              <w:t>97</w:t>
            </w:r>
            <w:r w:rsidR="00B54079">
              <w:rPr>
                <w:noProof/>
                <w:webHidden/>
              </w:rPr>
              <w:fldChar w:fldCharType="end"/>
            </w:r>
          </w:hyperlink>
        </w:p>
        <w:p w14:paraId="718CC739" w14:textId="00059DB4" w:rsidR="00B54079" w:rsidRDefault="00172397">
          <w:pPr>
            <w:pStyle w:val="TOC2"/>
            <w:rPr>
              <w:rFonts w:asciiTheme="minorHAnsi" w:eastAsiaTheme="minorEastAsia" w:hAnsiTheme="minorHAnsi" w:cstheme="minorBidi"/>
              <w:b w:val="0"/>
              <w:noProof/>
              <w:sz w:val="22"/>
              <w:lang w:eastAsia="en-AU"/>
            </w:rPr>
          </w:pPr>
          <w:hyperlink w:anchor="_Toc132726796" w:history="1">
            <w:r w:rsidR="00B54079" w:rsidRPr="00B24679">
              <w:rPr>
                <w:rStyle w:val="Hyperlink"/>
                <w:noProof/>
              </w:rPr>
              <w:t>Risk-benefit analysis</w:t>
            </w:r>
            <w:r w:rsidR="00B54079">
              <w:rPr>
                <w:noProof/>
                <w:webHidden/>
              </w:rPr>
              <w:tab/>
            </w:r>
            <w:r w:rsidR="00B54079">
              <w:rPr>
                <w:noProof/>
                <w:webHidden/>
              </w:rPr>
              <w:fldChar w:fldCharType="begin"/>
            </w:r>
            <w:r w:rsidR="00B54079">
              <w:rPr>
                <w:noProof/>
                <w:webHidden/>
              </w:rPr>
              <w:instrText xml:space="preserve"> PAGEREF _Toc132726796 \h </w:instrText>
            </w:r>
            <w:r w:rsidR="00B54079">
              <w:rPr>
                <w:noProof/>
                <w:webHidden/>
              </w:rPr>
            </w:r>
            <w:r w:rsidR="00B54079">
              <w:rPr>
                <w:noProof/>
                <w:webHidden/>
              </w:rPr>
              <w:fldChar w:fldCharType="separate"/>
            </w:r>
            <w:r w:rsidR="00B54079">
              <w:rPr>
                <w:noProof/>
                <w:webHidden/>
              </w:rPr>
              <w:t>100</w:t>
            </w:r>
            <w:r w:rsidR="00B54079">
              <w:rPr>
                <w:noProof/>
                <w:webHidden/>
              </w:rPr>
              <w:fldChar w:fldCharType="end"/>
            </w:r>
          </w:hyperlink>
        </w:p>
        <w:p w14:paraId="40C3D323" w14:textId="0D8B63D9" w:rsidR="00B54079" w:rsidRDefault="00172397">
          <w:pPr>
            <w:pStyle w:val="TOC1"/>
            <w:rPr>
              <w:rFonts w:asciiTheme="minorHAnsi" w:eastAsiaTheme="minorEastAsia" w:hAnsiTheme="minorHAnsi" w:cstheme="minorBidi"/>
              <w:b w:val="0"/>
              <w:noProof/>
              <w:sz w:val="22"/>
              <w:lang w:eastAsia="en-AU"/>
            </w:rPr>
          </w:pPr>
          <w:hyperlink w:anchor="_Toc132726797" w:history="1">
            <w:r w:rsidR="00B54079" w:rsidRPr="00B24679">
              <w:rPr>
                <w:rStyle w:val="Hyperlink"/>
                <w:noProof/>
              </w:rPr>
              <w:t>Outcome</w:t>
            </w:r>
            <w:r w:rsidR="00B54079">
              <w:rPr>
                <w:noProof/>
                <w:webHidden/>
              </w:rPr>
              <w:tab/>
            </w:r>
            <w:r w:rsidR="00B54079">
              <w:rPr>
                <w:noProof/>
                <w:webHidden/>
              </w:rPr>
              <w:fldChar w:fldCharType="begin"/>
            </w:r>
            <w:r w:rsidR="00B54079">
              <w:rPr>
                <w:noProof/>
                <w:webHidden/>
              </w:rPr>
              <w:instrText xml:space="preserve"> PAGEREF _Toc132726797 \h </w:instrText>
            </w:r>
            <w:r w:rsidR="00B54079">
              <w:rPr>
                <w:noProof/>
                <w:webHidden/>
              </w:rPr>
            </w:r>
            <w:r w:rsidR="00B54079">
              <w:rPr>
                <w:noProof/>
                <w:webHidden/>
              </w:rPr>
              <w:fldChar w:fldCharType="separate"/>
            </w:r>
            <w:r w:rsidR="00B54079">
              <w:rPr>
                <w:noProof/>
                <w:webHidden/>
              </w:rPr>
              <w:t>108</w:t>
            </w:r>
            <w:r w:rsidR="00B54079">
              <w:rPr>
                <w:noProof/>
                <w:webHidden/>
              </w:rPr>
              <w:fldChar w:fldCharType="end"/>
            </w:r>
          </w:hyperlink>
        </w:p>
        <w:p w14:paraId="3387C241" w14:textId="7E8BA2C0" w:rsidR="00B54079" w:rsidRDefault="00172397">
          <w:pPr>
            <w:pStyle w:val="TOC2"/>
            <w:rPr>
              <w:rFonts w:asciiTheme="minorHAnsi" w:eastAsiaTheme="minorEastAsia" w:hAnsiTheme="minorHAnsi" w:cstheme="minorBidi"/>
              <w:b w:val="0"/>
              <w:noProof/>
              <w:sz w:val="22"/>
              <w:lang w:eastAsia="en-AU"/>
            </w:rPr>
          </w:pPr>
          <w:hyperlink w:anchor="_Toc132726798" w:history="1">
            <w:r w:rsidR="00B54079" w:rsidRPr="00B24679">
              <w:rPr>
                <w:rStyle w:val="Hyperlink"/>
                <w:noProof/>
              </w:rPr>
              <w:t>Specific conditions of registration applying to these goods</w:t>
            </w:r>
            <w:r w:rsidR="00B54079">
              <w:rPr>
                <w:noProof/>
                <w:webHidden/>
              </w:rPr>
              <w:tab/>
            </w:r>
            <w:r w:rsidR="00B54079">
              <w:rPr>
                <w:noProof/>
                <w:webHidden/>
              </w:rPr>
              <w:fldChar w:fldCharType="begin"/>
            </w:r>
            <w:r w:rsidR="00B54079">
              <w:rPr>
                <w:noProof/>
                <w:webHidden/>
              </w:rPr>
              <w:instrText xml:space="preserve"> PAGEREF _Toc132726798 \h </w:instrText>
            </w:r>
            <w:r w:rsidR="00B54079">
              <w:rPr>
                <w:noProof/>
                <w:webHidden/>
              </w:rPr>
            </w:r>
            <w:r w:rsidR="00B54079">
              <w:rPr>
                <w:noProof/>
                <w:webHidden/>
              </w:rPr>
              <w:fldChar w:fldCharType="separate"/>
            </w:r>
            <w:r w:rsidR="00B54079">
              <w:rPr>
                <w:noProof/>
                <w:webHidden/>
              </w:rPr>
              <w:t>108</w:t>
            </w:r>
            <w:r w:rsidR="00B54079">
              <w:rPr>
                <w:noProof/>
                <w:webHidden/>
              </w:rPr>
              <w:fldChar w:fldCharType="end"/>
            </w:r>
          </w:hyperlink>
        </w:p>
        <w:p w14:paraId="7A33F799" w14:textId="5B1FA375" w:rsidR="00B54079" w:rsidRDefault="00172397">
          <w:pPr>
            <w:pStyle w:val="TOC1"/>
            <w:rPr>
              <w:rFonts w:asciiTheme="minorHAnsi" w:eastAsiaTheme="minorEastAsia" w:hAnsiTheme="minorHAnsi" w:cstheme="minorBidi"/>
              <w:b w:val="0"/>
              <w:noProof/>
              <w:sz w:val="22"/>
              <w:lang w:eastAsia="en-AU"/>
            </w:rPr>
          </w:pPr>
          <w:hyperlink w:anchor="_Toc132726799" w:history="1">
            <w:r w:rsidR="00B54079" w:rsidRPr="00B24679">
              <w:rPr>
                <w:rStyle w:val="Hyperlink"/>
                <w:noProof/>
              </w:rPr>
              <w:t>Attachment 1. Product Information</w:t>
            </w:r>
            <w:r w:rsidR="00B54079">
              <w:rPr>
                <w:noProof/>
                <w:webHidden/>
              </w:rPr>
              <w:tab/>
            </w:r>
            <w:r w:rsidR="00B54079">
              <w:rPr>
                <w:noProof/>
                <w:webHidden/>
              </w:rPr>
              <w:fldChar w:fldCharType="begin"/>
            </w:r>
            <w:r w:rsidR="00B54079">
              <w:rPr>
                <w:noProof/>
                <w:webHidden/>
              </w:rPr>
              <w:instrText xml:space="preserve"> PAGEREF _Toc132726799 \h </w:instrText>
            </w:r>
            <w:r w:rsidR="00B54079">
              <w:rPr>
                <w:noProof/>
                <w:webHidden/>
              </w:rPr>
            </w:r>
            <w:r w:rsidR="00B54079">
              <w:rPr>
                <w:noProof/>
                <w:webHidden/>
              </w:rPr>
              <w:fldChar w:fldCharType="separate"/>
            </w:r>
            <w:r w:rsidR="00B54079">
              <w:rPr>
                <w:noProof/>
                <w:webHidden/>
              </w:rPr>
              <w:t>109</w:t>
            </w:r>
            <w:r w:rsidR="00B54079">
              <w:rPr>
                <w:noProof/>
                <w:webHidden/>
              </w:rPr>
              <w:fldChar w:fldCharType="end"/>
            </w:r>
          </w:hyperlink>
        </w:p>
        <w:p w14:paraId="01BBB075" w14:textId="36AEAD6E" w:rsidR="003A7F6C" w:rsidRPr="00B811C6" w:rsidRDefault="00C525A2" w:rsidP="00EB36D6">
          <w:r>
            <w:fldChar w:fldCharType="end"/>
          </w:r>
        </w:p>
      </w:sdtContent>
    </w:sdt>
    <w:bookmarkStart w:id="2" w:name="_Toc314842482" w:displacedByCustomXml="prev"/>
    <w:p w14:paraId="186D2FBB" w14:textId="77777777" w:rsidR="00FD119B" w:rsidRDefault="00FD119B">
      <w:pPr>
        <w:spacing w:before="0" w:after="200" w:line="0" w:lineRule="auto"/>
      </w:pPr>
      <w:r>
        <w:br w:type="page"/>
      </w:r>
    </w:p>
    <w:p w14:paraId="2FCCC765" w14:textId="77777777" w:rsidR="00AF2313" w:rsidRDefault="00AF2313" w:rsidP="00AF2313">
      <w:pPr>
        <w:pStyle w:val="Heading2"/>
      </w:pPr>
      <w:bookmarkStart w:id="3" w:name="_Toc98931917"/>
      <w:bookmarkStart w:id="4" w:name="_Toc132726784"/>
      <w:r>
        <w:lastRenderedPageBreak/>
        <w:t>List of abbreviations</w:t>
      </w:r>
      <w:bookmarkEnd w:id="3"/>
      <w:bookmarkEnd w:id="4"/>
    </w:p>
    <w:tbl>
      <w:tblPr>
        <w:tblStyle w:val="TableTGAblue"/>
        <w:tblW w:w="5000" w:type="pct"/>
        <w:tblLook w:val="04A0" w:firstRow="1" w:lastRow="0" w:firstColumn="1" w:lastColumn="0" w:noHBand="0" w:noVBand="1"/>
      </w:tblPr>
      <w:tblGrid>
        <w:gridCol w:w="1719"/>
        <w:gridCol w:w="1196"/>
        <w:gridCol w:w="5569"/>
      </w:tblGrid>
      <w:tr w:rsidR="000F7269" w14:paraId="45228B86" w14:textId="77777777" w:rsidTr="009B153D">
        <w:trPr>
          <w:cnfStyle w:val="100000000000" w:firstRow="1" w:lastRow="0" w:firstColumn="0" w:lastColumn="0" w:oddVBand="0" w:evenVBand="0" w:oddHBand="0" w:evenHBand="0" w:firstRowFirstColumn="0" w:firstRowLastColumn="0" w:lastRowFirstColumn="0" w:lastRowLastColumn="0"/>
          <w:cantSplit/>
        </w:trPr>
        <w:tc>
          <w:tcPr>
            <w:tcW w:w="1718" w:type="pct"/>
            <w:gridSpan w:val="2"/>
            <w:hideMark/>
          </w:tcPr>
          <w:p w14:paraId="474ED367" w14:textId="77777777" w:rsidR="000F7269" w:rsidRDefault="000F7269" w:rsidP="009B153D">
            <w:pPr>
              <w:rPr>
                <w:color w:val="FFFFFF"/>
              </w:rPr>
            </w:pPr>
            <w:bookmarkStart w:id="5" w:name="_Hlk129957453"/>
            <w:r>
              <w:t>Abbreviation</w:t>
            </w:r>
          </w:p>
        </w:tc>
        <w:tc>
          <w:tcPr>
            <w:tcW w:w="3282" w:type="pct"/>
            <w:hideMark/>
          </w:tcPr>
          <w:p w14:paraId="3610FF65" w14:textId="77777777" w:rsidR="000F7269" w:rsidRDefault="000F7269" w:rsidP="009B153D">
            <w:r>
              <w:t>Meaning</w:t>
            </w:r>
          </w:p>
        </w:tc>
      </w:tr>
      <w:tr w:rsidR="000F7269" w14:paraId="28FCF31F" w14:textId="77777777" w:rsidTr="009B153D">
        <w:trPr>
          <w:cantSplit/>
        </w:trPr>
        <w:tc>
          <w:tcPr>
            <w:tcW w:w="1013" w:type="pct"/>
            <w:tcBorders>
              <w:top w:val="single" w:sz="8" w:space="0" w:color="002C47"/>
              <w:left w:val="single" w:sz="8" w:space="0" w:color="002C47"/>
              <w:bottom w:val="single" w:sz="8" w:space="0" w:color="002C47"/>
              <w:right w:val="single" w:sz="8" w:space="0" w:color="002C47"/>
            </w:tcBorders>
            <w:hideMark/>
          </w:tcPr>
          <w:p w14:paraId="594F789B" w14:textId="77777777" w:rsidR="000F7269" w:rsidRDefault="000F7269" w:rsidP="009B153D">
            <w:r>
              <w:t>ACM</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58D2C5D9" w14:textId="77777777" w:rsidR="000F7269" w:rsidRDefault="000F7269" w:rsidP="009B153D">
            <w:r>
              <w:t>Advisory Committee on Medicines</w:t>
            </w:r>
          </w:p>
        </w:tc>
      </w:tr>
      <w:tr w:rsidR="000F7269" w14:paraId="70D6B349" w14:textId="77777777" w:rsidTr="009B153D">
        <w:trPr>
          <w:cantSplit/>
        </w:trPr>
        <w:tc>
          <w:tcPr>
            <w:tcW w:w="1013" w:type="pct"/>
            <w:tcBorders>
              <w:top w:val="single" w:sz="8" w:space="0" w:color="002C47"/>
              <w:left w:val="single" w:sz="8" w:space="0" w:color="002C47"/>
              <w:bottom w:val="single" w:sz="8" w:space="0" w:color="002C47"/>
              <w:right w:val="single" w:sz="8" w:space="0" w:color="002C47"/>
            </w:tcBorders>
          </w:tcPr>
          <w:p w14:paraId="0B07A536" w14:textId="77777777" w:rsidR="000F7269" w:rsidRDefault="000F7269" w:rsidP="009B153D">
            <w:pPr>
              <w:rPr>
                <w:color w:val="000000"/>
              </w:rPr>
            </w:pPr>
            <w:r>
              <w:rPr>
                <w:color w:val="000000"/>
              </w:rPr>
              <w:t>AE</w:t>
            </w:r>
          </w:p>
        </w:tc>
        <w:tc>
          <w:tcPr>
            <w:tcW w:w="3987" w:type="pct"/>
            <w:gridSpan w:val="2"/>
            <w:tcBorders>
              <w:top w:val="single" w:sz="8" w:space="0" w:color="002C47"/>
              <w:left w:val="single" w:sz="8" w:space="0" w:color="002C47"/>
              <w:bottom w:val="single" w:sz="8" w:space="0" w:color="002C47"/>
              <w:right w:val="single" w:sz="8" w:space="0" w:color="002C47"/>
            </w:tcBorders>
          </w:tcPr>
          <w:p w14:paraId="3F59BDE4" w14:textId="77777777" w:rsidR="000F7269" w:rsidRDefault="000F7269" w:rsidP="009B153D">
            <w:r>
              <w:t>Adverse event</w:t>
            </w:r>
          </w:p>
        </w:tc>
      </w:tr>
      <w:tr w:rsidR="000F7269" w14:paraId="615B9717" w14:textId="77777777" w:rsidTr="009B153D">
        <w:trPr>
          <w:cantSplit/>
        </w:trPr>
        <w:tc>
          <w:tcPr>
            <w:tcW w:w="1013" w:type="pct"/>
            <w:tcBorders>
              <w:top w:val="single" w:sz="8" w:space="0" w:color="002C47"/>
              <w:left w:val="single" w:sz="8" w:space="0" w:color="002C47"/>
              <w:bottom w:val="single" w:sz="8" w:space="0" w:color="002C47"/>
              <w:right w:val="single" w:sz="8" w:space="0" w:color="002C47"/>
            </w:tcBorders>
          </w:tcPr>
          <w:p w14:paraId="77A8E117" w14:textId="77777777" w:rsidR="000F7269" w:rsidRDefault="000F7269" w:rsidP="009B153D">
            <w:pPr>
              <w:rPr>
                <w:color w:val="000000"/>
              </w:rPr>
            </w:pPr>
            <w:r>
              <w:rPr>
                <w:color w:val="000000"/>
              </w:rPr>
              <w:t>AI</w:t>
            </w:r>
          </w:p>
        </w:tc>
        <w:tc>
          <w:tcPr>
            <w:tcW w:w="3987" w:type="pct"/>
            <w:gridSpan w:val="2"/>
            <w:tcBorders>
              <w:top w:val="single" w:sz="8" w:space="0" w:color="002C47"/>
              <w:left w:val="single" w:sz="8" w:space="0" w:color="002C47"/>
              <w:bottom w:val="single" w:sz="8" w:space="0" w:color="002C47"/>
              <w:right w:val="single" w:sz="8" w:space="0" w:color="002C47"/>
            </w:tcBorders>
          </w:tcPr>
          <w:p w14:paraId="24D02D03" w14:textId="77777777" w:rsidR="000F7269" w:rsidRDefault="000F7269" w:rsidP="009B153D">
            <w:pPr>
              <w:rPr>
                <w:lang w:eastAsia="ja-JP"/>
              </w:rPr>
            </w:pPr>
            <w:r>
              <w:rPr>
                <w:lang w:eastAsia="ja-JP"/>
              </w:rPr>
              <w:t>Autoinjector</w:t>
            </w:r>
          </w:p>
        </w:tc>
      </w:tr>
      <w:tr w:rsidR="000F7269" w14:paraId="34BD611A" w14:textId="77777777" w:rsidTr="009B153D">
        <w:trPr>
          <w:cantSplit/>
        </w:trPr>
        <w:tc>
          <w:tcPr>
            <w:tcW w:w="1013" w:type="pct"/>
            <w:tcBorders>
              <w:top w:val="single" w:sz="8" w:space="0" w:color="002C47"/>
              <w:left w:val="single" w:sz="8" w:space="0" w:color="002C47"/>
              <w:bottom w:val="single" w:sz="8" w:space="0" w:color="002C47"/>
              <w:right w:val="single" w:sz="8" w:space="0" w:color="002C47"/>
            </w:tcBorders>
            <w:hideMark/>
          </w:tcPr>
          <w:p w14:paraId="11C046BE" w14:textId="77777777" w:rsidR="000F7269" w:rsidRDefault="000F7269" w:rsidP="009B153D">
            <w:r>
              <w:t>ARTG</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1866A464" w14:textId="77777777" w:rsidR="000F7269" w:rsidRDefault="000F7269" w:rsidP="009B153D">
            <w:r>
              <w:t>Australian Register of Therapeutic Goods</w:t>
            </w:r>
          </w:p>
        </w:tc>
      </w:tr>
      <w:tr w:rsidR="000F7269" w14:paraId="4F30FDE8" w14:textId="77777777" w:rsidTr="009B153D">
        <w:trPr>
          <w:cantSplit/>
        </w:trPr>
        <w:tc>
          <w:tcPr>
            <w:tcW w:w="1013" w:type="pct"/>
            <w:tcBorders>
              <w:top w:val="single" w:sz="8" w:space="0" w:color="002C47"/>
              <w:left w:val="single" w:sz="8" w:space="0" w:color="002C47"/>
              <w:bottom w:val="single" w:sz="8" w:space="0" w:color="002C47"/>
              <w:right w:val="single" w:sz="8" w:space="0" w:color="002C47"/>
            </w:tcBorders>
            <w:hideMark/>
          </w:tcPr>
          <w:p w14:paraId="6042F4F1" w14:textId="77777777" w:rsidR="000F7269" w:rsidRDefault="000F7269" w:rsidP="009B153D">
            <w:r>
              <w:t>ASA</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03BB9ADF" w14:textId="77777777" w:rsidR="000F7269" w:rsidRDefault="000F7269" w:rsidP="009B153D">
            <w:r>
              <w:t>Australia specific annex</w:t>
            </w:r>
          </w:p>
        </w:tc>
      </w:tr>
      <w:tr w:rsidR="000F7269" w14:paraId="781D83C1" w14:textId="77777777" w:rsidTr="009B153D">
        <w:trPr>
          <w:cantSplit/>
        </w:trPr>
        <w:tc>
          <w:tcPr>
            <w:tcW w:w="1013" w:type="pct"/>
            <w:tcBorders>
              <w:top w:val="single" w:sz="8" w:space="0" w:color="002C47"/>
              <w:left w:val="single" w:sz="8" w:space="0" w:color="002C47"/>
              <w:bottom w:val="single" w:sz="8" w:space="0" w:color="002C47"/>
              <w:right w:val="single" w:sz="8" w:space="0" w:color="002C47"/>
            </w:tcBorders>
          </w:tcPr>
          <w:p w14:paraId="25897D28" w14:textId="77777777" w:rsidR="000F7269" w:rsidRDefault="000F7269" w:rsidP="009B153D">
            <w:pPr>
              <w:rPr>
                <w:color w:val="000000"/>
              </w:rPr>
            </w:pPr>
            <w:r>
              <w:rPr>
                <w:color w:val="000000"/>
              </w:rPr>
              <w:t>AUC</w:t>
            </w:r>
          </w:p>
        </w:tc>
        <w:tc>
          <w:tcPr>
            <w:tcW w:w="3987" w:type="pct"/>
            <w:gridSpan w:val="2"/>
            <w:tcBorders>
              <w:top w:val="single" w:sz="8" w:space="0" w:color="002C47"/>
              <w:left w:val="single" w:sz="8" w:space="0" w:color="002C47"/>
              <w:bottom w:val="single" w:sz="8" w:space="0" w:color="002C47"/>
              <w:right w:val="single" w:sz="8" w:space="0" w:color="002C47"/>
            </w:tcBorders>
          </w:tcPr>
          <w:p w14:paraId="26933323" w14:textId="77777777" w:rsidR="000F7269" w:rsidRDefault="000F7269" w:rsidP="009B153D">
            <w:pPr>
              <w:rPr>
                <w:lang w:eastAsia="ja-JP"/>
              </w:rPr>
            </w:pPr>
            <w:r>
              <w:rPr>
                <w:lang w:eastAsia="ja-JP"/>
              </w:rPr>
              <w:t>Area under concentration time curve</w:t>
            </w:r>
          </w:p>
        </w:tc>
      </w:tr>
      <w:tr w:rsidR="000F7269" w14:paraId="35DCEE05" w14:textId="77777777" w:rsidTr="009B153D">
        <w:trPr>
          <w:cantSplit/>
        </w:trPr>
        <w:tc>
          <w:tcPr>
            <w:tcW w:w="1013" w:type="pct"/>
            <w:tcBorders>
              <w:top w:val="single" w:sz="8" w:space="0" w:color="002C47"/>
              <w:left w:val="single" w:sz="8" w:space="0" w:color="002C47"/>
              <w:bottom w:val="single" w:sz="8" w:space="0" w:color="002C47"/>
              <w:right w:val="single" w:sz="8" w:space="0" w:color="002C47"/>
            </w:tcBorders>
          </w:tcPr>
          <w:p w14:paraId="1F546C3D" w14:textId="77777777" w:rsidR="000F7269" w:rsidRDefault="000F7269" w:rsidP="009B153D">
            <w:pPr>
              <w:rPr>
                <w:color w:val="000000"/>
              </w:rPr>
            </w:pPr>
            <w:r>
              <w:rPr>
                <w:color w:val="000000"/>
              </w:rPr>
              <w:t>CHMP</w:t>
            </w:r>
          </w:p>
        </w:tc>
        <w:tc>
          <w:tcPr>
            <w:tcW w:w="3987" w:type="pct"/>
            <w:gridSpan w:val="2"/>
            <w:tcBorders>
              <w:top w:val="single" w:sz="8" w:space="0" w:color="002C47"/>
              <w:left w:val="single" w:sz="8" w:space="0" w:color="002C47"/>
              <w:bottom w:val="single" w:sz="8" w:space="0" w:color="002C47"/>
              <w:right w:val="single" w:sz="8" w:space="0" w:color="002C47"/>
            </w:tcBorders>
          </w:tcPr>
          <w:p w14:paraId="04C93402" w14:textId="60FEDDDD" w:rsidR="000F7269" w:rsidRDefault="000F7269" w:rsidP="009B153D">
            <w:pPr>
              <w:rPr>
                <w:lang w:eastAsia="ja-JP"/>
              </w:rPr>
            </w:pPr>
            <w:r w:rsidRPr="00FA5CC4">
              <w:rPr>
                <w:lang w:val="en-US"/>
              </w:rPr>
              <w:t>Committee for Medicinal Products for Human Use</w:t>
            </w:r>
            <w:r w:rsidR="009B153D">
              <w:rPr>
                <w:lang w:val="en-US"/>
              </w:rPr>
              <w:t xml:space="preserve"> (European Union)</w:t>
            </w:r>
          </w:p>
        </w:tc>
      </w:tr>
      <w:tr w:rsidR="000F7269" w14:paraId="2CAF5B2E" w14:textId="77777777" w:rsidTr="009B153D">
        <w:trPr>
          <w:cantSplit/>
        </w:trPr>
        <w:tc>
          <w:tcPr>
            <w:tcW w:w="1013" w:type="pct"/>
            <w:tcBorders>
              <w:top w:val="single" w:sz="8" w:space="0" w:color="002C47"/>
              <w:left w:val="single" w:sz="8" w:space="0" w:color="002C47"/>
              <w:bottom w:val="single" w:sz="8" w:space="0" w:color="002C47"/>
              <w:right w:val="single" w:sz="8" w:space="0" w:color="002C47"/>
            </w:tcBorders>
          </w:tcPr>
          <w:p w14:paraId="77A3FF9E" w14:textId="77777777" w:rsidR="000F7269" w:rsidRDefault="000F7269" w:rsidP="009B153D">
            <w:pPr>
              <w:rPr>
                <w:color w:val="000000"/>
              </w:rPr>
            </w:pPr>
            <w:r>
              <w:rPr>
                <w:color w:val="000000"/>
              </w:rPr>
              <w:t>CI</w:t>
            </w:r>
          </w:p>
        </w:tc>
        <w:tc>
          <w:tcPr>
            <w:tcW w:w="3987" w:type="pct"/>
            <w:gridSpan w:val="2"/>
            <w:tcBorders>
              <w:top w:val="single" w:sz="8" w:space="0" w:color="002C47"/>
              <w:left w:val="single" w:sz="8" w:space="0" w:color="002C47"/>
              <w:bottom w:val="single" w:sz="8" w:space="0" w:color="002C47"/>
              <w:right w:val="single" w:sz="8" w:space="0" w:color="002C47"/>
            </w:tcBorders>
          </w:tcPr>
          <w:p w14:paraId="69924D60" w14:textId="60077CDA" w:rsidR="000F7269" w:rsidRDefault="000F7269" w:rsidP="009B153D">
            <w:pPr>
              <w:rPr>
                <w:lang w:eastAsia="ja-JP"/>
              </w:rPr>
            </w:pPr>
            <w:r>
              <w:rPr>
                <w:lang w:eastAsia="ja-JP"/>
              </w:rPr>
              <w:t>Confidence interval</w:t>
            </w:r>
          </w:p>
        </w:tc>
      </w:tr>
      <w:tr w:rsidR="000F7269" w14:paraId="6271E58E" w14:textId="77777777" w:rsidTr="009B153D">
        <w:trPr>
          <w:cantSplit/>
        </w:trPr>
        <w:tc>
          <w:tcPr>
            <w:tcW w:w="1013" w:type="pct"/>
            <w:tcBorders>
              <w:top w:val="single" w:sz="8" w:space="0" w:color="002C47"/>
              <w:left w:val="single" w:sz="8" w:space="0" w:color="002C47"/>
              <w:bottom w:val="single" w:sz="8" w:space="0" w:color="002C47"/>
              <w:right w:val="single" w:sz="8" w:space="0" w:color="002C47"/>
            </w:tcBorders>
          </w:tcPr>
          <w:p w14:paraId="5E49BE7D" w14:textId="77777777" w:rsidR="000F7269" w:rsidRDefault="000F7269" w:rsidP="009B153D">
            <w:pPr>
              <w:rPr>
                <w:color w:val="000000"/>
              </w:rPr>
            </w:pPr>
            <w:r w:rsidRPr="00430A9A">
              <w:rPr>
                <w:lang w:eastAsia="ja-JP"/>
              </w:rPr>
              <w:t>CL/F</w:t>
            </w:r>
          </w:p>
        </w:tc>
        <w:tc>
          <w:tcPr>
            <w:tcW w:w="3987" w:type="pct"/>
            <w:gridSpan w:val="2"/>
            <w:tcBorders>
              <w:top w:val="single" w:sz="8" w:space="0" w:color="002C47"/>
              <w:left w:val="single" w:sz="8" w:space="0" w:color="002C47"/>
              <w:bottom w:val="single" w:sz="8" w:space="0" w:color="002C47"/>
              <w:right w:val="single" w:sz="8" w:space="0" w:color="002C47"/>
            </w:tcBorders>
          </w:tcPr>
          <w:p w14:paraId="4E1DA5E3" w14:textId="1A4DA45E" w:rsidR="000F7269" w:rsidRDefault="000F7269">
            <w:pPr>
              <w:rPr>
                <w:lang w:eastAsia="ja-JP"/>
              </w:rPr>
            </w:pPr>
            <w:r>
              <w:rPr>
                <w:lang w:eastAsia="ja-JP"/>
              </w:rPr>
              <w:t>O</w:t>
            </w:r>
            <w:r w:rsidRPr="00D929AA">
              <w:rPr>
                <w:lang w:eastAsia="ja-JP"/>
              </w:rPr>
              <w:t xml:space="preserve">ral </w:t>
            </w:r>
            <w:r w:rsidR="009B153D">
              <w:rPr>
                <w:lang w:eastAsia="ja-JP"/>
              </w:rPr>
              <w:t>clearance</w:t>
            </w:r>
          </w:p>
        </w:tc>
      </w:tr>
      <w:tr w:rsidR="000F7269" w14:paraId="052E4459" w14:textId="77777777" w:rsidTr="009B153D">
        <w:trPr>
          <w:cantSplit/>
        </w:trPr>
        <w:tc>
          <w:tcPr>
            <w:tcW w:w="1013" w:type="pct"/>
            <w:tcBorders>
              <w:top w:val="single" w:sz="8" w:space="0" w:color="002C47"/>
              <w:left w:val="single" w:sz="8" w:space="0" w:color="002C47"/>
              <w:bottom w:val="single" w:sz="8" w:space="0" w:color="002C47"/>
              <w:right w:val="single" w:sz="8" w:space="0" w:color="002C47"/>
            </w:tcBorders>
          </w:tcPr>
          <w:p w14:paraId="46806E99" w14:textId="77777777" w:rsidR="000F7269" w:rsidRDefault="000F7269" w:rsidP="009B153D">
            <w:pPr>
              <w:rPr>
                <w:color w:val="000000"/>
              </w:rPr>
            </w:pPr>
            <w:proofErr w:type="spellStart"/>
            <w:r>
              <w:rPr>
                <w:color w:val="000000"/>
              </w:rPr>
              <w:t>C</w:t>
            </w:r>
            <w:r w:rsidRPr="00F94CB1">
              <w:rPr>
                <w:color w:val="000000"/>
                <w:vertAlign w:val="subscript"/>
              </w:rPr>
              <w:t>max</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481FC0A5" w14:textId="77777777" w:rsidR="000F7269" w:rsidRDefault="000F7269" w:rsidP="009B153D">
            <w:pPr>
              <w:rPr>
                <w:lang w:eastAsia="ja-JP"/>
              </w:rPr>
            </w:pPr>
            <w:r>
              <w:t>Maximum concentration</w:t>
            </w:r>
          </w:p>
        </w:tc>
      </w:tr>
      <w:tr w:rsidR="000F7269" w14:paraId="67F894BC" w14:textId="77777777" w:rsidTr="009B153D">
        <w:trPr>
          <w:cantSplit/>
        </w:trPr>
        <w:tc>
          <w:tcPr>
            <w:tcW w:w="1013" w:type="pct"/>
            <w:tcBorders>
              <w:top w:val="single" w:sz="8" w:space="0" w:color="002C47"/>
              <w:left w:val="single" w:sz="8" w:space="0" w:color="002C47"/>
              <w:bottom w:val="single" w:sz="8" w:space="0" w:color="002C47"/>
              <w:right w:val="single" w:sz="8" w:space="0" w:color="002C47"/>
            </w:tcBorders>
          </w:tcPr>
          <w:p w14:paraId="5B00CBF8" w14:textId="77777777" w:rsidR="000F7269" w:rsidRDefault="000F7269" w:rsidP="009B153D">
            <w:pPr>
              <w:rPr>
                <w:color w:val="000000"/>
              </w:rPr>
            </w:pPr>
            <w:r>
              <w:rPr>
                <w:color w:val="000000"/>
              </w:rPr>
              <w:t>CMH</w:t>
            </w:r>
          </w:p>
        </w:tc>
        <w:tc>
          <w:tcPr>
            <w:tcW w:w="3987" w:type="pct"/>
            <w:gridSpan w:val="2"/>
            <w:tcBorders>
              <w:top w:val="single" w:sz="8" w:space="0" w:color="002C47"/>
              <w:left w:val="single" w:sz="8" w:space="0" w:color="002C47"/>
              <w:bottom w:val="single" w:sz="8" w:space="0" w:color="002C47"/>
              <w:right w:val="single" w:sz="8" w:space="0" w:color="002C47"/>
            </w:tcBorders>
          </w:tcPr>
          <w:p w14:paraId="489DC76E" w14:textId="77777777" w:rsidR="000F7269" w:rsidRDefault="000F7269" w:rsidP="009B153D">
            <w:r>
              <w:t>Cochran-Mantel-Haenszel</w:t>
            </w:r>
          </w:p>
        </w:tc>
      </w:tr>
      <w:tr w:rsidR="000F7269" w14:paraId="2DA116F6" w14:textId="77777777" w:rsidTr="009B153D">
        <w:trPr>
          <w:cantSplit/>
        </w:trPr>
        <w:tc>
          <w:tcPr>
            <w:tcW w:w="1013" w:type="pct"/>
            <w:tcBorders>
              <w:top w:val="single" w:sz="8" w:space="0" w:color="002C47"/>
              <w:left w:val="single" w:sz="8" w:space="0" w:color="002C47"/>
              <w:bottom w:val="single" w:sz="8" w:space="0" w:color="002C47"/>
              <w:right w:val="single" w:sz="8" w:space="0" w:color="002C47"/>
            </w:tcBorders>
          </w:tcPr>
          <w:p w14:paraId="466EDEF7" w14:textId="77777777" w:rsidR="000F7269" w:rsidRDefault="000F7269" w:rsidP="009B153D">
            <w:pPr>
              <w:rPr>
                <w:color w:val="000000"/>
              </w:rPr>
            </w:pPr>
            <w:r>
              <w:rPr>
                <w:color w:val="000000"/>
              </w:rPr>
              <w:t>CMI</w:t>
            </w:r>
          </w:p>
        </w:tc>
        <w:tc>
          <w:tcPr>
            <w:tcW w:w="3987" w:type="pct"/>
            <w:gridSpan w:val="2"/>
            <w:tcBorders>
              <w:top w:val="single" w:sz="8" w:space="0" w:color="002C47"/>
              <w:left w:val="single" w:sz="8" w:space="0" w:color="002C47"/>
              <w:bottom w:val="single" w:sz="8" w:space="0" w:color="002C47"/>
              <w:right w:val="single" w:sz="8" w:space="0" w:color="002C47"/>
            </w:tcBorders>
          </w:tcPr>
          <w:p w14:paraId="266C8E70" w14:textId="77777777" w:rsidR="000F7269" w:rsidRDefault="000F7269" w:rsidP="009B153D">
            <w:r>
              <w:t>Consumer Medicines Information</w:t>
            </w:r>
          </w:p>
        </w:tc>
      </w:tr>
      <w:tr w:rsidR="000F7269" w14:paraId="54357366" w14:textId="77777777" w:rsidTr="009B153D">
        <w:trPr>
          <w:cantSplit/>
        </w:trPr>
        <w:tc>
          <w:tcPr>
            <w:tcW w:w="1013" w:type="pct"/>
            <w:tcBorders>
              <w:top w:val="single" w:sz="8" w:space="0" w:color="002C47"/>
              <w:left w:val="single" w:sz="8" w:space="0" w:color="002C47"/>
              <w:bottom w:val="single" w:sz="8" w:space="0" w:color="002C47"/>
              <w:right w:val="single" w:sz="8" w:space="0" w:color="002C47"/>
            </w:tcBorders>
          </w:tcPr>
          <w:p w14:paraId="17FA9EA8" w14:textId="77777777" w:rsidR="000F7269" w:rsidRDefault="000F7269" w:rsidP="009B153D">
            <w:pPr>
              <w:rPr>
                <w:color w:val="000000"/>
              </w:rPr>
            </w:pPr>
            <w:proofErr w:type="spellStart"/>
            <w:r>
              <w:rPr>
                <w:color w:val="000000"/>
              </w:rPr>
              <w:t>C</w:t>
            </w:r>
            <w:r w:rsidRPr="009D68F4">
              <w:rPr>
                <w:color w:val="000000"/>
                <w:vertAlign w:val="subscript"/>
              </w:rPr>
              <w:t>min</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04A54ADB" w14:textId="77777777" w:rsidR="000F7269" w:rsidRDefault="000F7269" w:rsidP="009B153D">
            <w:pPr>
              <w:rPr>
                <w:lang w:eastAsia="ja-JP"/>
              </w:rPr>
            </w:pPr>
            <w:r>
              <w:rPr>
                <w:lang w:eastAsia="ja-JP"/>
              </w:rPr>
              <w:t>Minimum concentration</w:t>
            </w:r>
          </w:p>
        </w:tc>
      </w:tr>
      <w:tr w:rsidR="000F7269" w14:paraId="2C51F83C" w14:textId="77777777" w:rsidTr="009B153D">
        <w:trPr>
          <w:cantSplit/>
        </w:trPr>
        <w:tc>
          <w:tcPr>
            <w:tcW w:w="1013" w:type="pct"/>
            <w:tcBorders>
              <w:top w:val="single" w:sz="8" w:space="0" w:color="002C47"/>
              <w:left w:val="single" w:sz="8" w:space="0" w:color="002C47"/>
              <w:bottom w:val="single" w:sz="8" w:space="0" w:color="002C47"/>
              <w:right w:val="single" w:sz="8" w:space="0" w:color="002C47"/>
            </w:tcBorders>
          </w:tcPr>
          <w:p w14:paraId="2198E09B" w14:textId="77777777" w:rsidR="000F7269" w:rsidRDefault="000F7269" w:rsidP="009B153D">
            <w:pPr>
              <w:rPr>
                <w:color w:val="000000"/>
              </w:rPr>
            </w:pPr>
            <w:r>
              <w:rPr>
                <w:color w:val="000000"/>
              </w:rPr>
              <w:t>CV%</w:t>
            </w:r>
          </w:p>
        </w:tc>
        <w:tc>
          <w:tcPr>
            <w:tcW w:w="3987" w:type="pct"/>
            <w:gridSpan w:val="2"/>
            <w:tcBorders>
              <w:top w:val="single" w:sz="8" w:space="0" w:color="002C47"/>
              <w:left w:val="single" w:sz="8" w:space="0" w:color="002C47"/>
              <w:bottom w:val="single" w:sz="8" w:space="0" w:color="002C47"/>
              <w:right w:val="single" w:sz="8" w:space="0" w:color="002C47"/>
            </w:tcBorders>
          </w:tcPr>
          <w:p w14:paraId="00ED57E7" w14:textId="77777777" w:rsidR="000F7269" w:rsidRDefault="000F7269" w:rsidP="009B153D">
            <w:pPr>
              <w:rPr>
                <w:lang w:eastAsia="ja-JP"/>
              </w:rPr>
            </w:pPr>
            <w:r>
              <w:t>Coefficient of variation</w:t>
            </w:r>
          </w:p>
        </w:tc>
      </w:tr>
      <w:tr w:rsidR="000F7269" w14:paraId="52877DCC" w14:textId="77777777" w:rsidTr="009B153D">
        <w:trPr>
          <w:cantSplit/>
        </w:trPr>
        <w:tc>
          <w:tcPr>
            <w:tcW w:w="1013" w:type="pct"/>
            <w:tcBorders>
              <w:top w:val="single" w:sz="8" w:space="0" w:color="002C47"/>
              <w:left w:val="single" w:sz="8" w:space="0" w:color="002C47"/>
              <w:bottom w:val="single" w:sz="8" w:space="0" w:color="002C47"/>
              <w:right w:val="single" w:sz="8" w:space="0" w:color="002C47"/>
            </w:tcBorders>
            <w:hideMark/>
          </w:tcPr>
          <w:p w14:paraId="5FACDBEE" w14:textId="77777777" w:rsidR="000F7269" w:rsidRDefault="000F7269" w:rsidP="009B153D">
            <w:r>
              <w:t>DLP</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057E1F68" w14:textId="77777777" w:rsidR="000F7269" w:rsidRDefault="000F7269" w:rsidP="009B153D">
            <w:r>
              <w:t>Data lock point</w:t>
            </w:r>
          </w:p>
        </w:tc>
      </w:tr>
      <w:tr w:rsidR="000F7269" w14:paraId="0E4411C2" w14:textId="77777777" w:rsidTr="009B153D">
        <w:trPr>
          <w:cantSplit/>
        </w:trPr>
        <w:tc>
          <w:tcPr>
            <w:tcW w:w="1013" w:type="pct"/>
            <w:tcBorders>
              <w:top w:val="single" w:sz="8" w:space="0" w:color="002C47"/>
              <w:left w:val="single" w:sz="8" w:space="0" w:color="002C47"/>
              <w:bottom w:val="single" w:sz="8" w:space="0" w:color="002C47"/>
              <w:right w:val="single" w:sz="8" w:space="0" w:color="002C47"/>
            </w:tcBorders>
          </w:tcPr>
          <w:p w14:paraId="32F1CA9C" w14:textId="77777777" w:rsidR="000F7269" w:rsidRDefault="000F7269" w:rsidP="009B153D">
            <w:pPr>
              <w:rPr>
                <w:color w:val="000000"/>
              </w:rPr>
            </w:pPr>
            <w:r w:rsidRPr="00FB4850">
              <w:rPr>
                <w:bCs/>
              </w:rPr>
              <w:t>DLQI</w:t>
            </w:r>
          </w:p>
        </w:tc>
        <w:tc>
          <w:tcPr>
            <w:tcW w:w="3987" w:type="pct"/>
            <w:gridSpan w:val="2"/>
            <w:tcBorders>
              <w:top w:val="single" w:sz="8" w:space="0" w:color="002C47"/>
              <w:left w:val="single" w:sz="8" w:space="0" w:color="002C47"/>
              <w:bottom w:val="single" w:sz="8" w:space="0" w:color="002C47"/>
              <w:right w:val="single" w:sz="8" w:space="0" w:color="002C47"/>
            </w:tcBorders>
          </w:tcPr>
          <w:p w14:paraId="00F691CD" w14:textId="77777777" w:rsidR="000F7269" w:rsidRDefault="000F7269" w:rsidP="009B153D">
            <w:pPr>
              <w:rPr>
                <w:color w:val="000000"/>
              </w:rPr>
            </w:pPr>
            <w:r w:rsidRPr="000D1818">
              <w:t>Dermatology Life Quality Index</w:t>
            </w:r>
          </w:p>
        </w:tc>
      </w:tr>
      <w:tr w:rsidR="000F7269" w14:paraId="0A63B912" w14:textId="77777777" w:rsidTr="009B153D">
        <w:trPr>
          <w:cantSplit/>
        </w:trPr>
        <w:tc>
          <w:tcPr>
            <w:tcW w:w="1013" w:type="pct"/>
            <w:tcBorders>
              <w:top w:val="single" w:sz="8" w:space="0" w:color="002C47"/>
              <w:left w:val="single" w:sz="8" w:space="0" w:color="002C47"/>
              <w:bottom w:val="single" w:sz="8" w:space="0" w:color="002C47"/>
              <w:right w:val="single" w:sz="8" w:space="0" w:color="002C47"/>
            </w:tcBorders>
          </w:tcPr>
          <w:p w14:paraId="646A005D" w14:textId="77777777" w:rsidR="000F7269" w:rsidRDefault="000F7269" w:rsidP="009B153D">
            <w:pPr>
              <w:rPr>
                <w:color w:val="000000"/>
              </w:rPr>
            </w:pPr>
            <w:r>
              <w:rPr>
                <w:color w:val="000000"/>
              </w:rPr>
              <w:t>EMA</w:t>
            </w:r>
          </w:p>
        </w:tc>
        <w:tc>
          <w:tcPr>
            <w:tcW w:w="3987" w:type="pct"/>
            <w:gridSpan w:val="2"/>
            <w:tcBorders>
              <w:top w:val="single" w:sz="8" w:space="0" w:color="002C47"/>
              <w:left w:val="single" w:sz="8" w:space="0" w:color="002C47"/>
              <w:bottom w:val="single" w:sz="8" w:space="0" w:color="002C47"/>
              <w:right w:val="single" w:sz="8" w:space="0" w:color="002C47"/>
            </w:tcBorders>
          </w:tcPr>
          <w:p w14:paraId="519CE0AA" w14:textId="77777777" w:rsidR="000F7269" w:rsidRDefault="000F7269" w:rsidP="009B153D">
            <w:pPr>
              <w:rPr>
                <w:color w:val="000000"/>
              </w:rPr>
            </w:pPr>
            <w:r>
              <w:rPr>
                <w:lang w:eastAsia="ja-JP"/>
              </w:rPr>
              <w:t>European Medicines Agency</w:t>
            </w:r>
          </w:p>
        </w:tc>
      </w:tr>
      <w:tr w:rsidR="000F7269" w14:paraId="124D2465" w14:textId="77777777" w:rsidTr="009B153D">
        <w:trPr>
          <w:cantSplit/>
        </w:trPr>
        <w:tc>
          <w:tcPr>
            <w:tcW w:w="1013" w:type="pct"/>
            <w:tcBorders>
              <w:top w:val="single" w:sz="8" w:space="0" w:color="002C47"/>
              <w:left w:val="single" w:sz="8" w:space="0" w:color="002C47"/>
              <w:bottom w:val="single" w:sz="8" w:space="0" w:color="002C47"/>
              <w:right w:val="single" w:sz="8" w:space="0" w:color="002C47"/>
            </w:tcBorders>
          </w:tcPr>
          <w:p w14:paraId="2EBF9CD1" w14:textId="77777777" w:rsidR="000F7269" w:rsidRDefault="000F7269" w:rsidP="009B153D">
            <w:pPr>
              <w:rPr>
                <w:color w:val="000000"/>
              </w:rPr>
            </w:pPr>
            <w:r>
              <w:rPr>
                <w:color w:val="000000"/>
              </w:rPr>
              <w:t>EU</w:t>
            </w:r>
          </w:p>
        </w:tc>
        <w:tc>
          <w:tcPr>
            <w:tcW w:w="3987" w:type="pct"/>
            <w:gridSpan w:val="2"/>
            <w:tcBorders>
              <w:top w:val="single" w:sz="8" w:space="0" w:color="002C47"/>
              <w:left w:val="single" w:sz="8" w:space="0" w:color="002C47"/>
              <w:bottom w:val="single" w:sz="8" w:space="0" w:color="002C47"/>
              <w:right w:val="single" w:sz="8" w:space="0" w:color="002C47"/>
            </w:tcBorders>
          </w:tcPr>
          <w:p w14:paraId="07EFB706" w14:textId="77777777" w:rsidR="000F7269" w:rsidRDefault="000F7269" w:rsidP="009B153D">
            <w:pPr>
              <w:rPr>
                <w:color w:val="000000"/>
              </w:rPr>
            </w:pPr>
            <w:r>
              <w:rPr>
                <w:color w:val="000000"/>
              </w:rPr>
              <w:t>European Union</w:t>
            </w:r>
          </w:p>
        </w:tc>
      </w:tr>
      <w:tr w:rsidR="000F7269" w14:paraId="04E3AD77" w14:textId="77777777" w:rsidTr="009B153D">
        <w:trPr>
          <w:cantSplit/>
        </w:trPr>
        <w:tc>
          <w:tcPr>
            <w:tcW w:w="1013" w:type="pct"/>
            <w:tcBorders>
              <w:top w:val="single" w:sz="8" w:space="0" w:color="002C47"/>
              <w:left w:val="single" w:sz="8" w:space="0" w:color="002C47"/>
              <w:bottom w:val="single" w:sz="8" w:space="0" w:color="002C47"/>
              <w:right w:val="single" w:sz="8" w:space="0" w:color="002C47"/>
            </w:tcBorders>
          </w:tcPr>
          <w:p w14:paraId="3479E78C" w14:textId="77777777" w:rsidR="000F7269" w:rsidRDefault="000F7269" w:rsidP="009B153D">
            <w:pPr>
              <w:rPr>
                <w:color w:val="000000"/>
              </w:rPr>
            </w:pPr>
            <w:r>
              <w:rPr>
                <w:color w:val="000000"/>
              </w:rPr>
              <w:t>FDA</w:t>
            </w:r>
          </w:p>
        </w:tc>
        <w:tc>
          <w:tcPr>
            <w:tcW w:w="3987" w:type="pct"/>
            <w:gridSpan w:val="2"/>
            <w:tcBorders>
              <w:top w:val="single" w:sz="8" w:space="0" w:color="002C47"/>
              <w:left w:val="single" w:sz="8" w:space="0" w:color="002C47"/>
              <w:bottom w:val="single" w:sz="8" w:space="0" w:color="002C47"/>
              <w:right w:val="single" w:sz="8" w:space="0" w:color="002C47"/>
            </w:tcBorders>
          </w:tcPr>
          <w:p w14:paraId="43B4A9D2" w14:textId="77777777" w:rsidR="000F7269" w:rsidRDefault="000F7269" w:rsidP="009B153D">
            <w:pPr>
              <w:rPr>
                <w:color w:val="000000"/>
              </w:rPr>
            </w:pPr>
            <w:r>
              <w:rPr>
                <w:lang w:eastAsia="ja-JP"/>
              </w:rPr>
              <w:t>Food and Drug Administration of United States</w:t>
            </w:r>
          </w:p>
        </w:tc>
      </w:tr>
      <w:tr w:rsidR="000F7269" w14:paraId="28702D17" w14:textId="77777777" w:rsidTr="009B153D">
        <w:trPr>
          <w:cantSplit/>
        </w:trPr>
        <w:tc>
          <w:tcPr>
            <w:tcW w:w="1013" w:type="pct"/>
            <w:tcBorders>
              <w:top w:val="single" w:sz="8" w:space="0" w:color="002C47"/>
              <w:left w:val="single" w:sz="8" w:space="0" w:color="002C47"/>
              <w:bottom w:val="single" w:sz="8" w:space="0" w:color="002C47"/>
              <w:right w:val="single" w:sz="8" w:space="0" w:color="002C47"/>
            </w:tcBorders>
          </w:tcPr>
          <w:p w14:paraId="2D826F58" w14:textId="77777777" w:rsidR="000F7269" w:rsidRDefault="000F7269" w:rsidP="009B153D">
            <w:pPr>
              <w:rPr>
                <w:color w:val="000000"/>
              </w:rPr>
            </w:pPr>
            <w:r>
              <w:rPr>
                <w:color w:val="000000"/>
              </w:rPr>
              <w:t>HCV</w:t>
            </w:r>
          </w:p>
        </w:tc>
        <w:tc>
          <w:tcPr>
            <w:tcW w:w="3987" w:type="pct"/>
            <w:gridSpan w:val="2"/>
            <w:tcBorders>
              <w:top w:val="single" w:sz="8" w:space="0" w:color="002C47"/>
              <w:left w:val="single" w:sz="8" w:space="0" w:color="002C47"/>
              <w:bottom w:val="single" w:sz="8" w:space="0" w:color="002C47"/>
              <w:right w:val="single" w:sz="8" w:space="0" w:color="002C47"/>
            </w:tcBorders>
          </w:tcPr>
          <w:p w14:paraId="7FF656E3" w14:textId="77777777" w:rsidR="000F7269" w:rsidRDefault="000F7269" w:rsidP="009B153D">
            <w:pPr>
              <w:rPr>
                <w:lang w:eastAsia="ja-JP"/>
              </w:rPr>
            </w:pPr>
            <w:r>
              <w:t>H</w:t>
            </w:r>
            <w:r w:rsidRPr="00BE09B9">
              <w:t>epatitis C</w:t>
            </w:r>
            <w:r>
              <w:t xml:space="preserve"> virus</w:t>
            </w:r>
          </w:p>
        </w:tc>
      </w:tr>
      <w:tr w:rsidR="000F7269" w14:paraId="03D15096" w14:textId="77777777" w:rsidTr="009B153D">
        <w:trPr>
          <w:cantSplit/>
        </w:trPr>
        <w:tc>
          <w:tcPr>
            <w:tcW w:w="1013" w:type="pct"/>
            <w:tcBorders>
              <w:top w:val="single" w:sz="8" w:space="0" w:color="002C47"/>
              <w:left w:val="single" w:sz="8" w:space="0" w:color="002C47"/>
              <w:bottom w:val="single" w:sz="8" w:space="0" w:color="002C47"/>
              <w:right w:val="single" w:sz="8" w:space="0" w:color="002C47"/>
            </w:tcBorders>
          </w:tcPr>
          <w:p w14:paraId="727E911C" w14:textId="77777777" w:rsidR="000F7269" w:rsidRDefault="000F7269" w:rsidP="009B153D">
            <w:pPr>
              <w:rPr>
                <w:color w:val="000000"/>
              </w:rPr>
            </w:pPr>
            <w:r>
              <w:rPr>
                <w:color w:val="000000"/>
              </w:rPr>
              <w:t>HIV</w:t>
            </w:r>
          </w:p>
        </w:tc>
        <w:tc>
          <w:tcPr>
            <w:tcW w:w="3987" w:type="pct"/>
            <w:gridSpan w:val="2"/>
            <w:tcBorders>
              <w:top w:val="single" w:sz="8" w:space="0" w:color="002C47"/>
              <w:left w:val="single" w:sz="8" w:space="0" w:color="002C47"/>
              <w:bottom w:val="single" w:sz="8" w:space="0" w:color="002C47"/>
              <w:right w:val="single" w:sz="8" w:space="0" w:color="002C47"/>
            </w:tcBorders>
          </w:tcPr>
          <w:p w14:paraId="7C91E37E" w14:textId="77777777" w:rsidR="000F7269" w:rsidRDefault="000F7269" w:rsidP="009B153D">
            <w:pPr>
              <w:rPr>
                <w:lang w:eastAsia="ja-JP"/>
              </w:rPr>
            </w:pPr>
            <w:r>
              <w:rPr>
                <w:lang w:eastAsia="ja-JP"/>
              </w:rPr>
              <w:t>H</w:t>
            </w:r>
            <w:r w:rsidRPr="00BE09B9">
              <w:rPr>
                <w:lang w:eastAsia="ja-JP"/>
              </w:rPr>
              <w:t>uman immunodeficiency virus</w:t>
            </w:r>
          </w:p>
        </w:tc>
      </w:tr>
      <w:tr w:rsidR="000F7269" w14:paraId="01B89BAB" w14:textId="77777777" w:rsidTr="009B153D">
        <w:trPr>
          <w:cantSplit/>
        </w:trPr>
        <w:tc>
          <w:tcPr>
            <w:tcW w:w="1013" w:type="pct"/>
            <w:tcBorders>
              <w:top w:val="single" w:sz="8" w:space="0" w:color="002C47"/>
              <w:left w:val="single" w:sz="8" w:space="0" w:color="002C47"/>
              <w:bottom w:val="single" w:sz="8" w:space="0" w:color="002C47"/>
              <w:right w:val="single" w:sz="8" w:space="0" w:color="002C47"/>
            </w:tcBorders>
          </w:tcPr>
          <w:p w14:paraId="100D4F0E" w14:textId="77777777" w:rsidR="000F7269" w:rsidRDefault="000F7269" w:rsidP="009B153D">
            <w:pPr>
              <w:rPr>
                <w:color w:val="000000"/>
              </w:rPr>
            </w:pPr>
            <w:r>
              <w:rPr>
                <w:color w:val="000000"/>
              </w:rPr>
              <w:t>IGA</w:t>
            </w:r>
          </w:p>
        </w:tc>
        <w:tc>
          <w:tcPr>
            <w:tcW w:w="3987" w:type="pct"/>
            <w:gridSpan w:val="2"/>
            <w:tcBorders>
              <w:top w:val="single" w:sz="8" w:space="0" w:color="002C47"/>
              <w:left w:val="single" w:sz="8" w:space="0" w:color="002C47"/>
              <w:bottom w:val="single" w:sz="8" w:space="0" w:color="002C47"/>
              <w:right w:val="single" w:sz="8" w:space="0" w:color="002C47"/>
            </w:tcBorders>
          </w:tcPr>
          <w:p w14:paraId="699E8747" w14:textId="77777777" w:rsidR="000F7269" w:rsidRDefault="000F7269" w:rsidP="009B153D">
            <w:pPr>
              <w:rPr>
                <w:lang w:eastAsia="ja-JP"/>
              </w:rPr>
            </w:pPr>
            <w:r w:rsidRPr="000709C7">
              <w:rPr>
                <w:lang w:eastAsia="ja-JP"/>
              </w:rPr>
              <w:t>Investigator’s Global Assessment</w:t>
            </w:r>
          </w:p>
        </w:tc>
      </w:tr>
      <w:tr w:rsidR="000F7269" w14:paraId="04C42146" w14:textId="77777777" w:rsidTr="009B153D">
        <w:trPr>
          <w:cantSplit/>
        </w:trPr>
        <w:tc>
          <w:tcPr>
            <w:tcW w:w="1013" w:type="pct"/>
            <w:tcBorders>
              <w:top w:val="single" w:sz="8" w:space="0" w:color="002C47"/>
              <w:left w:val="single" w:sz="8" w:space="0" w:color="002C47"/>
              <w:bottom w:val="single" w:sz="8" w:space="0" w:color="002C47"/>
              <w:right w:val="single" w:sz="8" w:space="0" w:color="002C47"/>
            </w:tcBorders>
          </w:tcPr>
          <w:p w14:paraId="22389FAD" w14:textId="77777777" w:rsidR="000F7269" w:rsidRDefault="000F7269" w:rsidP="009B153D">
            <w:pPr>
              <w:rPr>
                <w:color w:val="000000"/>
              </w:rPr>
            </w:pPr>
            <w:r>
              <w:rPr>
                <w:color w:val="000000"/>
              </w:rPr>
              <w:t>IgG</w:t>
            </w:r>
          </w:p>
        </w:tc>
        <w:tc>
          <w:tcPr>
            <w:tcW w:w="3987" w:type="pct"/>
            <w:gridSpan w:val="2"/>
            <w:tcBorders>
              <w:top w:val="single" w:sz="8" w:space="0" w:color="002C47"/>
              <w:left w:val="single" w:sz="8" w:space="0" w:color="002C47"/>
              <w:bottom w:val="single" w:sz="8" w:space="0" w:color="002C47"/>
              <w:right w:val="single" w:sz="8" w:space="0" w:color="002C47"/>
            </w:tcBorders>
          </w:tcPr>
          <w:p w14:paraId="71527E4C" w14:textId="77777777" w:rsidR="000F7269" w:rsidRDefault="000F7269" w:rsidP="009B153D">
            <w:pPr>
              <w:rPr>
                <w:color w:val="000000"/>
              </w:rPr>
            </w:pPr>
            <w:r>
              <w:t>I</w:t>
            </w:r>
            <w:r w:rsidRPr="008F489C">
              <w:t>mmunoglobulin G</w:t>
            </w:r>
          </w:p>
        </w:tc>
      </w:tr>
      <w:tr w:rsidR="000F7269" w14:paraId="5B673F70" w14:textId="77777777" w:rsidTr="009B153D">
        <w:trPr>
          <w:cantSplit/>
        </w:trPr>
        <w:tc>
          <w:tcPr>
            <w:tcW w:w="1013" w:type="pct"/>
            <w:tcBorders>
              <w:top w:val="single" w:sz="8" w:space="0" w:color="002C47"/>
              <w:left w:val="single" w:sz="8" w:space="0" w:color="002C47"/>
              <w:bottom w:val="single" w:sz="8" w:space="0" w:color="002C47"/>
              <w:right w:val="single" w:sz="8" w:space="0" w:color="002C47"/>
            </w:tcBorders>
          </w:tcPr>
          <w:p w14:paraId="733D310D" w14:textId="77777777" w:rsidR="000F7269" w:rsidRDefault="000F7269" w:rsidP="009B153D">
            <w:pPr>
              <w:rPr>
                <w:color w:val="000000"/>
              </w:rPr>
            </w:pPr>
            <w:r>
              <w:rPr>
                <w:color w:val="000000"/>
              </w:rPr>
              <w:t>IL</w:t>
            </w:r>
          </w:p>
        </w:tc>
        <w:tc>
          <w:tcPr>
            <w:tcW w:w="3987" w:type="pct"/>
            <w:gridSpan w:val="2"/>
            <w:tcBorders>
              <w:top w:val="single" w:sz="8" w:space="0" w:color="002C47"/>
              <w:left w:val="single" w:sz="8" w:space="0" w:color="002C47"/>
              <w:bottom w:val="single" w:sz="8" w:space="0" w:color="002C47"/>
              <w:right w:val="single" w:sz="8" w:space="0" w:color="002C47"/>
            </w:tcBorders>
          </w:tcPr>
          <w:p w14:paraId="0D8FA986" w14:textId="77777777" w:rsidR="000F7269" w:rsidRDefault="000F7269" w:rsidP="009B153D">
            <w:pPr>
              <w:rPr>
                <w:color w:val="000000"/>
              </w:rPr>
            </w:pPr>
            <w:r>
              <w:rPr>
                <w:color w:val="000000"/>
              </w:rPr>
              <w:t>Interleukin</w:t>
            </w:r>
          </w:p>
        </w:tc>
      </w:tr>
      <w:tr w:rsidR="000F7269" w14:paraId="772CCEDA" w14:textId="77777777" w:rsidTr="009B153D">
        <w:trPr>
          <w:cantSplit/>
        </w:trPr>
        <w:tc>
          <w:tcPr>
            <w:tcW w:w="1013" w:type="pct"/>
            <w:tcBorders>
              <w:top w:val="single" w:sz="8" w:space="0" w:color="002C47"/>
              <w:left w:val="single" w:sz="8" w:space="0" w:color="002C47"/>
              <w:bottom w:val="single" w:sz="8" w:space="0" w:color="002C47"/>
              <w:right w:val="single" w:sz="8" w:space="0" w:color="002C47"/>
            </w:tcBorders>
          </w:tcPr>
          <w:p w14:paraId="22F989A6" w14:textId="77777777" w:rsidR="000F7269" w:rsidRDefault="000F7269" w:rsidP="009B153D">
            <w:pPr>
              <w:rPr>
                <w:color w:val="000000"/>
              </w:rPr>
            </w:pPr>
            <w:r>
              <w:rPr>
                <w:color w:val="000000"/>
              </w:rPr>
              <w:lastRenderedPageBreak/>
              <w:t>IMP</w:t>
            </w:r>
          </w:p>
        </w:tc>
        <w:tc>
          <w:tcPr>
            <w:tcW w:w="3987" w:type="pct"/>
            <w:gridSpan w:val="2"/>
            <w:tcBorders>
              <w:top w:val="single" w:sz="8" w:space="0" w:color="002C47"/>
              <w:left w:val="single" w:sz="8" w:space="0" w:color="002C47"/>
              <w:bottom w:val="single" w:sz="8" w:space="0" w:color="002C47"/>
              <w:right w:val="single" w:sz="8" w:space="0" w:color="002C47"/>
            </w:tcBorders>
          </w:tcPr>
          <w:p w14:paraId="5A22769A" w14:textId="77777777" w:rsidR="000F7269" w:rsidRDefault="000F7269" w:rsidP="009B153D">
            <w:pPr>
              <w:rPr>
                <w:lang w:eastAsia="ja-JP"/>
              </w:rPr>
            </w:pPr>
            <w:r>
              <w:rPr>
                <w:lang w:eastAsia="ja-JP"/>
              </w:rPr>
              <w:t>I</w:t>
            </w:r>
            <w:r w:rsidRPr="003F1DAD">
              <w:rPr>
                <w:lang w:eastAsia="ja-JP"/>
              </w:rPr>
              <w:t xml:space="preserve">nvestigational </w:t>
            </w:r>
            <w:r>
              <w:rPr>
                <w:lang w:eastAsia="ja-JP"/>
              </w:rPr>
              <w:t>m</w:t>
            </w:r>
            <w:r w:rsidRPr="003F1DAD">
              <w:rPr>
                <w:lang w:eastAsia="ja-JP"/>
              </w:rPr>
              <w:t xml:space="preserve">edicinal </w:t>
            </w:r>
            <w:r>
              <w:rPr>
                <w:lang w:eastAsia="ja-JP"/>
              </w:rPr>
              <w:t>p</w:t>
            </w:r>
            <w:r w:rsidRPr="003F1DAD">
              <w:rPr>
                <w:lang w:eastAsia="ja-JP"/>
              </w:rPr>
              <w:t>roduc</w:t>
            </w:r>
            <w:r>
              <w:rPr>
                <w:lang w:eastAsia="ja-JP"/>
              </w:rPr>
              <w:t>t</w:t>
            </w:r>
          </w:p>
        </w:tc>
      </w:tr>
      <w:tr w:rsidR="000F7269" w14:paraId="1328F6B7" w14:textId="77777777" w:rsidTr="009B153D">
        <w:trPr>
          <w:cantSplit/>
        </w:trPr>
        <w:tc>
          <w:tcPr>
            <w:tcW w:w="1013" w:type="pct"/>
            <w:tcBorders>
              <w:top w:val="single" w:sz="8" w:space="0" w:color="002C47"/>
              <w:left w:val="single" w:sz="8" w:space="0" w:color="002C47"/>
              <w:bottom w:val="single" w:sz="8" w:space="0" w:color="002C47"/>
              <w:right w:val="single" w:sz="8" w:space="0" w:color="002C47"/>
            </w:tcBorders>
          </w:tcPr>
          <w:p w14:paraId="0D088A64" w14:textId="77777777" w:rsidR="000F7269" w:rsidRDefault="000F7269" w:rsidP="009B153D">
            <w:pPr>
              <w:rPr>
                <w:color w:val="000000"/>
              </w:rPr>
            </w:pPr>
            <w:r>
              <w:rPr>
                <w:color w:val="000000"/>
              </w:rPr>
              <w:t>PASI</w:t>
            </w:r>
          </w:p>
        </w:tc>
        <w:tc>
          <w:tcPr>
            <w:tcW w:w="3987" w:type="pct"/>
            <w:gridSpan w:val="2"/>
            <w:tcBorders>
              <w:top w:val="single" w:sz="8" w:space="0" w:color="002C47"/>
              <w:left w:val="single" w:sz="8" w:space="0" w:color="002C47"/>
              <w:bottom w:val="single" w:sz="8" w:space="0" w:color="002C47"/>
              <w:right w:val="single" w:sz="8" w:space="0" w:color="002C47"/>
            </w:tcBorders>
          </w:tcPr>
          <w:p w14:paraId="1BB1E849" w14:textId="77777777" w:rsidR="000F7269" w:rsidRDefault="000F7269" w:rsidP="009B153D">
            <w:pPr>
              <w:rPr>
                <w:color w:val="000000"/>
              </w:rPr>
            </w:pPr>
            <w:r w:rsidRPr="000D1818">
              <w:t>Psoriasis Area Severity Index</w:t>
            </w:r>
          </w:p>
        </w:tc>
      </w:tr>
      <w:tr w:rsidR="000F7269" w14:paraId="7D26DC93" w14:textId="77777777" w:rsidTr="009B153D">
        <w:trPr>
          <w:cantSplit/>
        </w:trPr>
        <w:tc>
          <w:tcPr>
            <w:tcW w:w="1013" w:type="pct"/>
            <w:tcBorders>
              <w:top w:val="single" w:sz="8" w:space="0" w:color="002C47"/>
              <w:left w:val="single" w:sz="8" w:space="0" w:color="002C47"/>
              <w:bottom w:val="single" w:sz="8" w:space="0" w:color="002C47"/>
              <w:right w:val="single" w:sz="8" w:space="0" w:color="002C47"/>
            </w:tcBorders>
          </w:tcPr>
          <w:p w14:paraId="258D74D1" w14:textId="77777777" w:rsidR="000F7269" w:rsidRDefault="000F7269" w:rsidP="009B153D">
            <w:pPr>
              <w:rPr>
                <w:color w:val="000000"/>
              </w:rPr>
            </w:pPr>
            <w:r>
              <w:rPr>
                <w:color w:val="000000"/>
              </w:rPr>
              <w:t>PD</w:t>
            </w:r>
          </w:p>
        </w:tc>
        <w:tc>
          <w:tcPr>
            <w:tcW w:w="3987" w:type="pct"/>
            <w:gridSpan w:val="2"/>
            <w:tcBorders>
              <w:top w:val="single" w:sz="8" w:space="0" w:color="002C47"/>
              <w:left w:val="single" w:sz="8" w:space="0" w:color="002C47"/>
              <w:bottom w:val="single" w:sz="8" w:space="0" w:color="002C47"/>
              <w:right w:val="single" w:sz="8" w:space="0" w:color="002C47"/>
            </w:tcBorders>
          </w:tcPr>
          <w:p w14:paraId="3EC74174" w14:textId="77777777" w:rsidR="000F7269" w:rsidRDefault="000F7269" w:rsidP="009B153D">
            <w:pPr>
              <w:rPr>
                <w:lang w:eastAsia="ja-JP"/>
              </w:rPr>
            </w:pPr>
            <w:r>
              <w:rPr>
                <w:lang w:eastAsia="ja-JP"/>
              </w:rPr>
              <w:t>Pharmacodynamic(s)</w:t>
            </w:r>
          </w:p>
        </w:tc>
      </w:tr>
      <w:tr w:rsidR="000F7269" w14:paraId="5AA959FA" w14:textId="77777777" w:rsidTr="009B153D">
        <w:trPr>
          <w:cantSplit/>
        </w:trPr>
        <w:tc>
          <w:tcPr>
            <w:tcW w:w="1013" w:type="pct"/>
            <w:tcBorders>
              <w:top w:val="single" w:sz="8" w:space="0" w:color="002C47"/>
              <w:left w:val="single" w:sz="8" w:space="0" w:color="002C47"/>
              <w:bottom w:val="single" w:sz="8" w:space="0" w:color="002C47"/>
              <w:right w:val="single" w:sz="8" w:space="0" w:color="002C47"/>
            </w:tcBorders>
          </w:tcPr>
          <w:p w14:paraId="56E8E0A6" w14:textId="77777777" w:rsidR="000F7269" w:rsidRDefault="000F7269" w:rsidP="009B153D">
            <w:pPr>
              <w:rPr>
                <w:color w:val="000000"/>
              </w:rPr>
            </w:pPr>
            <w:r>
              <w:rPr>
                <w:color w:val="000000"/>
              </w:rPr>
              <w:t>PGA</w:t>
            </w:r>
          </w:p>
        </w:tc>
        <w:tc>
          <w:tcPr>
            <w:tcW w:w="3987" w:type="pct"/>
            <w:gridSpan w:val="2"/>
            <w:tcBorders>
              <w:top w:val="single" w:sz="8" w:space="0" w:color="002C47"/>
              <w:left w:val="single" w:sz="8" w:space="0" w:color="002C47"/>
              <w:bottom w:val="single" w:sz="8" w:space="0" w:color="002C47"/>
              <w:right w:val="single" w:sz="8" w:space="0" w:color="002C47"/>
            </w:tcBorders>
          </w:tcPr>
          <w:p w14:paraId="3EFF13DA" w14:textId="77777777" w:rsidR="000F7269" w:rsidRDefault="000F7269" w:rsidP="009B153D">
            <w:pPr>
              <w:rPr>
                <w:lang w:eastAsia="ja-JP"/>
              </w:rPr>
            </w:pPr>
            <w:r w:rsidRPr="0064278B">
              <w:rPr>
                <w:lang w:eastAsia="ja-JP"/>
              </w:rPr>
              <w:t>Physician’s Global Assessment</w:t>
            </w:r>
          </w:p>
        </w:tc>
      </w:tr>
      <w:tr w:rsidR="000F7269" w14:paraId="5476DEE9" w14:textId="77777777" w:rsidTr="009B153D">
        <w:trPr>
          <w:cantSplit/>
        </w:trPr>
        <w:tc>
          <w:tcPr>
            <w:tcW w:w="1013" w:type="pct"/>
            <w:tcBorders>
              <w:top w:val="single" w:sz="8" w:space="0" w:color="002C47"/>
              <w:left w:val="single" w:sz="8" w:space="0" w:color="002C47"/>
              <w:bottom w:val="single" w:sz="8" w:space="0" w:color="002C47"/>
              <w:right w:val="single" w:sz="8" w:space="0" w:color="002C47"/>
            </w:tcBorders>
          </w:tcPr>
          <w:p w14:paraId="2DEDA61C" w14:textId="77777777" w:rsidR="000F7269" w:rsidRDefault="000F7269" w:rsidP="009B153D">
            <w:pPr>
              <w:rPr>
                <w:color w:val="000000"/>
              </w:rPr>
            </w:pPr>
            <w:r>
              <w:rPr>
                <w:color w:val="000000"/>
              </w:rPr>
              <w:t>PI</w:t>
            </w:r>
          </w:p>
        </w:tc>
        <w:tc>
          <w:tcPr>
            <w:tcW w:w="3987" w:type="pct"/>
            <w:gridSpan w:val="2"/>
            <w:tcBorders>
              <w:top w:val="single" w:sz="8" w:space="0" w:color="002C47"/>
              <w:left w:val="single" w:sz="8" w:space="0" w:color="002C47"/>
              <w:bottom w:val="single" w:sz="8" w:space="0" w:color="002C47"/>
              <w:right w:val="single" w:sz="8" w:space="0" w:color="002C47"/>
            </w:tcBorders>
          </w:tcPr>
          <w:p w14:paraId="110A554B" w14:textId="77777777" w:rsidR="000F7269" w:rsidRDefault="000F7269" w:rsidP="009B153D">
            <w:pPr>
              <w:rPr>
                <w:lang w:eastAsia="ja-JP"/>
              </w:rPr>
            </w:pPr>
            <w:r>
              <w:rPr>
                <w:lang w:eastAsia="ja-JP"/>
              </w:rPr>
              <w:t>Product Information</w:t>
            </w:r>
          </w:p>
        </w:tc>
      </w:tr>
      <w:tr w:rsidR="000F7269" w14:paraId="1C49FFFA" w14:textId="77777777" w:rsidTr="009B153D">
        <w:trPr>
          <w:cantSplit/>
        </w:trPr>
        <w:tc>
          <w:tcPr>
            <w:tcW w:w="1013" w:type="pct"/>
            <w:tcBorders>
              <w:top w:val="single" w:sz="8" w:space="0" w:color="002C47"/>
              <w:left w:val="single" w:sz="8" w:space="0" w:color="002C47"/>
              <w:bottom w:val="single" w:sz="8" w:space="0" w:color="002C47"/>
              <w:right w:val="single" w:sz="8" w:space="0" w:color="002C47"/>
            </w:tcBorders>
          </w:tcPr>
          <w:p w14:paraId="6F52611D" w14:textId="77777777" w:rsidR="000F7269" w:rsidRDefault="000F7269" w:rsidP="009B153D">
            <w:pPr>
              <w:rPr>
                <w:color w:val="000000"/>
              </w:rPr>
            </w:pPr>
            <w:r>
              <w:rPr>
                <w:color w:val="000000"/>
              </w:rPr>
              <w:t>PK</w:t>
            </w:r>
          </w:p>
        </w:tc>
        <w:tc>
          <w:tcPr>
            <w:tcW w:w="3987" w:type="pct"/>
            <w:gridSpan w:val="2"/>
            <w:tcBorders>
              <w:top w:val="single" w:sz="8" w:space="0" w:color="002C47"/>
              <w:left w:val="single" w:sz="8" w:space="0" w:color="002C47"/>
              <w:bottom w:val="single" w:sz="8" w:space="0" w:color="002C47"/>
              <w:right w:val="single" w:sz="8" w:space="0" w:color="002C47"/>
            </w:tcBorders>
          </w:tcPr>
          <w:p w14:paraId="466498E2" w14:textId="77777777" w:rsidR="000F7269" w:rsidRDefault="000F7269" w:rsidP="009B153D">
            <w:pPr>
              <w:rPr>
                <w:lang w:eastAsia="ja-JP"/>
              </w:rPr>
            </w:pPr>
            <w:r>
              <w:rPr>
                <w:lang w:eastAsia="ja-JP"/>
              </w:rPr>
              <w:t>P</w:t>
            </w:r>
            <w:r w:rsidRPr="00F94CB1">
              <w:rPr>
                <w:lang w:eastAsia="ja-JP"/>
              </w:rPr>
              <w:t>harmacokinetic</w:t>
            </w:r>
            <w:r>
              <w:rPr>
                <w:lang w:eastAsia="ja-JP"/>
              </w:rPr>
              <w:t>(</w:t>
            </w:r>
            <w:r w:rsidRPr="00F94CB1">
              <w:rPr>
                <w:lang w:eastAsia="ja-JP"/>
              </w:rPr>
              <w:t>s</w:t>
            </w:r>
            <w:r>
              <w:rPr>
                <w:lang w:eastAsia="ja-JP"/>
              </w:rPr>
              <w:t>)</w:t>
            </w:r>
          </w:p>
        </w:tc>
      </w:tr>
      <w:tr w:rsidR="000F7269" w14:paraId="78813EB2" w14:textId="77777777" w:rsidTr="009B153D">
        <w:trPr>
          <w:cantSplit/>
        </w:trPr>
        <w:tc>
          <w:tcPr>
            <w:tcW w:w="1013" w:type="pct"/>
            <w:tcBorders>
              <w:top w:val="single" w:sz="8" w:space="0" w:color="002C47"/>
              <w:left w:val="single" w:sz="8" w:space="0" w:color="002C47"/>
              <w:bottom w:val="single" w:sz="8" w:space="0" w:color="002C47"/>
              <w:right w:val="single" w:sz="8" w:space="0" w:color="002C47"/>
            </w:tcBorders>
          </w:tcPr>
          <w:p w14:paraId="5DEDE68C" w14:textId="3C53ED17" w:rsidR="000F7269" w:rsidRDefault="009B153D" w:rsidP="009B153D">
            <w:pPr>
              <w:rPr>
                <w:color w:val="000000"/>
              </w:rPr>
            </w:pPr>
            <w:proofErr w:type="spellStart"/>
            <w:r>
              <w:rPr>
                <w:color w:val="000000"/>
              </w:rPr>
              <w:t>P</w:t>
            </w:r>
            <w:r w:rsidR="000F7269">
              <w:rPr>
                <w:color w:val="000000"/>
              </w:rPr>
              <w:t>opPK</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0AB262B4" w14:textId="79DDAC1F" w:rsidR="000F7269" w:rsidRDefault="000F7269" w:rsidP="009B153D">
            <w:pPr>
              <w:rPr>
                <w:lang w:eastAsia="ja-JP"/>
              </w:rPr>
            </w:pPr>
            <w:r>
              <w:rPr>
                <w:lang w:eastAsia="ja-JP"/>
              </w:rPr>
              <w:t>Population pharmacokinetic</w:t>
            </w:r>
            <w:r w:rsidR="009B153D">
              <w:rPr>
                <w:lang w:eastAsia="ja-JP"/>
              </w:rPr>
              <w:t>(</w:t>
            </w:r>
            <w:r>
              <w:rPr>
                <w:lang w:eastAsia="ja-JP"/>
              </w:rPr>
              <w:t>s</w:t>
            </w:r>
            <w:r w:rsidR="009B153D">
              <w:rPr>
                <w:lang w:eastAsia="ja-JP"/>
              </w:rPr>
              <w:t>)</w:t>
            </w:r>
          </w:p>
        </w:tc>
      </w:tr>
      <w:tr w:rsidR="000F7269" w14:paraId="198FC7B5" w14:textId="77777777" w:rsidTr="009B153D">
        <w:trPr>
          <w:cantSplit/>
        </w:trPr>
        <w:tc>
          <w:tcPr>
            <w:tcW w:w="1013" w:type="pct"/>
            <w:tcBorders>
              <w:top w:val="single" w:sz="8" w:space="0" w:color="002C47"/>
              <w:left w:val="single" w:sz="8" w:space="0" w:color="002C47"/>
              <w:bottom w:val="single" w:sz="8" w:space="0" w:color="002C47"/>
              <w:right w:val="single" w:sz="8" w:space="0" w:color="002C47"/>
            </w:tcBorders>
          </w:tcPr>
          <w:p w14:paraId="114F326C" w14:textId="77777777" w:rsidR="000F7269" w:rsidRDefault="000F7269" w:rsidP="009B153D">
            <w:pPr>
              <w:rPr>
                <w:color w:val="000000"/>
              </w:rPr>
            </w:pPr>
            <w:r>
              <w:rPr>
                <w:color w:val="000000"/>
              </w:rPr>
              <w:t>PSD</w:t>
            </w:r>
          </w:p>
        </w:tc>
        <w:tc>
          <w:tcPr>
            <w:tcW w:w="3987" w:type="pct"/>
            <w:gridSpan w:val="2"/>
            <w:tcBorders>
              <w:top w:val="single" w:sz="8" w:space="0" w:color="002C47"/>
              <w:left w:val="single" w:sz="8" w:space="0" w:color="002C47"/>
              <w:bottom w:val="single" w:sz="8" w:space="0" w:color="002C47"/>
              <w:right w:val="single" w:sz="8" w:space="0" w:color="002C47"/>
            </w:tcBorders>
          </w:tcPr>
          <w:p w14:paraId="264E012C" w14:textId="77777777" w:rsidR="000F7269" w:rsidRDefault="000F7269" w:rsidP="009B153D">
            <w:pPr>
              <w:rPr>
                <w:lang w:eastAsia="ja-JP"/>
              </w:rPr>
            </w:pPr>
            <w:r>
              <w:t>Patient symptom diary</w:t>
            </w:r>
          </w:p>
        </w:tc>
      </w:tr>
      <w:tr w:rsidR="000F7269" w14:paraId="52285A75" w14:textId="77777777" w:rsidTr="009B153D">
        <w:trPr>
          <w:cantSplit/>
        </w:trPr>
        <w:tc>
          <w:tcPr>
            <w:tcW w:w="1013" w:type="pct"/>
            <w:tcBorders>
              <w:top w:val="single" w:sz="8" w:space="0" w:color="002C47"/>
              <w:left w:val="single" w:sz="8" w:space="0" w:color="002C47"/>
              <w:bottom w:val="single" w:sz="8" w:space="0" w:color="002C47"/>
              <w:right w:val="single" w:sz="8" w:space="0" w:color="002C47"/>
            </w:tcBorders>
            <w:hideMark/>
          </w:tcPr>
          <w:p w14:paraId="3BED329C" w14:textId="77777777" w:rsidR="000F7269" w:rsidRDefault="000F7269" w:rsidP="009B153D">
            <w:r>
              <w:t>RMP</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15BB6BEF" w14:textId="77777777" w:rsidR="000F7269" w:rsidRDefault="000F7269" w:rsidP="009B153D">
            <w:r>
              <w:t>Risk management plan</w:t>
            </w:r>
          </w:p>
        </w:tc>
      </w:tr>
      <w:tr w:rsidR="000F7269" w14:paraId="6DD55C40" w14:textId="77777777" w:rsidTr="009B153D">
        <w:trPr>
          <w:cantSplit/>
        </w:trPr>
        <w:tc>
          <w:tcPr>
            <w:tcW w:w="1013" w:type="pct"/>
            <w:tcBorders>
              <w:top w:val="single" w:sz="8" w:space="0" w:color="002C47"/>
              <w:left w:val="single" w:sz="8" w:space="0" w:color="002C47"/>
              <w:bottom w:val="single" w:sz="8" w:space="0" w:color="002C47"/>
              <w:right w:val="single" w:sz="8" w:space="0" w:color="002C47"/>
            </w:tcBorders>
          </w:tcPr>
          <w:p w14:paraId="712321E7" w14:textId="77777777" w:rsidR="000F7269" w:rsidRDefault="000F7269" w:rsidP="009B153D">
            <w:pPr>
              <w:rPr>
                <w:color w:val="000000"/>
              </w:rPr>
            </w:pPr>
            <w:r>
              <w:rPr>
                <w:color w:val="000000"/>
              </w:rPr>
              <w:t>SD</w:t>
            </w:r>
          </w:p>
        </w:tc>
        <w:tc>
          <w:tcPr>
            <w:tcW w:w="3987" w:type="pct"/>
            <w:gridSpan w:val="2"/>
            <w:tcBorders>
              <w:top w:val="single" w:sz="8" w:space="0" w:color="002C47"/>
              <w:left w:val="single" w:sz="8" w:space="0" w:color="002C47"/>
              <w:bottom w:val="single" w:sz="8" w:space="0" w:color="002C47"/>
              <w:right w:val="single" w:sz="8" w:space="0" w:color="002C47"/>
            </w:tcBorders>
          </w:tcPr>
          <w:p w14:paraId="6BD88E3B" w14:textId="77777777" w:rsidR="000F7269" w:rsidRDefault="000F7269" w:rsidP="009B153D">
            <w:r>
              <w:t>Standard deviation</w:t>
            </w:r>
          </w:p>
        </w:tc>
      </w:tr>
      <w:tr w:rsidR="000F7269" w14:paraId="2B795281" w14:textId="77777777" w:rsidTr="009B153D">
        <w:trPr>
          <w:cantSplit/>
        </w:trPr>
        <w:tc>
          <w:tcPr>
            <w:tcW w:w="1013" w:type="pct"/>
            <w:tcBorders>
              <w:top w:val="single" w:sz="8" w:space="0" w:color="002C47"/>
              <w:left w:val="single" w:sz="8" w:space="0" w:color="002C47"/>
              <w:bottom w:val="single" w:sz="8" w:space="0" w:color="002C47"/>
              <w:right w:val="single" w:sz="8" w:space="0" w:color="002C47"/>
            </w:tcBorders>
          </w:tcPr>
          <w:p w14:paraId="2D40F5F7" w14:textId="77777777" w:rsidR="000F7269" w:rsidRDefault="000F7269" w:rsidP="009B153D">
            <w:pPr>
              <w:rPr>
                <w:color w:val="000000"/>
              </w:rPr>
            </w:pPr>
            <w:r>
              <w:rPr>
                <w:color w:val="000000"/>
              </w:rPr>
              <w:t>SS</w:t>
            </w:r>
          </w:p>
        </w:tc>
        <w:tc>
          <w:tcPr>
            <w:tcW w:w="3987" w:type="pct"/>
            <w:gridSpan w:val="2"/>
            <w:tcBorders>
              <w:top w:val="single" w:sz="8" w:space="0" w:color="002C47"/>
              <w:left w:val="single" w:sz="8" w:space="0" w:color="002C47"/>
              <w:bottom w:val="single" w:sz="8" w:space="0" w:color="002C47"/>
              <w:right w:val="single" w:sz="8" w:space="0" w:color="002C47"/>
            </w:tcBorders>
          </w:tcPr>
          <w:p w14:paraId="3028E22B" w14:textId="77777777" w:rsidR="000F7269" w:rsidRDefault="000F7269" w:rsidP="009B153D">
            <w:pPr>
              <w:rPr>
                <w:lang w:eastAsia="ja-JP"/>
              </w:rPr>
            </w:pPr>
            <w:r>
              <w:rPr>
                <w:lang w:eastAsia="ja-JP"/>
              </w:rPr>
              <w:t>Safety syringe</w:t>
            </w:r>
          </w:p>
        </w:tc>
      </w:tr>
      <w:tr w:rsidR="000F7269" w14:paraId="6CA7239A" w14:textId="77777777" w:rsidTr="009B153D">
        <w:trPr>
          <w:cantSplit/>
        </w:trPr>
        <w:tc>
          <w:tcPr>
            <w:tcW w:w="1013" w:type="pct"/>
            <w:tcBorders>
              <w:top w:val="single" w:sz="8" w:space="0" w:color="002C47"/>
              <w:left w:val="single" w:sz="8" w:space="0" w:color="002C47"/>
              <w:bottom w:val="single" w:sz="8" w:space="0" w:color="002C47"/>
              <w:right w:val="single" w:sz="8" w:space="0" w:color="002C47"/>
            </w:tcBorders>
          </w:tcPr>
          <w:p w14:paraId="685EF242" w14:textId="77777777" w:rsidR="000F7269" w:rsidRDefault="000F7269" w:rsidP="009B153D">
            <w:pPr>
              <w:rPr>
                <w:color w:val="000000"/>
              </w:rPr>
            </w:pPr>
            <w:r>
              <w:rPr>
                <w:color w:val="000000"/>
              </w:rPr>
              <w:t>TEAE</w:t>
            </w:r>
          </w:p>
        </w:tc>
        <w:tc>
          <w:tcPr>
            <w:tcW w:w="3987" w:type="pct"/>
            <w:gridSpan w:val="2"/>
            <w:tcBorders>
              <w:top w:val="single" w:sz="8" w:space="0" w:color="002C47"/>
              <w:left w:val="single" w:sz="8" w:space="0" w:color="002C47"/>
              <w:bottom w:val="single" w:sz="8" w:space="0" w:color="002C47"/>
              <w:right w:val="single" w:sz="8" w:space="0" w:color="002C47"/>
            </w:tcBorders>
          </w:tcPr>
          <w:p w14:paraId="1D80AE30" w14:textId="01DB4434" w:rsidR="000F7269" w:rsidRDefault="000F7269" w:rsidP="009B153D">
            <w:r>
              <w:t>T</w:t>
            </w:r>
            <w:r w:rsidRPr="004377F2">
              <w:t>reatment</w:t>
            </w:r>
            <w:r w:rsidR="0090708C">
              <w:t>-</w:t>
            </w:r>
            <w:r w:rsidRPr="004377F2">
              <w:t>emergent adverse event</w:t>
            </w:r>
          </w:p>
        </w:tc>
      </w:tr>
      <w:tr w:rsidR="000F7269" w14:paraId="27EFA96F" w14:textId="77777777" w:rsidTr="009B153D">
        <w:trPr>
          <w:cantSplit/>
        </w:trPr>
        <w:tc>
          <w:tcPr>
            <w:tcW w:w="1013" w:type="pct"/>
            <w:tcBorders>
              <w:top w:val="single" w:sz="8" w:space="0" w:color="002C47"/>
              <w:left w:val="single" w:sz="8" w:space="0" w:color="002C47"/>
              <w:bottom w:val="single" w:sz="8" w:space="0" w:color="002C47"/>
              <w:right w:val="single" w:sz="8" w:space="0" w:color="002C47"/>
            </w:tcBorders>
            <w:hideMark/>
          </w:tcPr>
          <w:p w14:paraId="630DC5AD" w14:textId="77777777" w:rsidR="000F7269" w:rsidRDefault="000F7269" w:rsidP="009B153D">
            <w:r>
              <w:t>TGA</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22656C12" w14:textId="77777777" w:rsidR="000F7269" w:rsidRDefault="000F7269" w:rsidP="009B153D">
            <w:r>
              <w:t>Therapeutic Goods Administration</w:t>
            </w:r>
          </w:p>
        </w:tc>
      </w:tr>
      <w:tr w:rsidR="000F7269" w14:paraId="543D89C0" w14:textId="77777777" w:rsidTr="009B153D">
        <w:trPr>
          <w:cantSplit/>
        </w:trPr>
        <w:tc>
          <w:tcPr>
            <w:tcW w:w="1013" w:type="pct"/>
            <w:tcBorders>
              <w:top w:val="single" w:sz="8" w:space="0" w:color="002C47"/>
              <w:left w:val="single" w:sz="8" w:space="0" w:color="002C47"/>
              <w:bottom w:val="single" w:sz="8" w:space="0" w:color="002C47"/>
              <w:right w:val="single" w:sz="8" w:space="0" w:color="002C47"/>
            </w:tcBorders>
          </w:tcPr>
          <w:p w14:paraId="3043D853" w14:textId="77777777" w:rsidR="000F7269" w:rsidRDefault="000F7269" w:rsidP="009B153D">
            <w:pPr>
              <w:rPr>
                <w:color w:val="000000"/>
              </w:rPr>
            </w:pPr>
            <w:r>
              <w:rPr>
                <w:color w:val="000000"/>
              </w:rPr>
              <w:t>TN</w:t>
            </w:r>
          </w:p>
        </w:tc>
        <w:tc>
          <w:tcPr>
            <w:tcW w:w="3987" w:type="pct"/>
            <w:gridSpan w:val="2"/>
            <w:tcBorders>
              <w:top w:val="single" w:sz="8" w:space="0" w:color="002C47"/>
              <w:left w:val="single" w:sz="8" w:space="0" w:color="002C47"/>
              <w:bottom w:val="single" w:sz="8" w:space="0" w:color="002C47"/>
              <w:right w:val="single" w:sz="8" w:space="0" w:color="002C47"/>
            </w:tcBorders>
          </w:tcPr>
          <w:p w14:paraId="35CEA931" w14:textId="77777777" w:rsidR="000F7269" w:rsidRDefault="000F7269" w:rsidP="009B153D">
            <w:pPr>
              <w:rPr>
                <w:lang w:eastAsia="ja-JP"/>
              </w:rPr>
            </w:pPr>
            <w:r>
              <w:rPr>
                <w:lang w:eastAsia="ja-JP"/>
              </w:rPr>
              <w:t>True North syringe</w:t>
            </w:r>
          </w:p>
        </w:tc>
      </w:tr>
      <w:tr w:rsidR="000F7269" w14:paraId="3AF769EE" w14:textId="77777777" w:rsidTr="009B153D">
        <w:trPr>
          <w:cantSplit/>
        </w:trPr>
        <w:tc>
          <w:tcPr>
            <w:tcW w:w="1013" w:type="pct"/>
            <w:tcBorders>
              <w:top w:val="single" w:sz="8" w:space="0" w:color="002C47"/>
              <w:left w:val="single" w:sz="8" w:space="0" w:color="002C47"/>
              <w:bottom w:val="single" w:sz="8" w:space="0" w:color="002C47"/>
              <w:right w:val="single" w:sz="8" w:space="0" w:color="002C47"/>
            </w:tcBorders>
          </w:tcPr>
          <w:p w14:paraId="57DA797E" w14:textId="77777777" w:rsidR="000F7269" w:rsidRDefault="000F7269" w:rsidP="009B153D">
            <w:pPr>
              <w:rPr>
                <w:color w:val="000000"/>
              </w:rPr>
            </w:pPr>
            <w:r>
              <w:rPr>
                <w:color w:val="000000"/>
              </w:rPr>
              <w:t>TNF</w:t>
            </w:r>
          </w:p>
        </w:tc>
        <w:tc>
          <w:tcPr>
            <w:tcW w:w="3987" w:type="pct"/>
            <w:gridSpan w:val="2"/>
            <w:tcBorders>
              <w:top w:val="single" w:sz="8" w:space="0" w:color="002C47"/>
              <w:left w:val="single" w:sz="8" w:space="0" w:color="002C47"/>
              <w:bottom w:val="single" w:sz="8" w:space="0" w:color="002C47"/>
              <w:right w:val="single" w:sz="8" w:space="0" w:color="002C47"/>
            </w:tcBorders>
          </w:tcPr>
          <w:p w14:paraId="7373C271" w14:textId="77777777" w:rsidR="000F7269" w:rsidRDefault="000F7269" w:rsidP="009B153D">
            <w:pPr>
              <w:rPr>
                <w:color w:val="000000"/>
              </w:rPr>
            </w:pPr>
            <w:r>
              <w:t>Tumour necrosis factor</w:t>
            </w:r>
          </w:p>
        </w:tc>
      </w:tr>
      <w:tr w:rsidR="000F7269" w14:paraId="317EE3B2" w14:textId="77777777" w:rsidTr="009B153D">
        <w:trPr>
          <w:cantSplit/>
        </w:trPr>
        <w:tc>
          <w:tcPr>
            <w:tcW w:w="1013" w:type="pct"/>
            <w:tcBorders>
              <w:top w:val="single" w:sz="8" w:space="0" w:color="002C47"/>
              <w:left w:val="single" w:sz="8" w:space="0" w:color="002C47"/>
              <w:bottom w:val="single" w:sz="8" w:space="0" w:color="002C47"/>
              <w:right w:val="single" w:sz="8" w:space="0" w:color="002C47"/>
            </w:tcBorders>
          </w:tcPr>
          <w:p w14:paraId="40A7931F" w14:textId="77777777" w:rsidR="000F7269" w:rsidRDefault="000F7269" w:rsidP="009B153D">
            <w:pPr>
              <w:rPr>
                <w:color w:val="000000"/>
              </w:rPr>
            </w:pPr>
            <w:r>
              <w:rPr>
                <w:color w:val="000000"/>
              </w:rPr>
              <w:t>ULN</w:t>
            </w:r>
          </w:p>
        </w:tc>
        <w:tc>
          <w:tcPr>
            <w:tcW w:w="3987" w:type="pct"/>
            <w:gridSpan w:val="2"/>
            <w:tcBorders>
              <w:top w:val="single" w:sz="8" w:space="0" w:color="002C47"/>
              <w:left w:val="single" w:sz="8" w:space="0" w:color="002C47"/>
              <w:bottom w:val="single" w:sz="8" w:space="0" w:color="002C47"/>
              <w:right w:val="single" w:sz="8" w:space="0" w:color="002C47"/>
            </w:tcBorders>
          </w:tcPr>
          <w:p w14:paraId="77C3E6EC" w14:textId="77777777" w:rsidR="000F7269" w:rsidRDefault="000F7269" w:rsidP="009B153D">
            <w:r>
              <w:t>U</w:t>
            </w:r>
            <w:r w:rsidRPr="00B00EEA">
              <w:t>pper limit of normal</w:t>
            </w:r>
          </w:p>
        </w:tc>
      </w:tr>
      <w:tr w:rsidR="000F7269" w14:paraId="30474AE0" w14:textId="77777777" w:rsidTr="009B153D">
        <w:trPr>
          <w:cantSplit/>
        </w:trPr>
        <w:tc>
          <w:tcPr>
            <w:tcW w:w="1013" w:type="pct"/>
            <w:tcBorders>
              <w:top w:val="single" w:sz="8" w:space="0" w:color="002C47"/>
              <w:left w:val="single" w:sz="8" w:space="0" w:color="002C47"/>
              <w:bottom w:val="single" w:sz="8" w:space="0" w:color="002C47"/>
              <w:right w:val="single" w:sz="8" w:space="0" w:color="002C47"/>
            </w:tcBorders>
          </w:tcPr>
          <w:p w14:paraId="6BF1F628" w14:textId="77777777" w:rsidR="000F7269" w:rsidRDefault="000F7269" w:rsidP="009B153D">
            <w:pPr>
              <w:rPr>
                <w:color w:val="000000"/>
              </w:rPr>
            </w:pPr>
            <w:r>
              <w:rPr>
                <w:color w:val="000000"/>
              </w:rPr>
              <w:t>US(A)</w:t>
            </w:r>
          </w:p>
        </w:tc>
        <w:tc>
          <w:tcPr>
            <w:tcW w:w="3987" w:type="pct"/>
            <w:gridSpan w:val="2"/>
            <w:tcBorders>
              <w:top w:val="single" w:sz="8" w:space="0" w:color="002C47"/>
              <w:left w:val="single" w:sz="8" w:space="0" w:color="002C47"/>
              <w:bottom w:val="single" w:sz="8" w:space="0" w:color="002C47"/>
              <w:right w:val="single" w:sz="8" w:space="0" w:color="002C47"/>
            </w:tcBorders>
          </w:tcPr>
          <w:p w14:paraId="3C7D5C36" w14:textId="77777777" w:rsidR="000F7269" w:rsidRDefault="000F7269" w:rsidP="009B153D">
            <w:pPr>
              <w:rPr>
                <w:color w:val="000000"/>
              </w:rPr>
            </w:pPr>
            <w:r>
              <w:rPr>
                <w:color w:val="000000"/>
              </w:rPr>
              <w:t>United States (of America)</w:t>
            </w:r>
          </w:p>
        </w:tc>
      </w:tr>
      <w:tr w:rsidR="000F7269" w14:paraId="5A16C499" w14:textId="77777777" w:rsidTr="009B153D">
        <w:trPr>
          <w:cantSplit/>
        </w:trPr>
        <w:tc>
          <w:tcPr>
            <w:tcW w:w="1013" w:type="pct"/>
            <w:tcBorders>
              <w:top w:val="single" w:sz="8" w:space="0" w:color="002C47"/>
              <w:left w:val="single" w:sz="8" w:space="0" w:color="002C47"/>
              <w:bottom w:val="single" w:sz="8" w:space="0" w:color="002C47"/>
              <w:right w:val="single" w:sz="8" w:space="0" w:color="002C47"/>
            </w:tcBorders>
          </w:tcPr>
          <w:p w14:paraId="3A104340" w14:textId="77777777" w:rsidR="000F7269" w:rsidRDefault="000F7269" w:rsidP="009B153D">
            <w:pPr>
              <w:rPr>
                <w:color w:val="000000"/>
              </w:rPr>
            </w:pPr>
            <w:r>
              <w:rPr>
                <w:color w:val="000000"/>
              </w:rPr>
              <w:t>V/F</w:t>
            </w:r>
          </w:p>
        </w:tc>
        <w:tc>
          <w:tcPr>
            <w:tcW w:w="3987" w:type="pct"/>
            <w:gridSpan w:val="2"/>
            <w:tcBorders>
              <w:top w:val="single" w:sz="8" w:space="0" w:color="002C47"/>
              <w:left w:val="single" w:sz="8" w:space="0" w:color="002C47"/>
              <w:bottom w:val="single" w:sz="8" w:space="0" w:color="002C47"/>
              <w:right w:val="single" w:sz="8" w:space="0" w:color="002C47"/>
            </w:tcBorders>
          </w:tcPr>
          <w:p w14:paraId="1CF0B9DB" w14:textId="77777777" w:rsidR="000F7269" w:rsidRDefault="000F7269" w:rsidP="009B153D">
            <w:pPr>
              <w:rPr>
                <w:lang w:eastAsia="ja-JP"/>
              </w:rPr>
            </w:pPr>
            <w:r>
              <w:t>Volume of distribution</w:t>
            </w:r>
          </w:p>
        </w:tc>
      </w:tr>
      <w:bookmarkEnd w:id="5"/>
    </w:tbl>
    <w:p w14:paraId="51A91F8A" w14:textId="77777777" w:rsidR="00FD119B" w:rsidRPr="00FD119B" w:rsidRDefault="00FD119B" w:rsidP="00FD119B">
      <w:pPr>
        <w:spacing w:before="0" w:after="200" w:line="0" w:lineRule="auto"/>
        <w:rPr>
          <w:b/>
          <w:i/>
          <w:sz w:val="24"/>
          <w:szCs w:val="24"/>
        </w:rPr>
      </w:pPr>
      <w:r w:rsidRPr="00FD119B">
        <w:rPr>
          <w:b/>
          <w:i/>
          <w:sz w:val="24"/>
          <w:szCs w:val="24"/>
        </w:rPr>
        <w:br w:type="page"/>
      </w:r>
    </w:p>
    <w:p w14:paraId="6B8E9A13" w14:textId="77777777" w:rsidR="008E7846" w:rsidRDefault="009F2673" w:rsidP="008E7846">
      <w:pPr>
        <w:pStyle w:val="Heading2"/>
      </w:pPr>
      <w:bookmarkStart w:id="6" w:name="_Toc132726785"/>
      <w:r>
        <w:lastRenderedPageBreak/>
        <w:t>Pr</w:t>
      </w:r>
      <w:r w:rsidR="008E7846">
        <w:t>oduct submission</w:t>
      </w:r>
      <w:bookmarkEnd w:id="6"/>
      <w:bookmarkEnd w:id="2"/>
      <w:bookmarkEnd w:id="0"/>
    </w:p>
    <w:p w14:paraId="66C0A9DF" w14:textId="77777777" w:rsidR="008E7846" w:rsidRDefault="008E7846" w:rsidP="009E5A87">
      <w:pPr>
        <w:pStyle w:val="Heading3"/>
        <w:rPr>
          <w:lang w:eastAsia="en-AU"/>
        </w:rPr>
      </w:pPr>
      <w:bookmarkStart w:id="7" w:name="_Toc247691502"/>
      <w:bookmarkStart w:id="8" w:name="_Toc314842483"/>
      <w:bookmarkStart w:id="9" w:name="_Toc132726786"/>
      <w:r>
        <w:rPr>
          <w:lang w:eastAsia="en-AU"/>
        </w:rPr>
        <w:t>Submission details</w:t>
      </w:r>
      <w:bookmarkEnd w:id="7"/>
      <w:bookmarkEnd w:id="8"/>
      <w:bookmarkEnd w:id="9"/>
    </w:p>
    <w:tbl>
      <w:tblPr>
        <w:tblW w:w="5000" w:type="pct"/>
        <w:tblLook w:val="01E0" w:firstRow="1" w:lastRow="1" w:firstColumn="1" w:lastColumn="1" w:noHBand="0" w:noVBand="0"/>
      </w:tblPr>
      <w:tblGrid>
        <w:gridCol w:w="2682"/>
        <w:gridCol w:w="5822"/>
      </w:tblGrid>
      <w:tr w:rsidR="009F2673" w:rsidRPr="003D1E62" w14:paraId="3313B239" w14:textId="77777777" w:rsidTr="00B87ED3">
        <w:tc>
          <w:tcPr>
            <w:tcW w:w="1577" w:type="pct"/>
          </w:tcPr>
          <w:p w14:paraId="0841C474" w14:textId="77777777" w:rsidR="009F2673" w:rsidRPr="003D1E62" w:rsidRDefault="009F2673" w:rsidP="009E5A87">
            <w:pPr>
              <w:rPr>
                <w:i/>
              </w:rPr>
            </w:pPr>
            <w:r>
              <w:rPr>
                <w:i/>
              </w:rPr>
              <w:t>Type of s</w:t>
            </w:r>
            <w:r w:rsidRPr="003D1E62">
              <w:rPr>
                <w:i/>
              </w:rPr>
              <w:t>ubmission</w:t>
            </w:r>
            <w:r>
              <w:rPr>
                <w:i/>
              </w:rPr>
              <w:t>:</w:t>
            </w:r>
          </w:p>
        </w:tc>
        <w:tc>
          <w:tcPr>
            <w:tcW w:w="3423" w:type="pct"/>
          </w:tcPr>
          <w:p w14:paraId="5E1A53F4" w14:textId="4654880E" w:rsidR="009F2673" w:rsidRPr="003D1E62" w:rsidRDefault="009F2673" w:rsidP="009E5A87">
            <w:r w:rsidRPr="003D1E62">
              <w:t xml:space="preserve">New </w:t>
            </w:r>
            <w:r w:rsidR="00D907D9">
              <w:t>biological</w:t>
            </w:r>
            <w:r w:rsidRPr="003D1E62">
              <w:t xml:space="preserve"> </w:t>
            </w:r>
            <w:r>
              <w:t>e</w:t>
            </w:r>
            <w:r w:rsidRPr="003D1E62">
              <w:t>ntity</w:t>
            </w:r>
          </w:p>
        </w:tc>
      </w:tr>
      <w:tr w:rsidR="009F2673" w:rsidRPr="003D1E62" w14:paraId="6CDD139C" w14:textId="77777777" w:rsidTr="00B87ED3">
        <w:tc>
          <w:tcPr>
            <w:tcW w:w="1577" w:type="pct"/>
          </w:tcPr>
          <w:p w14:paraId="15A914D8" w14:textId="6223A424" w:rsidR="009F2673" w:rsidRPr="003D1E62" w:rsidRDefault="009F2673" w:rsidP="009E5A87">
            <w:pPr>
              <w:rPr>
                <w:i/>
              </w:rPr>
            </w:pPr>
            <w:r w:rsidRPr="00460036">
              <w:rPr>
                <w:i/>
              </w:rPr>
              <w:t>Product name:</w:t>
            </w:r>
          </w:p>
        </w:tc>
        <w:tc>
          <w:tcPr>
            <w:tcW w:w="3423" w:type="pct"/>
          </w:tcPr>
          <w:p w14:paraId="129157AC" w14:textId="102C3166" w:rsidR="009F2673" w:rsidRPr="003D1E62" w:rsidRDefault="00D907D9" w:rsidP="009E5A87">
            <w:proofErr w:type="spellStart"/>
            <w:r>
              <w:t>Bimzelx</w:t>
            </w:r>
            <w:proofErr w:type="spellEnd"/>
          </w:p>
        </w:tc>
      </w:tr>
      <w:tr w:rsidR="009F2673" w:rsidRPr="003D1E62" w14:paraId="424330D5" w14:textId="77777777" w:rsidTr="00B87ED3">
        <w:tc>
          <w:tcPr>
            <w:tcW w:w="1577" w:type="pct"/>
          </w:tcPr>
          <w:p w14:paraId="7846355D" w14:textId="42D3A6CB" w:rsidR="009F2673" w:rsidRPr="003D1E62" w:rsidRDefault="009F2673" w:rsidP="009E5A87">
            <w:pPr>
              <w:rPr>
                <w:i/>
              </w:rPr>
            </w:pPr>
            <w:r w:rsidRPr="00460036">
              <w:rPr>
                <w:i/>
              </w:rPr>
              <w:t>Active ingredient:</w:t>
            </w:r>
          </w:p>
        </w:tc>
        <w:tc>
          <w:tcPr>
            <w:tcW w:w="3423" w:type="pct"/>
          </w:tcPr>
          <w:p w14:paraId="387A2DFE" w14:textId="5C7EEBC7" w:rsidR="009F2673" w:rsidRPr="003D1E62" w:rsidRDefault="00D907D9" w:rsidP="009E5A87">
            <w:proofErr w:type="spellStart"/>
            <w:r>
              <w:t>B</w:t>
            </w:r>
            <w:r w:rsidRPr="00C01E12">
              <w:t>imekizumab</w:t>
            </w:r>
            <w:proofErr w:type="spellEnd"/>
          </w:p>
        </w:tc>
      </w:tr>
      <w:tr w:rsidR="009F2673" w:rsidRPr="003D1E62" w14:paraId="3616C1B1" w14:textId="77777777" w:rsidTr="00B87ED3">
        <w:tc>
          <w:tcPr>
            <w:tcW w:w="1577" w:type="pct"/>
          </w:tcPr>
          <w:p w14:paraId="26B520C4" w14:textId="77777777" w:rsidR="009F2673" w:rsidRPr="009F2673" w:rsidRDefault="009F2673" w:rsidP="009E5A87">
            <w:pPr>
              <w:rPr>
                <w:i/>
              </w:rPr>
            </w:pPr>
            <w:r w:rsidRPr="003D1E62">
              <w:rPr>
                <w:i/>
              </w:rPr>
              <w:t>Decision</w:t>
            </w:r>
            <w:r w:rsidRPr="009F2673">
              <w:rPr>
                <w:i/>
              </w:rPr>
              <w:t>:</w:t>
            </w:r>
          </w:p>
        </w:tc>
        <w:tc>
          <w:tcPr>
            <w:tcW w:w="3423" w:type="pct"/>
          </w:tcPr>
          <w:p w14:paraId="0DB6BA53" w14:textId="7C66F58C" w:rsidR="009F2673" w:rsidRPr="003D1E62" w:rsidRDefault="009F2673" w:rsidP="009E5A87">
            <w:r w:rsidRPr="00460036">
              <w:t>Approved</w:t>
            </w:r>
          </w:p>
        </w:tc>
      </w:tr>
      <w:tr w:rsidR="009F2673" w:rsidRPr="003D1E62" w14:paraId="75360063" w14:textId="77777777" w:rsidTr="00B87ED3">
        <w:tc>
          <w:tcPr>
            <w:tcW w:w="1577" w:type="pct"/>
          </w:tcPr>
          <w:p w14:paraId="22117E57" w14:textId="77777777" w:rsidR="009F2673" w:rsidRPr="003D1E62" w:rsidRDefault="009F2673" w:rsidP="009E5A87">
            <w:pPr>
              <w:rPr>
                <w:i/>
              </w:rPr>
            </w:pPr>
            <w:r w:rsidRPr="003D1E62">
              <w:rPr>
                <w:i/>
              </w:rPr>
              <w:t xml:space="preserve">Date of </w:t>
            </w:r>
            <w:r>
              <w:rPr>
                <w:i/>
              </w:rPr>
              <w:t>d</w:t>
            </w:r>
            <w:r w:rsidRPr="003D1E62">
              <w:rPr>
                <w:i/>
              </w:rPr>
              <w:t>ecision:</w:t>
            </w:r>
          </w:p>
        </w:tc>
        <w:tc>
          <w:tcPr>
            <w:tcW w:w="3423" w:type="pct"/>
          </w:tcPr>
          <w:p w14:paraId="14289DAF" w14:textId="621E6454" w:rsidR="009F2673" w:rsidRPr="003D1E62" w:rsidRDefault="00B87ED3" w:rsidP="009E5A87">
            <w:r>
              <w:t>17 March 2022</w:t>
            </w:r>
          </w:p>
        </w:tc>
      </w:tr>
      <w:tr w:rsidR="009F2673" w:rsidRPr="003D1E62" w14:paraId="784F6DD5" w14:textId="77777777" w:rsidTr="00B87ED3">
        <w:tc>
          <w:tcPr>
            <w:tcW w:w="1577" w:type="pct"/>
          </w:tcPr>
          <w:p w14:paraId="33B9D08C" w14:textId="77777777" w:rsidR="009F2673" w:rsidRPr="00441C3F" w:rsidRDefault="009F2673" w:rsidP="009E5A87">
            <w:pPr>
              <w:rPr>
                <w:i/>
              </w:rPr>
            </w:pPr>
            <w:r w:rsidRPr="00441C3F">
              <w:rPr>
                <w:i/>
              </w:rPr>
              <w:t>Date of entry onto ARTG</w:t>
            </w:r>
            <w:r>
              <w:rPr>
                <w:i/>
              </w:rPr>
              <w:t>:</w:t>
            </w:r>
          </w:p>
        </w:tc>
        <w:tc>
          <w:tcPr>
            <w:tcW w:w="3423" w:type="pct"/>
          </w:tcPr>
          <w:p w14:paraId="7A826AFD" w14:textId="46EA4FDD" w:rsidR="009F2673" w:rsidRPr="009F2673" w:rsidRDefault="00B87ED3" w:rsidP="009E5A87">
            <w:r>
              <w:t>24 March 2022</w:t>
            </w:r>
            <w:r w:rsidR="009F2673" w:rsidRPr="009F2673">
              <w:t xml:space="preserve"> </w:t>
            </w:r>
          </w:p>
        </w:tc>
      </w:tr>
      <w:tr w:rsidR="009F2673" w:rsidRPr="003D1E62" w14:paraId="5C82E87B" w14:textId="77777777" w:rsidTr="00B87ED3">
        <w:tc>
          <w:tcPr>
            <w:tcW w:w="1577" w:type="pct"/>
          </w:tcPr>
          <w:p w14:paraId="1A358363" w14:textId="5880AAC3" w:rsidR="009F2673" w:rsidRPr="00441C3F" w:rsidRDefault="009F2673" w:rsidP="009E5A87">
            <w:pPr>
              <w:rPr>
                <w:i/>
              </w:rPr>
            </w:pPr>
            <w:r>
              <w:rPr>
                <w:i/>
              </w:rPr>
              <w:t>ARTG number</w:t>
            </w:r>
            <w:r w:rsidR="00B87ED3">
              <w:rPr>
                <w:i/>
              </w:rPr>
              <w:t>s</w:t>
            </w:r>
            <w:r>
              <w:rPr>
                <w:i/>
              </w:rPr>
              <w:t>:</w:t>
            </w:r>
          </w:p>
        </w:tc>
        <w:tc>
          <w:tcPr>
            <w:tcW w:w="3423" w:type="pct"/>
          </w:tcPr>
          <w:p w14:paraId="11FE1BF3" w14:textId="483650C7" w:rsidR="009F2673" w:rsidRPr="00441C3F" w:rsidRDefault="00B87ED3" w:rsidP="009E5A87">
            <w:r>
              <w:t>353268 and 353269</w:t>
            </w:r>
          </w:p>
        </w:tc>
      </w:tr>
      <w:tr w:rsidR="009F2673" w:rsidRPr="003D1E62" w14:paraId="67E59854" w14:textId="77777777" w:rsidTr="00B87ED3">
        <w:tc>
          <w:tcPr>
            <w:tcW w:w="1577" w:type="pct"/>
          </w:tcPr>
          <w:p w14:paraId="251DA129" w14:textId="67CE9332" w:rsidR="009F2673" w:rsidRDefault="001B1DA4" w:rsidP="009E5A87">
            <w:pPr>
              <w:rPr>
                <w:i/>
              </w:rPr>
            </w:pPr>
            <w:r>
              <w:rPr>
                <w:rFonts w:ascii="Wingdings 3" w:hAnsi="Wingdings 3"/>
                <w:sz w:val="34"/>
                <w:szCs w:val="34"/>
                <w:lang w:eastAsia="en-AU"/>
              </w:rPr>
              <w:t></w:t>
            </w:r>
            <w:hyperlink r:id="rId14" w:history="1">
              <w:r w:rsidR="009F2673" w:rsidRPr="009F2673">
                <w:rPr>
                  <w:rStyle w:val="Hyperlink"/>
                  <w:i/>
                </w:rPr>
                <w:t>Black Triangle Scheme</w:t>
              </w:r>
            </w:hyperlink>
            <w:r w:rsidR="009F2673">
              <w:rPr>
                <w:i/>
              </w:rPr>
              <w:t>:</w:t>
            </w:r>
          </w:p>
        </w:tc>
        <w:tc>
          <w:tcPr>
            <w:tcW w:w="3423" w:type="pct"/>
          </w:tcPr>
          <w:p w14:paraId="75DAD9E2" w14:textId="0BFD0887" w:rsidR="009F2673" w:rsidRPr="00487162" w:rsidRDefault="00B87ED3" w:rsidP="009E5A87">
            <w:r w:rsidRPr="00D75678">
              <w:t>Yes. This product will remain in the scheme for 5 years, starting on the date the product is first supplied in Australia</w:t>
            </w:r>
          </w:p>
        </w:tc>
      </w:tr>
      <w:tr w:rsidR="009F2673" w:rsidRPr="003D1E62" w14:paraId="0DFE4D2C" w14:textId="77777777" w:rsidTr="00B87ED3">
        <w:tc>
          <w:tcPr>
            <w:tcW w:w="1577" w:type="pct"/>
          </w:tcPr>
          <w:p w14:paraId="6E11B7A3" w14:textId="77777777" w:rsidR="009F2673" w:rsidRPr="009F2673" w:rsidRDefault="009F2673" w:rsidP="009E5A87">
            <w:pPr>
              <w:rPr>
                <w:i/>
              </w:rPr>
            </w:pPr>
            <w:r w:rsidRPr="00487162">
              <w:rPr>
                <w:i/>
              </w:rPr>
              <w:t xml:space="preserve">Sponsor’s </w:t>
            </w:r>
            <w:r>
              <w:rPr>
                <w:i/>
              </w:rPr>
              <w:t>n</w:t>
            </w:r>
            <w:r w:rsidRPr="00487162">
              <w:rPr>
                <w:i/>
              </w:rPr>
              <w:t xml:space="preserve">ame and </w:t>
            </w:r>
            <w:r>
              <w:rPr>
                <w:i/>
              </w:rPr>
              <w:t>a</w:t>
            </w:r>
            <w:r w:rsidRPr="00487162">
              <w:rPr>
                <w:i/>
              </w:rPr>
              <w:t>ddress:</w:t>
            </w:r>
          </w:p>
        </w:tc>
        <w:tc>
          <w:tcPr>
            <w:tcW w:w="3423" w:type="pct"/>
          </w:tcPr>
          <w:p w14:paraId="45A0284F" w14:textId="77777777" w:rsidR="009F2673" w:rsidRDefault="00B87ED3" w:rsidP="009E5A87">
            <w:pPr>
              <w:rPr>
                <w:lang w:val="es-ES"/>
              </w:rPr>
            </w:pPr>
            <w:r w:rsidRPr="00080FAC">
              <w:rPr>
                <w:lang w:val="es-ES"/>
              </w:rPr>
              <w:t xml:space="preserve">UCB </w:t>
            </w:r>
            <w:proofErr w:type="spellStart"/>
            <w:r w:rsidRPr="00080FAC">
              <w:rPr>
                <w:lang w:val="es-ES"/>
              </w:rPr>
              <w:t>Pharma</w:t>
            </w:r>
            <w:proofErr w:type="spellEnd"/>
          </w:p>
          <w:p w14:paraId="53809D5B" w14:textId="77777777" w:rsidR="00B87ED3" w:rsidRDefault="00B87ED3" w:rsidP="00B87ED3">
            <w:pPr>
              <w:rPr>
                <w:lang w:val="es-ES"/>
              </w:rPr>
            </w:pPr>
            <w:proofErr w:type="spellStart"/>
            <w:r w:rsidRPr="00C01E12">
              <w:rPr>
                <w:lang w:val="es-ES"/>
              </w:rPr>
              <w:t>Level</w:t>
            </w:r>
            <w:proofErr w:type="spellEnd"/>
            <w:r w:rsidRPr="00C01E12">
              <w:rPr>
                <w:lang w:val="es-ES"/>
              </w:rPr>
              <w:t xml:space="preserve"> 1, 1155 Malvern Road</w:t>
            </w:r>
          </w:p>
          <w:p w14:paraId="38BEE259" w14:textId="082182FB" w:rsidR="00B87ED3" w:rsidRDefault="00B87ED3" w:rsidP="00B87ED3">
            <w:r w:rsidRPr="00C01E12">
              <w:rPr>
                <w:lang w:val="es-ES"/>
              </w:rPr>
              <w:t>Malvern</w:t>
            </w:r>
            <w:r>
              <w:rPr>
                <w:lang w:val="es-ES"/>
              </w:rPr>
              <w:t>,</w:t>
            </w:r>
            <w:r w:rsidRPr="00C01E12">
              <w:rPr>
                <w:lang w:val="es-ES"/>
              </w:rPr>
              <w:t xml:space="preserve"> VIC 3144</w:t>
            </w:r>
          </w:p>
        </w:tc>
      </w:tr>
      <w:tr w:rsidR="009F2673" w:rsidRPr="003D1E62" w14:paraId="7C4796A4" w14:textId="77777777" w:rsidTr="00B87ED3">
        <w:tc>
          <w:tcPr>
            <w:tcW w:w="1577" w:type="pct"/>
          </w:tcPr>
          <w:p w14:paraId="6FE3467B" w14:textId="774D8A0A" w:rsidR="009F2673" w:rsidRPr="00487162" w:rsidRDefault="009F2673" w:rsidP="009E5A87">
            <w:pPr>
              <w:rPr>
                <w:i/>
              </w:rPr>
            </w:pPr>
            <w:r>
              <w:rPr>
                <w:i/>
              </w:rPr>
              <w:t>Dose form:</w:t>
            </w:r>
          </w:p>
        </w:tc>
        <w:tc>
          <w:tcPr>
            <w:tcW w:w="3423" w:type="pct"/>
          </w:tcPr>
          <w:p w14:paraId="7D13D10B" w14:textId="4123DEA4" w:rsidR="009F2673" w:rsidRDefault="00B87ED3" w:rsidP="009E5A87">
            <w:r>
              <w:t>Solution for injection</w:t>
            </w:r>
          </w:p>
        </w:tc>
      </w:tr>
      <w:tr w:rsidR="009F2673" w:rsidRPr="003D1E62" w14:paraId="6B9BA6AF" w14:textId="77777777" w:rsidTr="00B87ED3">
        <w:tc>
          <w:tcPr>
            <w:tcW w:w="1577" w:type="pct"/>
          </w:tcPr>
          <w:p w14:paraId="616B1753" w14:textId="50869E11" w:rsidR="009F2673" w:rsidRPr="00487162" w:rsidRDefault="009F2673" w:rsidP="009E5A87">
            <w:pPr>
              <w:rPr>
                <w:i/>
              </w:rPr>
            </w:pPr>
            <w:r w:rsidRPr="00487162">
              <w:rPr>
                <w:i/>
              </w:rPr>
              <w:t>Strength:</w:t>
            </w:r>
          </w:p>
        </w:tc>
        <w:tc>
          <w:tcPr>
            <w:tcW w:w="3423" w:type="pct"/>
          </w:tcPr>
          <w:p w14:paraId="646AADD5" w14:textId="7A81F237" w:rsidR="009F2673" w:rsidRDefault="00B87ED3" w:rsidP="009E5A87">
            <w:r w:rsidRPr="00080FAC">
              <w:t>160</w:t>
            </w:r>
            <w:r>
              <w:t> </w:t>
            </w:r>
            <w:r w:rsidRPr="00080FAC">
              <w:t>mg/1</w:t>
            </w:r>
            <w:r>
              <w:t> </w:t>
            </w:r>
            <w:r w:rsidRPr="00080FAC">
              <w:t>mL</w:t>
            </w:r>
          </w:p>
        </w:tc>
      </w:tr>
      <w:tr w:rsidR="009F2673" w:rsidRPr="003D1E62" w14:paraId="00AD597B" w14:textId="77777777" w:rsidTr="00B87ED3">
        <w:tc>
          <w:tcPr>
            <w:tcW w:w="1577" w:type="pct"/>
          </w:tcPr>
          <w:p w14:paraId="4D566D67" w14:textId="3A5D61E1" w:rsidR="009F2673" w:rsidRPr="00487162" w:rsidRDefault="009F2673" w:rsidP="009E5A87">
            <w:pPr>
              <w:rPr>
                <w:i/>
              </w:rPr>
            </w:pPr>
            <w:r w:rsidRPr="00487162">
              <w:rPr>
                <w:i/>
              </w:rPr>
              <w:t>Containers:</w:t>
            </w:r>
          </w:p>
        </w:tc>
        <w:tc>
          <w:tcPr>
            <w:tcW w:w="3423" w:type="pct"/>
          </w:tcPr>
          <w:p w14:paraId="07AFDC91" w14:textId="095066A0" w:rsidR="009F2673" w:rsidRDefault="00B87ED3" w:rsidP="009E5A87">
            <w:r>
              <w:t>Prefilled syringe and prefilled pen</w:t>
            </w:r>
          </w:p>
        </w:tc>
      </w:tr>
      <w:tr w:rsidR="009F2673" w:rsidRPr="003D1E62" w14:paraId="4C74B00A" w14:textId="77777777" w:rsidTr="00B87ED3">
        <w:tc>
          <w:tcPr>
            <w:tcW w:w="1577" w:type="pct"/>
          </w:tcPr>
          <w:p w14:paraId="154E7D02" w14:textId="2070611F" w:rsidR="009F2673" w:rsidRPr="00487162" w:rsidRDefault="009F2673" w:rsidP="009E5A87">
            <w:pPr>
              <w:rPr>
                <w:i/>
              </w:rPr>
            </w:pPr>
            <w:r w:rsidRPr="00487162">
              <w:rPr>
                <w:i/>
              </w:rPr>
              <w:t>Pack size:</w:t>
            </w:r>
          </w:p>
        </w:tc>
        <w:tc>
          <w:tcPr>
            <w:tcW w:w="3423" w:type="pct"/>
          </w:tcPr>
          <w:p w14:paraId="7F1E677A" w14:textId="07CC9214" w:rsidR="009F2673" w:rsidRDefault="00B87ED3" w:rsidP="009E5A87">
            <w:r>
              <w:t>2</w:t>
            </w:r>
          </w:p>
        </w:tc>
      </w:tr>
      <w:tr w:rsidR="009F2673" w:rsidRPr="003D1E62" w14:paraId="0C347AA1" w14:textId="77777777" w:rsidTr="00B87ED3">
        <w:tc>
          <w:tcPr>
            <w:tcW w:w="1577" w:type="pct"/>
          </w:tcPr>
          <w:p w14:paraId="3392437B" w14:textId="77777777" w:rsidR="009F2673" w:rsidRPr="00487162" w:rsidRDefault="009F2673" w:rsidP="009E5A87">
            <w:pPr>
              <w:rPr>
                <w:i/>
              </w:rPr>
            </w:pPr>
            <w:r w:rsidRPr="00487162">
              <w:rPr>
                <w:i/>
              </w:rPr>
              <w:t xml:space="preserve">Approved </w:t>
            </w:r>
            <w:r>
              <w:rPr>
                <w:i/>
              </w:rPr>
              <w:t>t</w:t>
            </w:r>
            <w:r w:rsidRPr="00487162">
              <w:rPr>
                <w:i/>
              </w:rPr>
              <w:t>herapeutic use:</w:t>
            </w:r>
          </w:p>
        </w:tc>
        <w:tc>
          <w:tcPr>
            <w:tcW w:w="3423" w:type="pct"/>
          </w:tcPr>
          <w:p w14:paraId="0D3382FA" w14:textId="1D81663B" w:rsidR="009F2673" w:rsidRPr="00B87ED3" w:rsidRDefault="00B87ED3" w:rsidP="009E5A87">
            <w:pPr>
              <w:rPr>
                <w:i/>
                <w:iCs/>
              </w:rPr>
            </w:pPr>
            <w:proofErr w:type="spellStart"/>
            <w:r w:rsidRPr="00B87ED3">
              <w:rPr>
                <w:i/>
                <w:iCs/>
              </w:rPr>
              <w:t>Bimzelx</w:t>
            </w:r>
            <w:proofErr w:type="spellEnd"/>
            <w:r w:rsidRPr="00B87ED3">
              <w:rPr>
                <w:i/>
                <w:iCs/>
              </w:rPr>
              <w:t xml:space="preserve"> is indicated for the treatment of moderate to severe plaque psoriasis in adult patients who are candidates for systemic therapy or phototherapy.</w:t>
            </w:r>
          </w:p>
        </w:tc>
      </w:tr>
      <w:tr w:rsidR="009F2673" w:rsidRPr="003D1E62" w14:paraId="1307ED83" w14:textId="77777777" w:rsidTr="00B87ED3">
        <w:tc>
          <w:tcPr>
            <w:tcW w:w="1577" w:type="pct"/>
          </w:tcPr>
          <w:p w14:paraId="545122BE" w14:textId="39DE25E3" w:rsidR="009F2673" w:rsidRPr="00487162" w:rsidRDefault="009F2673" w:rsidP="009E5A87">
            <w:pPr>
              <w:rPr>
                <w:i/>
              </w:rPr>
            </w:pPr>
            <w:r w:rsidRPr="00487162">
              <w:rPr>
                <w:i/>
              </w:rPr>
              <w:t>Route of administration:</w:t>
            </w:r>
          </w:p>
        </w:tc>
        <w:tc>
          <w:tcPr>
            <w:tcW w:w="3423" w:type="pct"/>
          </w:tcPr>
          <w:p w14:paraId="47AEABF7" w14:textId="6ACD0597" w:rsidR="009F2673" w:rsidRPr="00487162" w:rsidRDefault="00B87ED3" w:rsidP="009E5A87">
            <w:r w:rsidRPr="00080FAC">
              <w:t>Subcutaneous</w:t>
            </w:r>
          </w:p>
        </w:tc>
      </w:tr>
      <w:tr w:rsidR="009F2673" w:rsidRPr="003D1E62" w14:paraId="376F26BA" w14:textId="77777777" w:rsidTr="00B87ED3">
        <w:tc>
          <w:tcPr>
            <w:tcW w:w="1577" w:type="pct"/>
          </w:tcPr>
          <w:p w14:paraId="322F78B5" w14:textId="77777777" w:rsidR="009F2673" w:rsidRPr="00487162" w:rsidRDefault="009F2673" w:rsidP="009E5A87">
            <w:pPr>
              <w:rPr>
                <w:i/>
              </w:rPr>
            </w:pPr>
            <w:r w:rsidRPr="00487162">
              <w:rPr>
                <w:i/>
              </w:rPr>
              <w:t>Dosage:</w:t>
            </w:r>
          </w:p>
        </w:tc>
        <w:tc>
          <w:tcPr>
            <w:tcW w:w="3423" w:type="pct"/>
          </w:tcPr>
          <w:p w14:paraId="3965FB8E" w14:textId="77777777" w:rsidR="00B87ED3" w:rsidRPr="00506270" w:rsidRDefault="00B87ED3" w:rsidP="00B87ED3">
            <w:r w:rsidRPr="00506270">
              <w:t xml:space="preserve">The recommended dose of </w:t>
            </w:r>
            <w:proofErr w:type="spellStart"/>
            <w:r w:rsidRPr="00506270">
              <w:t>Bimzelx</w:t>
            </w:r>
            <w:proofErr w:type="spellEnd"/>
            <w:r w:rsidRPr="00506270">
              <w:t xml:space="preserve"> for adult patients with plaque psoriasis is 320 mg (given as 2 subcutaneous injections of 160 mg each) at Week 0, 4, 8, 12, 16 and every 8 weeks thereafter.</w:t>
            </w:r>
          </w:p>
          <w:p w14:paraId="18704D0E" w14:textId="77777777" w:rsidR="00B87ED3" w:rsidRPr="00506270" w:rsidRDefault="00B87ED3" w:rsidP="00B87ED3">
            <w:r w:rsidRPr="00506270">
              <w:t xml:space="preserve">For some patients with a body weight equal to or greater than 120 kg, </w:t>
            </w:r>
            <w:r>
              <w:t xml:space="preserve">a dose adjustment of </w:t>
            </w:r>
            <w:r w:rsidRPr="00506270">
              <w:t>320 mg every 4</w:t>
            </w:r>
            <w:r>
              <w:t> </w:t>
            </w:r>
            <w:r w:rsidRPr="00506270">
              <w:t>weeks after Week 16 may be considered (see Section 5.1 Pharmacodynamic properties, clinical trials).</w:t>
            </w:r>
          </w:p>
          <w:p w14:paraId="601241B2" w14:textId="2748DD17" w:rsidR="009F2673" w:rsidRPr="00487162" w:rsidRDefault="00B87ED3" w:rsidP="00B87ED3">
            <w:r w:rsidRPr="007473D5">
              <w:t>For further information refer to the Product Information.</w:t>
            </w:r>
          </w:p>
        </w:tc>
      </w:tr>
      <w:tr w:rsidR="009F2673" w:rsidRPr="003D1E62" w14:paraId="3A7701A0" w14:textId="77777777" w:rsidTr="00B87ED3">
        <w:tc>
          <w:tcPr>
            <w:tcW w:w="1577" w:type="pct"/>
          </w:tcPr>
          <w:p w14:paraId="3E2D77F9" w14:textId="77777777" w:rsidR="009F2673" w:rsidRPr="00487162" w:rsidRDefault="009F2673" w:rsidP="009E5A87">
            <w:pPr>
              <w:rPr>
                <w:i/>
              </w:rPr>
            </w:pPr>
            <w:r w:rsidRPr="00460036">
              <w:rPr>
                <w:i/>
              </w:rPr>
              <w:t>Pregnancy category</w:t>
            </w:r>
            <w:r>
              <w:rPr>
                <w:i/>
              </w:rPr>
              <w:t>:</w:t>
            </w:r>
          </w:p>
        </w:tc>
        <w:tc>
          <w:tcPr>
            <w:tcW w:w="3423" w:type="pct"/>
          </w:tcPr>
          <w:p w14:paraId="0A8260A9" w14:textId="77777777" w:rsidR="00B87ED3" w:rsidRPr="00BB1C79" w:rsidRDefault="00B87ED3" w:rsidP="00B87ED3">
            <w:r w:rsidRPr="00BB1C79">
              <w:t>C</w:t>
            </w:r>
          </w:p>
          <w:p w14:paraId="46C2D915" w14:textId="77777777" w:rsidR="00B87ED3" w:rsidRPr="00BB1C79" w:rsidRDefault="00B87ED3" w:rsidP="00B87ED3">
            <w:r w:rsidRPr="00BB1C79">
              <w:lastRenderedPageBreak/>
              <w:t xml:space="preserve">Drugs which, owing to their pharmacological effects, have </w:t>
            </w:r>
            <w:proofErr w:type="gramStart"/>
            <w:r w:rsidRPr="00BB1C79">
              <w:t>caused</w:t>
            </w:r>
            <w:proofErr w:type="gramEnd"/>
            <w:r w:rsidRPr="00BB1C79">
              <w:t xml:space="preserve"> or may be suspected of causing, harmful effects on the human </w:t>
            </w:r>
            <w:proofErr w:type="spellStart"/>
            <w:r w:rsidRPr="00BB1C79">
              <w:t>fetus</w:t>
            </w:r>
            <w:proofErr w:type="spellEnd"/>
            <w:r w:rsidRPr="00BB1C79">
              <w:t xml:space="preserve"> or neonate without causing malformations. These effects may be reversible. Accompanying texts should be consulted for further details.</w:t>
            </w:r>
          </w:p>
          <w:p w14:paraId="3B4E0087" w14:textId="3B4A470E" w:rsidR="009F2673" w:rsidRPr="00487162" w:rsidRDefault="00B87ED3" w:rsidP="00B87ED3">
            <w:r w:rsidRPr="00BB1C79">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r w:rsidR="009F2673">
              <w:t>.</w:t>
            </w:r>
          </w:p>
        </w:tc>
      </w:tr>
    </w:tbl>
    <w:p w14:paraId="02863504" w14:textId="77777777" w:rsidR="008E7846" w:rsidRDefault="008E7846" w:rsidP="008E7846">
      <w:pPr>
        <w:pStyle w:val="Heading3"/>
      </w:pPr>
      <w:bookmarkStart w:id="10" w:name="_Toc247691503"/>
      <w:bookmarkStart w:id="11" w:name="_Toc314842484"/>
      <w:bookmarkStart w:id="12" w:name="_Toc132726787"/>
      <w:r>
        <w:lastRenderedPageBreak/>
        <w:t>Product background</w:t>
      </w:r>
      <w:bookmarkEnd w:id="10"/>
      <w:bookmarkEnd w:id="11"/>
      <w:bookmarkEnd w:id="12"/>
    </w:p>
    <w:p w14:paraId="71AC7E6A" w14:textId="03CDE6F3" w:rsidR="009F2673" w:rsidRPr="000A4A42" w:rsidRDefault="009F2673" w:rsidP="009F2673">
      <w:r w:rsidRPr="000A4A42">
        <w:t xml:space="preserve">This </w:t>
      </w:r>
      <w:proofErr w:type="spellStart"/>
      <w:r w:rsidRPr="000A4A42">
        <w:t>AusPAR</w:t>
      </w:r>
      <w:proofErr w:type="spellEnd"/>
      <w:r w:rsidRPr="000A4A42">
        <w:t xml:space="preserve"> describes the </w:t>
      </w:r>
      <w:r w:rsidR="001E359E">
        <w:t>submission</w:t>
      </w:r>
      <w:r w:rsidRPr="000A4A42">
        <w:t xml:space="preserve"> by</w:t>
      </w:r>
      <w:r w:rsidR="006F24D2">
        <w:t xml:space="preserve"> UCB Pharma</w:t>
      </w:r>
      <w:r w:rsidRPr="000A4A42">
        <w:t xml:space="preserve"> (the sponsor) to register </w:t>
      </w:r>
      <w:proofErr w:type="spellStart"/>
      <w:r w:rsidR="006F24D2">
        <w:t>Bimzelx</w:t>
      </w:r>
      <w:proofErr w:type="spellEnd"/>
      <w:r w:rsidR="006F24D2">
        <w:t xml:space="preserve"> (</w:t>
      </w:r>
      <w:proofErr w:type="spellStart"/>
      <w:r w:rsidR="006F24D2">
        <w:t>bimekizumab</w:t>
      </w:r>
      <w:proofErr w:type="spellEnd"/>
      <w:r w:rsidRPr="000A4A42">
        <w:t xml:space="preserve">) </w:t>
      </w:r>
      <w:r w:rsidR="006F24D2" w:rsidRPr="00080FAC">
        <w:t>160</w:t>
      </w:r>
      <w:r w:rsidR="006F24D2">
        <w:t> </w:t>
      </w:r>
      <w:r w:rsidR="006F24D2" w:rsidRPr="00080FAC">
        <w:t>mg/1</w:t>
      </w:r>
      <w:r w:rsidR="006F24D2">
        <w:t> </w:t>
      </w:r>
      <w:r w:rsidR="006F24D2" w:rsidRPr="00080FAC">
        <w:t>mL</w:t>
      </w:r>
      <w:r w:rsidRPr="000A4A42">
        <w:t xml:space="preserve">, </w:t>
      </w:r>
      <w:r w:rsidR="006F24D2">
        <w:t>solution for injection</w:t>
      </w:r>
      <w:r w:rsidRPr="000A4A42">
        <w:t xml:space="preserve"> for the following proposed indication</w:t>
      </w:r>
      <w:r w:rsidR="006F24D2">
        <w:t>:</w:t>
      </w:r>
    </w:p>
    <w:p w14:paraId="62CA769D" w14:textId="6AAB27DE" w:rsidR="00B65957" w:rsidRPr="00B65957" w:rsidRDefault="00B65957" w:rsidP="00B65957">
      <w:pPr>
        <w:ind w:left="720"/>
        <w:rPr>
          <w:i/>
          <w:iCs/>
        </w:rPr>
      </w:pPr>
      <w:proofErr w:type="spellStart"/>
      <w:r w:rsidRPr="00B65957">
        <w:rPr>
          <w:i/>
          <w:iCs/>
        </w:rPr>
        <w:t>Bimzelx</w:t>
      </w:r>
      <w:proofErr w:type="spellEnd"/>
      <w:r w:rsidRPr="00B65957">
        <w:rPr>
          <w:i/>
          <w:iCs/>
        </w:rPr>
        <w:t xml:space="preserve"> is indicated for the treatment of moderate to severe plaque psoriasis in adult patients who are candidates for systemic therapy or phototherapy.</w:t>
      </w:r>
    </w:p>
    <w:p w14:paraId="1176C6DC" w14:textId="74AACC4B" w:rsidR="00D91E62" w:rsidRDefault="005D7628" w:rsidP="00B65957">
      <w:r w:rsidRPr="005D7628">
        <w:t>Psoriasis is a chronic inflammatory skin condition characterised by clearly defined raised areas of skin (termed plaques) that are typically red in colour, itchy and scaly in appearance.</w:t>
      </w:r>
      <w:r w:rsidR="00D91E62">
        <w:t xml:space="preserve"> These inflamed plaques may occur anywhere on the body, but most often on the extremities, scalp, elbows, knees, nails, palms, and soles of feet.</w:t>
      </w:r>
    </w:p>
    <w:p w14:paraId="40A34F1F" w14:textId="68A6F6C6" w:rsidR="00B65957" w:rsidRDefault="00673EF8" w:rsidP="00B65957">
      <w:r>
        <w:t>The cause of psoriasis is not fully understood, however</w:t>
      </w:r>
      <w:r w:rsidR="002267FD">
        <w:t xml:space="preserve"> a combination of autoimmune, genetic and environmental factors </w:t>
      </w:r>
      <w:proofErr w:type="gramStart"/>
      <w:r w:rsidR="002267FD">
        <w:t>are</w:t>
      </w:r>
      <w:proofErr w:type="gramEnd"/>
      <w:r w:rsidR="002267FD">
        <w:t xml:space="preserve"> implicated.</w:t>
      </w:r>
      <w:bookmarkStart w:id="13" w:name="_Ref132715087"/>
      <w:r w:rsidR="002267FD">
        <w:rPr>
          <w:rStyle w:val="FootnoteReference"/>
        </w:rPr>
        <w:footnoteReference w:id="1"/>
      </w:r>
      <w:bookmarkEnd w:id="13"/>
      <w:r w:rsidR="00CE6C53">
        <w:t xml:space="preserve"> </w:t>
      </w:r>
      <w:r w:rsidR="00B65957">
        <w:t>The sequence of pathological events triggering the immune response in psoriasis is thought to start with an initiation phase, in which certain factors (</w:t>
      </w:r>
      <w:r w:rsidR="00CE6C53">
        <w:t xml:space="preserve">such as </w:t>
      </w:r>
      <w:r w:rsidR="00B65957">
        <w:t xml:space="preserve">skin trauma, infection, or </w:t>
      </w:r>
      <w:r w:rsidR="00CE6C53">
        <w:t>certain medications</w:t>
      </w:r>
      <w:r w:rsidR="00B65957">
        <w:t>) lead to activation of the immune system</w:t>
      </w:r>
      <w:r w:rsidR="00CE6C53">
        <w:t>;</w:t>
      </w:r>
      <w:r w:rsidR="00CE6C53">
        <w:rPr>
          <w:rStyle w:val="FootnoteReference"/>
        </w:rPr>
        <w:footnoteReference w:id="2"/>
      </w:r>
      <w:r w:rsidR="00B65957">
        <w:t xml:space="preserve"> followed by the maintenance phase, consisting of chronic progression of the disease.</w:t>
      </w:r>
      <w:bookmarkStart w:id="14" w:name="_Ref132195632"/>
      <w:r w:rsidR="00CE6C53">
        <w:rPr>
          <w:rStyle w:val="FootnoteReference"/>
        </w:rPr>
        <w:footnoteReference w:id="3"/>
      </w:r>
      <w:bookmarkEnd w:id="14"/>
    </w:p>
    <w:p w14:paraId="4B1FA923" w14:textId="2862DC53" w:rsidR="00B65957" w:rsidRDefault="00B65957" w:rsidP="00B65957">
      <w:pPr>
        <w:rPr>
          <w:vertAlign w:val="superscript"/>
        </w:rPr>
      </w:pPr>
      <w:r>
        <w:t>Psoriasis is characteri</w:t>
      </w:r>
      <w:r w:rsidR="00CE6C53">
        <w:t>s</w:t>
      </w:r>
      <w:r>
        <w:t>ed by an abnormally excessive and rapid growth of the epidermal layer of the skin</w:t>
      </w:r>
      <w:r w:rsidR="005C50C5">
        <w:t xml:space="preserve"> (see </w:t>
      </w:r>
      <w:r w:rsidR="005C50C5">
        <w:fldChar w:fldCharType="begin"/>
      </w:r>
      <w:r w:rsidR="005C50C5">
        <w:instrText xml:space="preserve"> REF _Ref132198178 \h </w:instrText>
      </w:r>
      <w:r w:rsidR="005C50C5">
        <w:fldChar w:fldCharType="separate"/>
      </w:r>
      <w:r w:rsidR="00B54079" w:rsidRPr="00B65957">
        <w:t xml:space="preserve">Figure </w:t>
      </w:r>
      <w:r w:rsidR="00B54079">
        <w:rPr>
          <w:noProof/>
        </w:rPr>
        <w:t>1</w:t>
      </w:r>
      <w:r w:rsidR="005C50C5">
        <w:fldChar w:fldCharType="end"/>
      </w:r>
      <w:r w:rsidR="005C50C5">
        <w:t>, below)</w:t>
      </w:r>
      <w:r>
        <w:t>.</w:t>
      </w:r>
      <w:r w:rsidR="005C50C5">
        <w:t xml:space="preserve"> S</w:t>
      </w:r>
      <w:r>
        <w:t>kin cells are replaced every 3 to 5 days in psoriasis rather than the usual 28 to 30 days. These changes are believed to stem from the premature maturation of keratinocytes induced by an inflammatory cascade in the dermis involving dendritic cells, macrophages and T cells.</w:t>
      </w:r>
      <w:r w:rsidR="006E4137">
        <w:fldChar w:fldCharType="begin"/>
      </w:r>
      <w:r w:rsidR="006E4137">
        <w:instrText xml:space="preserve"> NOTEREF _Ref132715087 \f \h </w:instrText>
      </w:r>
      <w:r w:rsidR="006E4137">
        <w:fldChar w:fldCharType="separate"/>
      </w:r>
      <w:r w:rsidR="00B54079" w:rsidRPr="00B54079">
        <w:rPr>
          <w:rStyle w:val="FootnoteReference"/>
        </w:rPr>
        <w:t>1</w:t>
      </w:r>
      <w:r w:rsidR="006E4137">
        <w:fldChar w:fldCharType="end"/>
      </w:r>
      <w:r w:rsidR="006E4137" w:rsidRPr="006E4137">
        <w:rPr>
          <w:vertAlign w:val="superscript"/>
        </w:rPr>
        <w:t>,</w:t>
      </w:r>
      <w:r w:rsidR="00CE6C53" w:rsidRPr="006E4137">
        <w:rPr>
          <w:vertAlign w:val="superscript"/>
        </w:rPr>
        <w:fldChar w:fldCharType="begin"/>
      </w:r>
      <w:r w:rsidR="00CE6C53" w:rsidRPr="006E4137">
        <w:rPr>
          <w:vertAlign w:val="superscript"/>
        </w:rPr>
        <w:instrText xml:space="preserve"> NOTEREF _Ref132195632 \h </w:instrText>
      </w:r>
      <w:r w:rsidR="00D91E62">
        <w:rPr>
          <w:vertAlign w:val="superscript"/>
        </w:rPr>
        <w:instrText xml:space="preserve"> \* MERGEFORMAT </w:instrText>
      </w:r>
      <w:r w:rsidR="00CE6C53" w:rsidRPr="006E4137">
        <w:rPr>
          <w:vertAlign w:val="superscript"/>
        </w:rPr>
      </w:r>
      <w:r w:rsidR="00CE6C53" w:rsidRPr="006E4137">
        <w:rPr>
          <w:vertAlign w:val="superscript"/>
        </w:rPr>
        <w:fldChar w:fldCharType="separate"/>
      </w:r>
      <w:r w:rsidR="00B54079">
        <w:rPr>
          <w:vertAlign w:val="superscript"/>
        </w:rPr>
        <w:t>3</w:t>
      </w:r>
      <w:r w:rsidR="00CE6C53" w:rsidRPr="006E4137">
        <w:rPr>
          <w:vertAlign w:val="superscript"/>
        </w:rPr>
        <w:fldChar w:fldCharType="end"/>
      </w:r>
    </w:p>
    <w:p w14:paraId="4C568D95" w14:textId="772FCB27" w:rsidR="005C50C5" w:rsidRDefault="005C50C5" w:rsidP="005C50C5">
      <w:pPr>
        <w:pStyle w:val="FigureTitle"/>
      </w:pPr>
      <w:bookmarkStart w:id="15" w:name="_Ref132198178"/>
      <w:r w:rsidRPr="00B65957">
        <w:lastRenderedPageBreak/>
        <w:t xml:space="preserve">Figure </w:t>
      </w:r>
      <w:r w:rsidR="00172397">
        <w:fldChar w:fldCharType="begin"/>
      </w:r>
      <w:r w:rsidR="00172397">
        <w:instrText xml:space="preserve"> SEQ Figure \* ARABIC </w:instrText>
      </w:r>
      <w:r w:rsidR="00172397">
        <w:fldChar w:fldCharType="separate"/>
      </w:r>
      <w:r w:rsidR="00B54079">
        <w:rPr>
          <w:noProof/>
        </w:rPr>
        <w:t>1</w:t>
      </w:r>
      <w:r w:rsidR="00172397">
        <w:rPr>
          <w:noProof/>
        </w:rPr>
        <w:fldChar w:fldCharType="end"/>
      </w:r>
      <w:bookmarkEnd w:id="15"/>
      <w:r>
        <w:t>: Schematic representation of normal and psoriasis skin</w:t>
      </w:r>
    </w:p>
    <w:p w14:paraId="2F825C8E" w14:textId="67AD6909" w:rsidR="005C50C5" w:rsidRDefault="005C50C5" w:rsidP="005C50C5">
      <w:pPr>
        <w:pStyle w:val="FigureTitle"/>
      </w:pPr>
      <w:r>
        <w:rPr>
          <w:noProof/>
          <w:lang w:val="en-GB" w:eastAsia="en-GB"/>
        </w:rPr>
        <w:drawing>
          <wp:inline distT="0" distB="0" distL="0" distR="0" wp14:anchorId="3408FECB" wp14:editId="58237242">
            <wp:extent cx="5400040" cy="3041609"/>
            <wp:effectExtent l="0" t="0" r="0" b="6985"/>
            <wp:docPr id="21" name="Picture 21" descr="Illustration: Growth and shedding of keratinocytes in psoriasis – as described in the 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lustration: Growth and shedding of keratinocytes in psoriasis – as described in the artic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041609"/>
                    </a:xfrm>
                    <a:prstGeom prst="rect">
                      <a:avLst/>
                    </a:prstGeom>
                    <a:noFill/>
                    <a:ln>
                      <a:noFill/>
                    </a:ln>
                  </pic:spPr>
                </pic:pic>
              </a:graphicData>
            </a:graphic>
          </wp:inline>
        </w:drawing>
      </w:r>
    </w:p>
    <w:p w14:paraId="096242EC" w14:textId="77777777" w:rsidR="00622931" w:rsidRDefault="00622931" w:rsidP="00803C01">
      <w:pPr>
        <w:pStyle w:val="FigureDescription"/>
      </w:pPr>
      <w:r>
        <w:t xml:space="preserve">The outermost layer of skin (epidermis) is made up of cells that divide, move to the surface of the skin, die </w:t>
      </w:r>
      <w:proofErr w:type="gramStart"/>
      <w:r>
        <w:t>there</w:t>
      </w:r>
      <w:proofErr w:type="gramEnd"/>
      <w:r>
        <w:t xml:space="preserve"> and harden. These cells are known as keratinocytes.</w:t>
      </w:r>
    </w:p>
    <w:p w14:paraId="02A364B3" w14:textId="4262C8A3" w:rsidR="00622931" w:rsidRDefault="00622931" w:rsidP="00803C01">
      <w:pPr>
        <w:pStyle w:val="FigureDescription"/>
      </w:pPr>
      <w:r>
        <w:t>It usually takes about four weeks for keratinocytes to move up through the outermost layer of skin and be shed as dead cells. In psoriasis, they divide about ten times as quickly and it only takes four days for them to reach the surface of the skin. The dead cells can't be shed fast enough so they build up, creating thick and scaly patches of skin that flake off. The skin is often red due to the inflammation and increased blood flow.</w:t>
      </w:r>
    </w:p>
    <w:p w14:paraId="37257BBE" w14:textId="77777777" w:rsidR="005C50C5" w:rsidRDefault="005C50C5" w:rsidP="005C50C5">
      <w:pPr>
        <w:pStyle w:val="FigureDescription"/>
      </w:pPr>
      <w:r>
        <w:t>Diagram adapted from: InformedHealth.org (Internet)</w:t>
      </w:r>
      <w:r w:rsidRPr="005C50C5">
        <w:t>. Cologne, Germany: Institute for Quality and Efficiency in Health Care (</w:t>
      </w:r>
      <w:proofErr w:type="spellStart"/>
      <w:r w:rsidRPr="005C50C5">
        <w:t>IQWiG</w:t>
      </w:r>
      <w:proofErr w:type="spellEnd"/>
      <w:r w:rsidRPr="005C50C5">
        <w:t>); 2006-. Ps</w:t>
      </w:r>
      <w:r>
        <w:t>oriasis: Overview. 2013 Jul 31 (Updated 2017 May 18)</w:t>
      </w:r>
      <w:r w:rsidRPr="005C50C5">
        <w:t>.</w:t>
      </w:r>
    </w:p>
    <w:p w14:paraId="18A87012" w14:textId="796DDAA9" w:rsidR="00B65957" w:rsidRDefault="00B65957" w:rsidP="00B65957">
      <w:r>
        <w:t xml:space="preserve">These immune cells move from the dermis to the epidermis and secrete inflammatory chemical signals (cytokines) such as interferon </w:t>
      </w:r>
      <w:r w:rsidR="00D91E62">
        <w:t>gamma</w:t>
      </w:r>
      <w:r>
        <w:t>, interleukin 36y, tumour necrosis factor</w:t>
      </w:r>
      <w:r w:rsidR="00E13D48">
        <w:t xml:space="preserve"> (TNF)</w:t>
      </w:r>
      <w:r>
        <w:t> </w:t>
      </w:r>
      <w:r w:rsidR="00D91E62">
        <w:t>alpha</w:t>
      </w:r>
      <w:r>
        <w:t>, interleukin</w:t>
      </w:r>
      <w:r w:rsidR="00D91E62">
        <w:t>s</w:t>
      </w:r>
      <w:r w:rsidR="003347D3">
        <w:t xml:space="preserve"> (IL)</w:t>
      </w:r>
      <w:r>
        <w:t xml:space="preserve"> 1, </w:t>
      </w:r>
      <w:r w:rsidR="003347D3">
        <w:t>IL-</w:t>
      </w:r>
      <w:r>
        <w:t xml:space="preserve">1β, </w:t>
      </w:r>
      <w:r w:rsidR="003347D3">
        <w:t>IL-</w:t>
      </w:r>
      <w:r>
        <w:t xml:space="preserve">6, </w:t>
      </w:r>
      <w:r w:rsidR="003347D3">
        <w:t>IL-</w:t>
      </w:r>
      <w:r>
        <w:t xml:space="preserve">17, </w:t>
      </w:r>
      <w:r w:rsidR="003347D3">
        <w:t>IL-</w:t>
      </w:r>
      <w:proofErr w:type="gramStart"/>
      <w:r>
        <w:t>22</w:t>
      </w:r>
      <w:proofErr w:type="gramEnd"/>
      <w:r>
        <w:t xml:space="preserve"> and</w:t>
      </w:r>
      <w:r w:rsidR="003347D3">
        <w:t xml:space="preserve"> IL-</w:t>
      </w:r>
      <w:r>
        <w:t>23. Interleukin 23</w:t>
      </w:r>
      <w:r w:rsidR="00622931">
        <w:t xml:space="preserve"> (IL</w:t>
      </w:r>
      <w:r w:rsidR="00622931">
        <w:noBreakHyphen/>
        <w:t>23)</w:t>
      </w:r>
      <w:r>
        <w:t xml:space="preserve"> is known to induce the production of </w:t>
      </w:r>
      <w:r w:rsidR="003347D3">
        <w:t>IL-</w:t>
      </w:r>
      <w:r>
        <w:t xml:space="preserve">17 and </w:t>
      </w:r>
      <w:r w:rsidR="003347D3">
        <w:t>IL-</w:t>
      </w:r>
      <w:r>
        <w:t>22.</w:t>
      </w:r>
      <w:r w:rsidR="00D91E62" w:rsidRPr="00803C01">
        <w:rPr>
          <w:vertAlign w:val="superscript"/>
        </w:rPr>
        <w:fldChar w:fldCharType="begin"/>
      </w:r>
      <w:r w:rsidR="00D91E62" w:rsidRPr="00803C01">
        <w:rPr>
          <w:vertAlign w:val="superscript"/>
        </w:rPr>
        <w:instrText xml:space="preserve"> NOTEREF _Ref132195632 \h </w:instrText>
      </w:r>
      <w:r w:rsidR="00D91E62">
        <w:rPr>
          <w:vertAlign w:val="superscript"/>
        </w:rPr>
        <w:instrText xml:space="preserve"> \* MERGEFORMAT </w:instrText>
      </w:r>
      <w:r w:rsidR="00D91E62" w:rsidRPr="00803C01">
        <w:rPr>
          <w:vertAlign w:val="superscript"/>
        </w:rPr>
      </w:r>
      <w:r w:rsidR="00D91E62" w:rsidRPr="00803C01">
        <w:rPr>
          <w:vertAlign w:val="superscript"/>
        </w:rPr>
        <w:fldChar w:fldCharType="separate"/>
      </w:r>
      <w:r w:rsidR="00B54079">
        <w:rPr>
          <w:vertAlign w:val="superscript"/>
        </w:rPr>
        <w:t>3</w:t>
      </w:r>
      <w:r w:rsidR="00D91E62" w:rsidRPr="00803C01">
        <w:rPr>
          <w:vertAlign w:val="superscript"/>
        </w:rPr>
        <w:fldChar w:fldCharType="end"/>
      </w:r>
      <w:r w:rsidR="00D91E62" w:rsidRPr="00803C01">
        <w:rPr>
          <w:vertAlign w:val="superscript"/>
        </w:rPr>
        <w:t>,</w:t>
      </w:r>
      <w:r w:rsidR="00D91E62">
        <w:rPr>
          <w:rStyle w:val="FootnoteReference"/>
        </w:rPr>
        <w:footnoteReference w:id="4"/>
      </w:r>
      <w:r>
        <w:t xml:space="preserve"> Interleukin 22</w:t>
      </w:r>
      <w:r w:rsidR="00622931">
        <w:t xml:space="preserve"> (IL-22)</w:t>
      </w:r>
      <w:r>
        <w:t xml:space="preserve"> works in combination with </w:t>
      </w:r>
      <w:r w:rsidR="003347D3">
        <w:t>IL-</w:t>
      </w:r>
      <w:r>
        <w:t>17 in inducing keratinocytes to secrete neutrophil attracting cytokines</w:t>
      </w:r>
      <w:r w:rsidR="00DF27EC">
        <w:t xml:space="preserve"> (</w:t>
      </w:r>
      <w:r w:rsidR="00DF27EC">
        <w:fldChar w:fldCharType="begin"/>
      </w:r>
      <w:r w:rsidR="00DF27EC">
        <w:instrText xml:space="preserve"> REF _Ref129856639 \h </w:instrText>
      </w:r>
      <w:r w:rsidR="00DF27EC">
        <w:fldChar w:fldCharType="separate"/>
      </w:r>
      <w:r w:rsidR="00B54079" w:rsidRPr="00BE4E54">
        <w:t xml:space="preserve">Figure </w:t>
      </w:r>
      <w:r w:rsidR="00B54079">
        <w:rPr>
          <w:noProof/>
        </w:rPr>
        <w:t>2</w:t>
      </w:r>
      <w:r w:rsidR="00DF27EC">
        <w:fldChar w:fldCharType="end"/>
      </w:r>
      <w:r w:rsidR="00DF27EC">
        <w:t>)</w:t>
      </w:r>
      <w:r>
        <w:t>.</w:t>
      </w:r>
      <w:r w:rsidR="00622931">
        <w:rPr>
          <w:rStyle w:val="FootnoteReference"/>
        </w:rPr>
        <w:footnoteReference w:id="5"/>
      </w:r>
      <w:r>
        <w:t xml:space="preserve"> These secreted inflammatory signals are believed to stimulate keratinocytes to proliferate.</w:t>
      </w:r>
    </w:p>
    <w:p w14:paraId="10E0198A" w14:textId="1F926AEA" w:rsidR="00B65957" w:rsidRDefault="00B65957" w:rsidP="00B65957">
      <w:r>
        <w:t xml:space="preserve">Dendritic cells bridge the innate immune and adaptive immune </w:t>
      </w:r>
      <w:proofErr w:type="gramStart"/>
      <w:r>
        <w:t>systems</w:t>
      </w:r>
      <w:proofErr w:type="gramEnd"/>
      <w:r w:rsidR="00622931">
        <w:t xml:space="preserve"> and these dendritic cells accumulate </w:t>
      </w:r>
      <w:r>
        <w:t xml:space="preserve">in psoriatic lesions and induce the proliferation of T cells and </w:t>
      </w:r>
      <w:r w:rsidR="00BE4E54">
        <w:t>T</w:t>
      </w:r>
      <w:r w:rsidR="00622931">
        <w:t> </w:t>
      </w:r>
      <w:r w:rsidR="00BE4E54">
        <w:t>helper 1</w:t>
      </w:r>
      <w:r>
        <w:t xml:space="preserve"> cells</w:t>
      </w:r>
      <w:r w:rsidR="00BE4E54">
        <w:t>.</w:t>
      </w:r>
      <w:r w:rsidR="00622931">
        <w:rPr>
          <w:rStyle w:val="FootnoteReference"/>
        </w:rPr>
        <w:footnoteReference w:id="6"/>
      </w:r>
    </w:p>
    <w:p w14:paraId="7B18C36F" w14:textId="4F1C5CD0" w:rsidR="00B65957" w:rsidRDefault="00B65957" w:rsidP="00B65957">
      <w:r>
        <w:t xml:space="preserve">Targeted immunotherapy, as well as psoralen and ultraviolet A therapy, can reduce the number of dendritic cells and favours a </w:t>
      </w:r>
      <w:r w:rsidR="00BE4E54">
        <w:t xml:space="preserve">T helper 2 </w:t>
      </w:r>
      <w:r>
        <w:t xml:space="preserve">cell cytokine secretion pattern over a </w:t>
      </w:r>
      <w:r w:rsidR="00BE4E54">
        <w:t>T</w:t>
      </w:r>
      <w:r w:rsidR="00622931">
        <w:t> </w:t>
      </w:r>
      <w:r w:rsidR="00BE4E54">
        <w:t>helper 1</w:t>
      </w:r>
      <w:r>
        <w:t>/</w:t>
      </w:r>
      <w:r w:rsidR="00BE4E54">
        <w:t>T helper 1</w:t>
      </w:r>
      <w:r>
        <w:t>7 cell cytokine profile.</w:t>
      </w:r>
    </w:p>
    <w:p w14:paraId="1A7F5244" w14:textId="4C5BBD7C" w:rsidR="00B65957" w:rsidRDefault="00B65957" w:rsidP="00BE4E54">
      <w:pPr>
        <w:pStyle w:val="FigureTitle"/>
      </w:pPr>
      <w:bookmarkStart w:id="16" w:name="_Ref129856639"/>
      <w:r w:rsidRPr="00BE4E54">
        <w:lastRenderedPageBreak/>
        <w:t xml:space="preserve">Figure </w:t>
      </w:r>
      <w:r w:rsidR="00172397">
        <w:fldChar w:fldCharType="begin"/>
      </w:r>
      <w:r w:rsidR="00172397">
        <w:instrText xml:space="preserve"> SEQ Figure \* ARABIC </w:instrText>
      </w:r>
      <w:r w:rsidR="00172397">
        <w:fldChar w:fldCharType="separate"/>
      </w:r>
      <w:r w:rsidR="00B54079">
        <w:rPr>
          <w:noProof/>
        </w:rPr>
        <w:t>2</w:t>
      </w:r>
      <w:r w:rsidR="00172397">
        <w:rPr>
          <w:noProof/>
        </w:rPr>
        <w:fldChar w:fldCharType="end"/>
      </w:r>
      <w:bookmarkEnd w:id="16"/>
      <w:r>
        <w:t>:</w:t>
      </w:r>
      <w:r w:rsidR="00BE4E54">
        <w:t xml:space="preserve"> Cells and cytokines involve</w:t>
      </w:r>
      <w:r w:rsidR="00622931">
        <w:t>d</w:t>
      </w:r>
      <w:r w:rsidR="00BE4E54">
        <w:t xml:space="preserve"> in psoriasis</w:t>
      </w:r>
      <w:r w:rsidR="00622931">
        <w:t xml:space="preserve"> pathogenesis</w:t>
      </w:r>
    </w:p>
    <w:p w14:paraId="44B72CC0" w14:textId="5DEF9A0C" w:rsidR="00B65957" w:rsidRDefault="00B65957" w:rsidP="00B65957">
      <w:r>
        <w:rPr>
          <w:noProof/>
          <w:lang w:val="en-GB" w:eastAsia="en-GB"/>
        </w:rPr>
        <w:drawing>
          <wp:inline distT="0" distB="0" distL="0" distR="0" wp14:anchorId="2C9F4535" wp14:editId="570D403D">
            <wp:extent cx="4474372" cy="3248025"/>
            <wp:effectExtent l="0" t="0" r="2540" b="0"/>
            <wp:docPr id="6" name="Picture 6" descr="The Emerging Role of IL-17 in the Pathogenesis of Psoriasis: Preclinical  and Clinical Findings - Journal of Investigative Dermat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 Emerging Role of IL-17 in the Pathogenesis of Psoriasis: Preclinical  and Clinical Findings - Journal of Investigative Dermatolog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27852" cy="3286847"/>
                    </a:xfrm>
                    <a:prstGeom prst="rect">
                      <a:avLst/>
                    </a:prstGeom>
                    <a:noFill/>
                    <a:ln>
                      <a:noFill/>
                    </a:ln>
                  </pic:spPr>
                </pic:pic>
              </a:graphicData>
            </a:graphic>
          </wp:inline>
        </w:drawing>
      </w:r>
    </w:p>
    <w:p w14:paraId="3C24F95B" w14:textId="3B25F966" w:rsidR="0056529C" w:rsidRDefault="0056529C" w:rsidP="00803C01">
      <w:pPr>
        <w:pStyle w:val="FigureDescription"/>
      </w:pPr>
      <w:r>
        <w:t>Abbreviations: AMP =antimicrobial peptides; CXCLs = CXC ligands; DC = dendritic cell; Tc =</w:t>
      </w:r>
      <w:r w:rsidRPr="00622931">
        <w:t xml:space="preserve"> T cytotoxic; </w:t>
      </w:r>
      <w:r>
        <w:t xml:space="preserve">Th17 = T-helper 17; </w:t>
      </w:r>
      <w:r w:rsidRPr="00622931">
        <w:t>TNF</w:t>
      </w:r>
      <w:r>
        <w:t xml:space="preserve"> =</w:t>
      </w:r>
      <w:r w:rsidRPr="00622931">
        <w:t xml:space="preserve"> tumo</w:t>
      </w:r>
      <w:r>
        <w:t>u</w:t>
      </w:r>
      <w:r w:rsidRPr="00622931">
        <w:t>r necrosis factor.</w:t>
      </w:r>
    </w:p>
    <w:p w14:paraId="31570ECC" w14:textId="2D23A5FE" w:rsidR="0056529C" w:rsidRDefault="00622931" w:rsidP="00803C01">
      <w:pPr>
        <w:pStyle w:val="FigureDescription"/>
      </w:pPr>
      <w:r w:rsidRPr="00622931">
        <w:t>A model for the central role of IL-17 in psoriasis pathogenesis. This model includes core inflammatory elements that establish a self-reinforcing cycle, including T-helper 17 (Th17) skewing of naive T cells in the presence of IL-23 leading to the local production of IL-17 ligands. Keratinocytes in turn are stimulated by these IL-17 ligands, leading to an aberrant differentiation program and elevated production of proinflammatory factors including antimicrobial peptides (AMPs) and chemokines (including CCL20, which attracts both Th17 cells a</w:t>
      </w:r>
      <w:r w:rsidR="0056529C">
        <w:t>nd dendritic cells (DCs)</w:t>
      </w:r>
      <w:r w:rsidRPr="00622931">
        <w:t>). These keratinocyte-derived factors in turn stimulate further recruitment of inflammatory cells, including IL-17–producing cells, and establish a self-sustain</w:t>
      </w:r>
      <w:r w:rsidR="0056529C">
        <w:t>ing inflammatory feedback loop.</w:t>
      </w:r>
    </w:p>
    <w:p w14:paraId="65D6F3A5" w14:textId="2644C29C" w:rsidR="0056529C" w:rsidRDefault="0056529C" w:rsidP="00803C01">
      <w:pPr>
        <w:pStyle w:val="FigureDescription"/>
      </w:pPr>
      <w:r>
        <w:t>Diagram adapted from: Martin, D,</w:t>
      </w:r>
      <w:r w:rsidRPr="0056529C">
        <w:t xml:space="preserve"> Towne, </w:t>
      </w:r>
      <w:r>
        <w:t xml:space="preserve">J, </w:t>
      </w:r>
      <w:proofErr w:type="spellStart"/>
      <w:r w:rsidRPr="0056529C">
        <w:t>Kricorian</w:t>
      </w:r>
      <w:proofErr w:type="spellEnd"/>
      <w:r>
        <w:t xml:space="preserve"> G</w:t>
      </w:r>
      <w:r w:rsidRPr="0056529C">
        <w:t xml:space="preserve">, </w:t>
      </w:r>
      <w:proofErr w:type="spellStart"/>
      <w:r>
        <w:t>Klekotk</w:t>
      </w:r>
      <w:proofErr w:type="spellEnd"/>
      <w:r w:rsidRPr="0056529C">
        <w:t>, P</w:t>
      </w:r>
      <w:r>
        <w:t>, Gudjonsson</w:t>
      </w:r>
      <w:r w:rsidRPr="0056529C">
        <w:t xml:space="preserve"> J</w:t>
      </w:r>
      <w:r>
        <w:t xml:space="preserve">, </w:t>
      </w:r>
      <w:r w:rsidRPr="0056529C">
        <w:t>Krueger</w:t>
      </w:r>
      <w:r>
        <w:t xml:space="preserve"> J, Russell C.</w:t>
      </w:r>
      <w:r w:rsidRPr="0056529C">
        <w:t xml:space="preserve"> The Emerging Role of IL-17 in the Pathogenesis of Psoriasis: Preclinical and Clinical Findings</w:t>
      </w:r>
      <w:r w:rsidRPr="00803C01">
        <w:rPr>
          <w:i/>
        </w:rPr>
        <w:t>. Journal of investigative dermatology</w:t>
      </w:r>
      <w:r>
        <w:t>. 2012; 133(10);1038.</w:t>
      </w:r>
    </w:p>
    <w:p w14:paraId="539E629B" w14:textId="18A1DDD7" w:rsidR="00B65957" w:rsidRPr="00803C01" w:rsidRDefault="00B65957" w:rsidP="00B65957">
      <w:pPr>
        <w:rPr>
          <w:vertAlign w:val="superscript"/>
        </w:rPr>
      </w:pPr>
      <w:r w:rsidRPr="00B65957">
        <w:t>Gene mutations of proteins involved in the skin's ability to function as a barrier have been identified as markers of susceptibility for the development of psoriasis.</w:t>
      </w:r>
      <w:bookmarkStart w:id="17" w:name="_Ref132624233"/>
      <w:r w:rsidR="0056529C">
        <w:rPr>
          <w:rStyle w:val="FootnoteReference"/>
        </w:rPr>
        <w:footnoteReference w:id="7"/>
      </w:r>
      <w:bookmarkEnd w:id="17"/>
      <w:r w:rsidR="0056529C">
        <w:rPr>
          <w:vertAlign w:val="superscript"/>
        </w:rPr>
        <w:t>,</w:t>
      </w:r>
      <w:r w:rsidR="0056529C">
        <w:rPr>
          <w:rStyle w:val="FootnoteReference"/>
        </w:rPr>
        <w:footnoteReference w:id="8"/>
      </w:r>
    </w:p>
    <w:p w14:paraId="7E39B4BD" w14:textId="538294B3" w:rsidR="00B65957" w:rsidRDefault="00B65957" w:rsidP="00B65957">
      <w:r w:rsidRPr="00B65957">
        <w:t>It is one of the most common human skin disorders, affecting between 2</w:t>
      </w:r>
      <w:r>
        <w:t xml:space="preserve"> to </w:t>
      </w:r>
      <w:r w:rsidRPr="00B65957">
        <w:t>3% of the Australian population.</w:t>
      </w:r>
      <w:bookmarkStart w:id="18" w:name="_Ref132624467"/>
      <w:r w:rsidR="005E1C60">
        <w:rPr>
          <w:rStyle w:val="FootnoteReference"/>
        </w:rPr>
        <w:footnoteReference w:id="9"/>
      </w:r>
      <w:bookmarkEnd w:id="18"/>
      <w:r w:rsidRPr="00B65957">
        <w:t xml:space="preserve"> Chronic plaque psoriasis is the commonest form of psoriasis, representing approximately 85% to 90% of patients with plaque psoriasis.</w:t>
      </w:r>
      <w:bookmarkStart w:id="19" w:name="_Ref132624710"/>
      <w:r w:rsidR="00237924">
        <w:rPr>
          <w:rStyle w:val="FootnoteReference"/>
        </w:rPr>
        <w:footnoteReference w:id="10"/>
      </w:r>
      <w:bookmarkEnd w:id="19"/>
      <w:r w:rsidR="00237924">
        <w:rPr>
          <w:vertAlign w:val="superscript"/>
        </w:rPr>
        <w:t>,</w:t>
      </w:r>
      <w:bookmarkStart w:id="20" w:name="_Ref132624713"/>
      <w:r w:rsidR="00237924">
        <w:rPr>
          <w:rStyle w:val="FootnoteReference"/>
        </w:rPr>
        <w:footnoteReference w:id="11"/>
      </w:r>
      <w:bookmarkEnd w:id="20"/>
      <w:r w:rsidRPr="00B65957">
        <w:t xml:space="preserve"> Approximately 10% of patients with chronic plaque psoriasis have severe disease. Psoriasis is a lifelong condition that can impact the emotional and social wellbeing of affected people.</w:t>
      </w:r>
    </w:p>
    <w:p w14:paraId="538F72E3" w14:textId="77777777" w:rsidR="000A42AE" w:rsidRPr="00B65957" w:rsidRDefault="000A42AE" w:rsidP="00B65957"/>
    <w:p w14:paraId="3254F9C7" w14:textId="77777777" w:rsidR="00B65957" w:rsidRPr="000D1818" w:rsidRDefault="00B65957" w:rsidP="00B65957">
      <w:r w:rsidRPr="000D1818">
        <w:lastRenderedPageBreak/>
        <w:t>Psoriasis may be rated into three groups:</w:t>
      </w:r>
    </w:p>
    <w:p w14:paraId="00FF203D" w14:textId="77777777" w:rsidR="00B65957" w:rsidRPr="000D1818" w:rsidRDefault="00B65957" w:rsidP="00B65957">
      <w:pPr>
        <w:pStyle w:val="ListBullet"/>
      </w:pPr>
      <w:proofErr w:type="gramStart"/>
      <w:r w:rsidRPr="000D1818">
        <w:t>mild;</w:t>
      </w:r>
      <w:proofErr w:type="gramEnd"/>
    </w:p>
    <w:p w14:paraId="56846893" w14:textId="77777777" w:rsidR="00B65957" w:rsidRPr="000D1818" w:rsidRDefault="00B65957" w:rsidP="00B65957">
      <w:pPr>
        <w:pStyle w:val="ListBullet"/>
      </w:pPr>
      <w:proofErr w:type="gramStart"/>
      <w:r w:rsidRPr="000D1818">
        <w:t>moderate;</w:t>
      </w:r>
      <w:proofErr w:type="gramEnd"/>
    </w:p>
    <w:p w14:paraId="30ACB3E2" w14:textId="77777777" w:rsidR="00B65957" w:rsidRPr="000D1818" w:rsidRDefault="00B65957" w:rsidP="00B65957">
      <w:pPr>
        <w:pStyle w:val="ListBullet"/>
      </w:pPr>
      <w:r w:rsidRPr="000D1818">
        <w:t xml:space="preserve">severe. </w:t>
      </w:r>
    </w:p>
    <w:p w14:paraId="6C7DBA4B" w14:textId="77777777" w:rsidR="00B65957" w:rsidRPr="000D1818" w:rsidRDefault="00B65957" w:rsidP="00B65957">
      <w:r w:rsidRPr="000D1818">
        <w:t xml:space="preserve">Assessment of disease rating incorporates: </w:t>
      </w:r>
    </w:p>
    <w:p w14:paraId="11F5D1BD" w14:textId="37FD3496" w:rsidR="00B65957" w:rsidRPr="000D1818" w:rsidRDefault="00B65957" w:rsidP="00FB4850">
      <w:pPr>
        <w:pStyle w:val="ListBullet"/>
      </w:pPr>
      <w:r w:rsidRPr="000D1818">
        <w:t xml:space="preserve">Grading of psoriasis symptoms, based on area coverage and plaque appearance </w:t>
      </w:r>
      <w:r w:rsidR="00575E89">
        <w:t xml:space="preserve">using </w:t>
      </w:r>
      <w:r w:rsidRPr="000D1818">
        <w:t xml:space="preserve">Psoriasis Area Severity Index </w:t>
      </w:r>
      <w:r w:rsidR="00575E89">
        <w:t>(</w:t>
      </w:r>
      <w:r w:rsidRPr="00FB4850">
        <w:rPr>
          <w:bCs/>
        </w:rPr>
        <w:t>PASI</w:t>
      </w:r>
      <w:r w:rsidR="00575E89">
        <w:t>)</w:t>
      </w:r>
      <w:r w:rsidRPr="000D1818">
        <w:t xml:space="preserve"> score</w:t>
      </w:r>
      <w:r w:rsidR="00575E89">
        <w:t xml:space="preserve"> (see section </w:t>
      </w:r>
      <w:r w:rsidR="00575E89">
        <w:fldChar w:fldCharType="begin"/>
      </w:r>
      <w:r w:rsidR="00575E89">
        <w:instrText xml:space="preserve"> REF _Ref129871896 \h </w:instrText>
      </w:r>
      <w:r w:rsidR="00575E89">
        <w:fldChar w:fldCharType="separate"/>
      </w:r>
      <w:r w:rsidR="00B54079">
        <w:t>Psoriasis Area and Severity Index</w:t>
      </w:r>
      <w:r w:rsidR="00575E89">
        <w:fldChar w:fldCharType="end"/>
      </w:r>
      <w:proofErr w:type="gramStart"/>
      <w:r w:rsidRPr="000D1818">
        <w:t>);</w:t>
      </w:r>
      <w:proofErr w:type="gramEnd"/>
    </w:p>
    <w:p w14:paraId="1E7BFF94" w14:textId="591F3A61" w:rsidR="00B65957" w:rsidRDefault="00B65957" w:rsidP="00B65957">
      <w:pPr>
        <w:pStyle w:val="ListBullet"/>
      </w:pPr>
      <w:r w:rsidRPr="000D1818">
        <w:t>Quality of life indicators (Dermatology Life Quality Index [</w:t>
      </w:r>
      <w:r w:rsidRPr="00FB4850">
        <w:rPr>
          <w:bCs/>
        </w:rPr>
        <w:t>DLQI</w:t>
      </w:r>
      <w:r w:rsidRPr="000D1818">
        <w:t>]).</w:t>
      </w:r>
    </w:p>
    <w:p w14:paraId="5789E1D8" w14:textId="776DBAEA" w:rsidR="00DD4DD2" w:rsidRPr="00803C01" w:rsidRDefault="00F95260" w:rsidP="00803C01">
      <w:pPr>
        <w:rPr>
          <w:vertAlign w:val="superscript"/>
        </w:rPr>
      </w:pPr>
      <w:r>
        <w:t>T</w:t>
      </w:r>
      <w:r w:rsidR="00DD4DD2">
        <w:t>he Austral</w:t>
      </w:r>
      <w:r>
        <w:t>as</w:t>
      </w:r>
      <w:r w:rsidR="00DD4DD2">
        <w:t xml:space="preserve">ian College of Dermatologists </w:t>
      </w:r>
      <w:r>
        <w:t xml:space="preserve">(2017) </w:t>
      </w:r>
      <w:r w:rsidR="00DD4DD2">
        <w:t>issued a consensus statement for health professionals on the treatment goals for psoriasis. As part of this guidance</w:t>
      </w:r>
      <w:r>
        <w:t xml:space="preserve">, the severity of psoriasis was defined as mild-to-moderate, and severe disease. A copy of this definition is shown in </w:t>
      </w:r>
      <w:r>
        <w:fldChar w:fldCharType="begin"/>
      </w:r>
      <w:r>
        <w:instrText xml:space="preserve"> REF _Ref132203330 \h </w:instrText>
      </w:r>
      <w:r>
        <w:fldChar w:fldCharType="separate"/>
      </w:r>
      <w:r w:rsidR="00B54079">
        <w:t xml:space="preserve">Table </w:t>
      </w:r>
      <w:r w:rsidR="00B54079">
        <w:rPr>
          <w:noProof/>
        </w:rPr>
        <w:t>1</w:t>
      </w:r>
      <w:r>
        <w:fldChar w:fldCharType="end"/>
      </w:r>
      <w:r>
        <w:t>, shown below.</w:t>
      </w:r>
      <w:bookmarkStart w:id="21" w:name="_Ref132204150"/>
      <w:r>
        <w:rPr>
          <w:rStyle w:val="FootnoteReference"/>
        </w:rPr>
        <w:footnoteReference w:id="12"/>
      </w:r>
      <w:bookmarkEnd w:id="21"/>
      <w:r w:rsidR="00361341">
        <w:rPr>
          <w:vertAlign w:val="superscript"/>
        </w:rPr>
        <w:t>,</w:t>
      </w:r>
      <w:bookmarkStart w:id="22" w:name="_Ref132204153"/>
      <w:r w:rsidR="00361341">
        <w:rPr>
          <w:rStyle w:val="FootnoteReference"/>
        </w:rPr>
        <w:footnoteReference w:id="13"/>
      </w:r>
      <w:bookmarkEnd w:id="22"/>
    </w:p>
    <w:p w14:paraId="16F04EE7" w14:textId="3A95C956" w:rsidR="00DD4DD2" w:rsidRDefault="00DD4DD2" w:rsidP="00803C01">
      <w:pPr>
        <w:pStyle w:val="TableTitle"/>
      </w:pPr>
      <w:bookmarkStart w:id="23" w:name="_Ref132203330"/>
      <w:r>
        <w:t xml:space="preserve">Table </w:t>
      </w:r>
      <w:r w:rsidR="00172397">
        <w:fldChar w:fldCharType="begin"/>
      </w:r>
      <w:r w:rsidR="00172397">
        <w:instrText xml:space="preserve"> SEQ Table \* ARABIC </w:instrText>
      </w:r>
      <w:r w:rsidR="00172397">
        <w:fldChar w:fldCharType="separate"/>
      </w:r>
      <w:r w:rsidR="00B54079">
        <w:rPr>
          <w:noProof/>
        </w:rPr>
        <w:t>1</w:t>
      </w:r>
      <w:r w:rsidR="00172397">
        <w:rPr>
          <w:noProof/>
        </w:rPr>
        <w:fldChar w:fldCharType="end"/>
      </w:r>
      <w:bookmarkEnd w:id="23"/>
      <w:r>
        <w:t>:</w:t>
      </w:r>
      <w:r w:rsidR="00F95260">
        <w:t xml:space="preserve"> ACD C</w:t>
      </w:r>
      <w:r w:rsidR="00F95260" w:rsidRPr="00DD4DD2">
        <w:t>onsensus</w:t>
      </w:r>
      <w:r w:rsidR="00F95260">
        <w:t xml:space="preserve"> Statement (2017): recommendations for health p</w:t>
      </w:r>
      <w:r w:rsidR="00F95260" w:rsidRPr="00DD4DD2">
        <w:t>rofessionals</w:t>
      </w:r>
      <w:r w:rsidR="00F95260">
        <w:t>; definition of psoriasis disease severity</w:t>
      </w:r>
    </w:p>
    <w:tbl>
      <w:tblPr>
        <w:tblStyle w:val="TableTGAblue"/>
        <w:tblW w:w="0" w:type="auto"/>
        <w:tblLook w:val="04A0" w:firstRow="1" w:lastRow="0" w:firstColumn="1" w:lastColumn="0" w:noHBand="0" w:noVBand="1"/>
      </w:tblPr>
      <w:tblGrid>
        <w:gridCol w:w="8484"/>
      </w:tblGrid>
      <w:tr w:rsidR="00DD4DD2" w14:paraId="20F72F75" w14:textId="77777777" w:rsidTr="00386A4E">
        <w:trPr>
          <w:cnfStyle w:val="100000000000" w:firstRow="1" w:lastRow="0" w:firstColumn="0" w:lastColumn="0" w:oddVBand="0" w:evenVBand="0" w:oddHBand="0" w:evenHBand="0" w:firstRowFirstColumn="0" w:firstRowLastColumn="0" w:lastRowFirstColumn="0" w:lastRowLastColumn="0"/>
        </w:trPr>
        <w:tc>
          <w:tcPr>
            <w:tcW w:w="8484" w:type="dxa"/>
          </w:tcPr>
          <w:p w14:paraId="1C0FB09D" w14:textId="543D49C1" w:rsidR="00DD4DD2" w:rsidRDefault="00F95260" w:rsidP="00386A4E">
            <w:r>
              <w:t>Definition of disease severity</w:t>
            </w:r>
          </w:p>
        </w:tc>
      </w:tr>
      <w:tr w:rsidR="00DD4DD2" w14:paraId="672BF183" w14:textId="77777777" w:rsidTr="00386A4E">
        <w:tc>
          <w:tcPr>
            <w:tcW w:w="8484" w:type="dxa"/>
          </w:tcPr>
          <w:p w14:paraId="45E46CBA" w14:textId="77777777" w:rsidR="00DD4DD2" w:rsidRPr="00217D11" w:rsidRDefault="00DD4DD2" w:rsidP="00386A4E">
            <w:pPr>
              <w:rPr>
                <w:b/>
              </w:rPr>
            </w:pPr>
            <w:r w:rsidRPr="00217D11">
              <w:rPr>
                <w:b/>
              </w:rPr>
              <w:t xml:space="preserve">Mild to moderate plaque psoriasis </w:t>
            </w:r>
            <w:r>
              <w:rPr>
                <w:b/>
              </w:rPr>
              <w:t>(</w:t>
            </w:r>
            <w:r w:rsidRPr="00217D11">
              <w:rPr>
                <w:b/>
              </w:rPr>
              <w:t>PASI ≤ 10 and DLQI ≤ 10</w:t>
            </w:r>
            <w:r>
              <w:rPr>
                <w:b/>
              </w:rPr>
              <w:t>)</w:t>
            </w:r>
          </w:p>
        </w:tc>
      </w:tr>
      <w:tr w:rsidR="00DD4DD2" w14:paraId="20235F36" w14:textId="77777777" w:rsidTr="00386A4E">
        <w:tc>
          <w:tcPr>
            <w:tcW w:w="8484" w:type="dxa"/>
          </w:tcPr>
          <w:p w14:paraId="1BDD158B" w14:textId="77777777" w:rsidR="00DD4DD2" w:rsidRPr="00217D11" w:rsidRDefault="00DD4DD2" w:rsidP="00386A4E">
            <w:r>
              <w:rPr>
                <w:lang w:val="en-GB"/>
              </w:rPr>
              <w:t>Treatment recommendations</w:t>
            </w:r>
          </w:p>
          <w:p w14:paraId="0B903F01" w14:textId="77777777" w:rsidR="00DD4DD2" w:rsidRPr="00217D11" w:rsidRDefault="00DD4DD2" w:rsidP="00386A4E">
            <w:r w:rsidRPr="00217D11">
              <w:t xml:space="preserve">According to current treatment guidelines, mild to moderate psoriasis should be treated with topical agents. </w:t>
            </w:r>
          </w:p>
          <w:p w14:paraId="37CDC41C" w14:textId="77777777" w:rsidR="00DD4DD2" w:rsidRPr="00217D11" w:rsidRDefault="00DD4DD2" w:rsidP="00386A4E">
            <w:r w:rsidRPr="00217D11">
              <w:t xml:space="preserve">If PASI ≤ 10 but DLQI &gt; 10, psoriasis can be considered severe. Systemic therapy may be initiated when the patient’s disease cannot be controlled by topical treatment. </w:t>
            </w:r>
          </w:p>
          <w:p w14:paraId="6BE9293B" w14:textId="77777777" w:rsidR="00DD4DD2" w:rsidRPr="00217D11" w:rsidRDefault="00DD4DD2" w:rsidP="00386A4E">
            <w:r w:rsidRPr="00217D11">
              <w:t xml:space="preserve">The presence of one or more features may significantly impair quality of life and alter the classification of mild to moderate disease to severe disease, thus indicating the possible need for phototherapy and/or systemic treatment. These include: </w:t>
            </w:r>
          </w:p>
          <w:p w14:paraId="6ADFAC13" w14:textId="77777777" w:rsidR="00DD4DD2" w:rsidRPr="00F95260" w:rsidRDefault="00DD4DD2" w:rsidP="00803C01">
            <w:pPr>
              <w:pStyle w:val="ListBullet2"/>
            </w:pPr>
            <w:r w:rsidRPr="00F95260">
              <w:t xml:space="preserve">involvement of visible areas </w:t>
            </w:r>
          </w:p>
          <w:p w14:paraId="21D9479F" w14:textId="77777777" w:rsidR="00DD4DD2" w:rsidRPr="00F95260" w:rsidRDefault="00DD4DD2" w:rsidP="00803C01">
            <w:pPr>
              <w:pStyle w:val="ListBullet2"/>
            </w:pPr>
            <w:r w:rsidRPr="00F95260">
              <w:t xml:space="preserve">involvement of major parts of the scalp </w:t>
            </w:r>
          </w:p>
          <w:p w14:paraId="279D55D6" w14:textId="77777777" w:rsidR="00DD4DD2" w:rsidRPr="00F95260" w:rsidRDefault="00DD4DD2" w:rsidP="00803C01">
            <w:pPr>
              <w:pStyle w:val="ListBullet2"/>
            </w:pPr>
            <w:r w:rsidRPr="00F95260">
              <w:t xml:space="preserve">involvement of genitals </w:t>
            </w:r>
          </w:p>
          <w:p w14:paraId="59F2B9A0" w14:textId="77777777" w:rsidR="00DD4DD2" w:rsidRPr="00F95260" w:rsidRDefault="00DD4DD2" w:rsidP="00803C01">
            <w:pPr>
              <w:pStyle w:val="ListBullet2"/>
            </w:pPr>
            <w:r w:rsidRPr="00F95260">
              <w:t xml:space="preserve">involvement of palms and/or soles </w:t>
            </w:r>
          </w:p>
          <w:p w14:paraId="4FC80285" w14:textId="77777777" w:rsidR="00DD4DD2" w:rsidRPr="00F95260" w:rsidRDefault="00DD4DD2" w:rsidP="00803C01">
            <w:pPr>
              <w:pStyle w:val="ListBullet2"/>
            </w:pPr>
            <w:r w:rsidRPr="00F95260">
              <w:t xml:space="preserve">onycholysis or onychodystrophy of at least two fingernails </w:t>
            </w:r>
          </w:p>
          <w:p w14:paraId="47158886" w14:textId="77777777" w:rsidR="00DD4DD2" w:rsidRPr="00217D11" w:rsidRDefault="00DD4DD2" w:rsidP="00803C01">
            <w:pPr>
              <w:pStyle w:val="ListBullet2"/>
              <w:rPr>
                <w:lang w:val="en-GB"/>
              </w:rPr>
            </w:pPr>
            <w:r w:rsidRPr="00F95260">
              <w:t>pruritus leading to excoriation.</w:t>
            </w:r>
            <w:r w:rsidRPr="00F74B79">
              <w:rPr>
                <w:lang w:val="en-GB"/>
              </w:rPr>
              <w:t xml:space="preserve"> </w:t>
            </w:r>
          </w:p>
        </w:tc>
      </w:tr>
      <w:tr w:rsidR="00DD4DD2" w14:paraId="4696A79E" w14:textId="77777777" w:rsidTr="00386A4E">
        <w:tc>
          <w:tcPr>
            <w:tcW w:w="8484" w:type="dxa"/>
          </w:tcPr>
          <w:p w14:paraId="08086EFD" w14:textId="77777777" w:rsidR="00DD4DD2" w:rsidRPr="00217D11" w:rsidRDefault="00DD4DD2" w:rsidP="00386A4E">
            <w:pPr>
              <w:rPr>
                <w:b/>
              </w:rPr>
            </w:pPr>
            <w:r w:rsidRPr="00217D11">
              <w:rPr>
                <w:b/>
              </w:rPr>
              <w:t xml:space="preserve">Severe plaque psoriasis </w:t>
            </w:r>
            <w:r>
              <w:rPr>
                <w:b/>
              </w:rPr>
              <w:t>(</w:t>
            </w:r>
            <w:r w:rsidRPr="00217D11">
              <w:rPr>
                <w:b/>
              </w:rPr>
              <w:t>PASI &gt; 10 and/or DLQI &gt; 10</w:t>
            </w:r>
            <w:r>
              <w:rPr>
                <w:b/>
              </w:rPr>
              <w:t>)</w:t>
            </w:r>
          </w:p>
        </w:tc>
      </w:tr>
      <w:tr w:rsidR="00DD4DD2" w14:paraId="3A129D27" w14:textId="77777777" w:rsidTr="00386A4E">
        <w:tc>
          <w:tcPr>
            <w:tcW w:w="8484" w:type="dxa"/>
          </w:tcPr>
          <w:p w14:paraId="1CA92BB9" w14:textId="77777777" w:rsidR="00DD4DD2" w:rsidRPr="00217D11" w:rsidRDefault="00DD4DD2" w:rsidP="00386A4E">
            <w:r w:rsidRPr="00217D11">
              <w:t xml:space="preserve">Treatment recommendations </w:t>
            </w:r>
          </w:p>
          <w:p w14:paraId="20FF0B16" w14:textId="77777777" w:rsidR="00DD4DD2" w:rsidRPr="00217D11" w:rsidRDefault="00DD4DD2" w:rsidP="00386A4E">
            <w:r w:rsidRPr="00217D11">
              <w:lastRenderedPageBreak/>
              <w:t xml:space="preserve">According to current treatment guidelines, severe psoriasis warrants the use of phototherapy or systemic treatments. </w:t>
            </w:r>
          </w:p>
          <w:p w14:paraId="73590B47" w14:textId="77777777" w:rsidR="00DD4DD2" w:rsidRDefault="00DD4DD2" w:rsidP="00386A4E">
            <w:r w:rsidRPr="00217D11">
              <w:t xml:space="preserve">A PASI &gt;10 indicates severe disease, irrespective of the DLQI, </w:t>
            </w:r>
            <w:proofErr w:type="gramStart"/>
            <w:r w:rsidRPr="00217D11">
              <w:t>and also</w:t>
            </w:r>
            <w:proofErr w:type="gramEnd"/>
            <w:r w:rsidRPr="00217D11">
              <w:t xml:space="preserve"> indicates the likely need for phototherapy or systemic therapy.</w:t>
            </w:r>
          </w:p>
        </w:tc>
      </w:tr>
    </w:tbl>
    <w:p w14:paraId="5F6CF434" w14:textId="72D0AC82" w:rsidR="00B65957" w:rsidRPr="00FB4850" w:rsidRDefault="00B65957" w:rsidP="00DF27EC">
      <w:pPr>
        <w:pStyle w:val="Heading4"/>
      </w:pPr>
      <w:bookmarkStart w:id="24" w:name="_Ref132625014"/>
      <w:r w:rsidRPr="00FB4850">
        <w:lastRenderedPageBreak/>
        <w:t>Current treatment options</w:t>
      </w:r>
      <w:bookmarkEnd w:id="24"/>
    </w:p>
    <w:p w14:paraId="6C848A86" w14:textId="534561E2" w:rsidR="00B65957" w:rsidRPr="00FB4850" w:rsidRDefault="00361341" w:rsidP="00FB4850">
      <w:r>
        <w:t>A</w:t>
      </w:r>
      <w:r w:rsidR="00B65957" w:rsidRPr="00FB4850">
        <w:t xml:space="preserve"> treatment pathway </w:t>
      </w:r>
      <w:r>
        <w:t xml:space="preserve">discussing treatment options for psoriasis (including topical and systemic therapies) from the same consensus statement as discussed in </w:t>
      </w:r>
      <w:r>
        <w:fldChar w:fldCharType="begin"/>
      </w:r>
      <w:r>
        <w:instrText xml:space="preserve"> REF _Ref132203330 \h </w:instrText>
      </w:r>
      <w:r>
        <w:fldChar w:fldCharType="separate"/>
      </w:r>
      <w:r w:rsidR="00B54079">
        <w:t xml:space="preserve">Table </w:t>
      </w:r>
      <w:r w:rsidR="00B54079">
        <w:rPr>
          <w:noProof/>
        </w:rPr>
        <w:t>1</w:t>
      </w:r>
      <w:r>
        <w:fldChar w:fldCharType="end"/>
      </w:r>
      <w:r>
        <w:t xml:space="preserve"> (above) </w:t>
      </w:r>
      <w:r w:rsidR="00B65957" w:rsidRPr="00FB4850">
        <w:t xml:space="preserve">is summarised </w:t>
      </w:r>
      <w:r>
        <w:t xml:space="preserve">below </w:t>
      </w:r>
      <w:r w:rsidR="00B65957" w:rsidRPr="00FB4850">
        <w:t xml:space="preserve">in </w:t>
      </w:r>
      <w:r w:rsidR="00DF27EC">
        <w:fldChar w:fldCharType="begin"/>
      </w:r>
      <w:r w:rsidR="00DF27EC">
        <w:instrText xml:space="preserve"> REF _Ref129856614 \h </w:instrText>
      </w:r>
      <w:r w:rsidR="00DF27EC">
        <w:fldChar w:fldCharType="separate"/>
      </w:r>
      <w:r w:rsidR="00B54079" w:rsidRPr="00DF27EC">
        <w:t xml:space="preserve">Figure </w:t>
      </w:r>
      <w:r w:rsidR="00B54079">
        <w:rPr>
          <w:noProof/>
        </w:rPr>
        <w:t>3</w:t>
      </w:r>
      <w:r w:rsidR="00DF27EC">
        <w:fldChar w:fldCharType="end"/>
      </w:r>
      <w:r w:rsidR="00DF27EC">
        <w:t>.</w:t>
      </w:r>
      <w:r w:rsidRPr="00803C01">
        <w:rPr>
          <w:vertAlign w:val="superscript"/>
        </w:rPr>
        <w:fldChar w:fldCharType="begin"/>
      </w:r>
      <w:r w:rsidRPr="00803C01">
        <w:rPr>
          <w:vertAlign w:val="superscript"/>
        </w:rPr>
        <w:instrText xml:space="preserve"> NOTEREF _Ref132204150 \h </w:instrText>
      </w:r>
      <w:r>
        <w:rPr>
          <w:vertAlign w:val="superscript"/>
        </w:rPr>
        <w:instrText xml:space="preserve"> \* MERGEFORMAT </w:instrText>
      </w:r>
      <w:r w:rsidRPr="00803C01">
        <w:rPr>
          <w:vertAlign w:val="superscript"/>
        </w:rPr>
      </w:r>
      <w:r w:rsidRPr="00803C01">
        <w:rPr>
          <w:vertAlign w:val="superscript"/>
        </w:rPr>
        <w:fldChar w:fldCharType="separate"/>
      </w:r>
      <w:r w:rsidR="00B54079">
        <w:rPr>
          <w:vertAlign w:val="superscript"/>
        </w:rPr>
        <w:t>12</w:t>
      </w:r>
      <w:r w:rsidRPr="00803C01">
        <w:rPr>
          <w:vertAlign w:val="superscript"/>
        </w:rPr>
        <w:fldChar w:fldCharType="end"/>
      </w:r>
      <w:r w:rsidRPr="00803C01">
        <w:rPr>
          <w:vertAlign w:val="superscript"/>
        </w:rPr>
        <w:t>,</w:t>
      </w:r>
      <w:r w:rsidRPr="00803C01">
        <w:rPr>
          <w:vertAlign w:val="superscript"/>
        </w:rPr>
        <w:fldChar w:fldCharType="begin"/>
      </w:r>
      <w:r w:rsidRPr="00803C01">
        <w:rPr>
          <w:vertAlign w:val="superscript"/>
        </w:rPr>
        <w:instrText xml:space="preserve"> NOTEREF _Ref132204153 \h </w:instrText>
      </w:r>
      <w:r>
        <w:rPr>
          <w:vertAlign w:val="superscript"/>
        </w:rPr>
        <w:instrText xml:space="preserve"> \* MERGEFORMAT </w:instrText>
      </w:r>
      <w:r w:rsidRPr="00803C01">
        <w:rPr>
          <w:vertAlign w:val="superscript"/>
        </w:rPr>
      </w:r>
      <w:r w:rsidRPr="00803C01">
        <w:rPr>
          <w:vertAlign w:val="superscript"/>
        </w:rPr>
        <w:fldChar w:fldCharType="separate"/>
      </w:r>
      <w:r w:rsidR="00B54079">
        <w:rPr>
          <w:vertAlign w:val="superscript"/>
        </w:rPr>
        <w:t>13</w:t>
      </w:r>
      <w:r w:rsidRPr="00803C01">
        <w:rPr>
          <w:vertAlign w:val="superscript"/>
        </w:rPr>
        <w:fldChar w:fldCharType="end"/>
      </w:r>
    </w:p>
    <w:p w14:paraId="7F156ADF" w14:textId="4643D665" w:rsidR="00B65957" w:rsidRDefault="00FB4850" w:rsidP="00DF27EC">
      <w:pPr>
        <w:pStyle w:val="FigureTitle"/>
      </w:pPr>
      <w:bookmarkStart w:id="25" w:name="_Ref129856614"/>
      <w:r w:rsidRPr="00DF27EC">
        <w:t xml:space="preserve">Figure </w:t>
      </w:r>
      <w:r w:rsidR="00172397">
        <w:fldChar w:fldCharType="begin"/>
      </w:r>
      <w:r w:rsidR="00172397">
        <w:instrText xml:space="preserve"> SEQ Figure \* ARABIC </w:instrText>
      </w:r>
      <w:r w:rsidR="00172397">
        <w:fldChar w:fldCharType="separate"/>
      </w:r>
      <w:r w:rsidR="00B54079">
        <w:rPr>
          <w:noProof/>
        </w:rPr>
        <w:t>3</w:t>
      </w:r>
      <w:r w:rsidR="00172397">
        <w:rPr>
          <w:noProof/>
        </w:rPr>
        <w:fldChar w:fldCharType="end"/>
      </w:r>
      <w:bookmarkEnd w:id="25"/>
      <w:r>
        <w:t>:</w:t>
      </w:r>
      <w:r w:rsidR="00DF27EC">
        <w:t xml:space="preserve"> </w:t>
      </w:r>
      <w:r w:rsidR="00361341">
        <w:t>ACD C</w:t>
      </w:r>
      <w:r w:rsidR="00DD4DD2" w:rsidRPr="00DD4DD2">
        <w:t>onsensus</w:t>
      </w:r>
      <w:r w:rsidR="00DD4DD2">
        <w:t xml:space="preserve"> </w:t>
      </w:r>
      <w:r w:rsidR="00361341">
        <w:t>S</w:t>
      </w:r>
      <w:r w:rsidR="00DD4DD2">
        <w:t>tatement</w:t>
      </w:r>
      <w:r w:rsidR="00361341">
        <w:t xml:space="preserve"> (2018):</w:t>
      </w:r>
      <w:r w:rsidR="00DD4DD2">
        <w:t xml:space="preserve"> recommendations for health p</w:t>
      </w:r>
      <w:r w:rsidR="00DD4DD2" w:rsidRPr="00DD4DD2">
        <w:t>rofessionals</w:t>
      </w:r>
      <w:r w:rsidR="00DD4DD2">
        <w:t xml:space="preserve">; </w:t>
      </w:r>
      <w:r w:rsidR="00DF27EC" w:rsidRPr="00FB4850">
        <w:t xml:space="preserve">Treatment </w:t>
      </w:r>
      <w:r w:rsidR="00DD4DD2">
        <w:t>g</w:t>
      </w:r>
      <w:r w:rsidR="00DF27EC" w:rsidRPr="00FB4850">
        <w:t xml:space="preserve">oals </w:t>
      </w:r>
      <w:r w:rsidR="00DD4DD2">
        <w:t>a</w:t>
      </w:r>
      <w:r w:rsidR="00DF27EC" w:rsidRPr="00FB4850">
        <w:t xml:space="preserve">lgorithm for </w:t>
      </w:r>
      <w:r w:rsidR="00DD4DD2">
        <w:t>p</w:t>
      </w:r>
      <w:r w:rsidR="00DF27EC" w:rsidRPr="00FB4850">
        <w:t xml:space="preserve">atients with </w:t>
      </w:r>
      <w:r w:rsidR="00DD4DD2">
        <w:t>p</w:t>
      </w:r>
      <w:r w:rsidR="00DF27EC" w:rsidRPr="00FB4850">
        <w:t xml:space="preserve">soriasis in </w:t>
      </w:r>
      <w:r w:rsidR="00DD4DD2">
        <w:t>A</w:t>
      </w:r>
      <w:r w:rsidR="00DF27EC" w:rsidRPr="00FB4850">
        <w:t>ustralia</w:t>
      </w:r>
    </w:p>
    <w:p w14:paraId="46910380" w14:textId="7AD79B51" w:rsidR="00F74B79" w:rsidRDefault="00F74B79" w:rsidP="00DF27EC">
      <w:pPr>
        <w:pStyle w:val="FigureTitle"/>
      </w:pPr>
      <w:r>
        <w:rPr>
          <w:noProof/>
          <w:lang w:val="en-GB" w:eastAsia="en-GB"/>
        </w:rPr>
        <w:drawing>
          <wp:inline distT="0" distB="0" distL="0" distR="0" wp14:anchorId="3C6E5C9A" wp14:editId="5F960B2E">
            <wp:extent cx="5400040" cy="3816350"/>
            <wp:effectExtent l="0" t="0" r="0" b="0"/>
            <wp:docPr id="28" name="Picture 28" descr="ACD Consensus Statement (2018): recommendations for health professionals; Treatment goals algorithm for patients with psoriasis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CD Consensus Statement (2018): recommendations for health professionals; Treatment goals algorithm for patients with psoriasis in Australia"/>
                    <pic:cNvPicPr/>
                  </pic:nvPicPr>
                  <pic:blipFill>
                    <a:blip r:embed="rId17"/>
                    <a:stretch>
                      <a:fillRect/>
                    </a:stretch>
                  </pic:blipFill>
                  <pic:spPr>
                    <a:xfrm>
                      <a:off x="0" y="0"/>
                      <a:ext cx="5400040" cy="3816350"/>
                    </a:xfrm>
                    <a:prstGeom prst="rect">
                      <a:avLst/>
                    </a:prstGeom>
                  </pic:spPr>
                </pic:pic>
              </a:graphicData>
            </a:graphic>
          </wp:inline>
        </w:drawing>
      </w:r>
    </w:p>
    <w:p w14:paraId="621ACCCA" w14:textId="73EE74B9" w:rsidR="00DF27EC" w:rsidRDefault="00DF27EC">
      <w:pPr>
        <w:pStyle w:val="FigureDescription"/>
      </w:pPr>
      <w:r>
        <w:t xml:space="preserve">Source: </w:t>
      </w:r>
      <w:r w:rsidRPr="00DF27EC">
        <w:t>Australian College of Dermatologists Consensus</w:t>
      </w:r>
    </w:p>
    <w:p w14:paraId="1B82849C" w14:textId="2401DB5B" w:rsidR="00F74B79" w:rsidRDefault="00F74B79" w:rsidP="00F74B79">
      <w:pPr>
        <w:pStyle w:val="FigureDescription"/>
      </w:pPr>
      <w:r>
        <w:t>1) In absence of modifying features such as visible site, genital, palmoplantar, nails involvement, pruritus with excoriation (see definition on Page 3).</w:t>
      </w:r>
    </w:p>
    <w:p w14:paraId="79260DFD" w14:textId="06266CB8" w:rsidR="00F74B79" w:rsidRDefault="00F74B79" w:rsidP="00F74B79">
      <w:pPr>
        <w:pStyle w:val="FigureDescription"/>
      </w:pPr>
      <w:r>
        <w:t>2) Appropriate time to review varies with each treatment and the range is 6 to 24 weeks.</w:t>
      </w:r>
    </w:p>
    <w:p w14:paraId="43F3A164" w14:textId="52272ABB" w:rsidR="00F74B79" w:rsidRDefault="00F74B79" w:rsidP="00F74B79">
      <w:pPr>
        <w:pStyle w:val="FigureDescription"/>
      </w:pPr>
      <w:r>
        <w:t>3) Non-biologic therapies include methotrexate, cyclosporin and acitretin.</w:t>
      </w:r>
    </w:p>
    <w:p w14:paraId="7483442E" w14:textId="27EEC897" w:rsidR="00F74B79" w:rsidRDefault="00F74B79" w:rsidP="00F74B79">
      <w:pPr>
        <w:pStyle w:val="FigureDescription"/>
      </w:pPr>
      <w:r>
        <w:t xml:space="preserve">4) Psoriasis area severity index (ΔPASI (change in PASI)) ≥ 75 but dermatological quality of life index (DLQI) ≥5 may occur if modifying features such as the visible site, genital, palmoplantar, nail involvement or pruritus are </w:t>
      </w:r>
      <w:proofErr w:type="gramStart"/>
      <w:r>
        <w:t>present</w:t>
      </w:r>
      <w:proofErr w:type="gramEnd"/>
      <w:r>
        <w:t xml:space="preserve"> or the response is discordant with patient’s expectations. Physician assessment whether to continue, modify or change therapy.</w:t>
      </w:r>
    </w:p>
    <w:p w14:paraId="6ADB8428" w14:textId="02A57D58" w:rsidR="00F74B79" w:rsidRDefault="00F74B79" w:rsidP="00F74B79">
      <w:pPr>
        <w:pStyle w:val="FigureDescription"/>
      </w:pPr>
      <w:r>
        <w:t>5) Continuation/discontinuation is modulated by toxicity and contraindication.</w:t>
      </w:r>
    </w:p>
    <w:p w14:paraId="0269DEA8" w14:textId="0FC73542" w:rsidR="00F74B79" w:rsidRDefault="00F74B79" w:rsidP="00F74B79">
      <w:pPr>
        <w:pStyle w:val="FigureDescription"/>
      </w:pPr>
      <w:r>
        <w:t xml:space="preserve">6) Treatment change to </w:t>
      </w:r>
      <w:proofErr w:type="gramStart"/>
      <w:r>
        <w:t>take into account</w:t>
      </w:r>
      <w:proofErr w:type="gramEnd"/>
      <w:r>
        <w:t xml:space="preserve"> patient wishes.</w:t>
      </w:r>
    </w:p>
    <w:p w14:paraId="328F8AB4" w14:textId="456ED661" w:rsidR="00F74B79" w:rsidRDefault="00F74B79" w:rsidP="00F74B79">
      <w:pPr>
        <w:pStyle w:val="FigureDescription"/>
      </w:pPr>
      <w:r>
        <w:lastRenderedPageBreak/>
        <w:t>7) In addition to change of treatment, modify may include adding topicals, adding other systemic treatment, increasing dose or frequency or hospital admission.</w:t>
      </w:r>
    </w:p>
    <w:p w14:paraId="1E00DC5D" w14:textId="79AE64E7" w:rsidR="00F74B79" w:rsidRDefault="00F74B79">
      <w:pPr>
        <w:pStyle w:val="FigureDescription"/>
      </w:pPr>
      <w:r>
        <w:t>8) The Australian consensus group propose that two of four therapies as reasonable and best practice. The current requirement of the Australian reimbursement body, the Pharmaceutical Benefits Scheme, is three of four therapies.</w:t>
      </w:r>
    </w:p>
    <w:p w14:paraId="3393081D" w14:textId="1EDB43EB" w:rsidR="00FB4850" w:rsidRPr="00FB4850" w:rsidRDefault="00FB4850" w:rsidP="00FB4850">
      <w:r w:rsidRPr="00FB4850">
        <w:t xml:space="preserve">According to the current treatment guidelines, severe psoriasis </w:t>
      </w:r>
      <w:r w:rsidR="00DF27EC">
        <w:t>(</w:t>
      </w:r>
      <w:r w:rsidRPr="00FB4850">
        <w:t xml:space="preserve">a PASI </w:t>
      </w:r>
      <w:r w:rsidR="00DF27EC">
        <w:t xml:space="preserve">greater than </w:t>
      </w:r>
      <w:r w:rsidRPr="00FB4850">
        <w:t>10 indicates severe disease, irrespective of the DLQI</w:t>
      </w:r>
      <w:r w:rsidR="00DF27EC">
        <w:t>)</w:t>
      </w:r>
      <w:r w:rsidRPr="00FB4850">
        <w:t xml:space="preserve"> and warrants the use of phototherapy or systemic treatment. </w:t>
      </w:r>
    </w:p>
    <w:p w14:paraId="2AAAFE0E" w14:textId="77777777" w:rsidR="00FB4850" w:rsidRPr="00FB4850" w:rsidRDefault="00FB4850" w:rsidP="00FB4850">
      <w:r w:rsidRPr="00FB4850">
        <w:t>Systemic therapies that are approved for the treatment of psoriasis in Australia include:</w:t>
      </w:r>
    </w:p>
    <w:p w14:paraId="7CE1176E" w14:textId="16A078A1" w:rsidR="00FB4850" w:rsidRPr="00FB4850" w:rsidRDefault="00FB4850" w:rsidP="00FB4850">
      <w:r w:rsidRPr="00FB4850">
        <w:t>Non</w:t>
      </w:r>
      <w:r>
        <w:t>-</w:t>
      </w:r>
      <w:r w:rsidRPr="00FB4850">
        <w:t>biological medicines such as:</w:t>
      </w:r>
    </w:p>
    <w:p w14:paraId="624CC794" w14:textId="2C5CFD5D" w:rsidR="00FB4850" w:rsidRPr="00FB4850" w:rsidRDefault="00FB4850" w:rsidP="00FB4850">
      <w:pPr>
        <w:pStyle w:val="ListBullet"/>
      </w:pPr>
      <w:r w:rsidRPr="00FB4850">
        <w:t>Methotrexate</w:t>
      </w:r>
      <w:r w:rsidR="00DF27EC">
        <w:t>;</w:t>
      </w:r>
      <w:r w:rsidR="00DF27EC">
        <w:rPr>
          <w:rStyle w:val="FootnoteReference"/>
        </w:rPr>
        <w:footnoteReference w:id="14"/>
      </w:r>
      <w:r w:rsidRPr="00FB4850">
        <w:t xml:space="preserve"> is used most frequently; it is indicated in severe, disabling psoriasis unresponsive to other </w:t>
      </w:r>
      <w:proofErr w:type="gramStart"/>
      <w:r w:rsidRPr="00FB4850">
        <w:t>treatments;</w:t>
      </w:r>
      <w:proofErr w:type="gramEnd"/>
    </w:p>
    <w:p w14:paraId="369152E8" w14:textId="4E0D6444" w:rsidR="00FB4850" w:rsidRPr="00FB4850" w:rsidRDefault="00FB4850" w:rsidP="00FB4850">
      <w:pPr>
        <w:pStyle w:val="ListBullet"/>
      </w:pPr>
      <w:r w:rsidRPr="00FB4850">
        <w:t>Ciclosporin</w:t>
      </w:r>
      <w:r w:rsidR="00DF27EC">
        <w:t>;</w:t>
      </w:r>
      <w:r w:rsidR="00DF27EC">
        <w:rPr>
          <w:rStyle w:val="FootnoteReference"/>
        </w:rPr>
        <w:footnoteReference w:id="15"/>
      </w:r>
      <w:r w:rsidRPr="00FB4850">
        <w:t xml:space="preserve"> is indicated in severe psoriasis unresponsive to other treatments. Limit continuous use to 2 years due to the risk of </w:t>
      </w:r>
      <w:proofErr w:type="gramStart"/>
      <w:r w:rsidRPr="00FB4850">
        <w:t>nephrotoxicity;</w:t>
      </w:r>
      <w:proofErr w:type="gramEnd"/>
    </w:p>
    <w:p w14:paraId="00265578" w14:textId="14486523" w:rsidR="00FB4850" w:rsidRPr="00FB4850" w:rsidRDefault="00FB4850" w:rsidP="00FB4850">
      <w:pPr>
        <w:pStyle w:val="ListBullet"/>
      </w:pPr>
      <w:r w:rsidRPr="00FB4850">
        <w:t>Hydroxycarbamide</w:t>
      </w:r>
      <w:r w:rsidR="00DF27EC">
        <w:t>;</w:t>
      </w:r>
      <w:r w:rsidR="00DF27EC">
        <w:rPr>
          <w:rStyle w:val="FootnoteReference"/>
        </w:rPr>
        <w:footnoteReference w:id="16"/>
      </w:r>
      <w:r w:rsidRPr="00FB4850">
        <w:t xml:space="preserve"> is used occasionally but is less effective than methotrexate or </w:t>
      </w:r>
      <w:proofErr w:type="gramStart"/>
      <w:r w:rsidRPr="00FB4850">
        <w:t>ciclosporin;</w:t>
      </w:r>
      <w:proofErr w:type="gramEnd"/>
    </w:p>
    <w:p w14:paraId="59A97F22" w14:textId="46E777C7" w:rsidR="00FB4850" w:rsidRPr="00FB4850" w:rsidRDefault="00FB4850" w:rsidP="00FB4850">
      <w:pPr>
        <w:pStyle w:val="ListBullet"/>
      </w:pPr>
      <w:r w:rsidRPr="00FB4850">
        <w:t>Acitretin</w:t>
      </w:r>
      <w:r w:rsidR="002D554B">
        <w:t>;</w:t>
      </w:r>
      <w:r w:rsidR="002D554B">
        <w:rPr>
          <w:rStyle w:val="FootnoteReference"/>
        </w:rPr>
        <w:footnoteReference w:id="17"/>
      </w:r>
      <w:r w:rsidRPr="00FB4850">
        <w:t xml:space="preserve"> is a vitamin A like compound and is less effective at treating plaque psoriasis. May be combined with phototherapy or </w:t>
      </w:r>
      <w:r w:rsidR="00E13D48">
        <w:t>c</w:t>
      </w:r>
      <w:r w:rsidRPr="00FB4850">
        <w:t>alcipotriol.</w:t>
      </w:r>
      <w:r w:rsidR="002D554B">
        <w:rPr>
          <w:rStyle w:val="FootnoteReference"/>
        </w:rPr>
        <w:footnoteReference w:id="18"/>
      </w:r>
      <w:r w:rsidRPr="00FB4850">
        <w:t xml:space="preserve"> Acitretin has a high risk of </w:t>
      </w:r>
      <w:proofErr w:type="gramStart"/>
      <w:r w:rsidRPr="00FB4850">
        <w:t>teratogenicity;</w:t>
      </w:r>
      <w:proofErr w:type="gramEnd"/>
    </w:p>
    <w:p w14:paraId="567F3170" w14:textId="63A14D7B" w:rsidR="00FB4850" w:rsidRPr="00FB4850" w:rsidRDefault="00FB4850" w:rsidP="00FB4850">
      <w:pPr>
        <w:pStyle w:val="ListBullet"/>
      </w:pPr>
      <w:proofErr w:type="spellStart"/>
      <w:r w:rsidRPr="00FB4850">
        <w:t>Apremilast</w:t>
      </w:r>
      <w:proofErr w:type="spellEnd"/>
      <w:r w:rsidR="002D554B">
        <w:t>;</w:t>
      </w:r>
      <w:r w:rsidR="002D554B">
        <w:rPr>
          <w:rStyle w:val="FootnoteReference"/>
        </w:rPr>
        <w:footnoteReference w:id="19"/>
      </w:r>
      <w:r w:rsidRPr="00FB4850">
        <w:t xml:space="preserve"> inhibits phosphodiesterase 4, reducing production of pro-inflammatory cytokines, such as TNF</w:t>
      </w:r>
      <w:r>
        <w:t xml:space="preserve"> α</w:t>
      </w:r>
      <w:r w:rsidRPr="00FB4850">
        <w:t xml:space="preserve">, </w:t>
      </w:r>
      <w:r w:rsidR="00E13D48">
        <w:t>IL-</w:t>
      </w:r>
      <w:r w:rsidRPr="00FB4850">
        <w:t xml:space="preserve">17 and </w:t>
      </w:r>
      <w:r w:rsidR="00E13D48">
        <w:t>IL-</w:t>
      </w:r>
      <w:r w:rsidRPr="00FB4850">
        <w:t xml:space="preserve">23, and increasing anti-inflammatory cytokines such as </w:t>
      </w:r>
      <w:r w:rsidR="00E13D48">
        <w:t>IL-1</w:t>
      </w:r>
      <w:r w:rsidRPr="00FB4850">
        <w:t>0; it is used to treat moderate-to-severe chronic plaque psoriasis.</w:t>
      </w:r>
    </w:p>
    <w:p w14:paraId="6898881A" w14:textId="0A113C42" w:rsidR="00FB4850" w:rsidRPr="00FB4850" w:rsidRDefault="00FB4850" w:rsidP="00FB4850">
      <w:r w:rsidRPr="00FB4850">
        <w:t xml:space="preserve">Biological </w:t>
      </w:r>
      <w:r w:rsidR="00361341">
        <w:t>m</w:t>
      </w:r>
      <w:r w:rsidRPr="00FB4850">
        <w:t>edicines include:</w:t>
      </w:r>
    </w:p>
    <w:p w14:paraId="3EAA354C" w14:textId="5241682C" w:rsidR="00FB4850" w:rsidRPr="00FB4850" w:rsidRDefault="00FB4850" w:rsidP="00FB4850">
      <w:pPr>
        <w:pStyle w:val="ListBullet"/>
      </w:pPr>
      <w:r w:rsidRPr="00FB4850">
        <w:t>Adalimumab,</w:t>
      </w:r>
      <w:bookmarkStart w:id="26" w:name="_Ref129947621"/>
      <w:r w:rsidR="002D554B">
        <w:rPr>
          <w:rStyle w:val="FootnoteReference"/>
        </w:rPr>
        <w:footnoteReference w:id="20"/>
      </w:r>
      <w:bookmarkEnd w:id="26"/>
      <w:r w:rsidRPr="00FB4850">
        <w:t xml:space="preserve"> </w:t>
      </w:r>
      <w:r w:rsidR="002D554B">
        <w:t>c</w:t>
      </w:r>
      <w:r w:rsidRPr="00FB4850">
        <w:t>ertolizumab,</w:t>
      </w:r>
      <w:r w:rsidR="002D554B">
        <w:rPr>
          <w:rStyle w:val="FootnoteReference"/>
        </w:rPr>
        <w:footnoteReference w:id="21"/>
      </w:r>
      <w:r w:rsidRPr="00FB4850">
        <w:t xml:space="preserve"> </w:t>
      </w:r>
      <w:r w:rsidR="003347D3">
        <w:t>e</w:t>
      </w:r>
      <w:r w:rsidRPr="00FB4850">
        <w:t>tanercept</w:t>
      </w:r>
      <w:r w:rsidR="003347D3">
        <w:t>;</w:t>
      </w:r>
      <w:r w:rsidR="003347D3">
        <w:rPr>
          <w:rStyle w:val="FootnoteReference"/>
        </w:rPr>
        <w:footnoteReference w:id="22"/>
      </w:r>
      <w:r w:rsidRPr="00FB4850">
        <w:t xml:space="preserve"> and </w:t>
      </w:r>
      <w:r w:rsidR="003347D3">
        <w:t>i</w:t>
      </w:r>
      <w:r w:rsidRPr="00FB4850">
        <w:t>nfliximab</w:t>
      </w:r>
      <w:r w:rsidR="003347D3">
        <w:t>;</w:t>
      </w:r>
      <w:r w:rsidR="003347D3">
        <w:rPr>
          <w:rStyle w:val="FootnoteReference"/>
        </w:rPr>
        <w:footnoteReference w:id="23"/>
      </w:r>
      <w:r w:rsidRPr="00FB4850">
        <w:t xml:space="preserve"> are TNF</w:t>
      </w:r>
      <w:r>
        <w:t xml:space="preserve"> </w:t>
      </w:r>
      <w:r w:rsidR="00361341">
        <w:t>alpha</w:t>
      </w:r>
      <w:r w:rsidRPr="00FB4850">
        <w:t xml:space="preserve"> </w:t>
      </w:r>
      <w:proofErr w:type="gramStart"/>
      <w:r w:rsidRPr="00FB4850">
        <w:t>antagonists;</w:t>
      </w:r>
      <w:proofErr w:type="gramEnd"/>
    </w:p>
    <w:p w14:paraId="22CB7502" w14:textId="4C785610" w:rsidR="00FB4850" w:rsidRPr="00FB4850" w:rsidRDefault="00FB4850" w:rsidP="00FB4850">
      <w:pPr>
        <w:pStyle w:val="ListBullet"/>
      </w:pPr>
      <w:proofErr w:type="spellStart"/>
      <w:r w:rsidRPr="00FB4850">
        <w:t>Guselkumab</w:t>
      </w:r>
      <w:proofErr w:type="spellEnd"/>
      <w:r w:rsidRPr="00FB4850">
        <w:t>,</w:t>
      </w:r>
      <w:r w:rsidR="003347D3">
        <w:rPr>
          <w:rStyle w:val="FootnoteReference"/>
        </w:rPr>
        <w:footnoteReference w:id="24"/>
      </w:r>
      <w:r w:rsidRPr="00FB4850">
        <w:t xml:space="preserve"> </w:t>
      </w:r>
      <w:r w:rsidR="003347D3">
        <w:t>t</w:t>
      </w:r>
      <w:r w:rsidRPr="00FB4850">
        <w:t>ildrakizumab</w:t>
      </w:r>
      <w:r w:rsidR="003347D3">
        <w:t>;</w:t>
      </w:r>
      <w:r w:rsidR="003347D3">
        <w:rPr>
          <w:rStyle w:val="FootnoteReference"/>
        </w:rPr>
        <w:footnoteReference w:id="25"/>
      </w:r>
      <w:r w:rsidRPr="00FB4850">
        <w:t xml:space="preserve"> and </w:t>
      </w:r>
      <w:proofErr w:type="spellStart"/>
      <w:r w:rsidR="003347D3">
        <w:t>risankizumab</w:t>
      </w:r>
      <w:proofErr w:type="spellEnd"/>
      <w:r w:rsidR="003347D3">
        <w:t>;</w:t>
      </w:r>
      <w:r w:rsidR="003347D3">
        <w:rPr>
          <w:rStyle w:val="FootnoteReference"/>
        </w:rPr>
        <w:footnoteReference w:id="26"/>
      </w:r>
      <w:r w:rsidRPr="00FB4850">
        <w:t xml:space="preserve"> are agents that inhibit the activity of </w:t>
      </w:r>
      <w:r w:rsidR="00361341">
        <w:t>IL-</w:t>
      </w:r>
      <w:proofErr w:type="gramStart"/>
      <w:r w:rsidRPr="00FB4850">
        <w:t>23;</w:t>
      </w:r>
      <w:proofErr w:type="gramEnd"/>
    </w:p>
    <w:p w14:paraId="7254A3BE" w14:textId="66F0AE80" w:rsidR="00FB4850" w:rsidRPr="00FB4850" w:rsidRDefault="00FB4850" w:rsidP="00FB4850">
      <w:pPr>
        <w:pStyle w:val="ListBullet"/>
      </w:pPr>
      <w:r w:rsidRPr="00FB4850">
        <w:t>Ustekinumab</w:t>
      </w:r>
      <w:r w:rsidR="003347D3">
        <w:t>;</w:t>
      </w:r>
      <w:r w:rsidR="003347D3">
        <w:rPr>
          <w:rStyle w:val="FootnoteReference"/>
        </w:rPr>
        <w:footnoteReference w:id="27"/>
      </w:r>
      <w:r w:rsidRPr="00FB4850">
        <w:t xml:space="preserve"> inhibits the activity of the cytokines, </w:t>
      </w:r>
      <w:r w:rsidR="00361341">
        <w:t>IL-</w:t>
      </w:r>
      <w:proofErr w:type="gramStart"/>
      <w:r w:rsidRPr="00FB4850">
        <w:t>12</w:t>
      </w:r>
      <w:proofErr w:type="gramEnd"/>
      <w:r w:rsidRPr="00FB4850">
        <w:t xml:space="preserve"> and </w:t>
      </w:r>
      <w:r w:rsidR="00361341">
        <w:t>IL-</w:t>
      </w:r>
      <w:r w:rsidRPr="00FB4850">
        <w:t>23.</w:t>
      </w:r>
    </w:p>
    <w:p w14:paraId="341A9DF2" w14:textId="0DD9B015" w:rsidR="00FB4850" w:rsidRPr="00FB4850" w:rsidRDefault="00FB4850" w:rsidP="00FB4850">
      <w:pPr>
        <w:pStyle w:val="ListBullet"/>
      </w:pPr>
      <w:proofErr w:type="spellStart"/>
      <w:r w:rsidRPr="00FB4850">
        <w:t>Ixekizumab</w:t>
      </w:r>
      <w:proofErr w:type="spellEnd"/>
      <w:r w:rsidR="003347D3">
        <w:t>;</w:t>
      </w:r>
      <w:r w:rsidR="003347D3">
        <w:rPr>
          <w:rStyle w:val="FootnoteReference"/>
        </w:rPr>
        <w:footnoteReference w:id="28"/>
      </w:r>
      <w:r w:rsidRPr="00FB4850">
        <w:t xml:space="preserve"> and </w:t>
      </w:r>
      <w:proofErr w:type="spellStart"/>
      <w:r w:rsidR="003347D3">
        <w:t>s</w:t>
      </w:r>
      <w:r w:rsidRPr="00FB4850">
        <w:t>ecukinumab</w:t>
      </w:r>
      <w:proofErr w:type="spellEnd"/>
      <w:r w:rsidR="003347D3">
        <w:t>;</w:t>
      </w:r>
      <w:r w:rsidR="003347D3">
        <w:rPr>
          <w:rStyle w:val="FootnoteReference"/>
        </w:rPr>
        <w:footnoteReference w:id="29"/>
      </w:r>
      <w:r w:rsidRPr="00FB4850">
        <w:t xml:space="preserve"> are agents that inhibit the activity of </w:t>
      </w:r>
      <w:r w:rsidR="00361341">
        <w:t>IL-</w:t>
      </w:r>
      <w:r w:rsidRPr="00FB4850">
        <w:t>17</w:t>
      </w:r>
      <w:r>
        <w:t>a</w:t>
      </w:r>
      <w:r w:rsidRPr="00FB4850">
        <w:t>.</w:t>
      </w:r>
    </w:p>
    <w:p w14:paraId="22BC7D2C" w14:textId="7344BDA3" w:rsidR="00FB4850" w:rsidRDefault="008F489C" w:rsidP="00FB4850">
      <w:r>
        <w:t xml:space="preserve">The rational for </w:t>
      </w:r>
      <w:proofErr w:type="spellStart"/>
      <w:r>
        <w:t>Bimzelx</w:t>
      </w:r>
      <w:proofErr w:type="spellEnd"/>
      <w:r>
        <w:t xml:space="preserve"> is that </w:t>
      </w:r>
      <w:r w:rsidRPr="008F489C">
        <w:t xml:space="preserve">IL-17A and IL-17F are closely related pro-inflammatory cytokines that share overlapping biology and are believed to play important roles in autoimmune and inflammatory diseases including psoriasis. </w:t>
      </w:r>
      <w:proofErr w:type="spellStart"/>
      <w:r w:rsidRPr="008F489C">
        <w:t>Bimekizumab</w:t>
      </w:r>
      <w:proofErr w:type="spellEnd"/>
      <w:r w:rsidRPr="008F489C">
        <w:t xml:space="preserve"> is a humani</w:t>
      </w:r>
      <w:r w:rsidR="00361341">
        <w:t>s</w:t>
      </w:r>
      <w:r w:rsidRPr="008F489C">
        <w:t xml:space="preserve">ed, full-length monoclonal antibody of immunoglobulin </w:t>
      </w:r>
      <w:proofErr w:type="spellStart"/>
      <w:r w:rsidRPr="008F489C">
        <w:t>Gl</w:t>
      </w:r>
      <w:proofErr w:type="spellEnd"/>
      <w:r w:rsidRPr="008F489C">
        <w:t xml:space="preserve"> (IgG 1) subclass with </w:t>
      </w:r>
      <w:r w:rsidR="00E13D48">
        <w:t>two</w:t>
      </w:r>
      <w:r w:rsidRPr="008F489C">
        <w:t xml:space="preserve"> identical </w:t>
      </w:r>
      <w:r w:rsidRPr="008F489C">
        <w:lastRenderedPageBreak/>
        <w:t>antigen binding regions that potently and selectively bind and neutrali</w:t>
      </w:r>
      <w:r w:rsidR="00E13D48">
        <w:t>s</w:t>
      </w:r>
      <w:r w:rsidRPr="008F489C">
        <w:t>e IL-17 A, IL-17F, and IL-17 AF cytokines; it is proposed that inhibition of these cytokines will be more efficacious than inhibition of IL-17A alone.</w:t>
      </w:r>
    </w:p>
    <w:p w14:paraId="6BE0DAC0" w14:textId="77777777" w:rsidR="008E7846" w:rsidRPr="003F31A2" w:rsidRDefault="00386150" w:rsidP="008E7846">
      <w:pPr>
        <w:pStyle w:val="Heading3"/>
      </w:pPr>
      <w:bookmarkStart w:id="27" w:name="_Toc314842485"/>
      <w:bookmarkStart w:id="28" w:name="_Toc247691504"/>
      <w:bookmarkStart w:id="29" w:name="_Toc132726788"/>
      <w:r>
        <w:t>Regulatory s</w:t>
      </w:r>
      <w:r w:rsidR="008E7846">
        <w:t>tatus</w:t>
      </w:r>
      <w:bookmarkEnd w:id="27"/>
      <w:bookmarkEnd w:id="28"/>
      <w:bookmarkEnd w:id="29"/>
    </w:p>
    <w:p w14:paraId="2C34E97E" w14:textId="60E1E544" w:rsidR="00332715" w:rsidRDefault="00332715" w:rsidP="00332715">
      <w:bookmarkStart w:id="30" w:name="_Toc247691505"/>
      <w:bookmarkStart w:id="31" w:name="_Toc314842486"/>
      <w:r>
        <w:t>This product is considered a new biological entity for Australian regulatory purposes.</w:t>
      </w:r>
    </w:p>
    <w:p w14:paraId="0B18E0DC" w14:textId="196C0D2E" w:rsidR="00332715" w:rsidRDefault="00332715" w:rsidP="00332715">
      <w:r>
        <w:t xml:space="preserve">At the time the TGA considered this </w:t>
      </w:r>
      <w:r w:rsidR="00BB0B78">
        <w:t>submission</w:t>
      </w:r>
      <w:r>
        <w:t xml:space="preserve">, similar </w:t>
      </w:r>
      <w:r w:rsidR="00BB0B78">
        <w:t>submission</w:t>
      </w:r>
      <w:r w:rsidR="00F47FBA">
        <w:t>s</w:t>
      </w:r>
      <w:r>
        <w:t xml:space="preserve"> had been approved in </w:t>
      </w:r>
      <w:r w:rsidR="00F47FBA">
        <w:t xml:space="preserve">the </w:t>
      </w:r>
      <w:r w:rsidR="00DD06F5">
        <w:t>European Union</w:t>
      </w:r>
      <w:r w:rsidR="00E13D48">
        <w:t xml:space="preserve"> (EU)</w:t>
      </w:r>
      <w:r w:rsidR="00DD06F5">
        <w:t xml:space="preserve"> </w:t>
      </w:r>
      <w:r>
        <w:t xml:space="preserve">on </w:t>
      </w:r>
      <w:r w:rsidR="00DD06F5">
        <w:t xml:space="preserve">20 August 2021 and </w:t>
      </w:r>
      <w:r w:rsidR="00F47FBA">
        <w:t xml:space="preserve">the </w:t>
      </w:r>
      <w:r w:rsidR="00DD06F5">
        <w:t>United Kingdom on 25 August 2021</w:t>
      </w:r>
      <w:r>
        <w:t xml:space="preserve">. </w:t>
      </w:r>
      <w:r w:rsidR="00F47FBA">
        <w:t>S</w:t>
      </w:r>
      <w:r>
        <w:t xml:space="preserve">imilar </w:t>
      </w:r>
      <w:r w:rsidR="00BB0B78">
        <w:t>submission</w:t>
      </w:r>
      <w:r w:rsidR="00F47FBA">
        <w:t>s</w:t>
      </w:r>
      <w:r>
        <w:t xml:space="preserve"> w</w:t>
      </w:r>
      <w:r w:rsidR="00F47FBA">
        <w:t>ere</w:t>
      </w:r>
      <w:r>
        <w:t xml:space="preserve"> under consideration in </w:t>
      </w:r>
      <w:r w:rsidR="00F47FBA">
        <w:t xml:space="preserve">the </w:t>
      </w:r>
      <w:r w:rsidR="00DD06F5">
        <w:t>United States of America</w:t>
      </w:r>
      <w:r w:rsidR="00E13D48">
        <w:t xml:space="preserve"> (USA)</w:t>
      </w:r>
      <w:r w:rsidR="00DD06F5">
        <w:t xml:space="preserve">, Canada, </w:t>
      </w:r>
      <w:proofErr w:type="gramStart"/>
      <w:r w:rsidR="00DD06F5">
        <w:t>Switzerland</w:t>
      </w:r>
      <w:proofErr w:type="gramEnd"/>
      <w:r w:rsidR="00DD06F5">
        <w:t xml:space="preserve"> and Japan.</w:t>
      </w:r>
    </w:p>
    <w:p w14:paraId="75C95C0D" w14:textId="77777777" w:rsidR="00332715" w:rsidRDefault="0072292E" w:rsidP="00332715">
      <w:r>
        <w:t xml:space="preserve">The following table </w:t>
      </w:r>
      <w:r w:rsidR="00332715">
        <w:t xml:space="preserve">summarises these </w:t>
      </w:r>
      <w:r w:rsidR="00BB0B78">
        <w:t>submissions</w:t>
      </w:r>
      <w:r w:rsidR="00332715">
        <w:t xml:space="preserve"> and provides the indications where approved.</w:t>
      </w:r>
    </w:p>
    <w:p w14:paraId="48DD5BED" w14:textId="5D4C4C61" w:rsidR="00324E45" w:rsidRPr="00F0146F" w:rsidRDefault="00324E45" w:rsidP="00324E45">
      <w:pPr>
        <w:pStyle w:val="TableTitle"/>
      </w:pPr>
      <w:bookmarkStart w:id="32" w:name="_Ref99705479"/>
      <w:r>
        <w:t xml:space="preserve">Table </w:t>
      </w:r>
      <w:r w:rsidR="00172397">
        <w:fldChar w:fldCharType="begin"/>
      </w:r>
      <w:r w:rsidR="00172397">
        <w:instrText xml:space="preserve"> SEQ Table \* ARABIC </w:instrText>
      </w:r>
      <w:r w:rsidR="00172397">
        <w:fldChar w:fldCharType="separate"/>
      </w:r>
      <w:r w:rsidR="00B54079">
        <w:rPr>
          <w:noProof/>
        </w:rPr>
        <w:t>2</w:t>
      </w:r>
      <w:r w:rsidR="00172397">
        <w:rPr>
          <w:noProof/>
        </w:rPr>
        <w:fldChar w:fldCharType="end"/>
      </w:r>
      <w:bookmarkEnd w:id="32"/>
      <w:r>
        <w:t>: International regulatory status</w:t>
      </w:r>
    </w:p>
    <w:tbl>
      <w:tblPr>
        <w:tblStyle w:val="TableTGAblue"/>
        <w:tblW w:w="0" w:type="auto"/>
        <w:tblLook w:val="04A0" w:firstRow="1" w:lastRow="0" w:firstColumn="1" w:lastColumn="0" w:noHBand="0" w:noVBand="1"/>
      </w:tblPr>
      <w:tblGrid>
        <w:gridCol w:w="1795"/>
        <w:gridCol w:w="1710"/>
        <w:gridCol w:w="1980"/>
        <w:gridCol w:w="3009"/>
      </w:tblGrid>
      <w:tr w:rsidR="00006FAB" w14:paraId="294C1976" w14:textId="77777777" w:rsidTr="00803C01">
        <w:trPr>
          <w:cnfStyle w:val="100000000000" w:firstRow="1" w:lastRow="0" w:firstColumn="0" w:lastColumn="0" w:oddVBand="0" w:evenVBand="0" w:oddHBand="0" w:evenHBand="0" w:firstRowFirstColumn="0" w:firstRowLastColumn="0" w:lastRowFirstColumn="0" w:lastRowLastColumn="0"/>
        </w:trPr>
        <w:tc>
          <w:tcPr>
            <w:tcW w:w="1795" w:type="dxa"/>
            <w:tcBorders>
              <w:top w:val="single" w:sz="4" w:space="0" w:color="auto"/>
              <w:left w:val="single" w:sz="4" w:space="0" w:color="auto"/>
              <w:bottom w:val="single" w:sz="4" w:space="0" w:color="auto"/>
              <w:right w:val="single" w:sz="4" w:space="0" w:color="auto"/>
            </w:tcBorders>
          </w:tcPr>
          <w:p w14:paraId="6F1C8104" w14:textId="77777777" w:rsidR="00006FAB" w:rsidRDefault="00006FAB" w:rsidP="00006FAB">
            <w:pPr>
              <w:ind w:left="0" w:right="0"/>
            </w:pPr>
            <w:r>
              <w:t>Region</w:t>
            </w:r>
          </w:p>
        </w:tc>
        <w:tc>
          <w:tcPr>
            <w:tcW w:w="1710" w:type="dxa"/>
            <w:tcBorders>
              <w:top w:val="single" w:sz="4" w:space="0" w:color="auto"/>
              <w:left w:val="single" w:sz="4" w:space="0" w:color="auto"/>
              <w:bottom w:val="single" w:sz="4" w:space="0" w:color="auto"/>
              <w:right w:val="single" w:sz="4" w:space="0" w:color="auto"/>
            </w:tcBorders>
          </w:tcPr>
          <w:p w14:paraId="338E6233" w14:textId="77777777" w:rsidR="00006FAB" w:rsidRDefault="00006FAB" w:rsidP="00006FAB">
            <w:pPr>
              <w:ind w:left="0" w:right="0"/>
            </w:pPr>
            <w:r>
              <w:t>Submission date</w:t>
            </w:r>
          </w:p>
        </w:tc>
        <w:tc>
          <w:tcPr>
            <w:tcW w:w="1980" w:type="dxa"/>
            <w:tcBorders>
              <w:top w:val="single" w:sz="4" w:space="0" w:color="auto"/>
              <w:left w:val="single" w:sz="4" w:space="0" w:color="auto"/>
              <w:bottom w:val="single" w:sz="4" w:space="0" w:color="auto"/>
              <w:right w:val="single" w:sz="4" w:space="0" w:color="auto"/>
            </w:tcBorders>
          </w:tcPr>
          <w:p w14:paraId="785A2028" w14:textId="77777777" w:rsidR="00006FAB" w:rsidRDefault="00006FAB" w:rsidP="00006FAB">
            <w:pPr>
              <w:ind w:left="0" w:right="0"/>
            </w:pPr>
            <w:r>
              <w:t>Status</w:t>
            </w:r>
          </w:p>
        </w:tc>
        <w:tc>
          <w:tcPr>
            <w:tcW w:w="3009" w:type="dxa"/>
            <w:tcBorders>
              <w:top w:val="single" w:sz="4" w:space="0" w:color="auto"/>
              <w:left w:val="single" w:sz="4" w:space="0" w:color="auto"/>
              <w:bottom w:val="single" w:sz="4" w:space="0" w:color="auto"/>
              <w:right w:val="single" w:sz="4" w:space="0" w:color="auto"/>
            </w:tcBorders>
          </w:tcPr>
          <w:p w14:paraId="3490925F" w14:textId="77777777" w:rsidR="00006FAB" w:rsidRDefault="00006FAB" w:rsidP="00006FAB">
            <w:pPr>
              <w:ind w:left="0" w:right="0"/>
            </w:pPr>
            <w:r>
              <w:t>Approved indications</w:t>
            </w:r>
          </w:p>
        </w:tc>
      </w:tr>
      <w:tr w:rsidR="00006FAB" w14:paraId="5303F4EE" w14:textId="77777777" w:rsidTr="00803C01">
        <w:tc>
          <w:tcPr>
            <w:tcW w:w="1795" w:type="dxa"/>
            <w:tcBorders>
              <w:top w:val="single" w:sz="4" w:space="0" w:color="auto"/>
            </w:tcBorders>
          </w:tcPr>
          <w:p w14:paraId="67797A43" w14:textId="2C986645" w:rsidR="00006FAB" w:rsidRDefault="00007A3E" w:rsidP="00006FAB">
            <w:pPr>
              <w:ind w:left="0" w:right="0"/>
            </w:pPr>
            <w:r>
              <w:t xml:space="preserve">European Union </w:t>
            </w:r>
            <w:r w:rsidR="00F47FBA">
              <w:t>(</w:t>
            </w:r>
            <w:r>
              <w:t>centralised</w:t>
            </w:r>
            <w:r w:rsidR="00F47FBA">
              <w:t xml:space="preserve"> procedure)</w:t>
            </w:r>
          </w:p>
        </w:tc>
        <w:tc>
          <w:tcPr>
            <w:tcW w:w="1710" w:type="dxa"/>
            <w:tcBorders>
              <w:top w:val="single" w:sz="4" w:space="0" w:color="auto"/>
            </w:tcBorders>
          </w:tcPr>
          <w:p w14:paraId="3A545799" w14:textId="4F1FAFD7" w:rsidR="00006FAB" w:rsidRDefault="00007A3E" w:rsidP="00006FAB">
            <w:pPr>
              <w:ind w:left="0" w:right="0"/>
            </w:pPr>
            <w:r>
              <w:t>July 2020</w:t>
            </w:r>
          </w:p>
        </w:tc>
        <w:tc>
          <w:tcPr>
            <w:tcW w:w="1980" w:type="dxa"/>
            <w:tcBorders>
              <w:top w:val="single" w:sz="4" w:space="0" w:color="auto"/>
            </w:tcBorders>
          </w:tcPr>
          <w:p w14:paraId="50B15AB4" w14:textId="47319B9F" w:rsidR="00006FAB" w:rsidRDefault="00006FAB" w:rsidP="00006FAB">
            <w:pPr>
              <w:ind w:left="0" w:right="0"/>
            </w:pPr>
            <w:r w:rsidRPr="00006FAB">
              <w:t xml:space="preserve">Approved on </w:t>
            </w:r>
            <w:r w:rsidR="00007A3E">
              <w:t>20</w:t>
            </w:r>
            <w:r w:rsidR="00F47FBA">
              <w:t> </w:t>
            </w:r>
            <w:r w:rsidR="00007A3E">
              <w:t>August 2021</w:t>
            </w:r>
          </w:p>
        </w:tc>
        <w:tc>
          <w:tcPr>
            <w:tcW w:w="3009" w:type="dxa"/>
            <w:tcBorders>
              <w:top w:val="single" w:sz="4" w:space="0" w:color="auto"/>
            </w:tcBorders>
          </w:tcPr>
          <w:p w14:paraId="3EF1883A" w14:textId="6AB739EE" w:rsidR="00006FAB" w:rsidRPr="00DD06F5" w:rsidRDefault="00DD06F5" w:rsidP="00006FAB">
            <w:pPr>
              <w:ind w:left="0" w:right="0"/>
              <w:rPr>
                <w:i/>
                <w:iCs/>
              </w:rPr>
            </w:pPr>
            <w:proofErr w:type="spellStart"/>
            <w:r w:rsidRPr="00DD06F5">
              <w:rPr>
                <w:i/>
                <w:iCs/>
              </w:rPr>
              <w:t>Bimzelx</w:t>
            </w:r>
            <w:proofErr w:type="spellEnd"/>
            <w:r w:rsidRPr="00DD06F5">
              <w:rPr>
                <w:i/>
                <w:iCs/>
              </w:rPr>
              <w:t xml:space="preserve"> is a medicine used to treat plaque psoriasis, a disease that causes red, scaly patches on the skin. It is used in adults with moderate to severe disease who need systemic treatment (treatment with medicines affecting the whole body).</w:t>
            </w:r>
          </w:p>
        </w:tc>
      </w:tr>
      <w:tr w:rsidR="00006FAB" w14:paraId="048E0131" w14:textId="77777777" w:rsidTr="00803C01">
        <w:tc>
          <w:tcPr>
            <w:tcW w:w="1795" w:type="dxa"/>
          </w:tcPr>
          <w:p w14:paraId="59D842D3" w14:textId="581F7C5D" w:rsidR="00006FAB" w:rsidRDefault="00007A3E" w:rsidP="00006FAB">
            <w:pPr>
              <w:ind w:left="0" w:right="0"/>
            </w:pPr>
            <w:r>
              <w:t>United Kingdom</w:t>
            </w:r>
          </w:p>
        </w:tc>
        <w:tc>
          <w:tcPr>
            <w:tcW w:w="1710" w:type="dxa"/>
          </w:tcPr>
          <w:p w14:paraId="588875DD" w14:textId="41494DC9" w:rsidR="00006FAB" w:rsidRDefault="00007A3E" w:rsidP="00006FAB">
            <w:pPr>
              <w:ind w:left="0" w:right="0"/>
            </w:pPr>
            <w:r>
              <w:t>July 2020</w:t>
            </w:r>
          </w:p>
        </w:tc>
        <w:tc>
          <w:tcPr>
            <w:tcW w:w="1980" w:type="dxa"/>
          </w:tcPr>
          <w:p w14:paraId="061E77A1" w14:textId="552BEB4B" w:rsidR="00006FAB" w:rsidRDefault="00007A3E" w:rsidP="00006FAB">
            <w:pPr>
              <w:ind w:left="0" w:right="0"/>
            </w:pPr>
            <w:r w:rsidRPr="00006FAB">
              <w:t xml:space="preserve">Approved on </w:t>
            </w:r>
            <w:r>
              <w:t>25</w:t>
            </w:r>
            <w:r w:rsidR="00F47FBA">
              <w:t> </w:t>
            </w:r>
            <w:r>
              <w:t>August 2021</w:t>
            </w:r>
          </w:p>
        </w:tc>
        <w:tc>
          <w:tcPr>
            <w:tcW w:w="3009" w:type="dxa"/>
          </w:tcPr>
          <w:p w14:paraId="59E014E2" w14:textId="32AFF0DC" w:rsidR="00006FAB" w:rsidRPr="00DD06F5" w:rsidRDefault="00DD06F5" w:rsidP="00006FAB">
            <w:pPr>
              <w:ind w:left="0" w:right="0"/>
              <w:rPr>
                <w:i/>
                <w:iCs/>
              </w:rPr>
            </w:pPr>
            <w:proofErr w:type="spellStart"/>
            <w:r w:rsidRPr="00DD06F5">
              <w:rPr>
                <w:i/>
                <w:iCs/>
              </w:rPr>
              <w:t>Bimzelx</w:t>
            </w:r>
            <w:proofErr w:type="spellEnd"/>
            <w:r w:rsidRPr="00DD06F5">
              <w:rPr>
                <w:i/>
                <w:iCs/>
              </w:rPr>
              <w:t xml:space="preserve"> is indicated for the treatment of moderate to severe plaque psoriasis in adults who are candidates for systemic therapy.</w:t>
            </w:r>
          </w:p>
        </w:tc>
      </w:tr>
      <w:tr w:rsidR="00007A3E" w14:paraId="51829649" w14:textId="77777777" w:rsidTr="00803C01">
        <w:tc>
          <w:tcPr>
            <w:tcW w:w="1795" w:type="dxa"/>
          </w:tcPr>
          <w:p w14:paraId="758087CE" w14:textId="0C8518CC" w:rsidR="00007A3E" w:rsidRDefault="00007A3E" w:rsidP="00007A3E">
            <w:pPr>
              <w:ind w:left="0"/>
            </w:pPr>
            <w:r>
              <w:t>United States of America</w:t>
            </w:r>
          </w:p>
        </w:tc>
        <w:tc>
          <w:tcPr>
            <w:tcW w:w="1710" w:type="dxa"/>
          </w:tcPr>
          <w:p w14:paraId="5EE6EF6E" w14:textId="0C4CE2E6" w:rsidR="00007A3E" w:rsidRDefault="00007A3E" w:rsidP="00007A3E">
            <w:pPr>
              <w:ind w:left="0"/>
            </w:pPr>
            <w:r>
              <w:t>July 2020</w:t>
            </w:r>
          </w:p>
        </w:tc>
        <w:tc>
          <w:tcPr>
            <w:tcW w:w="1980" w:type="dxa"/>
          </w:tcPr>
          <w:p w14:paraId="5C7C4A11" w14:textId="25AEFA93" w:rsidR="00007A3E" w:rsidRPr="00006FAB" w:rsidRDefault="00007A3E" w:rsidP="00007A3E">
            <w:pPr>
              <w:ind w:left="0"/>
            </w:pPr>
            <w:r>
              <w:t>Under consideration</w:t>
            </w:r>
          </w:p>
        </w:tc>
        <w:tc>
          <w:tcPr>
            <w:tcW w:w="3009" w:type="dxa"/>
          </w:tcPr>
          <w:p w14:paraId="273258BA" w14:textId="30FB8449" w:rsidR="00007A3E" w:rsidRPr="00006FAB" w:rsidRDefault="00DD06F5" w:rsidP="00DD06F5">
            <w:pPr>
              <w:ind w:left="0"/>
            </w:pPr>
            <w:r>
              <w:t>Under consideration</w:t>
            </w:r>
          </w:p>
        </w:tc>
      </w:tr>
      <w:tr w:rsidR="00007A3E" w14:paraId="3AB380BC" w14:textId="77777777" w:rsidTr="00803C01">
        <w:tc>
          <w:tcPr>
            <w:tcW w:w="1795" w:type="dxa"/>
          </w:tcPr>
          <w:p w14:paraId="328476F7" w14:textId="3BAAE157" w:rsidR="00007A3E" w:rsidRDefault="00007A3E" w:rsidP="00007A3E">
            <w:pPr>
              <w:ind w:left="0"/>
            </w:pPr>
            <w:r>
              <w:t>Canada</w:t>
            </w:r>
          </w:p>
        </w:tc>
        <w:tc>
          <w:tcPr>
            <w:tcW w:w="1710" w:type="dxa"/>
          </w:tcPr>
          <w:p w14:paraId="1ED4A817" w14:textId="1742FD84" w:rsidR="00007A3E" w:rsidRDefault="00007A3E" w:rsidP="00007A3E">
            <w:pPr>
              <w:ind w:left="0"/>
            </w:pPr>
            <w:r>
              <w:t>January 2021</w:t>
            </w:r>
          </w:p>
        </w:tc>
        <w:tc>
          <w:tcPr>
            <w:tcW w:w="1980" w:type="dxa"/>
          </w:tcPr>
          <w:p w14:paraId="5F414356" w14:textId="31E14FCB" w:rsidR="00007A3E" w:rsidRPr="00006FAB" w:rsidRDefault="00007A3E" w:rsidP="00007A3E">
            <w:pPr>
              <w:ind w:left="0"/>
            </w:pPr>
            <w:r>
              <w:t>Under consideration</w:t>
            </w:r>
          </w:p>
        </w:tc>
        <w:tc>
          <w:tcPr>
            <w:tcW w:w="3009" w:type="dxa"/>
          </w:tcPr>
          <w:p w14:paraId="65C110EF" w14:textId="3C0EB30C" w:rsidR="00007A3E" w:rsidRPr="00006FAB" w:rsidRDefault="00DD06F5" w:rsidP="00DD06F5">
            <w:pPr>
              <w:ind w:left="0"/>
            </w:pPr>
            <w:r>
              <w:t>Under consideration</w:t>
            </w:r>
          </w:p>
        </w:tc>
      </w:tr>
      <w:tr w:rsidR="00007A3E" w14:paraId="1CDB7B70" w14:textId="77777777" w:rsidTr="00803C01">
        <w:tc>
          <w:tcPr>
            <w:tcW w:w="1795" w:type="dxa"/>
          </w:tcPr>
          <w:p w14:paraId="070EC146" w14:textId="051E90BD" w:rsidR="00007A3E" w:rsidRDefault="00007A3E" w:rsidP="00007A3E">
            <w:pPr>
              <w:ind w:left="0"/>
            </w:pPr>
            <w:r>
              <w:t>Switzerland</w:t>
            </w:r>
          </w:p>
        </w:tc>
        <w:tc>
          <w:tcPr>
            <w:tcW w:w="1710" w:type="dxa"/>
          </w:tcPr>
          <w:p w14:paraId="5C1945E3" w14:textId="499894A7" w:rsidR="00007A3E" w:rsidRDefault="00007A3E" w:rsidP="00007A3E">
            <w:pPr>
              <w:ind w:left="0"/>
            </w:pPr>
            <w:r>
              <w:t>June 2021</w:t>
            </w:r>
          </w:p>
        </w:tc>
        <w:tc>
          <w:tcPr>
            <w:tcW w:w="1980" w:type="dxa"/>
          </w:tcPr>
          <w:p w14:paraId="509AFCCA" w14:textId="2BBEEE3F" w:rsidR="00007A3E" w:rsidRPr="00006FAB" w:rsidRDefault="00007A3E" w:rsidP="00007A3E">
            <w:pPr>
              <w:ind w:left="0"/>
            </w:pPr>
            <w:r>
              <w:t>Under consideration</w:t>
            </w:r>
          </w:p>
        </w:tc>
        <w:tc>
          <w:tcPr>
            <w:tcW w:w="3009" w:type="dxa"/>
          </w:tcPr>
          <w:p w14:paraId="64E0BDBA" w14:textId="1AF794A0" w:rsidR="00007A3E" w:rsidRPr="00006FAB" w:rsidRDefault="00DD06F5" w:rsidP="00DD06F5">
            <w:pPr>
              <w:ind w:left="0"/>
            </w:pPr>
            <w:r>
              <w:t>Under consideration</w:t>
            </w:r>
          </w:p>
        </w:tc>
      </w:tr>
      <w:tr w:rsidR="00007A3E" w14:paraId="6F7BDB94" w14:textId="77777777" w:rsidTr="00803C01">
        <w:tc>
          <w:tcPr>
            <w:tcW w:w="1795" w:type="dxa"/>
          </w:tcPr>
          <w:p w14:paraId="4EF087FE" w14:textId="6D6502C7" w:rsidR="00007A3E" w:rsidRDefault="00007A3E" w:rsidP="00007A3E">
            <w:pPr>
              <w:ind w:left="0"/>
            </w:pPr>
            <w:r>
              <w:t>Japan</w:t>
            </w:r>
          </w:p>
        </w:tc>
        <w:tc>
          <w:tcPr>
            <w:tcW w:w="1710" w:type="dxa"/>
          </w:tcPr>
          <w:p w14:paraId="7C9DE8BF" w14:textId="7AC986CD" w:rsidR="00007A3E" w:rsidRDefault="00007A3E" w:rsidP="00007A3E">
            <w:pPr>
              <w:ind w:left="0"/>
            </w:pPr>
            <w:r>
              <w:t>February 2021</w:t>
            </w:r>
          </w:p>
        </w:tc>
        <w:tc>
          <w:tcPr>
            <w:tcW w:w="1980" w:type="dxa"/>
          </w:tcPr>
          <w:p w14:paraId="50F6E08C" w14:textId="56C6B603" w:rsidR="00007A3E" w:rsidRPr="00006FAB" w:rsidRDefault="00007A3E" w:rsidP="00007A3E">
            <w:pPr>
              <w:ind w:left="0"/>
            </w:pPr>
            <w:r>
              <w:t>Under consideration</w:t>
            </w:r>
          </w:p>
        </w:tc>
        <w:tc>
          <w:tcPr>
            <w:tcW w:w="3009" w:type="dxa"/>
          </w:tcPr>
          <w:p w14:paraId="2A1129C3" w14:textId="270D799F" w:rsidR="00007A3E" w:rsidRPr="00006FAB" w:rsidRDefault="00DD06F5" w:rsidP="00DD06F5">
            <w:pPr>
              <w:ind w:left="0"/>
            </w:pPr>
            <w:r>
              <w:t>Under consideration</w:t>
            </w:r>
          </w:p>
        </w:tc>
      </w:tr>
    </w:tbl>
    <w:p w14:paraId="11F209F3" w14:textId="1005CD33" w:rsidR="00DD06F5" w:rsidRPr="00DD06F5" w:rsidRDefault="00DD06F5" w:rsidP="00E13D48">
      <w:pPr>
        <w:rPr>
          <w:lang w:eastAsia="ja-JP"/>
        </w:rPr>
      </w:pPr>
      <w:r w:rsidRPr="00FA5CC4">
        <w:rPr>
          <w:lang w:eastAsia="ja-JP"/>
        </w:rPr>
        <w:t xml:space="preserve">The applicant did not seek guidance from the TGA. Regulatory guidance was sought from the </w:t>
      </w:r>
      <w:r w:rsidR="00F47FBA">
        <w:rPr>
          <w:lang w:eastAsia="ja-JP"/>
        </w:rPr>
        <w:t xml:space="preserve">US </w:t>
      </w:r>
      <w:r w:rsidR="0003207C">
        <w:rPr>
          <w:lang w:eastAsia="ja-JP"/>
        </w:rPr>
        <w:t>Food and Drug Administration (</w:t>
      </w:r>
      <w:r w:rsidRPr="00FA5CC4">
        <w:rPr>
          <w:lang w:eastAsia="ja-JP"/>
        </w:rPr>
        <w:t>FDA</w:t>
      </w:r>
      <w:r w:rsidR="0003207C">
        <w:rPr>
          <w:lang w:eastAsia="ja-JP"/>
        </w:rPr>
        <w:t>)</w:t>
      </w:r>
      <w:r w:rsidRPr="00FA5CC4">
        <w:rPr>
          <w:lang w:eastAsia="ja-JP"/>
        </w:rPr>
        <w:t xml:space="preserve"> and </w:t>
      </w:r>
      <w:r w:rsidR="0003207C">
        <w:rPr>
          <w:lang w:eastAsia="ja-JP"/>
        </w:rPr>
        <w:t>European Medicines Agency (</w:t>
      </w:r>
      <w:r w:rsidRPr="00FA5CC4">
        <w:rPr>
          <w:lang w:eastAsia="ja-JP"/>
        </w:rPr>
        <w:t>EMA</w:t>
      </w:r>
      <w:r w:rsidR="0003207C">
        <w:rPr>
          <w:lang w:eastAsia="ja-JP"/>
        </w:rPr>
        <w:t>)</w:t>
      </w:r>
      <w:r w:rsidRPr="00FA5CC4">
        <w:rPr>
          <w:lang w:eastAsia="ja-JP"/>
        </w:rPr>
        <w:t>.</w:t>
      </w:r>
      <w:r>
        <w:rPr>
          <w:lang w:eastAsia="ja-JP"/>
        </w:rPr>
        <w:t xml:space="preserve"> The </w:t>
      </w:r>
      <w:r>
        <w:rPr>
          <w:lang w:val="en-US"/>
        </w:rPr>
        <w:t>f</w:t>
      </w:r>
      <w:r w:rsidRPr="00FA5CC4">
        <w:rPr>
          <w:lang w:val="en-US"/>
        </w:rPr>
        <w:t>eedback from both FDA and EMA was considered in the final clinical development plan</w:t>
      </w:r>
      <w:r>
        <w:rPr>
          <w:lang w:val="en-US"/>
        </w:rPr>
        <w:t xml:space="preserve"> by the sponsor</w:t>
      </w:r>
      <w:r w:rsidRPr="00FA5CC4">
        <w:rPr>
          <w:lang w:val="en-US"/>
        </w:rPr>
        <w:t xml:space="preserve">. The design of the program is consistent with the Committee for Medicinal </w:t>
      </w:r>
      <w:r w:rsidRPr="00FA5CC4">
        <w:rPr>
          <w:lang w:val="en-US"/>
        </w:rPr>
        <w:lastRenderedPageBreak/>
        <w:t>Products for Human Use (CHMP) Guideline on Clinical Investigation of Medicinal Products Indicated for the Treatment of Psoriasis.</w:t>
      </w:r>
      <w:bookmarkStart w:id="33" w:name="_Ref129858909"/>
      <w:r w:rsidR="00AB20A6">
        <w:rPr>
          <w:rStyle w:val="FootnoteReference"/>
          <w:lang w:val="en-US"/>
        </w:rPr>
        <w:footnoteReference w:id="30"/>
      </w:r>
      <w:bookmarkEnd w:id="33"/>
    </w:p>
    <w:p w14:paraId="0D747A80" w14:textId="4A07AC2B" w:rsidR="00DD06F5" w:rsidRPr="00FA5CC4" w:rsidRDefault="00DD06F5" w:rsidP="00E13D48">
      <w:pPr>
        <w:rPr>
          <w:lang w:val="en-US"/>
        </w:rPr>
      </w:pPr>
      <w:r w:rsidRPr="00FA5CC4">
        <w:rPr>
          <w:lang w:val="en-US"/>
        </w:rPr>
        <w:t xml:space="preserve">Prior to initiating the global Phase </w:t>
      </w:r>
      <w:r>
        <w:rPr>
          <w:lang w:val="en-US"/>
        </w:rPr>
        <w:t>II</w:t>
      </w:r>
      <w:r w:rsidRPr="00FA5CC4">
        <w:rPr>
          <w:lang w:val="en-US"/>
        </w:rPr>
        <w:t xml:space="preserve"> and Phase </w:t>
      </w:r>
      <w:r>
        <w:rPr>
          <w:lang w:val="en-US"/>
        </w:rPr>
        <w:t>III</w:t>
      </w:r>
      <w:r w:rsidRPr="00FA5CC4">
        <w:rPr>
          <w:lang w:val="en-US"/>
        </w:rPr>
        <w:t xml:space="preserve"> studies, EMA </w:t>
      </w:r>
      <w:r w:rsidR="00AB20A6">
        <w:rPr>
          <w:lang w:val="en-US"/>
        </w:rPr>
        <w:t>s</w:t>
      </w:r>
      <w:r w:rsidRPr="00FA5CC4">
        <w:rPr>
          <w:lang w:val="en-US"/>
        </w:rPr>
        <w:t xml:space="preserve">cientific </w:t>
      </w:r>
      <w:r w:rsidR="00AB20A6">
        <w:rPr>
          <w:lang w:val="en-US"/>
        </w:rPr>
        <w:t>a</w:t>
      </w:r>
      <w:r w:rsidRPr="00FA5CC4">
        <w:rPr>
          <w:lang w:val="en-US"/>
        </w:rPr>
        <w:t xml:space="preserve">dvice was sought and obtained on the nonclinical, quality, and clinical development plan for psoriasis and for the development of the device presentations and </w:t>
      </w:r>
      <w:proofErr w:type="spellStart"/>
      <w:r w:rsidRPr="00FA5CC4">
        <w:rPr>
          <w:lang w:val="en-US"/>
        </w:rPr>
        <w:t>neutrali</w:t>
      </w:r>
      <w:r w:rsidR="00AB20A6">
        <w:rPr>
          <w:lang w:val="en-US"/>
        </w:rPr>
        <w:t>s</w:t>
      </w:r>
      <w:r w:rsidRPr="00FA5CC4">
        <w:rPr>
          <w:lang w:val="en-US"/>
        </w:rPr>
        <w:t>ing</w:t>
      </w:r>
      <w:proofErr w:type="spellEnd"/>
      <w:r w:rsidRPr="00FA5CC4">
        <w:rPr>
          <w:lang w:val="en-US"/>
        </w:rPr>
        <w:t xml:space="preserve"> antibody assay format. In parallel, input from the FDA on the proposed </w:t>
      </w:r>
      <w:r w:rsidR="008B40FD">
        <w:rPr>
          <w:lang w:val="en-US"/>
        </w:rPr>
        <w:t>psoriasis</w:t>
      </w:r>
      <w:r w:rsidRPr="00FA5CC4">
        <w:rPr>
          <w:lang w:val="en-US"/>
        </w:rPr>
        <w:t xml:space="preserve"> development program was obtained through a </w:t>
      </w:r>
      <w:r w:rsidR="00AB20A6">
        <w:rPr>
          <w:lang w:val="en-US"/>
        </w:rPr>
        <w:t>p</w:t>
      </w:r>
      <w:r w:rsidR="00AB20A6" w:rsidRPr="00AB20A6">
        <w:rPr>
          <w:lang w:val="en-US"/>
        </w:rPr>
        <w:t>re-</w:t>
      </w:r>
      <w:r w:rsidR="00AB20A6">
        <w:rPr>
          <w:lang w:val="en-US"/>
        </w:rPr>
        <w:t>i</w:t>
      </w:r>
      <w:r w:rsidR="00AB20A6" w:rsidRPr="00AB20A6">
        <w:rPr>
          <w:lang w:val="en-US"/>
        </w:rPr>
        <w:t xml:space="preserve">nvestigational </w:t>
      </w:r>
      <w:r w:rsidR="00AB20A6">
        <w:rPr>
          <w:lang w:val="en-US"/>
        </w:rPr>
        <w:t>n</w:t>
      </w:r>
      <w:r w:rsidR="00AB20A6" w:rsidRPr="00AB20A6">
        <w:rPr>
          <w:lang w:val="en-US"/>
        </w:rPr>
        <w:t xml:space="preserve">ew </w:t>
      </w:r>
      <w:r w:rsidR="00AB20A6">
        <w:rPr>
          <w:lang w:val="en-US"/>
        </w:rPr>
        <w:t>d</w:t>
      </w:r>
      <w:r w:rsidR="00AB20A6" w:rsidRPr="00AB20A6">
        <w:rPr>
          <w:lang w:val="en-US"/>
        </w:rPr>
        <w:t xml:space="preserve">rug </w:t>
      </w:r>
      <w:r w:rsidRPr="00FA5CC4">
        <w:rPr>
          <w:lang w:val="en-US"/>
        </w:rPr>
        <w:t>meeting.</w:t>
      </w:r>
    </w:p>
    <w:p w14:paraId="68EFD8ED" w14:textId="5150618E" w:rsidR="00DD06F5" w:rsidRPr="00DD06F5" w:rsidRDefault="00DD06F5" w:rsidP="00DD06F5">
      <w:pPr>
        <w:rPr>
          <w:lang w:val="en-US"/>
        </w:rPr>
      </w:pPr>
      <w:r w:rsidRPr="00FA5CC4">
        <w:rPr>
          <w:lang w:val="en-US"/>
        </w:rPr>
        <w:t>The TGA has adopted the EU ‘Guideline on clinical investigation of medicinal products indicated for the treatment of Psoriasis’</w:t>
      </w:r>
      <w:r w:rsidR="00AB20A6">
        <w:rPr>
          <w:lang w:val="en-US"/>
        </w:rPr>
        <w:t>.</w:t>
      </w:r>
      <w:r w:rsidR="00AB20A6">
        <w:rPr>
          <w:lang w:val="en-US"/>
        </w:rPr>
        <w:fldChar w:fldCharType="begin"/>
      </w:r>
      <w:r w:rsidR="00AB20A6">
        <w:rPr>
          <w:lang w:val="en-US"/>
        </w:rPr>
        <w:instrText xml:space="preserve"> NOTEREF _Ref129858909 \f \h </w:instrText>
      </w:r>
      <w:r w:rsidR="00AB20A6">
        <w:rPr>
          <w:lang w:val="en-US"/>
        </w:rPr>
      </w:r>
      <w:r w:rsidR="00AB20A6">
        <w:rPr>
          <w:lang w:val="en-US"/>
        </w:rPr>
        <w:fldChar w:fldCharType="separate"/>
      </w:r>
      <w:r w:rsidR="00B54079" w:rsidRPr="00B54079">
        <w:rPr>
          <w:rStyle w:val="FootnoteReference"/>
        </w:rPr>
        <w:t>30</w:t>
      </w:r>
      <w:r w:rsidR="00AB20A6">
        <w:rPr>
          <w:lang w:val="en-US"/>
        </w:rPr>
        <w:fldChar w:fldCharType="end"/>
      </w:r>
    </w:p>
    <w:p w14:paraId="56D0552B" w14:textId="4669EE82" w:rsidR="008E7846" w:rsidRDefault="008E7846" w:rsidP="00940A89">
      <w:pPr>
        <w:pStyle w:val="Heading3"/>
      </w:pPr>
      <w:bookmarkStart w:id="34" w:name="_Toc132726789"/>
      <w:r>
        <w:t>Product Information</w:t>
      </w:r>
      <w:bookmarkEnd w:id="30"/>
      <w:bookmarkEnd w:id="31"/>
      <w:bookmarkEnd w:id="34"/>
    </w:p>
    <w:p w14:paraId="11603E72" w14:textId="13BB6CE4" w:rsidR="00332715" w:rsidRDefault="00332715" w:rsidP="00332715">
      <w:bookmarkStart w:id="35" w:name="_Toc504480011"/>
      <w:bookmarkStart w:id="36" w:name="_Toc247691506"/>
      <w:bookmarkStart w:id="37" w:name="_Toc314842487"/>
      <w:r>
        <w:t xml:space="preserve">The Product Information (PI) approved with the submission which is described in this </w:t>
      </w:r>
      <w:proofErr w:type="spellStart"/>
      <w:r>
        <w:t>AusPAR</w:t>
      </w:r>
      <w:proofErr w:type="spellEnd"/>
      <w:r>
        <w:t xml:space="preserve"> can be found as Attachment 1. For the most recent PI, please refer to the TGA </w:t>
      </w:r>
      <w:hyperlink r:id="rId18" w:history="1">
        <w:r>
          <w:rPr>
            <w:rStyle w:val="Hyperlink"/>
          </w:rPr>
          <w:t>PI/CMI search facility</w:t>
        </w:r>
        <w:r w:rsidRPr="009556D7">
          <w:rPr>
            <w:rStyle w:val="Hyperlink"/>
            <w:color w:val="auto"/>
            <w:u w:val="none"/>
          </w:rPr>
          <w:t>.</w:t>
        </w:r>
      </w:hyperlink>
    </w:p>
    <w:p w14:paraId="5737D948" w14:textId="77777777" w:rsidR="00500337" w:rsidRDefault="00500337" w:rsidP="00500337">
      <w:pPr>
        <w:pStyle w:val="Heading2"/>
      </w:pPr>
      <w:bookmarkStart w:id="38" w:name="_Toc132726790"/>
      <w:r>
        <w:t>Registration timeline</w:t>
      </w:r>
      <w:bookmarkEnd w:id="35"/>
      <w:bookmarkEnd w:id="38"/>
    </w:p>
    <w:p w14:paraId="14977A92" w14:textId="77777777" w:rsidR="0074163C" w:rsidRPr="00C93EC1" w:rsidRDefault="0074163C" w:rsidP="0074163C">
      <w:r w:rsidRPr="00C93EC1">
        <w:t xml:space="preserve">The following table captures the key steps and dates for this </w:t>
      </w:r>
      <w:r w:rsidR="00804D99">
        <w:t>submission</w:t>
      </w:r>
      <w:r w:rsidRPr="00C93EC1">
        <w:t>.</w:t>
      </w:r>
    </w:p>
    <w:p w14:paraId="1727BA1E" w14:textId="5AAC9EE7" w:rsidR="0074163C" w:rsidRPr="00007A3E" w:rsidRDefault="0074163C" w:rsidP="00007A3E">
      <w:pPr>
        <w:pStyle w:val="TableTitle"/>
      </w:pPr>
      <w:r>
        <w:t xml:space="preserve">Table </w:t>
      </w:r>
      <w:r w:rsidR="00172397">
        <w:fldChar w:fldCharType="begin"/>
      </w:r>
      <w:r w:rsidR="00172397">
        <w:instrText xml:space="preserve"> SEQ Table \* ARABIC </w:instrText>
      </w:r>
      <w:r w:rsidR="00172397">
        <w:fldChar w:fldCharType="separate"/>
      </w:r>
      <w:r w:rsidR="00B54079">
        <w:rPr>
          <w:noProof/>
        </w:rPr>
        <w:t>3</w:t>
      </w:r>
      <w:r w:rsidR="00172397">
        <w:rPr>
          <w:noProof/>
        </w:rPr>
        <w:fldChar w:fldCharType="end"/>
      </w:r>
      <w:r>
        <w:t>:</w:t>
      </w:r>
      <w:r w:rsidRPr="006A58A8">
        <w:t xml:space="preserve"> Timeline for Submission PM-20</w:t>
      </w:r>
      <w:r>
        <w:t>2</w:t>
      </w:r>
      <w:r w:rsidR="00007A3E">
        <w:t>0</w:t>
      </w:r>
      <w:r w:rsidRPr="006A58A8">
        <w:t>-</w:t>
      </w:r>
      <w:r w:rsidR="00007A3E">
        <w:t>06299</w:t>
      </w:r>
      <w:r w:rsidRPr="006A58A8">
        <w:t>-1-</w:t>
      </w:r>
      <w:r w:rsidR="00007A3E">
        <w:t>1</w:t>
      </w:r>
    </w:p>
    <w:tbl>
      <w:tblPr>
        <w:tblStyle w:val="TableTGAblue"/>
        <w:tblW w:w="0" w:type="auto"/>
        <w:tblLook w:val="04A0" w:firstRow="1" w:lastRow="0" w:firstColumn="1" w:lastColumn="0" w:noHBand="0" w:noVBand="1"/>
      </w:tblPr>
      <w:tblGrid>
        <w:gridCol w:w="4255"/>
        <w:gridCol w:w="4239"/>
      </w:tblGrid>
      <w:tr w:rsidR="0074163C" w14:paraId="0EF14872" w14:textId="77777777" w:rsidTr="009E5A87">
        <w:trPr>
          <w:cnfStyle w:val="100000000000" w:firstRow="1" w:lastRow="0" w:firstColumn="0" w:lastColumn="0" w:oddVBand="0" w:evenVBand="0" w:oddHBand="0" w:evenHBand="0" w:firstRowFirstColumn="0" w:firstRowLastColumn="0" w:lastRowFirstColumn="0" w:lastRowLastColumn="0"/>
        </w:trPr>
        <w:tc>
          <w:tcPr>
            <w:tcW w:w="4360" w:type="dxa"/>
            <w:tcBorders>
              <w:top w:val="single" w:sz="4" w:space="0" w:color="auto"/>
              <w:left w:val="single" w:sz="4" w:space="0" w:color="auto"/>
              <w:bottom w:val="single" w:sz="4" w:space="0" w:color="auto"/>
              <w:right w:val="single" w:sz="4" w:space="0" w:color="auto"/>
            </w:tcBorders>
          </w:tcPr>
          <w:p w14:paraId="6A1BCC77" w14:textId="77777777" w:rsidR="0074163C" w:rsidRDefault="0074163C" w:rsidP="009E5A87">
            <w:r>
              <w:t>Description</w:t>
            </w:r>
          </w:p>
        </w:tc>
        <w:tc>
          <w:tcPr>
            <w:tcW w:w="4360" w:type="dxa"/>
            <w:tcBorders>
              <w:top w:val="single" w:sz="4" w:space="0" w:color="auto"/>
              <w:left w:val="single" w:sz="4" w:space="0" w:color="auto"/>
              <w:bottom w:val="single" w:sz="4" w:space="0" w:color="auto"/>
              <w:right w:val="single" w:sz="4" w:space="0" w:color="auto"/>
            </w:tcBorders>
          </w:tcPr>
          <w:p w14:paraId="477FDA94" w14:textId="77777777" w:rsidR="0074163C" w:rsidRDefault="0074163C" w:rsidP="009E5A87">
            <w:r>
              <w:t>Date</w:t>
            </w:r>
          </w:p>
        </w:tc>
      </w:tr>
      <w:tr w:rsidR="0074163C" w14:paraId="61AB7BC6" w14:textId="77777777" w:rsidTr="009E5A87">
        <w:tc>
          <w:tcPr>
            <w:tcW w:w="4360" w:type="dxa"/>
            <w:tcBorders>
              <w:top w:val="single" w:sz="4" w:space="0" w:color="auto"/>
            </w:tcBorders>
          </w:tcPr>
          <w:p w14:paraId="5974E75F" w14:textId="77777777" w:rsidR="0074163C" w:rsidRDefault="0074163C" w:rsidP="009E5A87">
            <w:r>
              <w:t>Submission dossier accepted and first round evaluation commenced</w:t>
            </w:r>
          </w:p>
        </w:tc>
        <w:tc>
          <w:tcPr>
            <w:tcW w:w="4360" w:type="dxa"/>
            <w:tcBorders>
              <w:top w:val="single" w:sz="4" w:space="0" w:color="auto"/>
            </w:tcBorders>
          </w:tcPr>
          <w:p w14:paraId="74DD1CEC" w14:textId="10E47719" w:rsidR="0074163C" w:rsidRDefault="00320664" w:rsidP="009E5A87">
            <w:r>
              <w:t>1 March 2021</w:t>
            </w:r>
          </w:p>
        </w:tc>
      </w:tr>
      <w:tr w:rsidR="0074163C" w14:paraId="20500AC0" w14:textId="77777777" w:rsidTr="009E5A87">
        <w:tc>
          <w:tcPr>
            <w:tcW w:w="4360" w:type="dxa"/>
          </w:tcPr>
          <w:p w14:paraId="0AB84675" w14:textId="77777777" w:rsidR="0074163C" w:rsidRDefault="0074163C" w:rsidP="009E5A87">
            <w:r>
              <w:t>First round evaluation completed</w:t>
            </w:r>
          </w:p>
        </w:tc>
        <w:tc>
          <w:tcPr>
            <w:tcW w:w="4360" w:type="dxa"/>
          </w:tcPr>
          <w:p w14:paraId="5A739CB7" w14:textId="0E300330" w:rsidR="0074163C" w:rsidRDefault="00320664" w:rsidP="009E5A87">
            <w:r>
              <w:t>26 July 2021</w:t>
            </w:r>
          </w:p>
        </w:tc>
      </w:tr>
      <w:tr w:rsidR="0074163C" w14:paraId="31D1294E" w14:textId="77777777" w:rsidTr="009E5A87">
        <w:tc>
          <w:tcPr>
            <w:tcW w:w="4360" w:type="dxa"/>
          </w:tcPr>
          <w:p w14:paraId="39B91B4D" w14:textId="77777777" w:rsidR="0074163C" w:rsidRDefault="0074163C" w:rsidP="009E5A87">
            <w:r>
              <w:t>Sponsor provides responses on questions raised in first round evaluation</w:t>
            </w:r>
          </w:p>
        </w:tc>
        <w:tc>
          <w:tcPr>
            <w:tcW w:w="4360" w:type="dxa"/>
          </w:tcPr>
          <w:p w14:paraId="0D59319E" w14:textId="42A3E966" w:rsidR="0074163C" w:rsidRDefault="00320664" w:rsidP="009E5A87">
            <w:r>
              <w:t>24 September 2021</w:t>
            </w:r>
          </w:p>
        </w:tc>
      </w:tr>
      <w:tr w:rsidR="0074163C" w14:paraId="418B049B" w14:textId="77777777" w:rsidTr="009E5A87">
        <w:tc>
          <w:tcPr>
            <w:tcW w:w="4360" w:type="dxa"/>
          </w:tcPr>
          <w:p w14:paraId="402A63F0" w14:textId="77777777" w:rsidR="0074163C" w:rsidRDefault="0074163C" w:rsidP="009E5A87">
            <w:r>
              <w:t>Second round evaluation completed</w:t>
            </w:r>
          </w:p>
        </w:tc>
        <w:tc>
          <w:tcPr>
            <w:tcW w:w="4360" w:type="dxa"/>
          </w:tcPr>
          <w:p w14:paraId="3548B66B" w14:textId="2CDB308C" w:rsidR="0074163C" w:rsidRDefault="00320664" w:rsidP="009E5A87">
            <w:r>
              <w:t>11 November 2021</w:t>
            </w:r>
          </w:p>
        </w:tc>
      </w:tr>
      <w:tr w:rsidR="0074163C" w14:paraId="7FF4B9B2" w14:textId="77777777" w:rsidTr="009E5A87">
        <w:tc>
          <w:tcPr>
            <w:tcW w:w="4360" w:type="dxa"/>
          </w:tcPr>
          <w:p w14:paraId="0D3C9111" w14:textId="6EFD2A91" w:rsidR="0074163C" w:rsidRDefault="0074163C" w:rsidP="009E5A87">
            <w:r>
              <w:t xml:space="preserve">Delegate’s Overall benefit-risk assessment </w:t>
            </w:r>
            <w:r w:rsidRPr="00007A3E">
              <w:rPr>
                <w:color w:val="auto"/>
              </w:rPr>
              <w:t>and request for Advisory Committee advice</w:t>
            </w:r>
          </w:p>
        </w:tc>
        <w:tc>
          <w:tcPr>
            <w:tcW w:w="4360" w:type="dxa"/>
          </w:tcPr>
          <w:p w14:paraId="6795FC16" w14:textId="7444881C" w:rsidR="0074163C" w:rsidRDefault="00007A3E" w:rsidP="009E5A87">
            <w:r>
              <w:t>23 December 2021</w:t>
            </w:r>
          </w:p>
        </w:tc>
      </w:tr>
      <w:tr w:rsidR="0074163C" w14:paraId="69C1E1EB" w14:textId="77777777" w:rsidTr="009E5A87">
        <w:tc>
          <w:tcPr>
            <w:tcW w:w="4360" w:type="dxa"/>
          </w:tcPr>
          <w:p w14:paraId="6A84DC78" w14:textId="77777777" w:rsidR="0074163C" w:rsidRDefault="0074163C" w:rsidP="009E5A87">
            <w:r>
              <w:t>Sponsor’s pre-Advisory Committee response</w:t>
            </w:r>
          </w:p>
        </w:tc>
        <w:tc>
          <w:tcPr>
            <w:tcW w:w="4360" w:type="dxa"/>
          </w:tcPr>
          <w:p w14:paraId="060ADCB6" w14:textId="1581CCAC" w:rsidR="0074163C" w:rsidRDefault="00007A3E" w:rsidP="009E5A87">
            <w:r>
              <w:t>17 January 2022</w:t>
            </w:r>
          </w:p>
        </w:tc>
      </w:tr>
      <w:tr w:rsidR="0074163C" w14:paraId="1D021DA3" w14:textId="77777777" w:rsidTr="009E5A87">
        <w:tc>
          <w:tcPr>
            <w:tcW w:w="4360" w:type="dxa"/>
          </w:tcPr>
          <w:p w14:paraId="4E04F03A" w14:textId="77777777" w:rsidR="0074163C" w:rsidRDefault="0074163C" w:rsidP="009E5A87">
            <w:r>
              <w:t>Advisory Committee meeting</w:t>
            </w:r>
          </w:p>
        </w:tc>
        <w:tc>
          <w:tcPr>
            <w:tcW w:w="4360" w:type="dxa"/>
          </w:tcPr>
          <w:p w14:paraId="2E80C494" w14:textId="032B1DEE" w:rsidR="0074163C" w:rsidRDefault="00007A3E" w:rsidP="009E5A87">
            <w:r>
              <w:t>3 and 4 February 2022</w:t>
            </w:r>
          </w:p>
        </w:tc>
      </w:tr>
      <w:tr w:rsidR="0074163C" w14:paraId="634D2C98" w14:textId="77777777" w:rsidTr="009E5A87">
        <w:tc>
          <w:tcPr>
            <w:tcW w:w="4360" w:type="dxa"/>
          </w:tcPr>
          <w:p w14:paraId="7537AEB5" w14:textId="77777777" w:rsidR="0074163C" w:rsidRDefault="0074163C" w:rsidP="009E5A87">
            <w:r>
              <w:t>Registration decision (Outcome)</w:t>
            </w:r>
          </w:p>
        </w:tc>
        <w:tc>
          <w:tcPr>
            <w:tcW w:w="4360" w:type="dxa"/>
          </w:tcPr>
          <w:p w14:paraId="7436544E" w14:textId="27B33843" w:rsidR="0074163C" w:rsidRDefault="00320664" w:rsidP="009E5A87">
            <w:r>
              <w:t>17 March 2022</w:t>
            </w:r>
          </w:p>
        </w:tc>
      </w:tr>
      <w:tr w:rsidR="0074163C" w14:paraId="6E2646B1" w14:textId="77777777" w:rsidTr="009E5A87">
        <w:tc>
          <w:tcPr>
            <w:tcW w:w="4360" w:type="dxa"/>
          </w:tcPr>
          <w:p w14:paraId="22B4B197" w14:textId="77777777" w:rsidR="0074163C" w:rsidRDefault="0074163C" w:rsidP="009E5A87">
            <w:r w:rsidRPr="005A79F5">
              <w:t>Completion of administrative activities and registration on the ARTG</w:t>
            </w:r>
          </w:p>
        </w:tc>
        <w:tc>
          <w:tcPr>
            <w:tcW w:w="4360" w:type="dxa"/>
          </w:tcPr>
          <w:p w14:paraId="090DB6B0" w14:textId="4881D5DB" w:rsidR="0074163C" w:rsidRDefault="00320664" w:rsidP="009E5A87">
            <w:r>
              <w:t>24 March 2022</w:t>
            </w:r>
          </w:p>
        </w:tc>
      </w:tr>
      <w:tr w:rsidR="0074163C" w14:paraId="2E93BC00" w14:textId="77777777" w:rsidTr="009E5A87">
        <w:tc>
          <w:tcPr>
            <w:tcW w:w="4360" w:type="dxa"/>
          </w:tcPr>
          <w:p w14:paraId="4D72DC73" w14:textId="77777777" w:rsidR="0074163C" w:rsidRDefault="0074163C" w:rsidP="009E5A87">
            <w:r>
              <w:lastRenderedPageBreak/>
              <w:t>Number of working days from submission dossier acceptance to registration decision*</w:t>
            </w:r>
          </w:p>
        </w:tc>
        <w:tc>
          <w:tcPr>
            <w:tcW w:w="4360" w:type="dxa"/>
          </w:tcPr>
          <w:p w14:paraId="4A801433" w14:textId="331F616E" w:rsidR="0074163C" w:rsidRDefault="00320664" w:rsidP="009E5A87">
            <w:r>
              <w:t>216</w:t>
            </w:r>
          </w:p>
        </w:tc>
      </w:tr>
    </w:tbl>
    <w:p w14:paraId="74A00CCF" w14:textId="77777777" w:rsidR="0074163C" w:rsidRDefault="0074163C" w:rsidP="0074163C">
      <w:pPr>
        <w:pStyle w:val="TableDescription"/>
      </w:pPr>
      <w:r>
        <w:t>*</w:t>
      </w:r>
      <w:r w:rsidRPr="00BF3774">
        <w:t xml:space="preserve">Statutory </w:t>
      </w:r>
      <w:r>
        <w:t xml:space="preserve">timeframe for standard </w:t>
      </w:r>
      <w:r w:rsidR="00BB0B78">
        <w:t>submission</w:t>
      </w:r>
      <w:r>
        <w:t>s is 255 working days</w:t>
      </w:r>
    </w:p>
    <w:p w14:paraId="7578BF45" w14:textId="77777777" w:rsidR="008E7846" w:rsidRPr="00792A32" w:rsidRDefault="00006FAB" w:rsidP="008E7846">
      <w:pPr>
        <w:pStyle w:val="Heading2"/>
      </w:pPr>
      <w:bookmarkStart w:id="39" w:name="_Toc196046504"/>
      <w:bookmarkStart w:id="40" w:name="_Toc247691527"/>
      <w:bookmarkStart w:id="41" w:name="_Toc314842510"/>
      <w:bookmarkStart w:id="42" w:name="_Toc132726791"/>
      <w:bookmarkStart w:id="43" w:name="_Toc163441390"/>
      <w:bookmarkEnd w:id="36"/>
      <w:bookmarkEnd w:id="37"/>
      <w:bookmarkEnd w:id="1"/>
      <w:r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39"/>
      <w:bookmarkEnd w:id="40"/>
      <w:bookmarkEnd w:id="41"/>
      <w:bookmarkEnd w:id="42"/>
    </w:p>
    <w:p w14:paraId="344EAD28" w14:textId="77777777" w:rsidR="005A79F5" w:rsidRDefault="005A79F5" w:rsidP="0074163C">
      <w:pPr>
        <w:pStyle w:val="Instructions"/>
        <w:rPr>
          <w:i w:val="0"/>
          <w:color w:val="auto"/>
        </w:rPr>
      </w:pPr>
      <w:bookmarkStart w:id="44" w:name="_Toc247691528"/>
      <w:bookmarkStart w:id="45" w:name="_Toc314842511"/>
      <w:r w:rsidRPr="005A79F5">
        <w:rPr>
          <w:i w:val="0"/>
          <w:color w:val="auto"/>
        </w:rPr>
        <w:t>A summary of the TGA’s assessment for this submission is provided below</w:t>
      </w:r>
      <w:r>
        <w:rPr>
          <w:i w:val="0"/>
          <w:color w:val="auto"/>
        </w:rPr>
        <w:t>.</w:t>
      </w:r>
    </w:p>
    <w:p w14:paraId="52F5DABA" w14:textId="77777777" w:rsidR="008E7846" w:rsidRDefault="008E7846" w:rsidP="008E7846">
      <w:pPr>
        <w:pStyle w:val="Heading3"/>
      </w:pPr>
      <w:bookmarkStart w:id="46" w:name="_Toc132726792"/>
      <w:r>
        <w:t>Quality</w:t>
      </w:r>
      <w:bookmarkEnd w:id="44"/>
      <w:bookmarkEnd w:id="45"/>
      <w:bookmarkEnd w:id="46"/>
    </w:p>
    <w:p w14:paraId="7158464A" w14:textId="6FFB34A4" w:rsidR="0077562C" w:rsidRDefault="0077562C" w:rsidP="0003207C">
      <w:proofErr w:type="spellStart"/>
      <w:r>
        <w:t>Bimzelx</w:t>
      </w:r>
      <w:proofErr w:type="spellEnd"/>
      <w:r>
        <w:t xml:space="preserve"> is available in two containers, </w:t>
      </w:r>
      <w:r w:rsidR="00E45972">
        <w:t xml:space="preserve">a </w:t>
      </w:r>
      <w:r>
        <w:t>pre-filled syringe and pre-filled pen.</w:t>
      </w:r>
    </w:p>
    <w:p w14:paraId="668BB923" w14:textId="30FD2830" w:rsidR="0003207C" w:rsidRDefault="00E45972" w:rsidP="0003207C">
      <w:r>
        <w:t xml:space="preserve">The </w:t>
      </w:r>
      <w:proofErr w:type="spellStart"/>
      <w:r w:rsidR="0003207C" w:rsidRPr="0003207C">
        <w:t>Bimzelx</w:t>
      </w:r>
      <w:proofErr w:type="spellEnd"/>
      <w:r w:rsidR="0003207C" w:rsidRPr="0003207C">
        <w:t xml:space="preserve"> 160 mg solution for injections in pre-filled syringe</w:t>
      </w:r>
      <w:r>
        <w:t xml:space="preserve"> presentation is as follows:</w:t>
      </w:r>
      <w:r w:rsidR="0003207C" w:rsidRPr="0003207C">
        <w:t xml:space="preserve"> </w:t>
      </w:r>
      <w:r>
        <w:t>A one millilitre (1 mL)</w:t>
      </w:r>
      <w:r w:rsidR="0003207C" w:rsidRPr="0003207C">
        <w:t xml:space="preserve"> pre-filled syringe with a rubber stopper, staked 27G, ½” thin wall needle, and a needle shield assembled in a passive safety device. Pack size of </w:t>
      </w:r>
      <w:r w:rsidR="00AB20A6">
        <w:t>two</w:t>
      </w:r>
      <w:r w:rsidR="0003207C" w:rsidRPr="0003207C">
        <w:t xml:space="preserve"> pre-filled syringes.</w:t>
      </w:r>
    </w:p>
    <w:p w14:paraId="1E325C14" w14:textId="1EA46F9B" w:rsidR="0003207C" w:rsidRDefault="00E45972" w:rsidP="0003207C">
      <w:r>
        <w:t xml:space="preserve">The </w:t>
      </w:r>
      <w:proofErr w:type="spellStart"/>
      <w:r w:rsidR="0003207C" w:rsidRPr="0003207C">
        <w:t>Bimzelx</w:t>
      </w:r>
      <w:proofErr w:type="spellEnd"/>
      <w:r w:rsidR="0003207C" w:rsidRPr="0003207C">
        <w:t xml:space="preserve"> 160 mg solution for injections in pre-filled pen</w:t>
      </w:r>
      <w:r>
        <w:t xml:space="preserve"> presentation is as follows:</w:t>
      </w:r>
      <w:r w:rsidR="0003207C" w:rsidRPr="0003207C">
        <w:t xml:space="preserve"> One m</w:t>
      </w:r>
      <w:r>
        <w:t>illilitre (1 mL)</w:t>
      </w:r>
      <w:r w:rsidR="0003207C" w:rsidRPr="0003207C">
        <w:t xml:space="preserve"> pre-filled pen containing a pre-filled syringe with a rubber stopper, staked 27G, ½” thin wall needle, and a needle shield. Pack size of </w:t>
      </w:r>
      <w:r w:rsidR="00AB20A6">
        <w:t>two</w:t>
      </w:r>
      <w:r w:rsidR="0003207C" w:rsidRPr="0003207C">
        <w:t xml:space="preserve"> pre-filled pens.</w:t>
      </w:r>
    </w:p>
    <w:p w14:paraId="055626CD" w14:textId="1E0B6ACF" w:rsidR="00E45972" w:rsidRDefault="00E45972" w:rsidP="0003207C">
      <w:r>
        <w:t xml:space="preserve">The monoclonal antibody structure of </w:t>
      </w:r>
      <w:proofErr w:type="spellStart"/>
      <w:r>
        <w:t>Bimzelx</w:t>
      </w:r>
      <w:proofErr w:type="spellEnd"/>
      <w:r>
        <w:t xml:space="preserve"> (</w:t>
      </w:r>
      <w:proofErr w:type="spellStart"/>
      <w:r>
        <w:t>bimekizumab</w:t>
      </w:r>
      <w:proofErr w:type="spellEnd"/>
      <w:r>
        <w:t>) is shown below in the following diagram.</w:t>
      </w:r>
    </w:p>
    <w:p w14:paraId="367D62AF" w14:textId="537B5DF5" w:rsidR="0003207C" w:rsidRDefault="0003207C" w:rsidP="00AB20A6">
      <w:pPr>
        <w:pStyle w:val="FigureTitle"/>
      </w:pPr>
      <w:r w:rsidRPr="00AB20A6">
        <w:t xml:space="preserve">Figure </w:t>
      </w:r>
      <w:r w:rsidR="00172397">
        <w:fldChar w:fldCharType="begin"/>
      </w:r>
      <w:r w:rsidR="00172397">
        <w:instrText xml:space="preserve"> SEQ Figure \* ARABIC </w:instrText>
      </w:r>
      <w:r w:rsidR="00172397">
        <w:fldChar w:fldCharType="separate"/>
      </w:r>
      <w:r w:rsidR="00B54079">
        <w:rPr>
          <w:noProof/>
        </w:rPr>
        <w:t>4</w:t>
      </w:r>
      <w:r w:rsidR="00172397">
        <w:rPr>
          <w:noProof/>
        </w:rPr>
        <w:fldChar w:fldCharType="end"/>
      </w:r>
      <w:r>
        <w:t>:</w:t>
      </w:r>
      <w:r w:rsidR="00E45972">
        <w:t xml:space="preserve"> Antibody </w:t>
      </w:r>
      <w:r>
        <w:t xml:space="preserve">structure of </w:t>
      </w:r>
      <w:proofErr w:type="spellStart"/>
      <w:r w:rsidR="00E45972">
        <w:t>B</w:t>
      </w:r>
      <w:r>
        <w:t>imzelx</w:t>
      </w:r>
      <w:proofErr w:type="spellEnd"/>
      <w:r w:rsidR="00E45972">
        <w:t xml:space="preserve"> (</w:t>
      </w:r>
      <w:proofErr w:type="spellStart"/>
      <w:r w:rsidR="00E45972">
        <w:t>bimekizumab</w:t>
      </w:r>
      <w:proofErr w:type="spellEnd"/>
      <w:r w:rsidR="00E45972">
        <w:t>)</w:t>
      </w:r>
    </w:p>
    <w:p w14:paraId="6EA01D2A" w14:textId="41AD656B" w:rsidR="0003207C" w:rsidRDefault="0003207C" w:rsidP="0003207C">
      <w:r w:rsidRPr="0003207C">
        <w:rPr>
          <w:noProof/>
          <w:lang w:val="en-GB" w:eastAsia="en-GB"/>
        </w:rPr>
        <w:drawing>
          <wp:inline distT="0" distB="0" distL="0" distR="0" wp14:anchorId="129374FE" wp14:editId="5680E15E">
            <wp:extent cx="3498850" cy="2305050"/>
            <wp:effectExtent l="0" t="0" r="6350" b="0"/>
            <wp:docPr id="2" name="Picture 2" descr="Chemical structure of bimzel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emical structure of bimzelx"/>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98850" cy="2305050"/>
                    </a:xfrm>
                    <a:prstGeom prst="rect">
                      <a:avLst/>
                    </a:prstGeom>
                    <a:noFill/>
                    <a:ln>
                      <a:noFill/>
                    </a:ln>
                  </pic:spPr>
                </pic:pic>
              </a:graphicData>
            </a:graphic>
          </wp:inline>
        </w:drawing>
      </w:r>
    </w:p>
    <w:p w14:paraId="55221B7B" w14:textId="0DC189D5" w:rsidR="00E45972" w:rsidRDefault="00E45972" w:rsidP="00E45972">
      <w:r>
        <w:t xml:space="preserve">As a result of the TGA’s evaluation of this medicine, there </w:t>
      </w:r>
      <w:r w:rsidR="000E7FB7">
        <w:t>are</w:t>
      </w:r>
      <w:r>
        <w:t xml:space="preserve"> no objections on quality grounds to the approval of:</w:t>
      </w:r>
    </w:p>
    <w:p w14:paraId="18851354" w14:textId="77777777" w:rsidR="00E45972" w:rsidRPr="00E45972" w:rsidRDefault="00E45972" w:rsidP="00803C01">
      <w:pPr>
        <w:pStyle w:val="ListBullet"/>
      </w:pPr>
      <w:proofErr w:type="spellStart"/>
      <w:r w:rsidRPr="00E45972">
        <w:t>Bimzelx</w:t>
      </w:r>
      <w:proofErr w:type="spellEnd"/>
      <w:r w:rsidRPr="00E45972">
        <w:t xml:space="preserve"> (</w:t>
      </w:r>
      <w:proofErr w:type="spellStart"/>
      <w:r w:rsidRPr="00E45972">
        <w:t>bimekizumab</w:t>
      </w:r>
      <w:proofErr w:type="spellEnd"/>
      <w:r w:rsidRPr="00E45972">
        <w:t>) 160 mg/1 mL solution for injection auto-injector</w:t>
      </w:r>
    </w:p>
    <w:p w14:paraId="34188314" w14:textId="54D16EA5" w:rsidR="00E45972" w:rsidRPr="0003207C" w:rsidRDefault="00E45972" w:rsidP="00803C01">
      <w:pPr>
        <w:pStyle w:val="ListBullet"/>
      </w:pPr>
      <w:proofErr w:type="spellStart"/>
      <w:r w:rsidRPr="00E45972">
        <w:t>Bimzelx</w:t>
      </w:r>
      <w:proofErr w:type="spellEnd"/>
      <w:r w:rsidRPr="00E45972">
        <w:t xml:space="preserve"> (</w:t>
      </w:r>
      <w:proofErr w:type="spellStart"/>
      <w:r w:rsidRPr="00E45972">
        <w:t>bimekizumab</w:t>
      </w:r>
      <w:proofErr w:type="spellEnd"/>
      <w:r w:rsidRPr="00E45972">
        <w:t>) 160 mg/1 mL solution for injection safety syringe</w:t>
      </w:r>
    </w:p>
    <w:p w14:paraId="4C9DE4B9" w14:textId="77777777" w:rsidR="008E7846" w:rsidRDefault="008E7846" w:rsidP="008E7846">
      <w:pPr>
        <w:pStyle w:val="Heading3"/>
      </w:pPr>
      <w:bookmarkStart w:id="47" w:name="_Toc314842512"/>
      <w:bookmarkStart w:id="48" w:name="_Toc132726793"/>
      <w:r>
        <w:lastRenderedPageBreak/>
        <w:t>Nonclinical</w:t>
      </w:r>
      <w:bookmarkEnd w:id="47"/>
      <w:bookmarkEnd w:id="48"/>
    </w:p>
    <w:p w14:paraId="38840E03" w14:textId="2F642B85" w:rsidR="0077562C" w:rsidRDefault="0077562C" w:rsidP="0077562C">
      <w:r>
        <w:t>The submitted nonclinical dossier was in accordance with the relevant ICH guideline for the nonclinical assessment of biological medicines.</w:t>
      </w:r>
      <w:r w:rsidR="00A10841">
        <w:rPr>
          <w:rStyle w:val="FootnoteReference"/>
        </w:rPr>
        <w:footnoteReference w:id="31"/>
      </w:r>
      <w:r>
        <w:t xml:space="preserve"> The overall quality of the nonclinical dossier was high. All pivotal safety-related studies were </w:t>
      </w:r>
      <w:r w:rsidR="00A10841" w:rsidRPr="00A10841">
        <w:t>Good Laboratory Practice</w:t>
      </w:r>
      <w:r w:rsidR="00A10841">
        <w:t xml:space="preserve"> </w:t>
      </w:r>
      <w:r>
        <w:t>compliant.</w:t>
      </w:r>
    </w:p>
    <w:p w14:paraId="37F05A88" w14:textId="51BFC0A2" w:rsidR="0077562C" w:rsidRDefault="0077562C" w:rsidP="0077562C">
      <w:proofErr w:type="spellStart"/>
      <w:r>
        <w:t>Bimekizumab</w:t>
      </w:r>
      <w:proofErr w:type="spellEnd"/>
      <w:r>
        <w:t xml:space="preserve"> had high affinity for </w:t>
      </w:r>
      <w:r w:rsidR="00E85B4B">
        <w:t xml:space="preserve">human </w:t>
      </w:r>
      <w:r w:rsidR="00C50A5B">
        <w:t xml:space="preserve">interleukin (IL)-17 (or </w:t>
      </w:r>
      <w:r>
        <w:t>IL-17A</w:t>
      </w:r>
      <w:r w:rsidR="00C50A5B">
        <w:t>)</w:t>
      </w:r>
      <w:r>
        <w:t>,</w:t>
      </w:r>
      <w:r w:rsidR="00C50A5B">
        <w:t xml:space="preserve"> human IL-17F and</w:t>
      </w:r>
      <w:r>
        <w:t xml:space="preserve"> </w:t>
      </w:r>
      <w:proofErr w:type="spellStart"/>
      <w:r>
        <w:t>and</w:t>
      </w:r>
      <w:proofErr w:type="spellEnd"/>
      <w:r>
        <w:t xml:space="preserve"> h</w:t>
      </w:r>
      <w:r w:rsidR="00E85B4B">
        <w:t xml:space="preserve">uman </w:t>
      </w:r>
      <w:r>
        <w:t>IL-17</w:t>
      </w:r>
      <w:r w:rsidR="00C50A5B">
        <w:t>A/</w:t>
      </w:r>
      <w:r>
        <w:t>F</w:t>
      </w:r>
      <w:r w:rsidR="00C50A5B">
        <w:t xml:space="preserve"> (</w:t>
      </w:r>
      <w:r w:rsidR="00C50A5B" w:rsidRPr="00C50A5B">
        <w:t xml:space="preserve">a </w:t>
      </w:r>
      <w:proofErr w:type="spellStart"/>
      <w:r w:rsidR="00C50A5B" w:rsidRPr="00C50A5B">
        <w:t>disulfide</w:t>
      </w:r>
      <w:proofErr w:type="spellEnd"/>
      <w:r w:rsidR="00C50A5B" w:rsidRPr="00C50A5B">
        <w:t>-linked heterodimer</w:t>
      </w:r>
      <w:r w:rsidR="00C50A5B">
        <w:t xml:space="preserve"> of IL-17A and IL-17F)</w:t>
      </w:r>
      <w:r>
        <w:t xml:space="preserve">. </w:t>
      </w:r>
      <w:proofErr w:type="spellStart"/>
      <w:r>
        <w:t>Bimekizumab</w:t>
      </w:r>
      <w:proofErr w:type="spellEnd"/>
      <w:r>
        <w:t xml:space="preserve"> also bound monkey IL-17A and IL-17F but did not bind murine IL-17A, IL</w:t>
      </w:r>
      <w:r w:rsidR="00C50A5B">
        <w:noBreakHyphen/>
      </w:r>
      <w:r>
        <w:t xml:space="preserve">17F or IL-17A/F. Neutralisation of IL-17A and IL-17F with </w:t>
      </w:r>
      <w:proofErr w:type="spellStart"/>
      <w:r>
        <w:t>bimekizumab</w:t>
      </w:r>
      <w:proofErr w:type="spellEnd"/>
      <w:r>
        <w:t xml:space="preserve"> suppressed cytokine responses and neutrophil chemotaxis </w:t>
      </w:r>
      <w:r w:rsidRPr="00A10841">
        <w:rPr>
          <w:i/>
          <w:iCs/>
        </w:rPr>
        <w:t>in vitro</w:t>
      </w:r>
      <w:r>
        <w:t xml:space="preserve"> with greater impact on inflammatory signals compared with that of anti-IL-17A or anti-IL-17F alone. No </w:t>
      </w:r>
      <w:r w:rsidRPr="00A10841">
        <w:rPr>
          <w:i/>
          <w:iCs/>
        </w:rPr>
        <w:t>in vivo</w:t>
      </w:r>
      <w:r>
        <w:t xml:space="preserve"> studies were conducted due to the absence of appropriate animal models for psoriasis.</w:t>
      </w:r>
    </w:p>
    <w:p w14:paraId="6702735A" w14:textId="123B5944" w:rsidR="0077562C" w:rsidRDefault="0077562C" w:rsidP="0077562C">
      <w:proofErr w:type="spellStart"/>
      <w:r>
        <w:t>Bimekizumab</w:t>
      </w:r>
      <w:proofErr w:type="spellEnd"/>
      <w:r>
        <w:t xml:space="preserve"> did not show any cross-reactive binding to a panel of human and monkey tissues, suggesting no off</w:t>
      </w:r>
      <w:r w:rsidR="00A10841">
        <w:t xml:space="preserve"> </w:t>
      </w:r>
      <w:r>
        <w:t xml:space="preserve">target activities. </w:t>
      </w:r>
      <w:proofErr w:type="spellStart"/>
      <w:r>
        <w:t>Bimekizumab</w:t>
      </w:r>
      <w:proofErr w:type="spellEnd"/>
      <w:r>
        <w:t xml:space="preserve"> is not expected to induce complement dependent cytotoxicity or antibody dependent cellular cytotoxicity.</w:t>
      </w:r>
    </w:p>
    <w:p w14:paraId="64103A74" w14:textId="73F59C32" w:rsidR="0077562C" w:rsidRDefault="0077562C" w:rsidP="0077562C">
      <w:r>
        <w:t xml:space="preserve">No effects on the function of </w:t>
      </w:r>
      <w:r w:rsidR="00C50A5B">
        <w:t xml:space="preserve">the </w:t>
      </w:r>
      <w:r w:rsidR="00E85B4B">
        <w:t>central nervous system</w:t>
      </w:r>
      <w:r>
        <w:t>, cardiovascular and respiratory systems are predicted at clinical exposures based on the examination of safety pharmacology parameters in general</w:t>
      </w:r>
      <w:r w:rsidR="00C50A5B">
        <w:t>,</w:t>
      </w:r>
      <w:r>
        <w:t xml:space="preserve"> repeat-dose toxicity studies in monkeys</w:t>
      </w:r>
      <w:r w:rsidR="00C50A5B">
        <w:t>,</w:t>
      </w:r>
      <w:r>
        <w:t xml:space="preserve"> </w:t>
      </w:r>
      <w:proofErr w:type="gramStart"/>
      <w:r>
        <w:t>and also</w:t>
      </w:r>
      <w:proofErr w:type="gramEnd"/>
      <w:r>
        <w:t xml:space="preserve"> due to the protein nature of </w:t>
      </w:r>
      <w:proofErr w:type="spellStart"/>
      <w:r>
        <w:t>bimekizumab</w:t>
      </w:r>
      <w:proofErr w:type="spellEnd"/>
      <w:r>
        <w:t>.</w:t>
      </w:r>
    </w:p>
    <w:p w14:paraId="48AC8C3C" w14:textId="444DE69C" w:rsidR="0077562C" w:rsidRDefault="0077562C" w:rsidP="0077562C">
      <w:r>
        <w:t xml:space="preserve">The pharmacokinetics of </w:t>
      </w:r>
      <w:proofErr w:type="spellStart"/>
      <w:r>
        <w:t>bimekizumab</w:t>
      </w:r>
      <w:proofErr w:type="spellEnd"/>
      <w:r>
        <w:t xml:space="preserve"> in monkeys and human subjects was generally similar and consistent with the protein nature of the drug: slow absorption by the </w:t>
      </w:r>
      <w:r w:rsidR="00E85B4B">
        <w:t>subcutaneous</w:t>
      </w:r>
      <w:r>
        <w:t xml:space="preserve"> route and long half</w:t>
      </w:r>
      <w:r w:rsidR="00C50A5B">
        <w:t>-</w:t>
      </w:r>
      <w:r>
        <w:t>lives. The submitted toxicity studies were not compromised by anti-</w:t>
      </w:r>
      <w:proofErr w:type="spellStart"/>
      <w:r>
        <w:t>bimekizumab</w:t>
      </w:r>
      <w:proofErr w:type="spellEnd"/>
      <w:r>
        <w:t xml:space="preserve"> antibodies.</w:t>
      </w:r>
    </w:p>
    <w:p w14:paraId="1EF79DC3" w14:textId="77777777" w:rsidR="0077562C" w:rsidRDefault="0077562C" w:rsidP="0077562C">
      <w:r>
        <w:t xml:space="preserve">Low order of acute toxicity was observed in monkeys following </w:t>
      </w:r>
      <w:proofErr w:type="spellStart"/>
      <w:r>
        <w:t>bimekizumab</w:t>
      </w:r>
      <w:proofErr w:type="spellEnd"/>
      <w:r>
        <w:t xml:space="preserve"> administration.</w:t>
      </w:r>
    </w:p>
    <w:p w14:paraId="198346FB" w14:textId="29CE55C5" w:rsidR="0077562C" w:rsidRDefault="0077562C" w:rsidP="0077562C">
      <w:r>
        <w:t>Repeat</w:t>
      </w:r>
      <w:r w:rsidR="00C50A5B">
        <w:t>-</w:t>
      </w:r>
      <w:r>
        <w:t xml:space="preserve">dose toxicity studies by the </w:t>
      </w:r>
      <w:r w:rsidR="00E85B4B">
        <w:t>subcutaneous</w:t>
      </w:r>
      <w:r>
        <w:t xml:space="preserve"> and </w:t>
      </w:r>
      <w:r w:rsidR="00E85B4B">
        <w:t>intravenous</w:t>
      </w:r>
      <w:r>
        <w:t xml:space="preserve"> route were conducted in </w:t>
      </w:r>
      <w:r w:rsidR="00C50A5B">
        <w:t>c</w:t>
      </w:r>
      <w:r>
        <w:t xml:space="preserve">ynomolgus monkeys (up to 26 weeks). Only two doses were used in the pivotal study and </w:t>
      </w:r>
      <w:proofErr w:type="spellStart"/>
      <w:r>
        <w:t>bimekizumab</w:t>
      </w:r>
      <w:proofErr w:type="spellEnd"/>
      <w:r>
        <w:t xml:space="preserve"> was administered weekly instead of </w:t>
      </w:r>
      <w:r w:rsidR="00C50A5B">
        <w:t xml:space="preserve">the </w:t>
      </w:r>
      <w:r>
        <w:t xml:space="preserve">proposed clinical </w:t>
      </w:r>
      <w:r w:rsidR="000E7FB7">
        <w:t xml:space="preserve">dosage schedule of </w:t>
      </w:r>
      <w:r>
        <w:t xml:space="preserve">monthly dosing. Adverse effects (dose dependent skin effects associated with superficial dermatitis and microbial infection) were observed at much higher </w:t>
      </w:r>
      <w:proofErr w:type="spellStart"/>
      <w:r>
        <w:t>bimekizumab</w:t>
      </w:r>
      <w:proofErr w:type="spellEnd"/>
      <w:r>
        <w:t xml:space="preserve"> exposure than the clinical exposure (</w:t>
      </w:r>
      <w:r w:rsidR="00E85B4B">
        <w:t xml:space="preserve">exposure ratio based on </w:t>
      </w:r>
      <w:r w:rsidR="00A10841">
        <w:t>area under concentration time curve (</w:t>
      </w:r>
      <w:r w:rsidR="00E85B4B">
        <w:t>AUC</w:t>
      </w:r>
      <w:r w:rsidR="00A10841">
        <w:t>)</w:t>
      </w:r>
      <w:r w:rsidR="00E85B4B">
        <w:t xml:space="preserve"> </w:t>
      </w:r>
      <w:r>
        <w:t xml:space="preserve">up to 109) and were attributed to the exaggerated pharmacological effects of </w:t>
      </w:r>
      <w:proofErr w:type="spellStart"/>
      <w:r>
        <w:t>bimekizumab</w:t>
      </w:r>
      <w:proofErr w:type="spellEnd"/>
      <w:r>
        <w:t xml:space="preserve">. In multiple toxicity studies, an increase in gastrointestinal infections was also seen. Due to the dose selection, a </w:t>
      </w:r>
      <w:r w:rsidR="00E85B4B">
        <w:t>n</w:t>
      </w:r>
      <w:r w:rsidR="00E85B4B" w:rsidRPr="00E85B4B">
        <w:t xml:space="preserve">o </w:t>
      </w:r>
      <w:r w:rsidR="00E85B4B">
        <w:t>o</w:t>
      </w:r>
      <w:r w:rsidR="00E85B4B" w:rsidRPr="00E85B4B">
        <w:t xml:space="preserve">bservable </w:t>
      </w:r>
      <w:r w:rsidR="00E85B4B">
        <w:t>a</w:t>
      </w:r>
      <w:r w:rsidR="00E85B4B" w:rsidRPr="00E85B4B">
        <w:t xml:space="preserve">dverse </w:t>
      </w:r>
      <w:r w:rsidR="00E85B4B">
        <w:t>effect l</w:t>
      </w:r>
      <w:r w:rsidR="00E85B4B" w:rsidRPr="00E85B4B">
        <w:t>evel</w:t>
      </w:r>
      <w:r>
        <w:t xml:space="preserve"> was not established in the pivotal study. Clinical use identified a heightened risk of infections following </w:t>
      </w:r>
      <w:proofErr w:type="spellStart"/>
      <w:r>
        <w:t>bimekizumab</w:t>
      </w:r>
      <w:proofErr w:type="spellEnd"/>
      <w:r>
        <w:t xml:space="preserve"> use.</w:t>
      </w:r>
    </w:p>
    <w:p w14:paraId="22DBF63F" w14:textId="6B6239BB" w:rsidR="0077562C" w:rsidRDefault="0077562C" w:rsidP="0077562C">
      <w:r>
        <w:t xml:space="preserve">No genotoxicity or carcinogenicity studies were conducted. Given the protein nature of the drug and the lack of activity in rodents, this is considered acceptable. A literature review on the role of IL-17A and IL-17F signalling in carcinogenesis was submitted. The evidence submitted in the review investigating the potential carcinogenicity risk of </w:t>
      </w:r>
      <w:proofErr w:type="spellStart"/>
      <w:r>
        <w:t>bimekizumab</w:t>
      </w:r>
      <w:proofErr w:type="spellEnd"/>
      <w:r>
        <w:t xml:space="preserve"> is considered equivocal. However, the carcinogenic risk with </w:t>
      </w:r>
      <w:proofErr w:type="spellStart"/>
      <w:r>
        <w:t>bimekizumab</w:t>
      </w:r>
      <w:proofErr w:type="spellEnd"/>
      <w:r>
        <w:t xml:space="preserve"> is not considered greater than that of registered anti-IL-17A antibodies.</w:t>
      </w:r>
    </w:p>
    <w:p w14:paraId="39C53982" w14:textId="2193E3F7" w:rsidR="0077562C" w:rsidRDefault="0077562C" w:rsidP="0077562C">
      <w:proofErr w:type="spellStart"/>
      <w:r>
        <w:t>Bimekizumab</w:t>
      </w:r>
      <w:proofErr w:type="spellEnd"/>
      <w:r>
        <w:t xml:space="preserve"> had no effect on sperm parameters or menstrual cycles </w:t>
      </w:r>
      <w:r w:rsidR="000E7FB7">
        <w:t>n</w:t>
      </w:r>
      <w:r>
        <w:t xml:space="preserve">or caused histopathological changes to reproductive tissues in monkeys as </w:t>
      </w:r>
      <w:r w:rsidR="000E7FB7">
        <w:t>examined via</w:t>
      </w:r>
      <w:r>
        <w:t xml:space="preserve"> the repeat</w:t>
      </w:r>
      <w:r w:rsidR="00A10841">
        <w:t xml:space="preserve"> </w:t>
      </w:r>
      <w:r>
        <w:t xml:space="preserve">dose studies. Placental transfer of </w:t>
      </w:r>
      <w:proofErr w:type="spellStart"/>
      <w:r>
        <w:t>bimekizumab</w:t>
      </w:r>
      <w:proofErr w:type="spellEnd"/>
      <w:r>
        <w:t xml:space="preserve"> was noted in the enhanced pre</w:t>
      </w:r>
      <w:r w:rsidR="000E7FB7">
        <w:noBreakHyphen/>
      </w:r>
      <w:r>
        <w:t>/post</w:t>
      </w:r>
      <w:r w:rsidR="000E7FB7">
        <w:noBreakHyphen/>
      </w:r>
      <w:r>
        <w:t xml:space="preserve">natal study. There were no adverse effects on embryofetal development, nor to postnatal developmental parameters (morphometric and neurobehavioral assessments). </w:t>
      </w:r>
      <w:r>
        <w:lastRenderedPageBreak/>
        <w:t>Slight reduction</w:t>
      </w:r>
      <w:r w:rsidR="000E7FB7">
        <w:t>s</w:t>
      </w:r>
      <w:r>
        <w:t xml:space="preserve"> in neutrophil count in male infants and treatment</w:t>
      </w:r>
      <w:r w:rsidR="000E7FB7">
        <w:t>-</w:t>
      </w:r>
      <w:r>
        <w:t xml:space="preserve">related reduced IgG response to </w:t>
      </w:r>
      <w:r w:rsidR="00A10841">
        <w:t>k</w:t>
      </w:r>
      <w:r w:rsidR="00A10841" w:rsidRPr="00A10841">
        <w:t xml:space="preserve">eyhole limpet </w:t>
      </w:r>
      <w:proofErr w:type="spellStart"/>
      <w:r w:rsidR="00A10841" w:rsidRPr="00A10841">
        <w:t>haemocyanin</w:t>
      </w:r>
      <w:proofErr w:type="spellEnd"/>
      <w:r>
        <w:t xml:space="preserve"> were noted in infants from </w:t>
      </w:r>
      <w:r w:rsidR="000E7FB7">
        <w:t xml:space="preserve">findings in the </w:t>
      </w:r>
      <w:r>
        <w:t>50</w:t>
      </w:r>
      <w:r w:rsidR="000E7FB7">
        <w:t> </w:t>
      </w:r>
      <w:r>
        <w:t>mg/kg dose group animals indicating potential immunotoxicity. Potentially treatment</w:t>
      </w:r>
      <w:r w:rsidR="00A10841">
        <w:t xml:space="preserve"> </w:t>
      </w:r>
      <w:r>
        <w:t xml:space="preserve">associated skin effects in maternal animals and infants, due to the pharmacological action of </w:t>
      </w:r>
      <w:proofErr w:type="spellStart"/>
      <w:r>
        <w:t>bimekizumab</w:t>
      </w:r>
      <w:proofErr w:type="spellEnd"/>
      <w:r>
        <w:t xml:space="preserve">, support the placental transfer of </w:t>
      </w:r>
      <w:proofErr w:type="spellStart"/>
      <w:r>
        <w:t>bimekizumab</w:t>
      </w:r>
      <w:proofErr w:type="spellEnd"/>
      <w:r>
        <w:t>.</w:t>
      </w:r>
    </w:p>
    <w:p w14:paraId="4035A187" w14:textId="62555963" w:rsidR="0077562C" w:rsidRDefault="0077562C" w:rsidP="0077562C">
      <w:r>
        <w:t xml:space="preserve">Even though the immunotoxicity potential of </w:t>
      </w:r>
      <w:proofErr w:type="spellStart"/>
      <w:r>
        <w:t>bimekizumab</w:t>
      </w:r>
      <w:proofErr w:type="spellEnd"/>
      <w:r>
        <w:t xml:space="preserve"> was low as assessed via immunophenotyping or </w:t>
      </w:r>
      <w:r w:rsidR="00A10841" w:rsidRPr="00A10841">
        <w:t>T-cell dependent antibody response</w:t>
      </w:r>
      <w:r>
        <w:t xml:space="preserve"> assays incorporated in repeat</w:t>
      </w:r>
      <w:r w:rsidR="00A10841">
        <w:t xml:space="preserve"> </w:t>
      </w:r>
      <w:r>
        <w:t xml:space="preserve">dose studies, immunomodulatory effects (infections) by </w:t>
      </w:r>
      <w:proofErr w:type="spellStart"/>
      <w:r>
        <w:t>bimekizumab</w:t>
      </w:r>
      <w:proofErr w:type="spellEnd"/>
      <w:r>
        <w:t xml:space="preserve"> in monkeys indicate a potential impact of </w:t>
      </w:r>
      <w:proofErr w:type="spellStart"/>
      <w:r>
        <w:t>bimekizumab</w:t>
      </w:r>
      <w:proofErr w:type="spellEnd"/>
      <w:r>
        <w:t xml:space="preserve"> on immune function in patients.</w:t>
      </w:r>
    </w:p>
    <w:p w14:paraId="53E1B695" w14:textId="5E9FF884" w:rsidR="000E7FB7" w:rsidRPr="00671B69" w:rsidRDefault="000E7FB7" w:rsidP="006E4137">
      <w:r>
        <w:t>In c</w:t>
      </w:r>
      <w:r w:rsidR="0077562C">
        <w:t>onclu</w:t>
      </w:r>
      <w:r>
        <w:t>sion</w:t>
      </w:r>
      <w:r w:rsidR="0077562C">
        <w:t xml:space="preserve">, the primary pharmacology studies lend some support for the proposed indication. The following safety concerns due to the pharmacological action of </w:t>
      </w:r>
      <w:proofErr w:type="spellStart"/>
      <w:r w:rsidR="0077562C">
        <w:t>bimekizumab</w:t>
      </w:r>
      <w:proofErr w:type="spellEnd"/>
      <w:r w:rsidR="0077562C">
        <w:t xml:space="preserve"> were identified</w:t>
      </w:r>
      <w:r>
        <w:t xml:space="preserve">; these are </w:t>
      </w:r>
      <w:r w:rsidR="00A10841" w:rsidRPr="00671B69">
        <w:t>i</w:t>
      </w:r>
      <w:r w:rsidR="0077562C" w:rsidRPr="000E7FB7">
        <w:t>ncreased risk of infection</w:t>
      </w:r>
      <w:r>
        <w:t xml:space="preserve">, and </w:t>
      </w:r>
      <w:r w:rsidR="00A10841" w:rsidRPr="000E7FB7">
        <w:t>d</w:t>
      </w:r>
      <w:r w:rsidR="0077562C" w:rsidRPr="000E7FB7">
        <w:t>ermatitis</w:t>
      </w:r>
      <w:r>
        <w:t>.</w:t>
      </w:r>
    </w:p>
    <w:p w14:paraId="2EA528E7" w14:textId="22ED72C8" w:rsidR="0077562C" w:rsidRDefault="0077562C" w:rsidP="0077562C">
      <w:r>
        <w:t xml:space="preserve">Due to placental transfer of </w:t>
      </w:r>
      <w:proofErr w:type="spellStart"/>
      <w:r>
        <w:t>bimekizumab</w:t>
      </w:r>
      <w:proofErr w:type="spellEnd"/>
      <w:r>
        <w:t xml:space="preserve">, adverse effects usually seen in maternal animals due to the pharmacological action of </w:t>
      </w:r>
      <w:proofErr w:type="spellStart"/>
      <w:r>
        <w:t>bimekizumab</w:t>
      </w:r>
      <w:proofErr w:type="spellEnd"/>
      <w:r>
        <w:t xml:space="preserve"> can potentially be seen in infants. Pregnancy Category C</w:t>
      </w:r>
      <w:r w:rsidR="00E85B4B">
        <w:t>;</w:t>
      </w:r>
      <w:r w:rsidR="00E85B4B">
        <w:rPr>
          <w:rStyle w:val="FootnoteReference"/>
        </w:rPr>
        <w:footnoteReference w:id="32"/>
      </w:r>
      <w:r>
        <w:t xml:space="preserve"> is appropriate, to minimise the risks in infants.</w:t>
      </w:r>
    </w:p>
    <w:p w14:paraId="111EF01A" w14:textId="5D737363" w:rsidR="0077562C" w:rsidRDefault="0077562C" w:rsidP="0077562C">
      <w:r>
        <w:t>There are no nonclinical objections to registration.</w:t>
      </w:r>
    </w:p>
    <w:p w14:paraId="78532F17" w14:textId="77777777" w:rsidR="008E7846" w:rsidRDefault="008E7846" w:rsidP="008E7846">
      <w:pPr>
        <w:pStyle w:val="Heading3"/>
      </w:pPr>
      <w:bookmarkStart w:id="49" w:name="_Toc247691530"/>
      <w:bookmarkStart w:id="50" w:name="_Toc314842513"/>
      <w:bookmarkStart w:id="51" w:name="_Toc132726794"/>
      <w:r>
        <w:t>Clinical</w:t>
      </w:r>
      <w:bookmarkEnd w:id="49"/>
      <w:bookmarkEnd w:id="50"/>
      <w:bookmarkEnd w:id="51"/>
    </w:p>
    <w:p w14:paraId="53CE5EEC" w14:textId="77777777" w:rsidR="0074163C" w:rsidRDefault="0074163C" w:rsidP="0074163C">
      <w:pPr>
        <w:pStyle w:val="Heading4"/>
      </w:pPr>
      <w:bookmarkStart w:id="52" w:name="_Toc98931928"/>
      <w:r>
        <w:t>Summary of clinical studies</w:t>
      </w:r>
      <w:bookmarkEnd w:id="52"/>
    </w:p>
    <w:p w14:paraId="2F1C5D0D" w14:textId="77777777" w:rsidR="0074163C" w:rsidRDefault="0074163C" w:rsidP="0074163C">
      <w:r>
        <w:t>The clinical dossier consisted of</w:t>
      </w:r>
      <w:r w:rsidR="00EB36D6">
        <w:t>:</w:t>
      </w:r>
    </w:p>
    <w:p w14:paraId="796DF7F0" w14:textId="3A0DD61E" w:rsidR="004B1B8B" w:rsidRDefault="000E7FB7" w:rsidP="0074163C">
      <w:pPr>
        <w:pStyle w:val="ListBullet"/>
      </w:pPr>
      <w:r>
        <w:t>A total of sixteen</w:t>
      </w:r>
      <w:r w:rsidR="004B1B8B">
        <w:t xml:space="preserve"> pharmacology studies</w:t>
      </w:r>
      <w:r>
        <w:t>:</w:t>
      </w:r>
    </w:p>
    <w:p w14:paraId="6E3DB91A" w14:textId="0BA7BCE1" w:rsidR="000E7FB7" w:rsidRDefault="000E7FB7" w:rsidP="00536159">
      <w:pPr>
        <w:pStyle w:val="ListBullet2"/>
      </w:pPr>
      <w:r>
        <w:t>Five studies were chiefly pharmacokinetic (PK) and/or pharmacodynamic studies:</w:t>
      </w:r>
    </w:p>
    <w:p w14:paraId="4FCF2DF2" w14:textId="7633A6EE" w:rsidR="004B1B8B" w:rsidRDefault="004B1B8B" w:rsidP="00536159">
      <w:pPr>
        <w:pStyle w:val="ListBullet3"/>
      </w:pPr>
      <w:r>
        <w:t xml:space="preserve">Studies UP0008 and PA0007: to evaluate </w:t>
      </w:r>
      <w:r w:rsidR="000E7FB7">
        <w:t xml:space="preserve">the </w:t>
      </w:r>
      <w:r>
        <w:t>PK and pharmacodynamics and tolerability in study participants.</w:t>
      </w:r>
    </w:p>
    <w:p w14:paraId="07954559" w14:textId="4AC34B3D" w:rsidR="004B1B8B" w:rsidRDefault="004B1B8B" w:rsidP="00536159">
      <w:pPr>
        <w:pStyle w:val="ListBullet3"/>
      </w:pPr>
      <w:r>
        <w:t xml:space="preserve">Study UP0042: to evaluate the impact of ethnicity on </w:t>
      </w:r>
      <w:r w:rsidR="000E7FB7">
        <w:t xml:space="preserve">the </w:t>
      </w:r>
      <w:r>
        <w:t xml:space="preserve">PK of </w:t>
      </w:r>
      <w:proofErr w:type="spellStart"/>
      <w:r>
        <w:t>bimekizumab</w:t>
      </w:r>
      <w:proofErr w:type="spellEnd"/>
      <w:r>
        <w:t xml:space="preserve"> in healthy Japanese and Caucasian study participants.</w:t>
      </w:r>
    </w:p>
    <w:p w14:paraId="70B86004" w14:textId="76C4D8FC" w:rsidR="004B1B8B" w:rsidRDefault="004B1B8B" w:rsidP="00536159">
      <w:pPr>
        <w:pStyle w:val="ListBullet3"/>
      </w:pPr>
      <w:r>
        <w:t xml:space="preserve">Study UP0034: to evaluate the </w:t>
      </w:r>
      <w:r w:rsidRPr="004B1B8B">
        <w:t xml:space="preserve">impact of </w:t>
      </w:r>
      <w:proofErr w:type="spellStart"/>
      <w:r w:rsidRPr="004B1B8B">
        <w:t>bimekizumab</w:t>
      </w:r>
      <w:proofErr w:type="spellEnd"/>
      <w:r w:rsidRPr="004B1B8B">
        <w:t xml:space="preserve"> on the influenza vaccine antibody titres in healthy study participants</w:t>
      </w:r>
      <w:r w:rsidR="000E7FB7">
        <w:t>.</w:t>
      </w:r>
    </w:p>
    <w:p w14:paraId="549F1816" w14:textId="0059F633" w:rsidR="004B1B8B" w:rsidRDefault="004B1B8B" w:rsidP="004B1B8B">
      <w:pPr>
        <w:pStyle w:val="ListBullet2"/>
      </w:pPr>
      <w:r>
        <w:t xml:space="preserve">Seven studies on biopharmaceutics, efficacy, safety, and immunogenicity of </w:t>
      </w:r>
      <w:proofErr w:type="spellStart"/>
      <w:r w:rsidRPr="004B1B8B">
        <w:t>bimekizumab</w:t>
      </w:r>
      <w:proofErr w:type="spellEnd"/>
      <w:r w:rsidRPr="004B1B8B">
        <w:t xml:space="preserve"> provide supportive data</w:t>
      </w:r>
      <w:r w:rsidR="000E7FB7">
        <w:t>. These include:</w:t>
      </w:r>
    </w:p>
    <w:p w14:paraId="425002BC" w14:textId="58010050" w:rsidR="004B1B8B" w:rsidRDefault="004B1B8B" w:rsidP="00536159">
      <w:pPr>
        <w:pStyle w:val="ListBullet3"/>
      </w:pPr>
      <w:r>
        <w:t>Studies RA0124 and UP0031: bioavailability studies.</w:t>
      </w:r>
    </w:p>
    <w:p w14:paraId="3975EE48" w14:textId="3697E136" w:rsidR="004B1B8B" w:rsidRDefault="004B1B8B" w:rsidP="00536159">
      <w:pPr>
        <w:pStyle w:val="ListBullet3"/>
      </w:pPr>
      <w:r>
        <w:t xml:space="preserve">Study UP0033: </w:t>
      </w:r>
      <w:r w:rsidR="000E7FB7">
        <w:t xml:space="preserve">a </w:t>
      </w:r>
      <w:r>
        <w:t>bioequivalen</w:t>
      </w:r>
      <w:r w:rsidR="000E7FB7">
        <w:t>ce</w:t>
      </w:r>
      <w:r>
        <w:t xml:space="preserve"> study.</w:t>
      </w:r>
    </w:p>
    <w:p w14:paraId="7129460F" w14:textId="0B9FA05E" w:rsidR="004B1B8B" w:rsidRDefault="004B1B8B" w:rsidP="00536159">
      <w:pPr>
        <w:pStyle w:val="ListBullet3"/>
      </w:pPr>
      <w:r>
        <w:t xml:space="preserve">Studies DV0002 and DV0006: </w:t>
      </w:r>
      <w:r w:rsidRPr="00737EED">
        <w:rPr>
          <w:lang w:eastAsia="ja-JP"/>
        </w:rPr>
        <w:t xml:space="preserve">supportive studies evaluating self-administration of </w:t>
      </w:r>
      <w:proofErr w:type="spellStart"/>
      <w:r w:rsidRPr="00737EED">
        <w:rPr>
          <w:lang w:eastAsia="ja-JP"/>
        </w:rPr>
        <w:t>bimekizumab</w:t>
      </w:r>
      <w:proofErr w:type="spellEnd"/>
      <w:r w:rsidRPr="00737EED">
        <w:rPr>
          <w:lang w:eastAsia="ja-JP"/>
        </w:rPr>
        <w:t xml:space="preserve"> using either an auto-injector or pre-filled safety syringe</w:t>
      </w:r>
      <w:r>
        <w:rPr>
          <w:lang w:eastAsia="ja-JP"/>
        </w:rPr>
        <w:t>.</w:t>
      </w:r>
    </w:p>
    <w:p w14:paraId="6E2A82FA" w14:textId="444DACB8" w:rsidR="0074163C" w:rsidRDefault="004B1B8B" w:rsidP="0074163C">
      <w:pPr>
        <w:pStyle w:val="ListBullet"/>
      </w:pPr>
      <w:r>
        <w:t>Seven efficacy and safety studies</w:t>
      </w:r>
      <w:r w:rsidR="00386A4E">
        <w:t>:</w:t>
      </w:r>
    </w:p>
    <w:p w14:paraId="268F6AA8" w14:textId="3E0CA6B9" w:rsidR="00386A4E" w:rsidRDefault="00386A4E" w:rsidP="00536159">
      <w:pPr>
        <w:pStyle w:val="ListBullet2"/>
      </w:pPr>
      <w:r>
        <w:t xml:space="preserve">Studies PS0008, </w:t>
      </w:r>
      <w:r w:rsidRPr="004B1B8B">
        <w:t xml:space="preserve">PS0009, and PS0013 are considered by the </w:t>
      </w:r>
      <w:r>
        <w:t>sponsor</w:t>
      </w:r>
      <w:r w:rsidRPr="004B1B8B">
        <w:t xml:space="preserve"> to be pivotal for the proposed indication of psoriasis</w:t>
      </w:r>
      <w:r>
        <w:t>. All three studies are Phase III:</w:t>
      </w:r>
    </w:p>
    <w:p w14:paraId="6FA96356" w14:textId="7B3FD1EB" w:rsidR="00386A4E" w:rsidRDefault="004B1B8B" w:rsidP="00536159">
      <w:pPr>
        <w:pStyle w:val="ListBullet3"/>
      </w:pPr>
      <w:r>
        <w:lastRenderedPageBreak/>
        <w:t>Stud</w:t>
      </w:r>
      <w:r w:rsidR="00386A4E">
        <w:t>y</w:t>
      </w:r>
      <w:r>
        <w:t xml:space="preserve"> </w:t>
      </w:r>
      <w:r w:rsidRPr="004B1B8B">
        <w:t>PS0008</w:t>
      </w:r>
      <w:r w:rsidR="00386A4E">
        <w:t xml:space="preserve">: </w:t>
      </w:r>
      <w:r w:rsidR="00386A4E" w:rsidRPr="00386A4E">
        <w:t>a Phase III, randomised, double blind, parallel group, acti</w:t>
      </w:r>
      <w:r w:rsidR="00386A4E">
        <w:t>ve comparator controlled multice</w:t>
      </w:r>
      <w:r w:rsidR="00386A4E" w:rsidRPr="00386A4E">
        <w:t xml:space="preserve">ntre study, to evaluate the efficacy and safety of </w:t>
      </w:r>
      <w:proofErr w:type="spellStart"/>
      <w:r w:rsidR="00386A4E" w:rsidRPr="00386A4E">
        <w:t>bimekizumab</w:t>
      </w:r>
      <w:proofErr w:type="spellEnd"/>
      <w:r w:rsidR="00386A4E" w:rsidRPr="00386A4E">
        <w:t xml:space="preserve"> in adults with moderate to severe plaque psoriasis.</w:t>
      </w:r>
    </w:p>
    <w:p w14:paraId="4F805BC6" w14:textId="0F9704FA" w:rsidR="00386A4E" w:rsidRDefault="00386A4E" w:rsidP="00536159">
      <w:pPr>
        <w:pStyle w:val="ListBullet3"/>
      </w:pPr>
      <w:r>
        <w:t>Study PS0009: a</w:t>
      </w:r>
      <w:r w:rsidRPr="00084323">
        <w:rPr>
          <w:lang w:eastAsia="ja-JP"/>
        </w:rPr>
        <w:t xml:space="preserve"> Phase III, randomi</w:t>
      </w:r>
      <w:r>
        <w:rPr>
          <w:lang w:eastAsia="ja-JP"/>
        </w:rPr>
        <w:t>s</w:t>
      </w:r>
      <w:r w:rsidRPr="00084323">
        <w:rPr>
          <w:lang w:eastAsia="ja-JP"/>
        </w:rPr>
        <w:t>ed, double</w:t>
      </w:r>
      <w:r>
        <w:rPr>
          <w:lang w:eastAsia="ja-JP"/>
        </w:rPr>
        <w:t xml:space="preserve"> </w:t>
      </w:r>
      <w:r w:rsidRPr="00084323">
        <w:rPr>
          <w:lang w:eastAsia="ja-JP"/>
        </w:rPr>
        <w:t>blind, parallel</w:t>
      </w:r>
      <w:r>
        <w:rPr>
          <w:lang w:eastAsia="ja-JP"/>
        </w:rPr>
        <w:t xml:space="preserve"> </w:t>
      </w:r>
      <w:r w:rsidRPr="00084323">
        <w:rPr>
          <w:lang w:eastAsia="ja-JP"/>
        </w:rPr>
        <w:t>group, active comparator</w:t>
      </w:r>
      <w:r>
        <w:rPr>
          <w:lang w:eastAsia="ja-JP"/>
        </w:rPr>
        <w:t xml:space="preserve"> </w:t>
      </w:r>
      <w:r w:rsidRPr="00084323">
        <w:rPr>
          <w:lang w:eastAsia="ja-JP"/>
        </w:rPr>
        <w:t xml:space="preserve">controlled multicentre study to evaluate the efficacy and safety of </w:t>
      </w:r>
      <w:proofErr w:type="spellStart"/>
      <w:r w:rsidRPr="00084323">
        <w:rPr>
          <w:lang w:eastAsia="ja-JP"/>
        </w:rPr>
        <w:t>bimekizumab</w:t>
      </w:r>
      <w:proofErr w:type="spellEnd"/>
      <w:r>
        <w:rPr>
          <w:lang w:eastAsia="ja-JP"/>
        </w:rPr>
        <w:t xml:space="preserve"> </w:t>
      </w:r>
      <w:r w:rsidRPr="00084323">
        <w:rPr>
          <w:lang w:eastAsia="ja-JP"/>
        </w:rPr>
        <w:t>in adult</w:t>
      </w:r>
      <w:r>
        <w:rPr>
          <w:lang w:eastAsia="ja-JP"/>
        </w:rPr>
        <w:t>s</w:t>
      </w:r>
      <w:r w:rsidRPr="00084323">
        <w:rPr>
          <w:lang w:eastAsia="ja-JP"/>
        </w:rPr>
        <w:t xml:space="preserve"> with moderate to severe plaque psoriasis.  </w:t>
      </w:r>
    </w:p>
    <w:p w14:paraId="37029C30" w14:textId="481CBA97" w:rsidR="00386A4E" w:rsidRPr="00932875" w:rsidRDefault="00386A4E" w:rsidP="00536159">
      <w:pPr>
        <w:pStyle w:val="ListBullet3"/>
      </w:pPr>
      <w:r>
        <w:t>Study PS0013: a</w:t>
      </w:r>
      <w:r w:rsidRPr="0074381F">
        <w:t xml:space="preserve"> Phase III, </w:t>
      </w:r>
      <w:r>
        <w:t>randomised</w:t>
      </w:r>
      <w:r w:rsidRPr="0074381F">
        <w:t xml:space="preserve">, double-blind, placebo-controlled multicentre study to evaluate the efficacy and safety of </w:t>
      </w:r>
      <w:proofErr w:type="spellStart"/>
      <w:r w:rsidRPr="0074381F">
        <w:t>bimekizumab</w:t>
      </w:r>
      <w:proofErr w:type="spellEnd"/>
      <w:r w:rsidRPr="0074381F">
        <w:t xml:space="preserve"> in adults with moderate to severe chronic plaque psoriasis</w:t>
      </w:r>
      <w:r>
        <w:t>.</w:t>
      </w:r>
    </w:p>
    <w:p w14:paraId="2FA6B467" w14:textId="73423FC7" w:rsidR="00386A4E" w:rsidRDefault="00386A4E" w:rsidP="00386A4E">
      <w:pPr>
        <w:pStyle w:val="ListBullet2"/>
      </w:pPr>
      <w:r>
        <w:t xml:space="preserve">Study PS0014 </w:t>
      </w:r>
      <w:r w:rsidRPr="00386A4E">
        <w:t>is an ongoing, open label multicentre study</w:t>
      </w:r>
      <w:r>
        <w:t>:</w:t>
      </w:r>
    </w:p>
    <w:p w14:paraId="25FA1AA8" w14:textId="7A430BD2" w:rsidR="00386A4E" w:rsidRDefault="00386A4E" w:rsidP="00536159">
      <w:pPr>
        <w:pStyle w:val="ListBullet3"/>
      </w:pPr>
      <w:r>
        <w:t>Study PS0014 is designed to</w:t>
      </w:r>
      <w:r w:rsidRPr="00386A4E">
        <w:t xml:space="preserve"> assess the </w:t>
      </w:r>
      <w:proofErr w:type="gramStart"/>
      <w:r w:rsidRPr="00386A4E">
        <w:t>long term</w:t>
      </w:r>
      <w:proofErr w:type="gramEnd"/>
      <w:r w:rsidRPr="00386A4E">
        <w:t xml:space="preserve"> safety, tolerability, and efficacy of </w:t>
      </w:r>
      <w:proofErr w:type="spellStart"/>
      <w:r w:rsidRPr="00386A4E">
        <w:t>bimekizumab</w:t>
      </w:r>
      <w:proofErr w:type="spellEnd"/>
      <w:r w:rsidRPr="00386A4E">
        <w:t xml:space="preserve"> in eligible adult study participants with moderate to severe plaque psoriasis who complete one of the Phase III feeder studies (Studies PS0008, PS0009, or PS001</w:t>
      </w:r>
      <w:r>
        <w:t>3).</w:t>
      </w:r>
    </w:p>
    <w:p w14:paraId="1654E674" w14:textId="03379C6F" w:rsidR="002003DD" w:rsidRDefault="002003DD" w:rsidP="002003DD">
      <w:pPr>
        <w:pStyle w:val="ListBullet"/>
      </w:pPr>
      <w:r>
        <w:rPr>
          <w:lang w:eastAsia="ja-JP"/>
        </w:rPr>
        <w:t>Three population pharmacokinetics (</w:t>
      </w:r>
      <w:proofErr w:type="spellStart"/>
      <w:r>
        <w:rPr>
          <w:lang w:eastAsia="ja-JP"/>
        </w:rPr>
        <w:t>popPK</w:t>
      </w:r>
      <w:proofErr w:type="spellEnd"/>
      <w:r>
        <w:rPr>
          <w:lang w:eastAsia="ja-JP"/>
        </w:rPr>
        <w:t>)/PK/</w:t>
      </w:r>
      <w:r w:rsidR="00A10841">
        <w:rPr>
          <w:lang w:eastAsia="ja-JP"/>
        </w:rPr>
        <w:t>pharmacodynamics (</w:t>
      </w:r>
      <w:r>
        <w:rPr>
          <w:lang w:eastAsia="ja-JP"/>
        </w:rPr>
        <w:t>PD</w:t>
      </w:r>
      <w:r w:rsidR="00A10841">
        <w:rPr>
          <w:lang w:eastAsia="ja-JP"/>
        </w:rPr>
        <w:t>)</w:t>
      </w:r>
      <w:r>
        <w:rPr>
          <w:lang w:eastAsia="ja-JP"/>
        </w:rPr>
        <w:t xml:space="preserve"> analyses.</w:t>
      </w:r>
    </w:p>
    <w:p w14:paraId="56966BB9" w14:textId="25160F56" w:rsidR="002003DD" w:rsidRDefault="002003DD" w:rsidP="002003DD">
      <w:r>
        <w:t>The Delegate noted that the submission did not include paediatric data. The sponsor’s paediatric investigation plan was adopted by the EMA with an agreed completion date of fourth quarter of 2030. Two clinical studies are planned. A waiver for children less than 6</w:t>
      </w:r>
      <w:r w:rsidR="00671B69">
        <w:t> </w:t>
      </w:r>
      <w:r>
        <w:t>years of age has been granted.</w:t>
      </w:r>
    </w:p>
    <w:p w14:paraId="0686FCF9" w14:textId="36CA6834" w:rsidR="00DB0EAA" w:rsidRDefault="00DB0EAA" w:rsidP="00536159">
      <w:pPr>
        <w:pStyle w:val="Heading4"/>
      </w:pPr>
      <w:r>
        <w:t>Guidance</w:t>
      </w:r>
    </w:p>
    <w:p w14:paraId="0E0C57AE" w14:textId="4FE06AB1" w:rsidR="0005450B" w:rsidRPr="0005450B" w:rsidRDefault="0005450B">
      <w:r>
        <w:t>The following is a key guideline consulted in evaluation and assessment of this submission and referenced in this document.</w:t>
      </w:r>
    </w:p>
    <w:p w14:paraId="4B0F71D6" w14:textId="3ED04FA7" w:rsidR="00DB0EAA" w:rsidRDefault="00DB0EAA" w:rsidP="00536159">
      <w:pPr>
        <w:pStyle w:val="ListBullet"/>
      </w:pPr>
      <w:r>
        <w:t xml:space="preserve">EMA/EMEA: </w:t>
      </w:r>
      <w:hyperlink r:id="rId20" w:history="1">
        <w:r w:rsidRPr="00DB0EAA">
          <w:rPr>
            <w:rStyle w:val="Hyperlink"/>
          </w:rPr>
          <w:t>Guideline on clinical investigation of medicinal products indicated for the treatment of psoriasis</w:t>
        </w:r>
      </w:hyperlink>
      <w:r>
        <w:t xml:space="preserve"> (CHMP/EWP/2454/02 </w:t>
      </w:r>
      <w:proofErr w:type="spellStart"/>
      <w:r>
        <w:t>corr</w:t>
      </w:r>
      <w:proofErr w:type="spellEnd"/>
      <w:r>
        <w:t>).</w:t>
      </w:r>
    </w:p>
    <w:p w14:paraId="78CA9FDE" w14:textId="7542D4A8" w:rsidR="00DB0EAA" w:rsidRPr="00DB0EAA" w:rsidRDefault="00DB0EAA" w:rsidP="00536159">
      <w:pPr>
        <w:pStyle w:val="ListBullet"/>
        <w:numPr>
          <w:ilvl w:val="0"/>
          <w:numId w:val="0"/>
        </w:numPr>
        <w:ind w:left="360"/>
      </w:pPr>
      <w:r>
        <w:t xml:space="preserve">TGA-adopted (with annotations); </w:t>
      </w:r>
      <w:r w:rsidRPr="00DB0EAA">
        <w:t>effective date: 28 July 2005</w:t>
      </w:r>
      <w:r w:rsidR="0005450B">
        <w:t>.</w:t>
      </w:r>
    </w:p>
    <w:p w14:paraId="510C144A" w14:textId="0BBC82A6" w:rsidR="00BF7D10" w:rsidRDefault="00BF7D10" w:rsidP="00BF7D10">
      <w:pPr>
        <w:pStyle w:val="Heading4"/>
      </w:pPr>
      <w:r>
        <w:lastRenderedPageBreak/>
        <w:t>Pharmacology</w:t>
      </w:r>
    </w:p>
    <w:p w14:paraId="59ECD892" w14:textId="1E2125DC" w:rsidR="00BF7D10" w:rsidRDefault="00BF7D10" w:rsidP="00A10841">
      <w:pPr>
        <w:pStyle w:val="TableTitle"/>
      </w:pPr>
      <w:r w:rsidRPr="00A10841">
        <w:t xml:space="preserve">Table </w:t>
      </w:r>
      <w:r w:rsidR="00172397">
        <w:fldChar w:fldCharType="begin"/>
      </w:r>
      <w:r w:rsidR="00172397">
        <w:instrText xml:space="preserve"> SEQ Table \* ARABIC </w:instrText>
      </w:r>
      <w:r w:rsidR="00172397">
        <w:fldChar w:fldCharType="separate"/>
      </w:r>
      <w:r w:rsidR="00B54079">
        <w:rPr>
          <w:noProof/>
        </w:rPr>
        <w:t>4</w:t>
      </w:r>
      <w:r w:rsidR="00172397">
        <w:rPr>
          <w:noProof/>
        </w:rPr>
        <w:fldChar w:fldCharType="end"/>
      </w:r>
      <w:r>
        <w:t xml:space="preserve">: Submitted pharmacokinetics studies </w:t>
      </w:r>
    </w:p>
    <w:tbl>
      <w:tblPr>
        <w:tblStyle w:val="TableTGAblue"/>
        <w:tblW w:w="4874" w:type="pct"/>
        <w:tblLook w:val="04A0" w:firstRow="1" w:lastRow="0" w:firstColumn="1" w:lastColumn="0" w:noHBand="0" w:noVBand="1"/>
      </w:tblPr>
      <w:tblGrid>
        <w:gridCol w:w="3050"/>
        <w:gridCol w:w="3601"/>
        <w:gridCol w:w="1619"/>
      </w:tblGrid>
      <w:tr w:rsidR="00BF7D10" w:rsidRPr="00C37A1D" w14:paraId="525D555C" w14:textId="77777777" w:rsidTr="00536159">
        <w:trPr>
          <w:cnfStyle w:val="100000000000" w:firstRow="1" w:lastRow="0" w:firstColumn="0" w:lastColumn="0" w:oddVBand="0" w:evenVBand="0" w:oddHBand="0" w:evenHBand="0" w:firstRowFirstColumn="0" w:firstRowLastColumn="0" w:lastRowFirstColumn="0" w:lastRowLastColumn="0"/>
        </w:trPr>
        <w:tc>
          <w:tcPr>
            <w:tcW w:w="1844" w:type="pct"/>
          </w:tcPr>
          <w:p w14:paraId="3418F4FF" w14:textId="0C1C1A0A" w:rsidR="00BF7D10" w:rsidRPr="00536159" w:rsidRDefault="00BF7D10" w:rsidP="00536159">
            <w:r w:rsidRPr="00EA20FE">
              <w:t>Pharmacokinetic topic</w:t>
            </w:r>
          </w:p>
        </w:tc>
        <w:tc>
          <w:tcPr>
            <w:tcW w:w="2177" w:type="pct"/>
          </w:tcPr>
          <w:p w14:paraId="3C7BAFC1" w14:textId="77777777" w:rsidR="00BF7D10" w:rsidRPr="00536159" w:rsidRDefault="00BF7D10" w:rsidP="00536159">
            <w:r w:rsidRPr="00EA20FE">
              <w:t>Subtopic</w:t>
            </w:r>
          </w:p>
        </w:tc>
        <w:tc>
          <w:tcPr>
            <w:tcW w:w="979" w:type="pct"/>
          </w:tcPr>
          <w:p w14:paraId="70126623" w14:textId="77777777" w:rsidR="00BF7D10" w:rsidRPr="00536159" w:rsidRDefault="00BF7D10" w:rsidP="00536159">
            <w:r w:rsidRPr="00EA20FE">
              <w:t>Study ID</w:t>
            </w:r>
          </w:p>
        </w:tc>
      </w:tr>
      <w:tr w:rsidR="00BF7D10" w:rsidRPr="00C37A1D" w14:paraId="7069D816" w14:textId="77777777" w:rsidTr="00536159">
        <w:tc>
          <w:tcPr>
            <w:tcW w:w="1844" w:type="pct"/>
            <w:vMerge w:val="restart"/>
          </w:tcPr>
          <w:p w14:paraId="61A07BCB" w14:textId="5833A87B" w:rsidR="00BF7D10" w:rsidRPr="008D5350" w:rsidRDefault="00671B69" w:rsidP="009B153D">
            <w:pPr>
              <w:pStyle w:val="Tabletext"/>
              <w:keepNext/>
              <w:rPr>
                <w:b/>
                <w:sz w:val="22"/>
                <w:szCs w:val="22"/>
              </w:rPr>
            </w:pPr>
            <w:r>
              <w:rPr>
                <w:b/>
                <w:sz w:val="22"/>
                <w:szCs w:val="22"/>
              </w:rPr>
              <w:t>Pharmacokinetics</w:t>
            </w:r>
            <w:r w:rsidRPr="008D5350">
              <w:rPr>
                <w:b/>
                <w:sz w:val="22"/>
                <w:szCs w:val="22"/>
              </w:rPr>
              <w:t xml:space="preserve"> </w:t>
            </w:r>
            <w:r w:rsidR="00BF7D10" w:rsidRPr="008D5350">
              <w:rPr>
                <w:b/>
                <w:sz w:val="22"/>
                <w:szCs w:val="22"/>
              </w:rPr>
              <w:t>in healthy subjects</w:t>
            </w:r>
          </w:p>
        </w:tc>
        <w:tc>
          <w:tcPr>
            <w:tcW w:w="2177" w:type="pct"/>
          </w:tcPr>
          <w:p w14:paraId="4E6A1ED5" w14:textId="6E5300DE" w:rsidR="00BF7D10" w:rsidRPr="008D5350" w:rsidRDefault="00BF7D10">
            <w:pPr>
              <w:pStyle w:val="Tabletext"/>
              <w:keepNext/>
              <w:rPr>
                <w:sz w:val="22"/>
                <w:szCs w:val="22"/>
              </w:rPr>
            </w:pPr>
            <w:r w:rsidRPr="008D5350">
              <w:rPr>
                <w:sz w:val="22"/>
                <w:szCs w:val="22"/>
              </w:rPr>
              <w:t xml:space="preserve">General </w:t>
            </w:r>
            <w:r w:rsidR="00671B69">
              <w:rPr>
                <w:sz w:val="22"/>
                <w:szCs w:val="22"/>
              </w:rPr>
              <w:t>pharmacokinetics</w:t>
            </w:r>
            <w:r w:rsidRPr="008D5350">
              <w:rPr>
                <w:sz w:val="22"/>
                <w:szCs w:val="22"/>
              </w:rPr>
              <w:t xml:space="preserve"> </w:t>
            </w:r>
            <w:r w:rsidR="00671B69">
              <w:rPr>
                <w:sz w:val="22"/>
                <w:szCs w:val="22"/>
              </w:rPr>
              <w:t>(s</w:t>
            </w:r>
            <w:r w:rsidRPr="008D5350">
              <w:rPr>
                <w:sz w:val="22"/>
                <w:szCs w:val="22"/>
              </w:rPr>
              <w:t>ingle dose</w:t>
            </w:r>
            <w:r w:rsidR="00671B69">
              <w:rPr>
                <w:sz w:val="22"/>
                <w:szCs w:val="22"/>
              </w:rPr>
              <w:t>)</w:t>
            </w:r>
          </w:p>
        </w:tc>
        <w:tc>
          <w:tcPr>
            <w:tcW w:w="979" w:type="pct"/>
          </w:tcPr>
          <w:p w14:paraId="582DC1FF" w14:textId="77777777" w:rsidR="00BF7D10" w:rsidRPr="008D5350" w:rsidRDefault="00BF7D10" w:rsidP="009B153D">
            <w:pPr>
              <w:pStyle w:val="Tabletext"/>
              <w:keepNext/>
              <w:rPr>
                <w:sz w:val="22"/>
                <w:szCs w:val="22"/>
              </w:rPr>
            </w:pPr>
            <w:r w:rsidRPr="008D5350">
              <w:rPr>
                <w:sz w:val="22"/>
                <w:szCs w:val="22"/>
              </w:rPr>
              <w:t>RA0124</w:t>
            </w:r>
          </w:p>
          <w:p w14:paraId="6E782DB3" w14:textId="77777777" w:rsidR="00BF7D10" w:rsidRPr="008D5350" w:rsidRDefault="00BF7D10" w:rsidP="009B153D">
            <w:pPr>
              <w:pStyle w:val="Tabletext"/>
              <w:keepNext/>
              <w:rPr>
                <w:sz w:val="22"/>
                <w:szCs w:val="22"/>
              </w:rPr>
            </w:pPr>
            <w:r w:rsidRPr="008D5350">
              <w:rPr>
                <w:sz w:val="22"/>
                <w:szCs w:val="22"/>
              </w:rPr>
              <w:t>UP0042</w:t>
            </w:r>
          </w:p>
          <w:p w14:paraId="137E129B" w14:textId="77777777" w:rsidR="00BF7D10" w:rsidRPr="008D5350" w:rsidRDefault="00BF7D10" w:rsidP="009B153D">
            <w:pPr>
              <w:pStyle w:val="Tabletext"/>
              <w:keepNext/>
              <w:rPr>
                <w:sz w:val="22"/>
                <w:szCs w:val="22"/>
              </w:rPr>
            </w:pPr>
            <w:r w:rsidRPr="008D5350">
              <w:rPr>
                <w:sz w:val="22"/>
                <w:szCs w:val="22"/>
              </w:rPr>
              <w:t>UP0031</w:t>
            </w:r>
          </w:p>
          <w:p w14:paraId="669C9168" w14:textId="77777777" w:rsidR="00BF7D10" w:rsidRPr="008D5350" w:rsidRDefault="00BF7D10" w:rsidP="009B153D">
            <w:pPr>
              <w:pStyle w:val="Tabletext"/>
              <w:keepNext/>
              <w:rPr>
                <w:sz w:val="22"/>
                <w:szCs w:val="22"/>
              </w:rPr>
            </w:pPr>
            <w:r w:rsidRPr="008D5350">
              <w:rPr>
                <w:sz w:val="22"/>
                <w:szCs w:val="22"/>
              </w:rPr>
              <w:t>UP0034</w:t>
            </w:r>
          </w:p>
        </w:tc>
      </w:tr>
      <w:tr w:rsidR="00BF7D10" w:rsidRPr="00C37A1D" w14:paraId="28C16F95" w14:textId="77777777" w:rsidTr="00536159">
        <w:tc>
          <w:tcPr>
            <w:tcW w:w="1844" w:type="pct"/>
            <w:vMerge/>
          </w:tcPr>
          <w:p w14:paraId="2793BFB3" w14:textId="77777777" w:rsidR="00BF7D10" w:rsidRPr="008D5350" w:rsidRDefault="00BF7D10" w:rsidP="009B153D">
            <w:pPr>
              <w:pStyle w:val="Tabletext"/>
              <w:keepNext/>
              <w:rPr>
                <w:b/>
                <w:sz w:val="22"/>
                <w:szCs w:val="22"/>
              </w:rPr>
            </w:pPr>
          </w:p>
        </w:tc>
        <w:tc>
          <w:tcPr>
            <w:tcW w:w="2177" w:type="pct"/>
          </w:tcPr>
          <w:p w14:paraId="6A2E0BAB" w14:textId="01552B9B" w:rsidR="00BF7D10" w:rsidRPr="008D5350" w:rsidRDefault="00BF7D10" w:rsidP="009B153D">
            <w:pPr>
              <w:pStyle w:val="Tabletext"/>
              <w:keepNext/>
              <w:rPr>
                <w:sz w:val="22"/>
                <w:szCs w:val="22"/>
              </w:rPr>
            </w:pPr>
            <w:r w:rsidRPr="008D5350">
              <w:rPr>
                <w:sz w:val="22"/>
                <w:szCs w:val="22"/>
              </w:rPr>
              <w:t>Bioequivalence</w:t>
            </w:r>
            <w:r w:rsidRPr="00536159">
              <w:rPr>
                <w:sz w:val="22"/>
                <w:vertAlign w:val="superscript"/>
              </w:rPr>
              <w:t>†</w:t>
            </w:r>
          </w:p>
        </w:tc>
        <w:tc>
          <w:tcPr>
            <w:tcW w:w="979" w:type="pct"/>
          </w:tcPr>
          <w:p w14:paraId="03829091" w14:textId="77777777" w:rsidR="00BF7D10" w:rsidRPr="008D5350" w:rsidRDefault="00BF7D10" w:rsidP="009B153D">
            <w:pPr>
              <w:pStyle w:val="Tabletext"/>
              <w:keepNext/>
              <w:rPr>
                <w:sz w:val="22"/>
                <w:szCs w:val="22"/>
              </w:rPr>
            </w:pPr>
            <w:r w:rsidRPr="008D5350">
              <w:rPr>
                <w:sz w:val="22"/>
                <w:szCs w:val="22"/>
              </w:rPr>
              <w:t>UP0033</w:t>
            </w:r>
          </w:p>
        </w:tc>
      </w:tr>
      <w:tr w:rsidR="00BF7D10" w:rsidRPr="00C37A1D" w14:paraId="08F143FF" w14:textId="77777777" w:rsidTr="00536159">
        <w:tc>
          <w:tcPr>
            <w:tcW w:w="1844" w:type="pct"/>
            <w:vMerge w:val="restart"/>
          </w:tcPr>
          <w:p w14:paraId="1FE27847" w14:textId="3B767C9A" w:rsidR="00BF7D10" w:rsidRPr="008D5350" w:rsidRDefault="00671B69" w:rsidP="009B153D">
            <w:pPr>
              <w:pStyle w:val="Tabletext"/>
              <w:keepNext/>
              <w:rPr>
                <w:b/>
                <w:sz w:val="22"/>
                <w:szCs w:val="22"/>
              </w:rPr>
            </w:pPr>
            <w:r>
              <w:rPr>
                <w:b/>
                <w:sz w:val="22"/>
                <w:szCs w:val="22"/>
              </w:rPr>
              <w:t>Pharmacokinetics</w:t>
            </w:r>
            <w:r w:rsidRPr="008D5350">
              <w:rPr>
                <w:b/>
                <w:sz w:val="22"/>
                <w:szCs w:val="22"/>
              </w:rPr>
              <w:t xml:space="preserve"> </w:t>
            </w:r>
            <w:r w:rsidR="00BF7D10" w:rsidRPr="008D5350">
              <w:rPr>
                <w:b/>
                <w:sz w:val="22"/>
                <w:szCs w:val="22"/>
              </w:rPr>
              <w:t>in special populations</w:t>
            </w:r>
          </w:p>
        </w:tc>
        <w:tc>
          <w:tcPr>
            <w:tcW w:w="2177" w:type="pct"/>
          </w:tcPr>
          <w:p w14:paraId="04132966" w14:textId="77672EC5" w:rsidR="00A10841" w:rsidRDefault="00671B69" w:rsidP="00A10841">
            <w:pPr>
              <w:pStyle w:val="Tabletext"/>
              <w:keepNext/>
              <w:tabs>
                <w:tab w:val="left" w:pos="1877"/>
              </w:tabs>
              <w:rPr>
                <w:sz w:val="22"/>
                <w:szCs w:val="22"/>
              </w:rPr>
            </w:pPr>
            <w:r>
              <w:rPr>
                <w:sz w:val="22"/>
                <w:szCs w:val="22"/>
              </w:rPr>
              <w:t>Pharmacokinetics in the t</w:t>
            </w:r>
            <w:r w:rsidR="00BF7D10" w:rsidRPr="008D5350">
              <w:rPr>
                <w:sz w:val="22"/>
                <w:szCs w:val="22"/>
              </w:rPr>
              <w:t>arget population</w:t>
            </w:r>
            <w:r w:rsidR="00BF7D10" w:rsidRPr="00536159">
              <w:rPr>
                <w:sz w:val="22"/>
                <w:vertAlign w:val="superscript"/>
              </w:rPr>
              <w:t>§</w:t>
            </w:r>
          </w:p>
          <w:p w14:paraId="4E2D0AC4" w14:textId="4C7A23F1" w:rsidR="00BF7D10" w:rsidRPr="008D5350" w:rsidRDefault="00671B69" w:rsidP="00A10841">
            <w:pPr>
              <w:pStyle w:val="Tabletext"/>
              <w:keepNext/>
              <w:tabs>
                <w:tab w:val="left" w:pos="1877"/>
              </w:tabs>
              <w:rPr>
                <w:sz w:val="22"/>
                <w:szCs w:val="22"/>
              </w:rPr>
            </w:pPr>
            <w:r>
              <w:rPr>
                <w:sz w:val="22"/>
                <w:szCs w:val="22"/>
              </w:rPr>
              <w:t>(</w:t>
            </w:r>
            <w:proofErr w:type="gramStart"/>
            <w:r>
              <w:rPr>
                <w:sz w:val="22"/>
                <w:szCs w:val="22"/>
              </w:rPr>
              <w:t>s</w:t>
            </w:r>
            <w:r w:rsidR="00BF7D10" w:rsidRPr="008D5350">
              <w:rPr>
                <w:sz w:val="22"/>
                <w:szCs w:val="22"/>
              </w:rPr>
              <w:t>ingle</w:t>
            </w:r>
            <w:proofErr w:type="gramEnd"/>
            <w:r w:rsidR="00BF7D10" w:rsidRPr="008D5350">
              <w:rPr>
                <w:sz w:val="22"/>
                <w:szCs w:val="22"/>
              </w:rPr>
              <w:t xml:space="preserve"> dose</w:t>
            </w:r>
            <w:r>
              <w:rPr>
                <w:sz w:val="22"/>
                <w:szCs w:val="22"/>
              </w:rPr>
              <w:t>)</w:t>
            </w:r>
          </w:p>
        </w:tc>
        <w:tc>
          <w:tcPr>
            <w:tcW w:w="979" w:type="pct"/>
          </w:tcPr>
          <w:p w14:paraId="3102EC47" w14:textId="77777777" w:rsidR="00BF7D10" w:rsidRPr="008D5350" w:rsidRDefault="00BF7D10" w:rsidP="009B153D">
            <w:pPr>
              <w:pStyle w:val="Tabletext"/>
              <w:keepNext/>
              <w:rPr>
                <w:sz w:val="22"/>
                <w:szCs w:val="22"/>
              </w:rPr>
            </w:pPr>
            <w:r w:rsidRPr="008D5350">
              <w:rPr>
                <w:sz w:val="22"/>
                <w:szCs w:val="22"/>
              </w:rPr>
              <w:t>UP0008</w:t>
            </w:r>
          </w:p>
          <w:p w14:paraId="582F28EC" w14:textId="77777777" w:rsidR="00BF7D10" w:rsidRPr="008D5350" w:rsidRDefault="00BF7D10" w:rsidP="009B153D">
            <w:pPr>
              <w:pStyle w:val="Tabletext"/>
              <w:keepNext/>
              <w:rPr>
                <w:sz w:val="22"/>
                <w:szCs w:val="22"/>
              </w:rPr>
            </w:pPr>
            <w:r w:rsidRPr="008D5350">
              <w:rPr>
                <w:sz w:val="22"/>
                <w:szCs w:val="22"/>
              </w:rPr>
              <w:t>PS0011</w:t>
            </w:r>
          </w:p>
          <w:p w14:paraId="2441CA5D" w14:textId="77777777" w:rsidR="00BF7D10" w:rsidRPr="008D5350" w:rsidRDefault="00BF7D10" w:rsidP="009B153D">
            <w:pPr>
              <w:pStyle w:val="Tabletext"/>
              <w:keepNext/>
              <w:rPr>
                <w:sz w:val="22"/>
                <w:szCs w:val="22"/>
              </w:rPr>
            </w:pPr>
            <w:r w:rsidRPr="008D5350">
              <w:rPr>
                <w:sz w:val="22"/>
                <w:szCs w:val="22"/>
              </w:rPr>
              <w:t>PS0010</w:t>
            </w:r>
          </w:p>
          <w:p w14:paraId="0AFD2974" w14:textId="77777777" w:rsidR="00BF7D10" w:rsidRPr="008D5350" w:rsidRDefault="00BF7D10" w:rsidP="009B153D">
            <w:pPr>
              <w:pStyle w:val="Tabletext"/>
              <w:keepNext/>
              <w:rPr>
                <w:sz w:val="22"/>
                <w:szCs w:val="22"/>
              </w:rPr>
            </w:pPr>
            <w:r w:rsidRPr="008D5350">
              <w:rPr>
                <w:sz w:val="22"/>
                <w:szCs w:val="22"/>
              </w:rPr>
              <w:t>PS0018</w:t>
            </w:r>
          </w:p>
        </w:tc>
      </w:tr>
      <w:tr w:rsidR="00BF7D10" w:rsidRPr="00C37A1D" w14:paraId="1C7F5778" w14:textId="77777777" w:rsidTr="00536159">
        <w:tc>
          <w:tcPr>
            <w:tcW w:w="1844" w:type="pct"/>
            <w:vMerge/>
          </w:tcPr>
          <w:p w14:paraId="2ACA4636" w14:textId="77777777" w:rsidR="00BF7D10" w:rsidRPr="008D5350" w:rsidRDefault="00BF7D10" w:rsidP="009B153D">
            <w:pPr>
              <w:pStyle w:val="Tabletext"/>
              <w:keepNext/>
              <w:rPr>
                <w:sz w:val="22"/>
                <w:szCs w:val="22"/>
              </w:rPr>
            </w:pPr>
          </w:p>
        </w:tc>
        <w:tc>
          <w:tcPr>
            <w:tcW w:w="2177" w:type="pct"/>
          </w:tcPr>
          <w:p w14:paraId="2CF43E6A" w14:textId="098E40E5" w:rsidR="00BF7D10" w:rsidRPr="008D5350" w:rsidRDefault="00BF7D10" w:rsidP="009B153D">
            <w:pPr>
              <w:pStyle w:val="Tabletext"/>
              <w:keepNext/>
              <w:tabs>
                <w:tab w:val="left" w:pos="1877"/>
              </w:tabs>
              <w:rPr>
                <w:sz w:val="22"/>
                <w:szCs w:val="22"/>
              </w:rPr>
            </w:pPr>
            <w:r w:rsidRPr="008D5350">
              <w:rPr>
                <w:sz w:val="22"/>
                <w:szCs w:val="22"/>
              </w:rPr>
              <w:t>Multi-dose</w:t>
            </w:r>
          </w:p>
        </w:tc>
        <w:tc>
          <w:tcPr>
            <w:tcW w:w="979" w:type="pct"/>
          </w:tcPr>
          <w:p w14:paraId="310B3636" w14:textId="77777777" w:rsidR="00BF7D10" w:rsidRPr="008D5350" w:rsidRDefault="00BF7D10" w:rsidP="009B153D">
            <w:pPr>
              <w:pStyle w:val="Tabletext"/>
              <w:keepNext/>
              <w:rPr>
                <w:sz w:val="22"/>
                <w:szCs w:val="22"/>
              </w:rPr>
            </w:pPr>
            <w:r w:rsidRPr="008D5350">
              <w:rPr>
                <w:sz w:val="22"/>
                <w:szCs w:val="22"/>
              </w:rPr>
              <w:t>PS0016</w:t>
            </w:r>
          </w:p>
        </w:tc>
      </w:tr>
      <w:tr w:rsidR="00BF7D10" w:rsidRPr="00C37A1D" w14:paraId="5F95A958" w14:textId="77777777" w:rsidTr="00536159">
        <w:tc>
          <w:tcPr>
            <w:tcW w:w="1844" w:type="pct"/>
            <w:vMerge/>
          </w:tcPr>
          <w:p w14:paraId="5C4B4E7D" w14:textId="77777777" w:rsidR="00BF7D10" w:rsidRPr="008D5350" w:rsidRDefault="00BF7D10" w:rsidP="009B153D">
            <w:pPr>
              <w:pStyle w:val="Tabletext"/>
              <w:keepNext/>
              <w:rPr>
                <w:sz w:val="22"/>
                <w:szCs w:val="22"/>
              </w:rPr>
            </w:pPr>
          </w:p>
        </w:tc>
        <w:tc>
          <w:tcPr>
            <w:tcW w:w="2177" w:type="pct"/>
          </w:tcPr>
          <w:p w14:paraId="6A49668E" w14:textId="04C1AF71" w:rsidR="00BF7D10" w:rsidRPr="008D5350" w:rsidRDefault="00BF7D10" w:rsidP="00A10841">
            <w:pPr>
              <w:pStyle w:val="Tabletext"/>
              <w:keepNext/>
              <w:rPr>
                <w:sz w:val="22"/>
                <w:szCs w:val="22"/>
              </w:rPr>
            </w:pPr>
            <w:r w:rsidRPr="008D5350">
              <w:rPr>
                <w:sz w:val="22"/>
                <w:szCs w:val="22"/>
              </w:rPr>
              <w:t>Other:</w:t>
            </w:r>
            <w:r w:rsidR="00A10841">
              <w:rPr>
                <w:sz w:val="22"/>
                <w:szCs w:val="22"/>
              </w:rPr>
              <w:t xml:space="preserve"> </w:t>
            </w:r>
            <w:r w:rsidRPr="008D5350">
              <w:rPr>
                <w:sz w:val="22"/>
                <w:szCs w:val="22"/>
              </w:rPr>
              <w:t xml:space="preserve">Influence of </w:t>
            </w:r>
            <w:r w:rsidR="00671B69">
              <w:rPr>
                <w:sz w:val="22"/>
                <w:szCs w:val="22"/>
              </w:rPr>
              <w:t>e</w:t>
            </w:r>
            <w:r w:rsidRPr="008D5350">
              <w:rPr>
                <w:sz w:val="22"/>
                <w:szCs w:val="22"/>
              </w:rPr>
              <w:t>thnicity</w:t>
            </w:r>
          </w:p>
        </w:tc>
        <w:tc>
          <w:tcPr>
            <w:tcW w:w="979" w:type="pct"/>
          </w:tcPr>
          <w:p w14:paraId="46EAA82A" w14:textId="77777777" w:rsidR="00BF7D10" w:rsidRPr="008D5350" w:rsidRDefault="00BF7D10" w:rsidP="00A10841">
            <w:pPr>
              <w:pStyle w:val="Tabletext"/>
              <w:keepNext/>
              <w:ind w:left="181"/>
              <w:rPr>
                <w:sz w:val="22"/>
                <w:szCs w:val="22"/>
              </w:rPr>
            </w:pPr>
            <w:r w:rsidRPr="008D5350">
              <w:rPr>
                <w:sz w:val="22"/>
                <w:szCs w:val="22"/>
              </w:rPr>
              <w:t>UP0042</w:t>
            </w:r>
          </w:p>
        </w:tc>
      </w:tr>
      <w:tr w:rsidR="00671B69" w:rsidRPr="00C37A1D" w14:paraId="68310774" w14:textId="77777777" w:rsidTr="00991AA5">
        <w:tc>
          <w:tcPr>
            <w:tcW w:w="1844" w:type="pct"/>
            <w:vMerge w:val="restart"/>
          </w:tcPr>
          <w:p w14:paraId="0B8E7FD2" w14:textId="15744231" w:rsidR="00671B69" w:rsidRPr="008D5350" w:rsidRDefault="00671B69" w:rsidP="009B153D">
            <w:pPr>
              <w:pStyle w:val="Tabletext"/>
              <w:keepNext/>
              <w:rPr>
                <w:b/>
                <w:sz w:val="22"/>
                <w:szCs w:val="22"/>
              </w:rPr>
            </w:pPr>
            <w:r>
              <w:rPr>
                <w:b/>
                <w:sz w:val="22"/>
                <w:szCs w:val="22"/>
              </w:rPr>
              <w:t>Pharmacokinetic</w:t>
            </w:r>
            <w:r w:rsidRPr="008D5350">
              <w:rPr>
                <w:b/>
                <w:sz w:val="22"/>
                <w:szCs w:val="22"/>
              </w:rPr>
              <w:t xml:space="preserve"> interactions</w:t>
            </w:r>
          </w:p>
        </w:tc>
        <w:tc>
          <w:tcPr>
            <w:tcW w:w="2177" w:type="pct"/>
          </w:tcPr>
          <w:p w14:paraId="74CA4F83" w14:textId="77777777" w:rsidR="00671B69" w:rsidRPr="008D5350" w:rsidRDefault="00671B69" w:rsidP="009B153D">
            <w:pPr>
              <w:pStyle w:val="Tabletext"/>
              <w:keepNext/>
              <w:rPr>
                <w:sz w:val="22"/>
                <w:szCs w:val="22"/>
              </w:rPr>
            </w:pPr>
            <w:r w:rsidRPr="008D5350">
              <w:rPr>
                <w:sz w:val="22"/>
                <w:szCs w:val="22"/>
              </w:rPr>
              <w:t>Influenza vaccine</w:t>
            </w:r>
          </w:p>
        </w:tc>
        <w:tc>
          <w:tcPr>
            <w:tcW w:w="979" w:type="pct"/>
          </w:tcPr>
          <w:p w14:paraId="10594596" w14:textId="77777777" w:rsidR="00671B69" w:rsidRPr="008D5350" w:rsidRDefault="00671B69" w:rsidP="009B153D">
            <w:pPr>
              <w:pStyle w:val="Tabletext"/>
              <w:keepNext/>
              <w:rPr>
                <w:sz w:val="22"/>
                <w:szCs w:val="22"/>
              </w:rPr>
            </w:pPr>
            <w:r w:rsidRPr="008D5350">
              <w:rPr>
                <w:sz w:val="22"/>
                <w:szCs w:val="22"/>
              </w:rPr>
              <w:t>UP0034</w:t>
            </w:r>
          </w:p>
        </w:tc>
      </w:tr>
      <w:tr w:rsidR="00671B69" w:rsidRPr="00C37A1D" w14:paraId="34C31F4A" w14:textId="77777777" w:rsidTr="00991AA5">
        <w:tc>
          <w:tcPr>
            <w:tcW w:w="1844" w:type="pct"/>
            <w:vMerge/>
          </w:tcPr>
          <w:p w14:paraId="3BF7E267" w14:textId="77777777" w:rsidR="00671B69" w:rsidRPr="008D5350" w:rsidRDefault="00671B69" w:rsidP="009B153D">
            <w:pPr>
              <w:pStyle w:val="Tabletext"/>
              <w:keepNext/>
              <w:rPr>
                <w:sz w:val="22"/>
                <w:szCs w:val="22"/>
              </w:rPr>
            </w:pPr>
          </w:p>
        </w:tc>
        <w:tc>
          <w:tcPr>
            <w:tcW w:w="2177" w:type="pct"/>
          </w:tcPr>
          <w:p w14:paraId="2FB56D86" w14:textId="77777777" w:rsidR="00671B69" w:rsidRPr="008D5350" w:rsidRDefault="00671B69" w:rsidP="009B153D">
            <w:pPr>
              <w:pStyle w:val="Tabletext"/>
              <w:keepNext/>
              <w:rPr>
                <w:sz w:val="22"/>
                <w:szCs w:val="22"/>
              </w:rPr>
            </w:pPr>
            <w:r w:rsidRPr="008D5350">
              <w:rPr>
                <w:sz w:val="22"/>
                <w:szCs w:val="22"/>
              </w:rPr>
              <w:t>Target population</w:t>
            </w:r>
          </w:p>
        </w:tc>
        <w:tc>
          <w:tcPr>
            <w:tcW w:w="979" w:type="pct"/>
          </w:tcPr>
          <w:p w14:paraId="5E377AEE" w14:textId="77777777" w:rsidR="00671B69" w:rsidRPr="008D5350" w:rsidRDefault="00671B69" w:rsidP="009B153D">
            <w:pPr>
              <w:pStyle w:val="Tabletext"/>
              <w:keepNext/>
              <w:rPr>
                <w:sz w:val="22"/>
                <w:szCs w:val="22"/>
              </w:rPr>
            </w:pPr>
            <w:r w:rsidRPr="008D5350">
              <w:rPr>
                <w:sz w:val="22"/>
                <w:szCs w:val="22"/>
              </w:rPr>
              <w:t>CL0446</w:t>
            </w:r>
          </w:p>
          <w:p w14:paraId="1173E0B8" w14:textId="77777777" w:rsidR="00671B69" w:rsidRPr="008D5350" w:rsidRDefault="00671B69" w:rsidP="009B153D">
            <w:pPr>
              <w:pStyle w:val="Tabletext"/>
              <w:keepNext/>
              <w:rPr>
                <w:sz w:val="22"/>
                <w:szCs w:val="22"/>
              </w:rPr>
            </w:pPr>
            <w:r w:rsidRPr="008D5350">
              <w:rPr>
                <w:sz w:val="22"/>
                <w:szCs w:val="22"/>
              </w:rPr>
              <w:t>CL0485</w:t>
            </w:r>
          </w:p>
        </w:tc>
      </w:tr>
      <w:tr w:rsidR="00671B69" w:rsidRPr="00C37A1D" w14:paraId="32EB48C0" w14:textId="77777777" w:rsidTr="00991AA5">
        <w:tc>
          <w:tcPr>
            <w:tcW w:w="1844" w:type="pct"/>
            <w:vMerge/>
          </w:tcPr>
          <w:p w14:paraId="3C942EDA" w14:textId="77777777" w:rsidR="00671B69" w:rsidRPr="008D5350" w:rsidRDefault="00671B69" w:rsidP="009B153D">
            <w:pPr>
              <w:pStyle w:val="Tabletext"/>
              <w:keepNext/>
              <w:rPr>
                <w:sz w:val="22"/>
                <w:szCs w:val="22"/>
              </w:rPr>
            </w:pPr>
          </w:p>
        </w:tc>
        <w:tc>
          <w:tcPr>
            <w:tcW w:w="2177" w:type="pct"/>
          </w:tcPr>
          <w:p w14:paraId="1BD63A4A" w14:textId="77777777" w:rsidR="00671B69" w:rsidRPr="008D5350" w:rsidRDefault="00671B69" w:rsidP="009B153D">
            <w:pPr>
              <w:pStyle w:val="Tabletext"/>
              <w:keepNext/>
              <w:rPr>
                <w:sz w:val="22"/>
                <w:szCs w:val="22"/>
              </w:rPr>
            </w:pPr>
            <w:r w:rsidRPr="008D5350">
              <w:rPr>
                <w:sz w:val="22"/>
                <w:szCs w:val="22"/>
              </w:rPr>
              <w:t>Bioavailability in target population and healthy subjects</w:t>
            </w:r>
          </w:p>
        </w:tc>
        <w:tc>
          <w:tcPr>
            <w:tcW w:w="979" w:type="pct"/>
          </w:tcPr>
          <w:p w14:paraId="0486DB3D" w14:textId="77777777" w:rsidR="00671B69" w:rsidRPr="008D5350" w:rsidRDefault="00671B69" w:rsidP="009B153D">
            <w:pPr>
              <w:pStyle w:val="Tabletext"/>
              <w:keepNext/>
              <w:rPr>
                <w:sz w:val="22"/>
                <w:szCs w:val="22"/>
              </w:rPr>
            </w:pPr>
            <w:r w:rsidRPr="008D5350">
              <w:rPr>
                <w:sz w:val="22"/>
                <w:szCs w:val="22"/>
              </w:rPr>
              <w:t>CL0453</w:t>
            </w:r>
          </w:p>
        </w:tc>
      </w:tr>
    </w:tbl>
    <w:p w14:paraId="08F090BB" w14:textId="77777777" w:rsidR="00BF7D10" w:rsidRPr="00BF7D10" w:rsidRDefault="00BF7D10" w:rsidP="00BF7D10">
      <w:pPr>
        <w:pStyle w:val="TableDescription"/>
      </w:pPr>
      <w:r w:rsidRPr="00BF7D10">
        <w:t>† Bioequivalence of different formulations.</w:t>
      </w:r>
    </w:p>
    <w:p w14:paraId="0FED0272" w14:textId="77777777" w:rsidR="00BF7D10" w:rsidRPr="00BF7D10" w:rsidRDefault="00BF7D10" w:rsidP="00BF7D10">
      <w:pPr>
        <w:pStyle w:val="TableDescription"/>
      </w:pPr>
      <w:r w:rsidRPr="00BF7D10">
        <w:t>§ Subjects who would be eligible to receive the drug if approved for the proposed indication.</w:t>
      </w:r>
    </w:p>
    <w:p w14:paraId="04DCECA6" w14:textId="281C17DC" w:rsidR="00BF7D10" w:rsidRDefault="00BF7D10" w:rsidP="00BF7D10">
      <w:r>
        <w:t>Two different formulations were used during clinical development</w:t>
      </w:r>
      <w:r w:rsidR="00B77426">
        <w:t>, Formulation A and Formulation B.</w:t>
      </w:r>
    </w:p>
    <w:p w14:paraId="4C7B6F14" w14:textId="54CB9BF0" w:rsidR="00671B69" w:rsidRDefault="00B77426" w:rsidP="00BF7D10">
      <w:r>
        <w:t>Formulation B</w:t>
      </w:r>
      <w:r w:rsidR="00BF7D10">
        <w:t xml:space="preserve"> is proposed for commercial marketing and was used in all Phase I to </w:t>
      </w:r>
      <w:r w:rsidR="00D0756B">
        <w:t>III</w:t>
      </w:r>
      <w:r w:rsidR="00BF7D10">
        <w:t xml:space="preserve"> studies, except for </w:t>
      </w:r>
      <w:r w:rsidR="00D0756B">
        <w:t xml:space="preserve">Studies </w:t>
      </w:r>
      <w:r w:rsidR="00BF7D10">
        <w:t>RA0124, UP0008 and PA0007.</w:t>
      </w:r>
    </w:p>
    <w:p w14:paraId="558EE371" w14:textId="7B98E56B" w:rsidR="00BF7D10" w:rsidRDefault="00BF7D10" w:rsidP="00BF7D10">
      <w:r>
        <w:t>Study UP0031 investigated the PK of both formulations</w:t>
      </w:r>
      <w:r w:rsidR="00671B69">
        <w:t>.</w:t>
      </w:r>
    </w:p>
    <w:p w14:paraId="344272A9" w14:textId="2E8DCB2B" w:rsidR="00671B69" w:rsidRDefault="00671B69" w:rsidP="00536159">
      <w:pPr>
        <w:pStyle w:val="Heading5"/>
      </w:pPr>
      <w:r>
        <w:t>Pharmacokinetics in healthy subjects</w:t>
      </w:r>
    </w:p>
    <w:p w14:paraId="65B84595" w14:textId="0D4496A2" w:rsidR="00BF7D10" w:rsidRDefault="00671B69" w:rsidP="00BF7D10">
      <w:r>
        <w:t xml:space="preserve">A summary of the pharmacokinetics (PK) of </w:t>
      </w:r>
      <w:proofErr w:type="spellStart"/>
      <w:r>
        <w:t>bimekizumab</w:t>
      </w:r>
      <w:proofErr w:type="spellEnd"/>
      <w:r>
        <w:t xml:space="preserve"> in healthy subjects (that is, healthy volunteers without the indication (psoriasis) proposed to be treated in this submission) is as follows:</w:t>
      </w:r>
    </w:p>
    <w:p w14:paraId="26E366CB" w14:textId="7DBA09DC" w:rsidR="00BF7D10" w:rsidRDefault="00BF7D10" w:rsidP="00BF7D10">
      <w:pPr>
        <w:pStyle w:val="ListBullet"/>
      </w:pPr>
      <w:r>
        <w:t>In single</w:t>
      </w:r>
      <w:r w:rsidR="00D0756B">
        <w:t xml:space="preserve"> </w:t>
      </w:r>
      <w:r>
        <w:t>dose studies (</w:t>
      </w:r>
      <w:r w:rsidR="00671B69">
        <w:t xml:space="preserve">see </w:t>
      </w:r>
      <w:r>
        <w:fldChar w:fldCharType="begin"/>
      </w:r>
      <w:r>
        <w:instrText xml:space="preserve"> REF _Ref128565003 \h </w:instrText>
      </w:r>
      <w:r>
        <w:fldChar w:fldCharType="separate"/>
      </w:r>
      <w:r w:rsidR="00B54079" w:rsidRPr="00923A86">
        <w:t xml:space="preserve">Table </w:t>
      </w:r>
      <w:r w:rsidR="00B54079">
        <w:rPr>
          <w:noProof/>
        </w:rPr>
        <w:t>5</w:t>
      </w:r>
      <w:r>
        <w:fldChar w:fldCharType="end"/>
      </w:r>
      <w:r>
        <w:t xml:space="preserve">), </w:t>
      </w:r>
      <w:proofErr w:type="spellStart"/>
      <w:r>
        <w:t>bimekizumab</w:t>
      </w:r>
      <w:proofErr w:type="spellEnd"/>
      <w:r>
        <w:t xml:space="preserve"> exhibited dose-dependent linear PK</w:t>
      </w:r>
    </w:p>
    <w:p w14:paraId="18446A77" w14:textId="571C520C" w:rsidR="00BF7D10" w:rsidRDefault="001D60F6" w:rsidP="00BF7D10">
      <w:pPr>
        <w:pStyle w:val="ListBullet"/>
      </w:pPr>
      <w:r>
        <w:t>Exposure (by a</w:t>
      </w:r>
      <w:r w:rsidR="00BF7D10">
        <w:t>rea under concentration</w:t>
      </w:r>
      <w:r>
        <w:t>-</w:t>
      </w:r>
      <w:r w:rsidR="00BF7D10">
        <w:t xml:space="preserve">time curve </w:t>
      </w:r>
      <w:r>
        <w:t xml:space="preserve">(AUC) </w:t>
      </w:r>
      <w:r w:rsidR="00BF7D10">
        <w:t>and maximum concentration (</w:t>
      </w:r>
      <w:proofErr w:type="spellStart"/>
      <w:r w:rsidR="00BF7D10">
        <w:t>C</w:t>
      </w:r>
      <w:r w:rsidR="00BF7D10" w:rsidRPr="00BF7D10">
        <w:rPr>
          <w:vertAlign w:val="subscript"/>
        </w:rPr>
        <w:t>max</w:t>
      </w:r>
      <w:proofErr w:type="spellEnd"/>
      <w:r w:rsidR="00BF7D10">
        <w:t>) increased in proportion to the dose in the tested dose range (80</w:t>
      </w:r>
      <w:r w:rsidR="00D0756B">
        <w:t xml:space="preserve"> </w:t>
      </w:r>
      <w:r w:rsidR="00BF7D10">
        <w:t>mg to 320</w:t>
      </w:r>
      <w:r w:rsidR="00D0756B">
        <w:t xml:space="preserve"> </w:t>
      </w:r>
      <w:r w:rsidR="00BF7D10">
        <w:t>mg).</w:t>
      </w:r>
    </w:p>
    <w:p w14:paraId="479C170A" w14:textId="74846B8D" w:rsidR="00BF7D10" w:rsidRDefault="001D60F6" w:rsidP="00BF7D10">
      <w:pPr>
        <w:pStyle w:val="ListBullet"/>
      </w:pPr>
      <w:r>
        <w:t>The t</w:t>
      </w:r>
      <w:r w:rsidR="00BF7D10">
        <w:t>erminal elimination half-life ranged from 19 to 26 days (median values) in healthy subjects.</w:t>
      </w:r>
    </w:p>
    <w:p w14:paraId="58881FA7" w14:textId="2DA250A3" w:rsidR="00BF7D10" w:rsidRDefault="00BF7D10" w:rsidP="00923A86">
      <w:pPr>
        <w:pStyle w:val="TableTitle"/>
      </w:pPr>
      <w:bookmarkStart w:id="53" w:name="_Ref128565003"/>
      <w:r w:rsidRPr="00923A86">
        <w:lastRenderedPageBreak/>
        <w:t xml:space="preserve">Table </w:t>
      </w:r>
      <w:r w:rsidR="00172397">
        <w:fldChar w:fldCharType="begin"/>
      </w:r>
      <w:r w:rsidR="00172397">
        <w:instrText xml:space="preserve"> SEQ Table \* ARABIC </w:instrText>
      </w:r>
      <w:r w:rsidR="00172397">
        <w:fldChar w:fldCharType="separate"/>
      </w:r>
      <w:r w:rsidR="00B54079">
        <w:rPr>
          <w:noProof/>
        </w:rPr>
        <w:t>5</w:t>
      </w:r>
      <w:r w:rsidR="00172397">
        <w:rPr>
          <w:noProof/>
        </w:rPr>
        <w:fldChar w:fldCharType="end"/>
      </w:r>
      <w:bookmarkEnd w:id="53"/>
      <w:r>
        <w:t xml:space="preserve">: </w:t>
      </w:r>
      <w:proofErr w:type="spellStart"/>
      <w:r w:rsidR="00923A86" w:rsidRPr="00923A86">
        <w:t>Bimekizumab</w:t>
      </w:r>
      <w:proofErr w:type="spellEnd"/>
      <w:r w:rsidR="00923A86" w:rsidRPr="00923A86">
        <w:t xml:space="preserve"> plasma </w:t>
      </w:r>
      <w:r w:rsidR="00923A86">
        <w:t>pharmacokinetics</w:t>
      </w:r>
      <w:r w:rsidR="00923A86" w:rsidRPr="00923A86">
        <w:t xml:space="preserve"> parameters following administration of single s</w:t>
      </w:r>
      <w:r w:rsidR="00923A86">
        <w:t>ub</w:t>
      </w:r>
      <w:r w:rsidR="00923A86" w:rsidRPr="00923A86">
        <w:t>c</w:t>
      </w:r>
      <w:r w:rsidR="00923A86">
        <w:t>utaneous</w:t>
      </w:r>
      <w:r w:rsidR="00923A86" w:rsidRPr="00923A86">
        <w:t xml:space="preserve"> doses in healthy study participants</w:t>
      </w:r>
    </w:p>
    <w:tbl>
      <w:tblPr>
        <w:tblStyle w:val="TableTGAblue"/>
        <w:tblW w:w="5000" w:type="pct"/>
        <w:tblLook w:val="0000" w:firstRow="0" w:lastRow="0" w:firstColumn="0" w:lastColumn="0" w:noHBand="0" w:noVBand="0"/>
      </w:tblPr>
      <w:tblGrid>
        <w:gridCol w:w="1074"/>
        <w:gridCol w:w="710"/>
        <w:gridCol w:w="711"/>
        <w:gridCol w:w="707"/>
        <w:gridCol w:w="711"/>
        <w:gridCol w:w="707"/>
        <w:gridCol w:w="711"/>
        <w:gridCol w:w="727"/>
        <w:gridCol w:w="731"/>
        <w:gridCol w:w="844"/>
        <w:gridCol w:w="851"/>
      </w:tblGrid>
      <w:tr w:rsidR="006E7089" w:rsidRPr="00687F90" w14:paraId="5A49322E" w14:textId="77777777" w:rsidTr="007C7D07">
        <w:trPr>
          <w:trHeight w:hRule="exact" w:val="302"/>
        </w:trPr>
        <w:tc>
          <w:tcPr>
            <w:tcW w:w="5000" w:type="pct"/>
            <w:gridSpan w:val="11"/>
          </w:tcPr>
          <w:p w14:paraId="558D5625" w14:textId="77777777" w:rsidR="006E7089" w:rsidRPr="00687F90" w:rsidRDefault="006E7089" w:rsidP="007C7D07">
            <w:pPr>
              <w:pStyle w:val="Style"/>
              <w:ind w:right="192"/>
              <w:jc w:val="center"/>
              <w:textAlignment w:val="baseline"/>
              <w:rPr>
                <w:sz w:val="18"/>
                <w:szCs w:val="18"/>
              </w:rPr>
            </w:pPr>
            <w:r w:rsidRPr="00687F90">
              <w:rPr>
                <w:b/>
                <w:sz w:val="18"/>
                <w:szCs w:val="18"/>
              </w:rPr>
              <w:t>Healthy study participants</w:t>
            </w:r>
          </w:p>
          <w:p w14:paraId="2A2EA3A8" w14:textId="77777777" w:rsidR="006E7089" w:rsidRPr="00687F90" w:rsidRDefault="006E7089" w:rsidP="007C7D07">
            <w:pPr>
              <w:pStyle w:val="Style"/>
              <w:jc w:val="center"/>
              <w:textAlignment w:val="baseline"/>
              <w:rPr>
                <w:sz w:val="18"/>
                <w:szCs w:val="18"/>
              </w:rPr>
            </w:pPr>
          </w:p>
        </w:tc>
      </w:tr>
      <w:tr w:rsidR="006E7089" w:rsidRPr="00687F90" w14:paraId="4ADB3B0C" w14:textId="77777777" w:rsidTr="007C7D07">
        <w:trPr>
          <w:trHeight w:val="394"/>
        </w:trPr>
        <w:tc>
          <w:tcPr>
            <w:tcW w:w="633" w:type="pct"/>
          </w:tcPr>
          <w:p w14:paraId="4516F9DC" w14:textId="77777777" w:rsidR="006E7089" w:rsidRPr="00687F90" w:rsidRDefault="006E7089" w:rsidP="007C7D07">
            <w:pPr>
              <w:pStyle w:val="Style"/>
              <w:ind w:left="0"/>
              <w:textAlignment w:val="baseline"/>
              <w:rPr>
                <w:b/>
                <w:sz w:val="18"/>
                <w:szCs w:val="18"/>
              </w:rPr>
            </w:pPr>
            <w:r>
              <w:rPr>
                <w:b/>
                <w:sz w:val="18"/>
                <w:szCs w:val="18"/>
              </w:rPr>
              <w:t>Study ID</w:t>
            </w:r>
          </w:p>
        </w:tc>
        <w:tc>
          <w:tcPr>
            <w:tcW w:w="2509" w:type="pct"/>
            <w:gridSpan w:val="6"/>
          </w:tcPr>
          <w:p w14:paraId="1D7C3D06" w14:textId="77777777" w:rsidR="006E7089" w:rsidRPr="00687F90" w:rsidRDefault="006E7089" w:rsidP="007C7D07">
            <w:pPr>
              <w:pStyle w:val="Style"/>
              <w:ind w:left="10"/>
              <w:jc w:val="center"/>
              <w:textAlignment w:val="baseline"/>
              <w:rPr>
                <w:b/>
                <w:sz w:val="18"/>
                <w:szCs w:val="18"/>
              </w:rPr>
            </w:pPr>
            <w:r>
              <w:rPr>
                <w:b/>
                <w:sz w:val="18"/>
                <w:szCs w:val="18"/>
              </w:rPr>
              <w:t>UP0042</w:t>
            </w:r>
          </w:p>
        </w:tc>
        <w:tc>
          <w:tcPr>
            <w:tcW w:w="1357" w:type="pct"/>
            <w:gridSpan w:val="3"/>
          </w:tcPr>
          <w:p w14:paraId="423DC953" w14:textId="77777777" w:rsidR="006E7089" w:rsidRPr="00687F90" w:rsidRDefault="006E7089" w:rsidP="007C7D07">
            <w:pPr>
              <w:pStyle w:val="Style"/>
              <w:ind w:left="19"/>
              <w:jc w:val="center"/>
              <w:textAlignment w:val="baseline"/>
              <w:rPr>
                <w:b/>
                <w:sz w:val="18"/>
                <w:szCs w:val="18"/>
              </w:rPr>
            </w:pPr>
            <w:r>
              <w:rPr>
                <w:b/>
                <w:sz w:val="18"/>
                <w:szCs w:val="18"/>
              </w:rPr>
              <w:t>UP0033</w:t>
            </w:r>
          </w:p>
        </w:tc>
        <w:tc>
          <w:tcPr>
            <w:tcW w:w="502" w:type="pct"/>
          </w:tcPr>
          <w:p w14:paraId="57614D31" w14:textId="77777777" w:rsidR="006E7089" w:rsidRPr="00687F90" w:rsidRDefault="006E7089" w:rsidP="007C7D07">
            <w:pPr>
              <w:pStyle w:val="Style"/>
              <w:ind w:left="19"/>
              <w:jc w:val="center"/>
              <w:textAlignment w:val="baseline"/>
              <w:rPr>
                <w:b/>
                <w:sz w:val="18"/>
                <w:szCs w:val="18"/>
              </w:rPr>
            </w:pPr>
            <w:r>
              <w:rPr>
                <w:b/>
                <w:sz w:val="18"/>
                <w:szCs w:val="18"/>
              </w:rPr>
              <w:t>UP0034</w:t>
            </w:r>
          </w:p>
        </w:tc>
      </w:tr>
      <w:tr w:rsidR="006E7089" w:rsidRPr="00687F90" w14:paraId="2FD3D417" w14:textId="77777777" w:rsidTr="007C7D07">
        <w:trPr>
          <w:trHeight w:val="386"/>
        </w:trPr>
        <w:tc>
          <w:tcPr>
            <w:tcW w:w="633" w:type="pct"/>
          </w:tcPr>
          <w:p w14:paraId="57752AED" w14:textId="77777777" w:rsidR="006E7089" w:rsidRPr="00C2743F" w:rsidRDefault="006E7089" w:rsidP="007C7D07">
            <w:pPr>
              <w:pStyle w:val="Style"/>
              <w:ind w:left="0"/>
              <w:textAlignment w:val="baseline"/>
              <w:rPr>
                <w:b/>
                <w:bCs/>
                <w:sz w:val="18"/>
                <w:szCs w:val="18"/>
              </w:rPr>
            </w:pPr>
            <w:r w:rsidRPr="00C2743F">
              <w:rPr>
                <w:b/>
                <w:bCs/>
                <w:sz w:val="18"/>
                <w:szCs w:val="18"/>
              </w:rPr>
              <w:t>Dose</w:t>
            </w:r>
          </w:p>
        </w:tc>
        <w:tc>
          <w:tcPr>
            <w:tcW w:w="837" w:type="pct"/>
            <w:gridSpan w:val="2"/>
          </w:tcPr>
          <w:p w14:paraId="44FCB1B2" w14:textId="77777777" w:rsidR="006E7089" w:rsidRPr="00687F90" w:rsidRDefault="006E7089" w:rsidP="007C7D07">
            <w:pPr>
              <w:pStyle w:val="Style"/>
              <w:ind w:left="10"/>
              <w:jc w:val="center"/>
              <w:textAlignment w:val="baseline"/>
              <w:rPr>
                <w:sz w:val="18"/>
                <w:szCs w:val="18"/>
              </w:rPr>
            </w:pPr>
            <w:r w:rsidRPr="00687F90">
              <w:rPr>
                <w:b/>
                <w:sz w:val="18"/>
                <w:szCs w:val="18"/>
              </w:rPr>
              <w:t>80 mg</w:t>
            </w:r>
          </w:p>
        </w:tc>
        <w:tc>
          <w:tcPr>
            <w:tcW w:w="836" w:type="pct"/>
            <w:gridSpan w:val="2"/>
          </w:tcPr>
          <w:p w14:paraId="2D39CD36" w14:textId="77777777" w:rsidR="006E7089" w:rsidRPr="00687F90" w:rsidRDefault="006E7089" w:rsidP="007C7D07">
            <w:pPr>
              <w:pStyle w:val="Style"/>
              <w:ind w:left="5"/>
              <w:jc w:val="center"/>
              <w:textAlignment w:val="baseline"/>
              <w:rPr>
                <w:sz w:val="18"/>
                <w:szCs w:val="18"/>
              </w:rPr>
            </w:pPr>
            <w:r>
              <w:rPr>
                <w:b/>
                <w:sz w:val="18"/>
                <w:szCs w:val="18"/>
              </w:rPr>
              <w:t>160 mg</w:t>
            </w:r>
          </w:p>
        </w:tc>
        <w:tc>
          <w:tcPr>
            <w:tcW w:w="836" w:type="pct"/>
            <w:gridSpan w:val="2"/>
          </w:tcPr>
          <w:p w14:paraId="1D825867" w14:textId="77777777" w:rsidR="006E7089" w:rsidRPr="00687F90" w:rsidRDefault="006E7089" w:rsidP="007C7D07">
            <w:pPr>
              <w:pStyle w:val="Style"/>
              <w:ind w:left="5"/>
              <w:jc w:val="center"/>
              <w:textAlignment w:val="baseline"/>
              <w:rPr>
                <w:sz w:val="18"/>
                <w:szCs w:val="18"/>
              </w:rPr>
            </w:pPr>
            <w:r>
              <w:rPr>
                <w:b/>
                <w:sz w:val="18"/>
                <w:szCs w:val="18"/>
              </w:rPr>
              <w:t>320 mg</w:t>
            </w:r>
          </w:p>
        </w:tc>
        <w:tc>
          <w:tcPr>
            <w:tcW w:w="1858" w:type="pct"/>
            <w:gridSpan w:val="4"/>
          </w:tcPr>
          <w:p w14:paraId="2C861B58" w14:textId="77777777" w:rsidR="006E7089" w:rsidRPr="00687F90" w:rsidRDefault="006E7089" w:rsidP="007C7D07">
            <w:pPr>
              <w:pStyle w:val="Style"/>
              <w:ind w:left="24"/>
              <w:jc w:val="center"/>
              <w:textAlignment w:val="baseline"/>
              <w:rPr>
                <w:sz w:val="18"/>
                <w:szCs w:val="18"/>
              </w:rPr>
            </w:pPr>
            <w:r>
              <w:rPr>
                <w:b/>
                <w:sz w:val="18"/>
                <w:szCs w:val="18"/>
              </w:rPr>
              <w:t>320 mg</w:t>
            </w:r>
          </w:p>
        </w:tc>
      </w:tr>
      <w:tr w:rsidR="006E7089" w:rsidRPr="00687F90" w14:paraId="1C47770F" w14:textId="77777777" w:rsidTr="007C7D07">
        <w:trPr>
          <w:trHeight w:val="831"/>
        </w:trPr>
        <w:tc>
          <w:tcPr>
            <w:tcW w:w="633" w:type="pct"/>
          </w:tcPr>
          <w:p w14:paraId="6C7C3704" w14:textId="77777777" w:rsidR="006E7089" w:rsidRPr="00C2743F" w:rsidRDefault="006E7089" w:rsidP="007C7D07">
            <w:pPr>
              <w:pStyle w:val="Style"/>
              <w:ind w:left="0"/>
              <w:textAlignment w:val="baseline"/>
              <w:rPr>
                <w:b/>
                <w:bCs/>
                <w:sz w:val="18"/>
                <w:szCs w:val="18"/>
              </w:rPr>
            </w:pPr>
            <w:r w:rsidRPr="00C2743F">
              <w:rPr>
                <w:b/>
                <w:bCs/>
                <w:sz w:val="18"/>
                <w:szCs w:val="18"/>
              </w:rPr>
              <w:t>Parameter</w:t>
            </w:r>
          </w:p>
        </w:tc>
        <w:tc>
          <w:tcPr>
            <w:tcW w:w="418" w:type="pct"/>
          </w:tcPr>
          <w:p w14:paraId="74578B49" w14:textId="77777777" w:rsidR="006E7089" w:rsidRPr="00687F90" w:rsidRDefault="006E7089" w:rsidP="007C7D07">
            <w:pPr>
              <w:pStyle w:val="Style"/>
              <w:ind w:left="10"/>
              <w:jc w:val="center"/>
              <w:textAlignment w:val="baseline"/>
              <w:rPr>
                <w:b/>
                <w:sz w:val="18"/>
                <w:szCs w:val="18"/>
              </w:rPr>
            </w:pPr>
            <w:r>
              <w:rPr>
                <w:b/>
                <w:sz w:val="18"/>
                <w:szCs w:val="18"/>
              </w:rPr>
              <w:t>Jap</w:t>
            </w:r>
          </w:p>
        </w:tc>
        <w:tc>
          <w:tcPr>
            <w:tcW w:w="419" w:type="pct"/>
          </w:tcPr>
          <w:p w14:paraId="5D877304" w14:textId="77777777" w:rsidR="006E7089" w:rsidRPr="00687F90" w:rsidRDefault="006E7089" w:rsidP="007C7D07">
            <w:pPr>
              <w:pStyle w:val="Style"/>
              <w:ind w:left="10"/>
              <w:jc w:val="center"/>
              <w:textAlignment w:val="baseline"/>
              <w:rPr>
                <w:b/>
                <w:sz w:val="18"/>
                <w:szCs w:val="18"/>
              </w:rPr>
            </w:pPr>
            <w:proofErr w:type="spellStart"/>
            <w:r>
              <w:rPr>
                <w:b/>
                <w:sz w:val="18"/>
                <w:szCs w:val="18"/>
              </w:rPr>
              <w:t>Cauc</w:t>
            </w:r>
            <w:proofErr w:type="spellEnd"/>
          </w:p>
        </w:tc>
        <w:tc>
          <w:tcPr>
            <w:tcW w:w="417" w:type="pct"/>
          </w:tcPr>
          <w:p w14:paraId="30545844" w14:textId="77777777" w:rsidR="006E7089" w:rsidRPr="00687F90" w:rsidRDefault="006E7089" w:rsidP="007C7D07">
            <w:pPr>
              <w:pStyle w:val="Style"/>
              <w:ind w:left="5"/>
              <w:jc w:val="center"/>
              <w:textAlignment w:val="baseline"/>
              <w:rPr>
                <w:b/>
                <w:sz w:val="18"/>
                <w:szCs w:val="18"/>
              </w:rPr>
            </w:pPr>
            <w:r>
              <w:rPr>
                <w:b/>
                <w:sz w:val="18"/>
                <w:szCs w:val="18"/>
              </w:rPr>
              <w:t>Jap</w:t>
            </w:r>
          </w:p>
        </w:tc>
        <w:tc>
          <w:tcPr>
            <w:tcW w:w="419" w:type="pct"/>
          </w:tcPr>
          <w:p w14:paraId="2ECAED30" w14:textId="77777777" w:rsidR="006E7089" w:rsidRPr="00687F90" w:rsidRDefault="006E7089" w:rsidP="007C7D07">
            <w:pPr>
              <w:pStyle w:val="Style"/>
              <w:ind w:left="10"/>
              <w:jc w:val="center"/>
              <w:textAlignment w:val="baseline"/>
              <w:rPr>
                <w:b/>
                <w:sz w:val="18"/>
                <w:szCs w:val="18"/>
              </w:rPr>
            </w:pPr>
            <w:proofErr w:type="spellStart"/>
            <w:r>
              <w:rPr>
                <w:b/>
                <w:sz w:val="18"/>
                <w:szCs w:val="18"/>
              </w:rPr>
              <w:t>Cauc</w:t>
            </w:r>
            <w:proofErr w:type="spellEnd"/>
          </w:p>
        </w:tc>
        <w:tc>
          <w:tcPr>
            <w:tcW w:w="417" w:type="pct"/>
          </w:tcPr>
          <w:p w14:paraId="39FA2507" w14:textId="77777777" w:rsidR="006E7089" w:rsidRPr="00687F90" w:rsidRDefault="006E7089" w:rsidP="007C7D07">
            <w:pPr>
              <w:pStyle w:val="Style"/>
              <w:ind w:left="5"/>
              <w:jc w:val="center"/>
              <w:textAlignment w:val="baseline"/>
              <w:rPr>
                <w:b/>
                <w:sz w:val="18"/>
                <w:szCs w:val="18"/>
              </w:rPr>
            </w:pPr>
            <w:r>
              <w:rPr>
                <w:b/>
                <w:sz w:val="18"/>
                <w:szCs w:val="18"/>
              </w:rPr>
              <w:t>Jap</w:t>
            </w:r>
          </w:p>
        </w:tc>
        <w:tc>
          <w:tcPr>
            <w:tcW w:w="419" w:type="pct"/>
          </w:tcPr>
          <w:p w14:paraId="4C6B482C" w14:textId="77777777" w:rsidR="006E7089" w:rsidRPr="00687F90" w:rsidRDefault="006E7089" w:rsidP="007C7D07">
            <w:pPr>
              <w:pStyle w:val="Style"/>
              <w:ind w:left="10"/>
              <w:jc w:val="center"/>
              <w:textAlignment w:val="baseline"/>
              <w:rPr>
                <w:b/>
                <w:sz w:val="18"/>
                <w:szCs w:val="18"/>
              </w:rPr>
            </w:pPr>
            <w:proofErr w:type="spellStart"/>
            <w:r>
              <w:rPr>
                <w:b/>
                <w:sz w:val="18"/>
                <w:szCs w:val="18"/>
              </w:rPr>
              <w:t>Caus</w:t>
            </w:r>
            <w:proofErr w:type="spellEnd"/>
          </w:p>
        </w:tc>
        <w:tc>
          <w:tcPr>
            <w:tcW w:w="428" w:type="pct"/>
          </w:tcPr>
          <w:p w14:paraId="4ABC9687" w14:textId="77777777" w:rsidR="006E7089" w:rsidRPr="00687F90" w:rsidRDefault="006E7089" w:rsidP="007C7D07">
            <w:pPr>
              <w:pStyle w:val="Style"/>
              <w:ind w:left="24"/>
              <w:jc w:val="center"/>
              <w:textAlignment w:val="baseline"/>
              <w:rPr>
                <w:sz w:val="18"/>
                <w:szCs w:val="18"/>
              </w:rPr>
            </w:pPr>
            <w:r w:rsidRPr="00687F90">
              <w:rPr>
                <w:b/>
                <w:sz w:val="18"/>
                <w:szCs w:val="18"/>
              </w:rPr>
              <w:t>BKZ-</w:t>
            </w:r>
          </w:p>
          <w:p w14:paraId="3FE78B04" w14:textId="77777777" w:rsidR="006E7089" w:rsidRPr="00C2743F" w:rsidRDefault="006E7089" w:rsidP="007C7D07">
            <w:pPr>
              <w:pStyle w:val="Style"/>
              <w:ind w:left="24"/>
              <w:jc w:val="center"/>
              <w:textAlignment w:val="baseline"/>
              <w:rPr>
                <w:sz w:val="18"/>
                <w:szCs w:val="18"/>
              </w:rPr>
            </w:pPr>
            <w:r w:rsidRPr="00687F90">
              <w:rPr>
                <w:b/>
                <w:sz w:val="18"/>
                <w:szCs w:val="18"/>
              </w:rPr>
              <w:t>TN</w:t>
            </w:r>
          </w:p>
        </w:tc>
        <w:tc>
          <w:tcPr>
            <w:tcW w:w="431" w:type="pct"/>
          </w:tcPr>
          <w:p w14:paraId="30CCE75B" w14:textId="77777777" w:rsidR="006E7089" w:rsidRPr="00687F90" w:rsidRDefault="006E7089" w:rsidP="007C7D07">
            <w:pPr>
              <w:pStyle w:val="Style"/>
              <w:ind w:left="29"/>
              <w:jc w:val="center"/>
              <w:textAlignment w:val="baseline"/>
              <w:rPr>
                <w:sz w:val="18"/>
                <w:szCs w:val="18"/>
              </w:rPr>
            </w:pPr>
            <w:r w:rsidRPr="00687F90">
              <w:rPr>
                <w:b/>
                <w:sz w:val="18"/>
                <w:szCs w:val="18"/>
              </w:rPr>
              <w:t>BKZ-</w:t>
            </w:r>
          </w:p>
          <w:p w14:paraId="3FD44BCD" w14:textId="77777777" w:rsidR="006E7089" w:rsidRPr="00C2743F" w:rsidRDefault="006E7089" w:rsidP="007C7D07">
            <w:pPr>
              <w:pStyle w:val="Style"/>
              <w:ind w:left="29"/>
              <w:jc w:val="center"/>
              <w:textAlignment w:val="baseline"/>
              <w:rPr>
                <w:b/>
                <w:bCs/>
                <w:sz w:val="18"/>
                <w:szCs w:val="18"/>
              </w:rPr>
            </w:pPr>
            <w:r w:rsidRPr="00C2743F">
              <w:rPr>
                <w:b/>
                <w:bCs/>
                <w:sz w:val="18"/>
                <w:szCs w:val="18"/>
              </w:rPr>
              <w:t>ss</w:t>
            </w:r>
          </w:p>
        </w:tc>
        <w:tc>
          <w:tcPr>
            <w:tcW w:w="497" w:type="pct"/>
          </w:tcPr>
          <w:p w14:paraId="4E6CC4B9" w14:textId="77777777" w:rsidR="006E7089" w:rsidRPr="00687F90" w:rsidRDefault="006E7089" w:rsidP="007C7D07">
            <w:pPr>
              <w:pStyle w:val="Style"/>
              <w:jc w:val="center"/>
              <w:textAlignment w:val="baseline"/>
              <w:rPr>
                <w:b/>
                <w:sz w:val="18"/>
                <w:szCs w:val="18"/>
              </w:rPr>
            </w:pPr>
            <w:r w:rsidRPr="00687F90">
              <w:rPr>
                <w:b/>
                <w:sz w:val="18"/>
                <w:szCs w:val="18"/>
              </w:rPr>
              <w:t>BKZ-AI</w:t>
            </w:r>
          </w:p>
        </w:tc>
        <w:tc>
          <w:tcPr>
            <w:tcW w:w="502" w:type="pct"/>
          </w:tcPr>
          <w:p w14:paraId="3DC3D176" w14:textId="77777777" w:rsidR="006E7089" w:rsidRPr="00687F90" w:rsidRDefault="006E7089" w:rsidP="007C7D07">
            <w:pPr>
              <w:pStyle w:val="Style"/>
              <w:ind w:left="19"/>
              <w:textAlignment w:val="baseline"/>
              <w:rPr>
                <w:b/>
                <w:sz w:val="18"/>
                <w:szCs w:val="18"/>
              </w:rPr>
            </w:pPr>
          </w:p>
        </w:tc>
      </w:tr>
      <w:tr w:rsidR="006E7089" w:rsidRPr="00687F90" w14:paraId="6460E586" w14:textId="77777777" w:rsidTr="007C7D07">
        <w:trPr>
          <w:trHeight w:val="262"/>
        </w:trPr>
        <w:tc>
          <w:tcPr>
            <w:tcW w:w="633" w:type="pct"/>
          </w:tcPr>
          <w:p w14:paraId="7CAF3018" w14:textId="77777777" w:rsidR="006E7089" w:rsidRPr="00C2743F" w:rsidRDefault="006E7089" w:rsidP="007C7D07">
            <w:pPr>
              <w:pStyle w:val="Style"/>
              <w:ind w:left="0"/>
              <w:textAlignment w:val="baseline"/>
              <w:rPr>
                <w:b/>
                <w:bCs/>
                <w:sz w:val="18"/>
                <w:szCs w:val="18"/>
              </w:rPr>
            </w:pPr>
            <w:r w:rsidRPr="00C2743F">
              <w:rPr>
                <w:b/>
                <w:bCs/>
                <w:sz w:val="18"/>
                <w:szCs w:val="18"/>
              </w:rPr>
              <w:t>N</w:t>
            </w:r>
          </w:p>
        </w:tc>
        <w:tc>
          <w:tcPr>
            <w:tcW w:w="418" w:type="pct"/>
          </w:tcPr>
          <w:p w14:paraId="67D50B04" w14:textId="77777777" w:rsidR="006E7089" w:rsidRPr="00C2743F" w:rsidRDefault="006E7089" w:rsidP="007C7D07">
            <w:pPr>
              <w:pStyle w:val="Style"/>
              <w:ind w:left="10"/>
              <w:textAlignment w:val="baseline"/>
              <w:rPr>
                <w:bCs/>
                <w:sz w:val="18"/>
                <w:szCs w:val="18"/>
              </w:rPr>
            </w:pPr>
            <w:r w:rsidRPr="00C2743F">
              <w:rPr>
                <w:bCs/>
                <w:sz w:val="18"/>
                <w:szCs w:val="18"/>
              </w:rPr>
              <w:t>5</w:t>
            </w:r>
          </w:p>
        </w:tc>
        <w:tc>
          <w:tcPr>
            <w:tcW w:w="419" w:type="pct"/>
          </w:tcPr>
          <w:p w14:paraId="731493DB" w14:textId="77777777" w:rsidR="006E7089" w:rsidRPr="00C2743F" w:rsidRDefault="006E7089" w:rsidP="007C7D07">
            <w:pPr>
              <w:pStyle w:val="Style"/>
              <w:ind w:left="10"/>
              <w:textAlignment w:val="baseline"/>
              <w:rPr>
                <w:bCs/>
                <w:sz w:val="18"/>
                <w:szCs w:val="18"/>
              </w:rPr>
            </w:pPr>
            <w:r w:rsidRPr="00C2743F">
              <w:rPr>
                <w:bCs/>
                <w:sz w:val="18"/>
                <w:szCs w:val="18"/>
              </w:rPr>
              <w:t>6</w:t>
            </w:r>
          </w:p>
        </w:tc>
        <w:tc>
          <w:tcPr>
            <w:tcW w:w="417" w:type="pct"/>
          </w:tcPr>
          <w:p w14:paraId="77793EFA" w14:textId="77777777" w:rsidR="006E7089" w:rsidRPr="00C2743F" w:rsidRDefault="006E7089" w:rsidP="007C7D07">
            <w:pPr>
              <w:pStyle w:val="Style"/>
              <w:ind w:left="5"/>
              <w:textAlignment w:val="baseline"/>
              <w:rPr>
                <w:bCs/>
                <w:sz w:val="18"/>
                <w:szCs w:val="18"/>
              </w:rPr>
            </w:pPr>
            <w:r w:rsidRPr="00C2743F">
              <w:rPr>
                <w:bCs/>
                <w:sz w:val="18"/>
                <w:szCs w:val="18"/>
              </w:rPr>
              <w:t>6</w:t>
            </w:r>
          </w:p>
        </w:tc>
        <w:tc>
          <w:tcPr>
            <w:tcW w:w="419" w:type="pct"/>
          </w:tcPr>
          <w:p w14:paraId="0171F7EF" w14:textId="77777777" w:rsidR="006E7089" w:rsidRPr="00C2743F" w:rsidRDefault="006E7089" w:rsidP="007C7D07">
            <w:pPr>
              <w:pStyle w:val="Style"/>
              <w:ind w:left="10"/>
              <w:textAlignment w:val="baseline"/>
              <w:rPr>
                <w:bCs/>
                <w:sz w:val="18"/>
                <w:szCs w:val="18"/>
              </w:rPr>
            </w:pPr>
            <w:r w:rsidRPr="00C2743F">
              <w:rPr>
                <w:bCs/>
                <w:sz w:val="18"/>
                <w:szCs w:val="18"/>
              </w:rPr>
              <w:t>6</w:t>
            </w:r>
          </w:p>
        </w:tc>
        <w:tc>
          <w:tcPr>
            <w:tcW w:w="417" w:type="pct"/>
          </w:tcPr>
          <w:p w14:paraId="0C4129B9" w14:textId="77777777" w:rsidR="006E7089" w:rsidRPr="00C2743F" w:rsidRDefault="006E7089" w:rsidP="007C7D07">
            <w:pPr>
              <w:pStyle w:val="Style"/>
              <w:ind w:left="5"/>
              <w:textAlignment w:val="baseline"/>
              <w:rPr>
                <w:bCs/>
                <w:sz w:val="18"/>
                <w:szCs w:val="18"/>
              </w:rPr>
            </w:pPr>
            <w:r w:rsidRPr="00C2743F">
              <w:rPr>
                <w:bCs/>
                <w:sz w:val="18"/>
                <w:szCs w:val="18"/>
              </w:rPr>
              <w:t>6</w:t>
            </w:r>
          </w:p>
        </w:tc>
        <w:tc>
          <w:tcPr>
            <w:tcW w:w="419" w:type="pct"/>
          </w:tcPr>
          <w:p w14:paraId="3AEA63E4" w14:textId="77777777" w:rsidR="006E7089" w:rsidRPr="00C2743F" w:rsidRDefault="006E7089" w:rsidP="007C7D07">
            <w:pPr>
              <w:pStyle w:val="Style"/>
              <w:ind w:left="10"/>
              <w:textAlignment w:val="baseline"/>
              <w:rPr>
                <w:bCs/>
                <w:sz w:val="18"/>
                <w:szCs w:val="18"/>
              </w:rPr>
            </w:pPr>
            <w:r w:rsidRPr="00C2743F">
              <w:rPr>
                <w:bCs/>
                <w:sz w:val="18"/>
                <w:szCs w:val="18"/>
              </w:rPr>
              <w:t>6</w:t>
            </w:r>
          </w:p>
        </w:tc>
        <w:tc>
          <w:tcPr>
            <w:tcW w:w="428" w:type="pct"/>
          </w:tcPr>
          <w:p w14:paraId="4D070452" w14:textId="77777777" w:rsidR="006E7089" w:rsidRPr="00C2743F" w:rsidRDefault="006E7089" w:rsidP="007C7D07">
            <w:pPr>
              <w:pStyle w:val="Style"/>
              <w:ind w:left="24"/>
              <w:textAlignment w:val="baseline"/>
              <w:rPr>
                <w:bCs/>
                <w:sz w:val="18"/>
                <w:szCs w:val="18"/>
              </w:rPr>
            </w:pPr>
            <w:r w:rsidRPr="00C2743F">
              <w:rPr>
                <w:bCs/>
                <w:sz w:val="18"/>
                <w:szCs w:val="18"/>
              </w:rPr>
              <w:t>63</w:t>
            </w:r>
          </w:p>
        </w:tc>
        <w:tc>
          <w:tcPr>
            <w:tcW w:w="431" w:type="pct"/>
          </w:tcPr>
          <w:p w14:paraId="213DA1E5" w14:textId="77777777" w:rsidR="006E7089" w:rsidRPr="00C2743F" w:rsidRDefault="006E7089" w:rsidP="007C7D07">
            <w:pPr>
              <w:pStyle w:val="Style"/>
              <w:ind w:left="29"/>
              <w:textAlignment w:val="baseline"/>
              <w:rPr>
                <w:bCs/>
                <w:sz w:val="18"/>
                <w:szCs w:val="18"/>
              </w:rPr>
            </w:pPr>
            <w:r w:rsidRPr="00C2743F">
              <w:rPr>
                <w:bCs/>
                <w:sz w:val="18"/>
                <w:szCs w:val="18"/>
              </w:rPr>
              <w:t>63</w:t>
            </w:r>
          </w:p>
        </w:tc>
        <w:tc>
          <w:tcPr>
            <w:tcW w:w="497" w:type="pct"/>
          </w:tcPr>
          <w:p w14:paraId="54789B71" w14:textId="77777777" w:rsidR="006E7089" w:rsidRPr="00C2743F" w:rsidRDefault="006E7089" w:rsidP="007C7D07">
            <w:pPr>
              <w:pStyle w:val="Style"/>
              <w:textAlignment w:val="baseline"/>
              <w:rPr>
                <w:bCs/>
                <w:sz w:val="18"/>
                <w:szCs w:val="18"/>
              </w:rPr>
            </w:pPr>
            <w:r w:rsidRPr="00C2743F">
              <w:rPr>
                <w:bCs/>
                <w:sz w:val="18"/>
                <w:szCs w:val="18"/>
              </w:rPr>
              <w:t>63</w:t>
            </w:r>
          </w:p>
        </w:tc>
        <w:tc>
          <w:tcPr>
            <w:tcW w:w="502" w:type="pct"/>
          </w:tcPr>
          <w:p w14:paraId="31F0224E" w14:textId="77777777" w:rsidR="006E7089" w:rsidRPr="00C2743F" w:rsidRDefault="006E7089" w:rsidP="007C7D07">
            <w:pPr>
              <w:pStyle w:val="Style"/>
              <w:ind w:left="19"/>
              <w:textAlignment w:val="baseline"/>
              <w:rPr>
                <w:bCs/>
                <w:sz w:val="18"/>
                <w:szCs w:val="18"/>
              </w:rPr>
            </w:pPr>
            <w:r w:rsidRPr="00C2743F">
              <w:rPr>
                <w:bCs/>
                <w:sz w:val="18"/>
                <w:szCs w:val="18"/>
              </w:rPr>
              <w:t>28</w:t>
            </w:r>
          </w:p>
        </w:tc>
      </w:tr>
      <w:tr w:rsidR="006E7089" w:rsidRPr="00687F90" w14:paraId="0B4272D2" w14:textId="77777777" w:rsidTr="007C7D07">
        <w:trPr>
          <w:trHeight w:val="1386"/>
        </w:trPr>
        <w:tc>
          <w:tcPr>
            <w:tcW w:w="633" w:type="pct"/>
          </w:tcPr>
          <w:p w14:paraId="745221B0" w14:textId="77777777" w:rsidR="006E7089" w:rsidRPr="00C2743F" w:rsidRDefault="006E7089" w:rsidP="007C7D07">
            <w:pPr>
              <w:pStyle w:val="Style"/>
              <w:ind w:left="0"/>
              <w:textAlignment w:val="baseline"/>
              <w:rPr>
                <w:rFonts w:eastAsiaTheme="minorHAnsi"/>
                <w:b/>
                <w:bCs/>
                <w:sz w:val="18"/>
                <w:szCs w:val="18"/>
                <w:vertAlign w:val="subscript"/>
                <w:lang w:val="en-NZ"/>
              </w:rPr>
            </w:pPr>
            <w:proofErr w:type="spellStart"/>
            <w:r w:rsidRPr="00C2743F">
              <w:rPr>
                <w:rFonts w:eastAsiaTheme="minorHAnsi"/>
                <w:b/>
                <w:bCs/>
                <w:sz w:val="18"/>
                <w:szCs w:val="18"/>
                <w:lang w:val="en-NZ"/>
              </w:rPr>
              <w:t>t</w:t>
            </w:r>
            <w:r w:rsidRPr="00C2743F">
              <w:rPr>
                <w:rFonts w:eastAsiaTheme="minorHAnsi"/>
                <w:b/>
                <w:bCs/>
                <w:sz w:val="18"/>
                <w:szCs w:val="18"/>
                <w:vertAlign w:val="subscript"/>
                <w:lang w:val="en-NZ"/>
              </w:rPr>
              <w:t>max</w:t>
            </w:r>
            <w:proofErr w:type="spellEnd"/>
          </w:p>
          <w:p w14:paraId="0DE35F3E" w14:textId="77777777" w:rsidR="006E7089" w:rsidRPr="00C2743F" w:rsidRDefault="006E7089" w:rsidP="007C7D07">
            <w:pPr>
              <w:pStyle w:val="Style"/>
              <w:ind w:left="0"/>
              <w:textAlignment w:val="baseline"/>
              <w:rPr>
                <w:b/>
                <w:bCs/>
                <w:sz w:val="18"/>
                <w:szCs w:val="18"/>
              </w:rPr>
            </w:pPr>
            <w:r w:rsidRPr="00C2743F">
              <w:rPr>
                <w:rFonts w:eastAsiaTheme="minorHAnsi"/>
                <w:b/>
                <w:bCs/>
                <w:sz w:val="18"/>
                <w:szCs w:val="18"/>
                <w:lang w:val="en-NZ"/>
              </w:rPr>
              <w:t>(days)</w:t>
            </w:r>
          </w:p>
          <w:p w14:paraId="66C97C34" w14:textId="77777777" w:rsidR="006E7089" w:rsidRPr="00C2743F" w:rsidRDefault="006E7089" w:rsidP="007C7D07">
            <w:pPr>
              <w:pStyle w:val="Style"/>
              <w:textAlignment w:val="baseline"/>
              <w:rPr>
                <w:b/>
                <w:bCs/>
                <w:sz w:val="18"/>
                <w:szCs w:val="18"/>
              </w:rPr>
            </w:pPr>
            <w:r w:rsidRPr="00C2743F">
              <w:rPr>
                <w:b/>
                <w:bCs/>
                <w:sz w:val="18"/>
                <w:szCs w:val="18"/>
              </w:rPr>
              <w:t xml:space="preserve"> </w:t>
            </w:r>
          </w:p>
        </w:tc>
        <w:tc>
          <w:tcPr>
            <w:tcW w:w="418" w:type="pct"/>
          </w:tcPr>
          <w:p w14:paraId="5AAEB6F3" w14:textId="77777777" w:rsidR="006E7089" w:rsidRPr="00687F90" w:rsidRDefault="006E7089" w:rsidP="007C7D07">
            <w:pPr>
              <w:pStyle w:val="Style"/>
              <w:ind w:left="10"/>
              <w:textAlignment w:val="baseline"/>
              <w:rPr>
                <w:sz w:val="18"/>
                <w:szCs w:val="18"/>
              </w:rPr>
            </w:pPr>
            <w:r w:rsidRPr="00687F90">
              <w:rPr>
                <w:sz w:val="18"/>
                <w:szCs w:val="18"/>
              </w:rPr>
              <w:t>4.02</w:t>
            </w:r>
          </w:p>
          <w:p w14:paraId="7BAD5CDE" w14:textId="77777777" w:rsidR="006E7089" w:rsidRPr="00687F90" w:rsidRDefault="006E7089" w:rsidP="007C7D07">
            <w:pPr>
              <w:pStyle w:val="Style"/>
              <w:ind w:left="10"/>
              <w:textAlignment w:val="baseline"/>
              <w:rPr>
                <w:sz w:val="18"/>
                <w:szCs w:val="18"/>
              </w:rPr>
            </w:pPr>
            <w:r w:rsidRPr="00687F90">
              <w:rPr>
                <w:sz w:val="18"/>
                <w:szCs w:val="18"/>
              </w:rPr>
              <w:t>(4.02</w:t>
            </w:r>
            <w:r>
              <w:rPr>
                <w:sz w:val="18"/>
                <w:szCs w:val="18"/>
              </w:rPr>
              <w:t>,</w:t>
            </w:r>
            <w:r w:rsidRPr="00687F90">
              <w:rPr>
                <w:sz w:val="18"/>
                <w:szCs w:val="18"/>
              </w:rPr>
              <w:t xml:space="preserve"> </w:t>
            </w:r>
          </w:p>
          <w:p w14:paraId="44D0B3A0" w14:textId="77777777" w:rsidR="006E7089" w:rsidRPr="00687F90" w:rsidRDefault="006E7089" w:rsidP="007C7D07">
            <w:pPr>
              <w:pStyle w:val="Style"/>
              <w:ind w:left="10"/>
              <w:textAlignment w:val="baseline"/>
              <w:rPr>
                <w:sz w:val="18"/>
                <w:szCs w:val="18"/>
              </w:rPr>
            </w:pPr>
            <w:r w:rsidRPr="00687F90">
              <w:rPr>
                <w:sz w:val="18"/>
                <w:szCs w:val="18"/>
              </w:rPr>
              <w:t xml:space="preserve">6.05) </w:t>
            </w:r>
          </w:p>
        </w:tc>
        <w:tc>
          <w:tcPr>
            <w:tcW w:w="419" w:type="pct"/>
          </w:tcPr>
          <w:p w14:paraId="1587C816" w14:textId="77777777" w:rsidR="006E7089" w:rsidRPr="00687F90" w:rsidRDefault="006E7089" w:rsidP="007C7D07">
            <w:pPr>
              <w:pStyle w:val="Style"/>
              <w:ind w:left="10"/>
              <w:textAlignment w:val="baseline"/>
              <w:rPr>
                <w:sz w:val="18"/>
                <w:szCs w:val="18"/>
              </w:rPr>
            </w:pPr>
            <w:r w:rsidRPr="00687F90">
              <w:rPr>
                <w:sz w:val="18"/>
                <w:szCs w:val="18"/>
              </w:rPr>
              <w:t>5.04</w:t>
            </w:r>
          </w:p>
          <w:p w14:paraId="1513A7FF" w14:textId="77777777" w:rsidR="006E7089" w:rsidRPr="00687F90" w:rsidRDefault="006E7089" w:rsidP="007C7D07">
            <w:pPr>
              <w:pStyle w:val="Style"/>
              <w:ind w:left="10"/>
              <w:textAlignment w:val="baseline"/>
              <w:rPr>
                <w:sz w:val="18"/>
                <w:szCs w:val="18"/>
              </w:rPr>
            </w:pPr>
            <w:r w:rsidRPr="00687F90">
              <w:rPr>
                <w:sz w:val="18"/>
                <w:szCs w:val="18"/>
              </w:rPr>
              <w:t xml:space="preserve">(4.03, 6.06) </w:t>
            </w:r>
          </w:p>
        </w:tc>
        <w:tc>
          <w:tcPr>
            <w:tcW w:w="417" w:type="pct"/>
          </w:tcPr>
          <w:p w14:paraId="2E20975D" w14:textId="77777777" w:rsidR="006E7089" w:rsidRPr="00687F90" w:rsidRDefault="006E7089" w:rsidP="007C7D07">
            <w:pPr>
              <w:pStyle w:val="Style"/>
              <w:ind w:left="5"/>
              <w:textAlignment w:val="baseline"/>
              <w:rPr>
                <w:sz w:val="18"/>
                <w:szCs w:val="18"/>
              </w:rPr>
            </w:pPr>
            <w:r w:rsidRPr="00687F90">
              <w:rPr>
                <w:sz w:val="18"/>
                <w:szCs w:val="18"/>
              </w:rPr>
              <w:t>6.0</w:t>
            </w:r>
            <w:r>
              <w:rPr>
                <w:sz w:val="18"/>
                <w:szCs w:val="18"/>
              </w:rPr>
              <w:t>4</w:t>
            </w:r>
          </w:p>
          <w:p w14:paraId="335B8754" w14:textId="77777777" w:rsidR="006E7089" w:rsidRPr="00687F90" w:rsidRDefault="006E7089" w:rsidP="007C7D07">
            <w:pPr>
              <w:pStyle w:val="Style"/>
              <w:ind w:left="5"/>
              <w:textAlignment w:val="baseline"/>
              <w:rPr>
                <w:sz w:val="18"/>
                <w:szCs w:val="18"/>
              </w:rPr>
            </w:pPr>
            <w:r w:rsidRPr="00687F90">
              <w:rPr>
                <w:sz w:val="18"/>
                <w:szCs w:val="18"/>
              </w:rPr>
              <w:t xml:space="preserve">(4.03, </w:t>
            </w:r>
          </w:p>
          <w:p w14:paraId="5963725D" w14:textId="77777777" w:rsidR="006E7089" w:rsidRPr="00687F90" w:rsidRDefault="006E7089" w:rsidP="007C7D07">
            <w:pPr>
              <w:pStyle w:val="Style"/>
              <w:ind w:left="5"/>
              <w:textAlignment w:val="baseline"/>
              <w:rPr>
                <w:sz w:val="18"/>
                <w:szCs w:val="18"/>
              </w:rPr>
            </w:pPr>
            <w:r w:rsidRPr="00687F90">
              <w:rPr>
                <w:sz w:val="18"/>
                <w:szCs w:val="18"/>
              </w:rPr>
              <w:t xml:space="preserve">6.20) </w:t>
            </w:r>
          </w:p>
        </w:tc>
        <w:tc>
          <w:tcPr>
            <w:tcW w:w="419" w:type="pct"/>
          </w:tcPr>
          <w:p w14:paraId="57273340" w14:textId="77777777" w:rsidR="006E7089" w:rsidRPr="00687F90" w:rsidRDefault="006E7089" w:rsidP="007C7D07">
            <w:pPr>
              <w:pStyle w:val="Style"/>
              <w:ind w:left="10"/>
              <w:textAlignment w:val="baseline"/>
              <w:rPr>
                <w:sz w:val="18"/>
                <w:szCs w:val="18"/>
              </w:rPr>
            </w:pPr>
            <w:r w:rsidRPr="00687F90">
              <w:rPr>
                <w:sz w:val="18"/>
                <w:szCs w:val="18"/>
              </w:rPr>
              <w:t xml:space="preserve">6.05 </w:t>
            </w:r>
          </w:p>
          <w:p w14:paraId="15E5F372" w14:textId="77777777" w:rsidR="006E7089" w:rsidRPr="00687F90" w:rsidRDefault="006E7089" w:rsidP="007C7D07">
            <w:pPr>
              <w:pStyle w:val="Style"/>
              <w:ind w:left="10"/>
              <w:textAlignment w:val="baseline"/>
              <w:rPr>
                <w:sz w:val="18"/>
                <w:szCs w:val="18"/>
              </w:rPr>
            </w:pPr>
            <w:r w:rsidRPr="00687F90">
              <w:rPr>
                <w:sz w:val="18"/>
                <w:szCs w:val="18"/>
              </w:rPr>
              <w:t xml:space="preserve">(4.03, 6.05) </w:t>
            </w:r>
          </w:p>
        </w:tc>
        <w:tc>
          <w:tcPr>
            <w:tcW w:w="417" w:type="pct"/>
          </w:tcPr>
          <w:p w14:paraId="31B9240C" w14:textId="77777777" w:rsidR="006E7089" w:rsidRPr="00687F90" w:rsidRDefault="006E7089" w:rsidP="007C7D07">
            <w:pPr>
              <w:pStyle w:val="Style"/>
              <w:ind w:left="5"/>
              <w:textAlignment w:val="baseline"/>
              <w:rPr>
                <w:sz w:val="18"/>
                <w:szCs w:val="18"/>
              </w:rPr>
            </w:pPr>
            <w:r w:rsidRPr="00687F90">
              <w:rPr>
                <w:sz w:val="18"/>
                <w:szCs w:val="18"/>
              </w:rPr>
              <w:t>6.0</w:t>
            </w:r>
            <w:r>
              <w:rPr>
                <w:sz w:val="18"/>
                <w:szCs w:val="18"/>
              </w:rPr>
              <w:t>4</w:t>
            </w:r>
          </w:p>
          <w:p w14:paraId="26A8ACB7" w14:textId="77777777" w:rsidR="006E7089" w:rsidRPr="00687F90" w:rsidRDefault="006E7089" w:rsidP="007C7D07">
            <w:pPr>
              <w:pStyle w:val="Style"/>
              <w:ind w:left="5"/>
              <w:textAlignment w:val="baseline"/>
              <w:rPr>
                <w:sz w:val="18"/>
                <w:szCs w:val="18"/>
              </w:rPr>
            </w:pPr>
            <w:r w:rsidRPr="00687F90">
              <w:rPr>
                <w:sz w:val="18"/>
                <w:szCs w:val="18"/>
              </w:rPr>
              <w:t xml:space="preserve">(4.01, </w:t>
            </w:r>
          </w:p>
          <w:p w14:paraId="2FF69F7B" w14:textId="77777777" w:rsidR="006E7089" w:rsidRPr="00687F90" w:rsidRDefault="006E7089" w:rsidP="007C7D07">
            <w:pPr>
              <w:pStyle w:val="Style"/>
              <w:ind w:left="5"/>
              <w:textAlignment w:val="baseline"/>
              <w:rPr>
                <w:sz w:val="18"/>
                <w:szCs w:val="18"/>
              </w:rPr>
            </w:pPr>
            <w:r w:rsidRPr="00687F90">
              <w:rPr>
                <w:sz w:val="18"/>
                <w:szCs w:val="18"/>
              </w:rPr>
              <w:t xml:space="preserve">6.04) </w:t>
            </w:r>
          </w:p>
        </w:tc>
        <w:tc>
          <w:tcPr>
            <w:tcW w:w="419" w:type="pct"/>
          </w:tcPr>
          <w:p w14:paraId="2350F199" w14:textId="77777777" w:rsidR="006E7089" w:rsidRPr="00687F90" w:rsidRDefault="006E7089" w:rsidP="007C7D07">
            <w:pPr>
              <w:pStyle w:val="Style"/>
              <w:ind w:left="10"/>
              <w:textAlignment w:val="baseline"/>
              <w:rPr>
                <w:sz w:val="18"/>
                <w:szCs w:val="18"/>
              </w:rPr>
            </w:pPr>
            <w:r w:rsidRPr="00687F90">
              <w:rPr>
                <w:sz w:val="18"/>
                <w:szCs w:val="18"/>
              </w:rPr>
              <w:t xml:space="preserve">6.04 </w:t>
            </w:r>
          </w:p>
          <w:p w14:paraId="73515218" w14:textId="77777777" w:rsidR="006E7089" w:rsidRPr="00687F90" w:rsidRDefault="006E7089" w:rsidP="007C7D07">
            <w:pPr>
              <w:pStyle w:val="Style"/>
              <w:ind w:left="10"/>
              <w:textAlignment w:val="baseline"/>
              <w:rPr>
                <w:sz w:val="18"/>
                <w:szCs w:val="18"/>
              </w:rPr>
            </w:pPr>
            <w:r w:rsidRPr="00687F90">
              <w:rPr>
                <w:sz w:val="18"/>
                <w:szCs w:val="18"/>
              </w:rPr>
              <w:t xml:space="preserve">(4.04, 6.05) </w:t>
            </w:r>
          </w:p>
        </w:tc>
        <w:tc>
          <w:tcPr>
            <w:tcW w:w="428" w:type="pct"/>
          </w:tcPr>
          <w:p w14:paraId="11C768EB" w14:textId="77777777" w:rsidR="006E7089" w:rsidRPr="00687F90" w:rsidRDefault="006E7089" w:rsidP="007C7D07">
            <w:pPr>
              <w:pStyle w:val="Style"/>
              <w:ind w:left="24"/>
              <w:textAlignment w:val="baseline"/>
              <w:rPr>
                <w:sz w:val="18"/>
                <w:szCs w:val="18"/>
              </w:rPr>
            </w:pPr>
            <w:r w:rsidRPr="00687F90">
              <w:rPr>
                <w:sz w:val="18"/>
                <w:szCs w:val="18"/>
              </w:rPr>
              <w:t xml:space="preserve">5.03 </w:t>
            </w:r>
          </w:p>
          <w:p w14:paraId="2A10BF23" w14:textId="77777777" w:rsidR="006E7089" w:rsidRPr="00687F90" w:rsidRDefault="006E7089" w:rsidP="007C7D07">
            <w:pPr>
              <w:pStyle w:val="Style"/>
              <w:ind w:left="24"/>
              <w:textAlignment w:val="baseline"/>
              <w:rPr>
                <w:sz w:val="18"/>
                <w:szCs w:val="18"/>
              </w:rPr>
            </w:pPr>
            <w:r w:rsidRPr="00687F90">
              <w:rPr>
                <w:sz w:val="18"/>
                <w:szCs w:val="18"/>
              </w:rPr>
              <w:t xml:space="preserve">(1.97, </w:t>
            </w:r>
          </w:p>
          <w:p w14:paraId="5F816B4B" w14:textId="77777777" w:rsidR="006E7089" w:rsidRPr="00687F90" w:rsidRDefault="006E7089" w:rsidP="007C7D07">
            <w:pPr>
              <w:pStyle w:val="Style"/>
              <w:ind w:left="24"/>
              <w:textAlignment w:val="baseline"/>
              <w:rPr>
                <w:sz w:val="18"/>
                <w:szCs w:val="18"/>
              </w:rPr>
            </w:pPr>
            <w:r w:rsidRPr="00687F90">
              <w:rPr>
                <w:sz w:val="18"/>
                <w:szCs w:val="18"/>
              </w:rPr>
              <w:t xml:space="preserve">12.1) </w:t>
            </w:r>
          </w:p>
        </w:tc>
        <w:tc>
          <w:tcPr>
            <w:tcW w:w="431" w:type="pct"/>
          </w:tcPr>
          <w:p w14:paraId="02FE0453" w14:textId="77777777" w:rsidR="006E7089" w:rsidRPr="00687F90" w:rsidRDefault="006E7089" w:rsidP="007C7D07">
            <w:pPr>
              <w:pStyle w:val="Style"/>
              <w:ind w:left="29"/>
              <w:textAlignment w:val="baseline"/>
              <w:rPr>
                <w:sz w:val="18"/>
                <w:szCs w:val="18"/>
              </w:rPr>
            </w:pPr>
            <w:r w:rsidRPr="00687F90">
              <w:rPr>
                <w:sz w:val="18"/>
                <w:szCs w:val="18"/>
              </w:rPr>
              <w:t xml:space="preserve">5.999 </w:t>
            </w:r>
          </w:p>
          <w:p w14:paraId="65F8A317" w14:textId="77777777" w:rsidR="006E7089" w:rsidRPr="00687F90" w:rsidRDefault="006E7089" w:rsidP="007C7D07">
            <w:pPr>
              <w:pStyle w:val="Style"/>
              <w:ind w:left="29"/>
              <w:textAlignment w:val="baseline"/>
              <w:rPr>
                <w:sz w:val="18"/>
                <w:szCs w:val="18"/>
              </w:rPr>
            </w:pPr>
            <w:r w:rsidRPr="00687F90">
              <w:rPr>
                <w:sz w:val="18"/>
                <w:szCs w:val="18"/>
              </w:rPr>
              <w:t xml:space="preserve">(2.95, </w:t>
            </w:r>
          </w:p>
          <w:p w14:paraId="0E959961" w14:textId="77777777" w:rsidR="006E7089" w:rsidRPr="00687F90" w:rsidRDefault="006E7089" w:rsidP="007C7D07">
            <w:pPr>
              <w:pStyle w:val="Style"/>
              <w:ind w:left="29"/>
              <w:textAlignment w:val="baseline"/>
              <w:rPr>
                <w:sz w:val="18"/>
                <w:szCs w:val="18"/>
              </w:rPr>
            </w:pPr>
            <w:r w:rsidRPr="00687F90">
              <w:rPr>
                <w:sz w:val="18"/>
                <w:szCs w:val="18"/>
              </w:rPr>
              <w:t xml:space="preserve">15) </w:t>
            </w:r>
          </w:p>
        </w:tc>
        <w:tc>
          <w:tcPr>
            <w:tcW w:w="497" w:type="pct"/>
          </w:tcPr>
          <w:p w14:paraId="1C29D790" w14:textId="77777777" w:rsidR="006E7089" w:rsidRPr="00687F90" w:rsidRDefault="006E7089" w:rsidP="007C7D07">
            <w:pPr>
              <w:pStyle w:val="Style"/>
              <w:ind w:left="10"/>
              <w:textAlignment w:val="baseline"/>
              <w:rPr>
                <w:sz w:val="18"/>
                <w:szCs w:val="18"/>
              </w:rPr>
            </w:pPr>
            <w:r w:rsidRPr="00687F90">
              <w:rPr>
                <w:sz w:val="18"/>
                <w:szCs w:val="18"/>
              </w:rPr>
              <w:t xml:space="preserve">6.963 </w:t>
            </w:r>
          </w:p>
          <w:p w14:paraId="0C3F6112" w14:textId="77777777" w:rsidR="006E7089" w:rsidRPr="00687F90" w:rsidRDefault="006E7089" w:rsidP="007C7D07">
            <w:pPr>
              <w:pStyle w:val="Style"/>
              <w:ind w:left="10"/>
              <w:textAlignment w:val="baseline"/>
              <w:rPr>
                <w:sz w:val="18"/>
                <w:szCs w:val="18"/>
              </w:rPr>
            </w:pPr>
            <w:r w:rsidRPr="00687F90">
              <w:rPr>
                <w:sz w:val="18"/>
                <w:szCs w:val="18"/>
              </w:rPr>
              <w:t xml:space="preserve">(2.99, </w:t>
            </w:r>
          </w:p>
          <w:p w14:paraId="767B9407" w14:textId="77777777" w:rsidR="006E7089" w:rsidRPr="00687F90" w:rsidRDefault="006E7089" w:rsidP="007C7D07">
            <w:pPr>
              <w:pStyle w:val="Style"/>
              <w:ind w:left="10"/>
              <w:textAlignment w:val="baseline"/>
              <w:rPr>
                <w:sz w:val="18"/>
                <w:szCs w:val="18"/>
              </w:rPr>
            </w:pPr>
            <w:r w:rsidRPr="00687F90">
              <w:rPr>
                <w:sz w:val="18"/>
                <w:szCs w:val="18"/>
              </w:rPr>
              <w:t xml:space="preserve">13.0) </w:t>
            </w:r>
          </w:p>
        </w:tc>
        <w:tc>
          <w:tcPr>
            <w:tcW w:w="502" w:type="pct"/>
          </w:tcPr>
          <w:p w14:paraId="7DEABBFD" w14:textId="77777777" w:rsidR="006E7089" w:rsidRPr="00687F90" w:rsidRDefault="006E7089" w:rsidP="007C7D07">
            <w:pPr>
              <w:pStyle w:val="Style"/>
              <w:ind w:left="19"/>
              <w:textAlignment w:val="baseline"/>
              <w:rPr>
                <w:sz w:val="18"/>
                <w:szCs w:val="18"/>
              </w:rPr>
            </w:pPr>
            <w:r w:rsidRPr="00687F90">
              <w:rPr>
                <w:sz w:val="18"/>
                <w:szCs w:val="18"/>
              </w:rPr>
              <w:t>7</w:t>
            </w:r>
          </w:p>
          <w:p w14:paraId="313AC508" w14:textId="77777777" w:rsidR="006E7089" w:rsidRPr="00687F90" w:rsidRDefault="006E7089" w:rsidP="007C7D07">
            <w:pPr>
              <w:pStyle w:val="Style"/>
              <w:ind w:left="19"/>
              <w:textAlignment w:val="baseline"/>
              <w:rPr>
                <w:sz w:val="18"/>
                <w:szCs w:val="18"/>
              </w:rPr>
            </w:pPr>
            <w:r w:rsidRPr="00687F90">
              <w:rPr>
                <w:sz w:val="18"/>
                <w:szCs w:val="18"/>
              </w:rPr>
              <w:t xml:space="preserve">(2, </w:t>
            </w:r>
          </w:p>
          <w:p w14:paraId="36A5A1F1" w14:textId="77777777" w:rsidR="006E7089" w:rsidRPr="00687F90" w:rsidRDefault="006E7089" w:rsidP="007C7D07">
            <w:pPr>
              <w:pStyle w:val="Style"/>
              <w:ind w:left="19"/>
              <w:textAlignment w:val="baseline"/>
              <w:rPr>
                <w:sz w:val="18"/>
                <w:szCs w:val="18"/>
              </w:rPr>
            </w:pPr>
            <w:r w:rsidRPr="00687F90">
              <w:rPr>
                <w:sz w:val="18"/>
                <w:szCs w:val="18"/>
              </w:rPr>
              <w:t xml:space="preserve">14) </w:t>
            </w:r>
          </w:p>
        </w:tc>
      </w:tr>
      <w:tr w:rsidR="006E7089" w:rsidRPr="00687F90" w14:paraId="362616AA" w14:textId="77777777" w:rsidTr="007C7D07">
        <w:trPr>
          <w:trHeight w:val="1188"/>
        </w:trPr>
        <w:tc>
          <w:tcPr>
            <w:tcW w:w="633" w:type="pct"/>
          </w:tcPr>
          <w:p w14:paraId="0F3B94B8" w14:textId="77777777" w:rsidR="006E7089" w:rsidRPr="00C2743F" w:rsidRDefault="006E7089" w:rsidP="007C7D07">
            <w:pPr>
              <w:pStyle w:val="Style"/>
              <w:ind w:left="0"/>
              <w:jc w:val="both"/>
              <w:textAlignment w:val="baseline"/>
              <w:rPr>
                <w:b/>
                <w:bCs/>
                <w:sz w:val="18"/>
                <w:szCs w:val="18"/>
              </w:rPr>
            </w:pPr>
            <w:proofErr w:type="spellStart"/>
            <w:r w:rsidRPr="00C2743F">
              <w:rPr>
                <w:rFonts w:eastAsiaTheme="minorHAnsi"/>
                <w:b/>
                <w:bCs/>
                <w:sz w:val="18"/>
                <w:szCs w:val="18"/>
                <w:lang w:val="en-NZ"/>
              </w:rPr>
              <w:t>C</w:t>
            </w:r>
            <w:r w:rsidRPr="00C2743F">
              <w:rPr>
                <w:rFonts w:eastAsiaTheme="minorHAnsi"/>
                <w:b/>
                <w:bCs/>
                <w:sz w:val="18"/>
                <w:szCs w:val="18"/>
                <w:vertAlign w:val="subscript"/>
                <w:lang w:val="en-NZ"/>
              </w:rPr>
              <w:t>max</w:t>
            </w:r>
            <w:proofErr w:type="spellEnd"/>
            <w:r w:rsidRPr="00C2743F">
              <w:rPr>
                <w:rFonts w:eastAsiaTheme="minorHAnsi"/>
                <w:b/>
                <w:bCs/>
                <w:sz w:val="18"/>
                <w:szCs w:val="18"/>
                <w:lang w:val="en-NZ"/>
              </w:rPr>
              <w:t xml:space="preserve"> µg/mL</w:t>
            </w:r>
            <w:r w:rsidRPr="00C2743F">
              <w:rPr>
                <w:b/>
                <w:bCs/>
                <w:w w:val="114"/>
                <w:sz w:val="18"/>
                <w:szCs w:val="18"/>
              </w:rPr>
              <w:t xml:space="preserve"> (g/mL)</w:t>
            </w:r>
          </w:p>
        </w:tc>
        <w:tc>
          <w:tcPr>
            <w:tcW w:w="418" w:type="pct"/>
          </w:tcPr>
          <w:p w14:paraId="7BC513AF" w14:textId="77777777" w:rsidR="006E7089" w:rsidRPr="00687F90" w:rsidRDefault="006E7089" w:rsidP="007C7D07">
            <w:pPr>
              <w:pStyle w:val="Style"/>
              <w:ind w:left="10"/>
              <w:jc w:val="center"/>
              <w:textAlignment w:val="baseline"/>
              <w:rPr>
                <w:sz w:val="18"/>
                <w:szCs w:val="18"/>
              </w:rPr>
            </w:pPr>
            <w:r w:rsidRPr="00687F90">
              <w:rPr>
                <w:sz w:val="18"/>
                <w:szCs w:val="18"/>
              </w:rPr>
              <w:t xml:space="preserve">9.294 </w:t>
            </w:r>
          </w:p>
          <w:p w14:paraId="52910D4B" w14:textId="77777777" w:rsidR="006E7089" w:rsidRPr="00687F90" w:rsidRDefault="006E7089" w:rsidP="007C7D07">
            <w:pPr>
              <w:pStyle w:val="Style"/>
              <w:ind w:left="10"/>
              <w:jc w:val="center"/>
              <w:textAlignment w:val="baseline"/>
              <w:rPr>
                <w:sz w:val="18"/>
                <w:szCs w:val="18"/>
              </w:rPr>
            </w:pPr>
            <w:r w:rsidRPr="00687F90">
              <w:rPr>
                <w:sz w:val="18"/>
                <w:szCs w:val="18"/>
              </w:rPr>
              <w:t xml:space="preserve">(17.6) </w:t>
            </w:r>
          </w:p>
        </w:tc>
        <w:tc>
          <w:tcPr>
            <w:tcW w:w="419" w:type="pct"/>
          </w:tcPr>
          <w:p w14:paraId="21B7E5AB" w14:textId="77777777" w:rsidR="006E7089" w:rsidRPr="00687F90" w:rsidRDefault="006E7089" w:rsidP="007C7D07">
            <w:pPr>
              <w:pStyle w:val="Style"/>
              <w:ind w:left="10"/>
              <w:jc w:val="center"/>
              <w:textAlignment w:val="baseline"/>
              <w:rPr>
                <w:sz w:val="18"/>
                <w:szCs w:val="18"/>
              </w:rPr>
            </w:pPr>
            <w:r w:rsidRPr="00687F90">
              <w:rPr>
                <w:sz w:val="18"/>
                <w:szCs w:val="18"/>
              </w:rPr>
              <w:t xml:space="preserve">8.808 </w:t>
            </w:r>
          </w:p>
          <w:p w14:paraId="26F2886C" w14:textId="77777777" w:rsidR="006E7089" w:rsidRPr="00687F90" w:rsidRDefault="006E7089" w:rsidP="007C7D07">
            <w:pPr>
              <w:pStyle w:val="Style"/>
              <w:ind w:left="10"/>
              <w:jc w:val="center"/>
              <w:textAlignment w:val="baseline"/>
              <w:rPr>
                <w:sz w:val="18"/>
                <w:szCs w:val="18"/>
              </w:rPr>
            </w:pPr>
            <w:r w:rsidRPr="00687F90">
              <w:rPr>
                <w:sz w:val="18"/>
                <w:szCs w:val="18"/>
              </w:rPr>
              <w:t xml:space="preserve">(20.2) </w:t>
            </w:r>
          </w:p>
        </w:tc>
        <w:tc>
          <w:tcPr>
            <w:tcW w:w="417" w:type="pct"/>
          </w:tcPr>
          <w:p w14:paraId="41684CA9" w14:textId="77777777" w:rsidR="006E7089" w:rsidRPr="00687F90" w:rsidRDefault="006E7089" w:rsidP="007C7D07">
            <w:pPr>
              <w:pStyle w:val="Style"/>
              <w:ind w:left="5"/>
              <w:jc w:val="center"/>
              <w:textAlignment w:val="baseline"/>
              <w:rPr>
                <w:sz w:val="18"/>
                <w:szCs w:val="18"/>
              </w:rPr>
            </w:pPr>
            <w:r w:rsidRPr="00687F90">
              <w:rPr>
                <w:sz w:val="18"/>
                <w:szCs w:val="18"/>
              </w:rPr>
              <w:t>19.8</w:t>
            </w:r>
          </w:p>
          <w:p w14:paraId="5951B66D" w14:textId="77777777" w:rsidR="006E7089" w:rsidRPr="00687F90" w:rsidRDefault="006E7089" w:rsidP="007C7D07">
            <w:pPr>
              <w:pStyle w:val="Style"/>
              <w:ind w:left="5"/>
              <w:jc w:val="center"/>
              <w:textAlignment w:val="baseline"/>
              <w:rPr>
                <w:sz w:val="18"/>
                <w:szCs w:val="18"/>
              </w:rPr>
            </w:pPr>
            <w:r w:rsidRPr="00687F90">
              <w:rPr>
                <w:sz w:val="18"/>
                <w:szCs w:val="18"/>
              </w:rPr>
              <w:t xml:space="preserve">(8.9) </w:t>
            </w:r>
          </w:p>
        </w:tc>
        <w:tc>
          <w:tcPr>
            <w:tcW w:w="419" w:type="pct"/>
          </w:tcPr>
          <w:p w14:paraId="2ED054EE" w14:textId="77777777" w:rsidR="006E7089" w:rsidRPr="00687F90" w:rsidRDefault="006E7089" w:rsidP="007C7D07">
            <w:pPr>
              <w:pStyle w:val="Style"/>
              <w:ind w:left="10"/>
              <w:jc w:val="center"/>
              <w:textAlignment w:val="baseline"/>
              <w:rPr>
                <w:sz w:val="18"/>
                <w:szCs w:val="18"/>
              </w:rPr>
            </w:pPr>
            <w:r w:rsidRPr="00687F90">
              <w:rPr>
                <w:sz w:val="18"/>
                <w:szCs w:val="18"/>
              </w:rPr>
              <w:t xml:space="preserve">17.17 </w:t>
            </w:r>
          </w:p>
          <w:p w14:paraId="0957066E" w14:textId="77777777" w:rsidR="006E7089" w:rsidRPr="00687F90" w:rsidRDefault="006E7089" w:rsidP="007C7D07">
            <w:pPr>
              <w:pStyle w:val="Style"/>
              <w:ind w:left="10"/>
              <w:jc w:val="center"/>
              <w:textAlignment w:val="baseline"/>
              <w:rPr>
                <w:sz w:val="18"/>
                <w:szCs w:val="18"/>
              </w:rPr>
            </w:pPr>
            <w:r w:rsidRPr="00687F90">
              <w:rPr>
                <w:sz w:val="18"/>
                <w:szCs w:val="18"/>
              </w:rPr>
              <w:t xml:space="preserve">(20.6) </w:t>
            </w:r>
          </w:p>
        </w:tc>
        <w:tc>
          <w:tcPr>
            <w:tcW w:w="417" w:type="pct"/>
          </w:tcPr>
          <w:p w14:paraId="6A9E66E0" w14:textId="77777777" w:rsidR="006E7089" w:rsidRPr="00687F90" w:rsidRDefault="006E7089" w:rsidP="007C7D07">
            <w:pPr>
              <w:pStyle w:val="Style"/>
              <w:ind w:left="5"/>
              <w:jc w:val="center"/>
              <w:textAlignment w:val="baseline"/>
              <w:rPr>
                <w:sz w:val="18"/>
                <w:szCs w:val="18"/>
              </w:rPr>
            </w:pPr>
            <w:r w:rsidRPr="00687F90">
              <w:rPr>
                <w:sz w:val="18"/>
                <w:szCs w:val="18"/>
              </w:rPr>
              <w:t xml:space="preserve">41.33 </w:t>
            </w:r>
          </w:p>
          <w:p w14:paraId="59DD9310" w14:textId="77777777" w:rsidR="006E7089" w:rsidRPr="00687F90" w:rsidRDefault="006E7089" w:rsidP="007C7D07">
            <w:pPr>
              <w:pStyle w:val="Style"/>
              <w:ind w:left="5"/>
              <w:jc w:val="center"/>
              <w:textAlignment w:val="baseline"/>
              <w:rPr>
                <w:sz w:val="18"/>
                <w:szCs w:val="18"/>
              </w:rPr>
            </w:pPr>
            <w:r w:rsidRPr="00687F90">
              <w:rPr>
                <w:sz w:val="18"/>
                <w:szCs w:val="18"/>
              </w:rPr>
              <w:t xml:space="preserve">(16) </w:t>
            </w:r>
          </w:p>
        </w:tc>
        <w:tc>
          <w:tcPr>
            <w:tcW w:w="419" w:type="pct"/>
          </w:tcPr>
          <w:p w14:paraId="245FB809" w14:textId="77777777" w:rsidR="006E7089" w:rsidRPr="00687F90" w:rsidRDefault="006E7089" w:rsidP="007C7D07">
            <w:pPr>
              <w:pStyle w:val="Style"/>
              <w:ind w:left="10"/>
              <w:jc w:val="center"/>
              <w:textAlignment w:val="baseline"/>
              <w:rPr>
                <w:sz w:val="18"/>
                <w:szCs w:val="18"/>
              </w:rPr>
            </w:pPr>
            <w:r w:rsidRPr="00687F90">
              <w:rPr>
                <w:sz w:val="18"/>
                <w:szCs w:val="18"/>
              </w:rPr>
              <w:t>33.6</w:t>
            </w:r>
          </w:p>
          <w:p w14:paraId="07240857" w14:textId="77777777" w:rsidR="006E7089" w:rsidRPr="00687F90" w:rsidRDefault="006E7089" w:rsidP="007C7D07">
            <w:pPr>
              <w:pStyle w:val="Style"/>
              <w:ind w:left="10"/>
              <w:jc w:val="center"/>
              <w:textAlignment w:val="baseline"/>
              <w:rPr>
                <w:sz w:val="18"/>
                <w:szCs w:val="18"/>
              </w:rPr>
            </w:pPr>
            <w:r w:rsidRPr="00687F90">
              <w:rPr>
                <w:sz w:val="18"/>
                <w:szCs w:val="18"/>
              </w:rPr>
              <w:t xml:space="preserve">(19.7) </w:t>
            </w:r>
          </w:p>
        </w:tc>
        <w:tc>
          <w:tcPr>
            <w:tcW w:w="428" w:type="pct"/>
          </w:tcPr>
          <w:p w14:paraId="0C60A7A2" w14:textId="77777777" w:rsidR="006E7089" w:rsidRPr="00687F90" w:rsidRDefault="006E7089" w:rsidP="007C7D07">
            <w:pPr>
              <w:pStyle w:val="Style"/>
              <w:ind w:left="24"/>
              <w:jc w:val="center"/>
              <w:textAlignment w:val="baseline"/>
              <w:rPr>
                <w:sz w:val="18"/>
                <w:szCs w:val="18"/>
              </w:rPr>
            </w:pPr>
            <w:r w:rsidRPr="00687F90">
              <w:rPr>
                <w:sz w:val="18"/>
                <w:szCs w:val="18"/>
              </w:rPr>
              <w:t xml:space="preserve">31.18 </w:t>
            </w:r>
          </w:p>
          <w:p w14:paraId="730BA3E7" w14:textId="77777777" w:rsidR="006E7089" w:rsidRPr="00687F90" w:rsidRDefault="006E7089" w:rsidP="007C7D07">
            <w:pPr>
              <w:pStyle w:val="Style"/>
              <w:ind w:left="24"/>
              <w:jc w:val="center"/>
              <w:textAlignment w:val="baseline"/>
              <w:rPr>
                <w:sz w:val="18"/>
                <w:szCs w:val="18"/>
              </w:rPr>
            </w:pPr>
            <w:r w:rsidRPr="00687F90">
              <w:rPr>
                <w:sz w:val="18"/>
                <w:szCs w:val="18"/>
              </w:rPr>
              <w:t xml:space="preserve">(30.5) </w:t>
            </w:r>
          </w:p>
        </w:tc>
        <w:tc>
          <w:tcPr>
            <w:tcW w:w="431" w:type="pct"/>
          </w:tcPr>
          <w:p w14:paraId="209BBBA6" w14:textId="77777777" w:rsidR="006E7089" w:rsidRPr="00687F90" w:rsidRDefault="006E7089" w:rsidP="007C7D07">
            <w:pPr>
              <w:pStyle w:val="Style"/>
              <w:ind w:left="29"/>
              <w:jc w:val="center"/>
              <w:textAlignment w:val="baseline"/>
              <w:rPr>
                <w:sz w:val="18"/>
                <w:szCs w:val="18"/>
              </w:rPr>
            </w:pPr>
            <w:r w:rsidRPr="00687F90">
              <w:rPr>
                <w:sz w:val="18"/>
                <w:szCs w:val="18"/>
              </w:rPr>
              <w:t xml:space="preserve">30.10 </w:t>
            </w:r>
          </w:p>
          <w:p w14:paraId="117A83FC" w14:textId="77777777" w:rsidR="006E7089" w:rsidRPr="00687F90" w:rsidRDefault="006E7089" w:rsidP="007C7D07">
            <w:pPr>
              <w:pStyle w:val="Style"/>
              <w:ind w:left="29"/>
              <w:jc w:val="center"/>
              <w:textAlignment w:val="baseline"/>
              <w:rPr>
                <w:sz w:val="18"/>
                <w:szCs w:val="18"/>
              </w:rPr>
            </w:pPr>
            <w:r w:rsidRPr="00687F90">
              <w:rPr>
                <w:sz w:val="18"/>
                <w:szCs w:val="18"/>
              </w:rPr>
              <w:t xml:space="preserve">(28.0) </w:t>
            </w:r>
          </w:p>
        </w:tc>
        <w:tc>
          <w:tcPr>
            <w:tcW w:w="497" w:type="pct"/>
          </w:tcPr>
          <w:p w14:paraId="24260243" w14:textId="77777777" w:rsidR="006E7089" w:rsidRPr="00687F90" w:rsidRDefault="006E7089" w:rsidP="007C7D07">
            <w:pPr>
              <w:pStyle w:val="Style"/>
              <w:ind w:left="10"/>
              <w:jc w:val="center"/>
              <w:textAlignment w:val="baseline"/>
              <w:rPr>
                <w:sz w:val="18"/>
                <w:szCs w:val="18"/>
              </w:rPr>
            </w:pPr>
            <w:r w:rsidRPr="00687F90">
              <w:rPr>
                <w:sz w:val="18"/>
                <w:szCs w:val="18"/>
              </w:rPr>
              <w:t xml:space="preserve">30.63 </w:t>
            </w:r>
          </w:p>
          <w:p w14:paraId="61318227" w14:textId="77777777" w:rsidR="006E7089" w:rsidRPr="00687F90" w:rsidRDefault="006E7089" w:rsidP="007C7D07">
            <w:pPr>
              <w:pStyle w:val="Style"/>
              <w:ind w:left="10"/>
              <w:jc w:val="center"/>
              <w:textAlignment w:val="baseline"/>
              <w:rPr>
                <w:sz w:val="18"/>
                <w:szCs w:val="18"/>
              </w:rPr>
            </w:pPr>
            <w:r w:rsidRPr="00687F90">
              <w:rPr>
                <w:sz w:val="18"/>
                <w:szCs w:val="18"/>
              </w:rPr>
              <w:t xml:space="preserve">(22.9) </w:t>
            </w:r>
          </w:p>
        </w:tc>
        <w:tc>
          <w:tcPr>
            <w:tcW w:w="502" w:type="pct"/>
          </w:tcPr>
          <w:p w14:paraId="435B0CC0" w14:textId="77777777" w:rsidR="006E7089" w:rsidRPr="00687F90" w:rsidRDefault="006E7089" w:rsidP="007C7D07">
            <w:pPr>
              <w:pStyle w:val="Style"/>
              <w:ind w:left="19"/>
              <w:jc w:val="center"/>
              <w:textAlignment w:val="baseline"/>
              <w:rPr>
                <w:sz w:val="18"/>
                <w:szCs w:val="18"/>
              </w:rPr>
            </w:pPr>
            <w:r w:rsidRPr="00687F90">
              <w:rPr>
                <w:sz w:val="18"/>
                <w:szCs w:val="18"/>
              </w:rPr>
              <w:t xml:space="preserve">33.44 </w:t>
            </w:r>
          </w:p>
          <w:p w14:paraId="170501E3" w14:textId="77777777" w:rsidR="006E7089" w:rsidRPr="00687F90" w:rsidRDefault="006E7089" w:rsidP="007C7D07">
            <w:pPr>
              <w:pStyle w:val="Style"/>
              <w:ind w:left="19"/>
              <w:jc w:val="center"/>
              <w:textAlignment w:val="baseline"/>
              <w:rPr>
                <w:sz w:val="18"/>
                <w:szCs w:val="18"/>
              </w:rPr>
            </w:pPr>
            <w:r w:rsidRPr="00687F90">
              <w:rPr>
                <w:sz w:val="18"/>
                <w:szCs w:val="18"/>
              </w:rPr>
              <w:t xml:space="preserve">(23.1) </w:t>
            </w:r>
          </w:p>
        </w:tc>
      </w:tr>
      <w:tr w:rsidR="006E7089" w:rsidRPr="00687F90" w14:paraId="73012CA6" w14:textId="77777777" w:rsidTr="007C7D07">
        <w:trPr>
          <w:trHeight w:val="1117"/>
        </w:trPr>
        <w:tc>
          <w:tcPr>
            <w:tcW w:w="633" w:type="pct"/>
          </w:tcPr>
          <w:p w14:paraId="6E40503F" w14:textId="77777777" w:rsidR="006E7089" w:rsidRPr="00C2743F" w:rsidRDefault="006E7089" w:rsidP="007C7D07">
            <w:pPr>
              <w:pStyle w:val="Style"/>
              <w:ind w:left="0"/>
              <w:jc w:val="both"/>
              <w:textAlignment w:val="baseline"/>
              <w:rPr>
                <w:b/>
                <w:bCs/>
                <w:sz w:val="18"/>
                <w:szCs w:val="18"/>
              </w:rPr>
            </w:pPr>
            <w:r w:rsidRPr="00C2743F">
              <w:rPr>
                <w:rFonts w:eastAsiaTheme="minorHAnsi"/>
                <w:b/>
                <w:bCs/>
                <w:sz w:val="18"/>
                <w:szCs w:val="18"/>
                <w:lang w:val="en-NZ"/>
              </w:rPr>
              <w:t>AU</w:t>
            </w:r>
            <w:r>
              <w:rPr>
                <w:rFonts w:eastAsiaTheme="minorHAnsi"/>
                <w:b/>
                <w:bCs/>
                <w:sz w:val="18"/>
                <w:szCs w:val="18"/>
                <w:lang w:val="en-NZ"/>
              </w:rPr>
              <w:t xml:space="preserve">C </w:t>
            </w:r>
            <w:r w:rsidRPr="00C2743F">
              <w:rPr>
                <w:rFonts w:eastAsiaTheme="minorHAnsi"/>
                <w:b/>
                <w:bCs/>
                <w:sz w:val="18"/>
                <w:szCs w:val="18"/>
                <w:lang w:val="en-NZ"/>
              </w:rPr>
              <w:t>(</w:t>
            </w:r>
            <w:proofErr w:type="spellStart"/>
            <w:r w:rsidRPr="00C2743F">
              <w:rPr>
                <w:rFonts w:eastAsiaTheme="minorHAnsi"/>
                <w:b/>
                <w:bCs/>
                <w:sz w:val="18"/>
                <w:szCs w:val="18"/>
                <w:lang w:val="en-NZ"/>
              </w:rPr>
              <w:t>μg.day</w:t>
            </w:r>
            <w:proofErr w:type="spellEnd"/>
            <w:r w:rsidRPr="00C2743F">
              <w:rPr>
                <w:rFonts w:eastAsiaTheme="minorHAnsi"/>
                <w:b/>
                <w:bCs/>
                <w:sz w:val="18"/>
                <w:szCs w:val="18"/>
                <w:lang w:val="en-NZ"/>
              </w:rPr>
              <w:t>/mL</w:t>
            </w:r>
          </w:p>
        </w:tc>
        <w:tc>
          <w:tcPr>
            <w:tcW w:w="418" w:type="pct"/>
          </w:tcPr>
          <w:p w14:paraId="34536E95" w14:textId="77777777" w:rsidR="006E7089" w:rsidRPr="00687F90" w:rsidRDefault="006E7089" w:rsidP="007C7D07">
            <w:pPr>
              <w:pStyle w:val="Style"/>
              <w:ind w:left="0"/>
              <w:textAlignment w:val="baseline"/>
              <w:rPr>
                <w:sz w:val="18"/>
                <w:szCs w:val="18"/>
              </w:rPr>
            </w:pPr>
            <w:r w:rsidRPr="00687F90">
              <w:rPr>
                <w:sz w:val="18"/>
                <w:szCs w:val="18"/>
              </w:rPr>
              <w:t xml:space="preserve">342.3 </w:t>
            </w:r>
          </w:p>
          <w:p w14:paraId="7FC620F8" w14:textId="77777777" w:rsidR="006E7089" w:rsidRPr="00687F90" w:rsidRDefault="006E7089" w:rsidP="007C7D07">
            <w:pPr>
              <w:pStyle w:val="Style"/>
              <w:ind w:left="10"/>
              <w:jc w:val="center"/>
              <w:textAlignment w:val="baseline"/>
              <w:rPr>
                <w:sz w:val="18"/>
                <w:szCs w:val="18"/>
              </w:rPr>
            </w:pPr>
            <w:r w:rsidRPr="00687F90">
              <w:rPr>
                <w:sz w:val="18"/>
                <w:szCs w:val="18"/>
              </w:rPr>
              <w:t xml:space="preserve">(29.6) </w:t>
            </w:r>
          </w:p>
        </w:tc>
        <w:tc>
          <w:tcPr>
            <w:tcW w:w="419" w:type="pct"/>
          </w:tcPr>
          <w:p w14:paraId="6EEBB7F0" w14:textId="77777777" w:rsidR="006E7089" w:rsidRPr="00687F90" w:rsidRDefault="006E7089" w:rsidP="007C7D07">
            <w:pPr>
              <w:pStyle w:val="Style"/>
              <w:ind w:left="0"/>
              <w:textAlignment w:val="baseline"/>
              <w:rPr>
                <w:sz w:val="18"/>
                <w:szCs w:val="18"/>
              </w:rPr>
            </w:pPr>
            <w:r w:rsidRPr="00687F90">
              <w:rPr>
                <w:sz w:val="18"/>
                <w:szCs w:val="18"/>
              </w:rPr>
              <w:t xml:space="preserve">284.8 </w:t>
            </w:r>
          </w:p>
          <w:p w14:paraId="63FC571D" w14:textId="77777777" w:rsidR="006E7089" w:rsidRPr="00687F90" w:rsidRDefault="006E7089" w:rsidP="007C7D07">
            <w:pPr>
              <w:pStyle w:val="Style"/>
              <w:ind w:left="10"/>
              <w:jc w:val="center"/>
              <w:textAlignment w:val="baseline"/>
              <w:rPr>
                <w:sz w:val="18"/>
                <w:szCs w:val="18"/>
              </w:rPr>
            </w:pPr>
            <w:r w:rsidRPr="00687F90">
              <w:rPr>
                <w:sz w:val="18"/>
                <w:szCs w:val="18"/>
              </w:rPr>
              <w:t xml:space="preserve">(14.2) </w:t>
            </w:r>
          </w:p>
        </w:tc>
        <w:tc>
          <w:tcPr>
            <w:tcW w:w="417" w:type="pct"/>
          </w:tcPr>
          <w:p w14:paraId="62A6E726" w14:textId="77777777" w:rsidR="006E7089" w:rsidRPr="00687F90" w:rsidRDefault="006E7089" w:rsidP="007C7D07">
            <w:pPr>
              <w:pStyle w:val="Style"/>
              <w:ind w:left="0"/>
              <w:textAlignment w:val="baseline"/>
              <w:rPr>
                <w:sz w:val="18"/>
                <w:szCs w:val="18"/>
              </w:rPr>
            </w:pPr>
            <w:r w:rsidRPr="00687F90">
              <w:rPr>
                <w:sz w:val="18"/>
                <w:szCs w:val="18"/>
              </w:rPr>
              <w:t xml:space="preserve">679.4 </w:t>
            </w:r>
          </w:p>
          <w:p w14:paraId="37FE810F" w14:textId="77777777" w:rsidR="006E7089" w:rsidRPr="00687F90" w:rsidRDefault="006E7089" w:rsidP="007C7D07">
            <w:pPr>
              <w:pStyle w:val="Style"/>
              <w:ind w:left="5"/>
              <w:jc w:val="center"/>
              <w:textAlignment w:val="baseline"/>
              <w:rPr>
                <w:sz w:val="18"/>
                <w:szCs w:val="18"/>
              </w:rPr>
            </w:pPr>
            <w:r w:rsidRPr="00687F90">
              <w:rPr>
                <w:sz w:val="18"/>
                <w:szCs w:val="18"/>
              </w:rPr>
              <w:t xml:space="preserve">(19.0) </w:t>
            </w:r>
          </w:p>
        </w:tc>
        <w:tc>
          <w:tcPr>
            <w:tcW w:w="419" w:type="pct"/>
          </w:tcPr>
          <w:p w14:paraId="39A9F7A3" w14:textId="77777777" w:rsidR="006E7089" w:rsidRPr="00687F90" w:rsidRDefault="006E7089" w:rsidP="007C7D07">
            <w:pPr>
              <w:pStyle w:val="Style"/>
              <w:ind w:left="10"/>
              <w:textAlignment w:val="baseline"/>
              <w:rPr>
                <w:sz w:val="18"/>
                <w:szCs w:val="18"/>
              </w:rPr>
            </w:pPr>
            <w:r w:rsidRPr="00687F90">
              <w:rPr>
                <w:sz w:val="18"/>
                <w:szCs w:val="18"/>
              </w:rPr>
              <w:t xml:space="preserve">673.2 </w:t>
            </w:r>
          </w:p>
          <w:p w14:paraId="488E043A" w14:textId="77777777" w:rsidR="006E7089" w:rsidRPr="00687F90" w:rsidRDefault="006E7089" w:rsidP="007C7D07">
            <w:pPr>
              <w:pStyle w:val="Style"/>
              <w:ind w:left="10"/>
              <w:jc w:val="center"/>
              <w:textAlignment w:val="baseline"/>
              <w:rPr>
                <w:sz w:val="18"/>
                <w:szCs w:val="18"/>
              </w:rPr>
            </w:pPr>
            <w:r w:rsidRPr="00687F90">
              <w:rPr>
                <w:sz w:val="18"/>
                <w:szCs w:val="18"/>
              </w:rPr>
              <w:t xml:space="preserve">(22.9) </w:t>
            </w:r>
          </w:p>
        </w:tc>
        <w:tc>
          <w:tcPr>
            <w:tcW w:w="417" w:type="pct"/>
          </w:tcPr>
          <w:p w14:paraId="0B450103" w14:textId="77777777" w:rsidR="006E7089" w:rsidRPr="00687F90" w:rsidRDefault="006E7089" w:rsidP="007C7D07">
            <w:pPr>
              <w:pStyle w:val="Style"/>
              <w:ind w:left="0"/>
              <w:textAlignment w:val="baseline"/>
              <w:rPr>
                <w:sz w:val="18"/>
                <w:szCs w:val="18"/>
              </w:rPr>
            </w:pPr>
            <w:r w:rsidRPr="00687F90">
              <w:rPr>
                <w:sz w:val="18"/>
                <w:szCs w:val="18"/>
              </w:rPr>
              <w:t xml:space="preserve">1278 </w:t>
            </w:r>
          </w:p>
          <w:p w14:paraId="71447EB1" w14:textId="77777777" w:rsidR="006E7089" w:rsidRPr="00687F90" w:rsidRDefault="006E7089" w:rsidP="007C7D07">
            <w:pPr>
              <w:pStyle w:val="Style"/>
              <w:ind w:left="5"/>
              <w:jc w:val="center"/>
              <w:textAlignment w:val="baseline"/>
              <w:rPr>
                <w:sz w:val="18"/>
                <w:szCs w:val="18"/>
              </w:rPr>
            </w:pPr>
            <w:r w:rsidRPr="00687F90">
              <w:rPr>
                <w:sz w:val="18"/>
                <w:szCs w:val="18"/>
              </w:rPr>
              <w:t xml:space="preserve">(17.8) </w:t>
            </w:r>
          </w:p>
        </w:tc>
        <w:tc>
          <w:tcPr>
            <w:tcW w:w="419" w:type="pct"/>
          </w:tcPr>
          <w:p w14:paraId="6BBD4BC0" w14:textId="77777777" w:rsidR="006E7089" w:rsidRPr="00687F90" w:rsidRDefault="006E7089" w:rsidP="007C7D07">
            <w:pPr>
              <w:pStyle w:val="Style"/>
              <w:ind w:left="0"/>
              <w:textAlignment w:val="baseline"/>
              <w:rPr>
                <w:sz w:val="18"/>
                <w:szCs w:val="18"/>
              </w:rPr>
            </w:pPr>
            <w:r w:rsidRPr="00687F90">
              <w:rPr>
                <w:sz w:val="18"/>
                <w:szCs w:val="18"/>
              </w:rPr>
              <w:t xml:space="preserve">1450 </w:t>
            </w:r>
          </w:p>
          <w:p w14:paraId="581003E7" w14:textId="77777777" w:rsidR="006E7089" w:rsidRPr="00687F90" w:rsidRDefault="006E7089" w:rsidP="007C7D07">
            <w:pPr>
              <w:pStyle w:val="Style"/>
              <w:ind w:left="10"/>
              <w:jc w:val="center"/>
              <w:textAlignment w:val="baseline"/>
              <w:rPr>
                <w:sz w:val="18"/>
                <w:szCs w:val="18"/>
              </w:rPr>
            </w:pPr>
            <w:r w:rsidRPr="00687F90">
              <w:rPr>
                <w:sz w:val="18"/>
                <w:szCs w:val="18"/>
              </w:rPr>
              <w:t xml:space="preserve">(13.2) </w:t>
            </w:r>
          </w:p>
        </w:tc>
        <w:tc>
          <w:tcPr>
            <w:tcW w:w="428" w:type="pct"/>
          </w:tcPr>
          <w:p w14:paraId="79729832" w14:textId="77777777" w:rsidR="006E7089" w:rsidRPr="00687F90" w:rsidRDefault="006E7089" w:rsidP="007C7D07">
            <w:pPr>
              <w:pStyle w:val="Style"/>
              <w:ind w:left="0"/>
              <w:textAlignment w:val="baseline"/>
              <w:rPr>
                <w:sz w:val="18"/>
                <w:szCs w:val="18"/>
              </w:rPr>
            </w:pPr>
            <w:r w:rsidRPr="00687F90">
              <w:rPr>
                <w:sz w:val="18"/>
                <w:szCs w:val="18"/>
              </w:rPr>
              <w:t xml:space="preserve">1080 </w:t>
            </w:r>
          </w:p>
          <w:p w14:paraId="3C45A9DB" w14:textId="77777777" w:rsidR="006E7089" w:rsidRPr="00687F90" w:rsidRDefault="006E7089" w:rsidP="007C7D07">
            <w:pPr>
              <w:pStyle w:val="Style"/>
              <w:ind w:left="24"/>
              <w:jc w:val="center"/>
              <w:textAlignment w:val="baseline"/>
              <w:rPr>
                <w:sz w:val="18"/>
                <w:szCs w:val="18"/>
              </w:rPr>
            </w:pPr>
            <w:r w:rsidRPr="00687F90">
              <w:rPr>
                <w:sz w:val="18"/>
                <w:szCs w:val="18"/>
              </w:rPr>
              <w:t xml:space="preserve">(32.0) </w:t>
            </w:r>
          </w:p>
        </w:tc>
        <w:tc>
          <w:tcPr>
            <w:tcW w:w="431" w:type="pct"/>
          </w:tcPr>
          <w:p w14:paraId="5791FB6B" w14:textId="77777777" w:rsidR="006E7089" w:rsidRPr="00687F90" w:rsidRDefault="006E7089" w:rsidP="007C7D07">
            <w:pPr>
              <w:pStyle w:val="Style"/>
              <w:ind w:left="0"/>
              <w:textAlignment w:val="baseline"/>
              <w:rPr>
                <w:sz w:val="18"/>
                <w:szCs w:val="18"/>
              </w:rPr>
            </w:pPr>
            <w:r w:rsidRPr="00687F90">
              <w:rPr>
                <w:sz w:val="18"/>
                <w:szCs w:val="18"/>
              </w:rPr>
              <w:t xml:space="preserve">1083 </w:t>
            </w:r>
          </w:p>
          <w:p w14:paraId="16670EF1" w14:textId="77777777" w:rsidR="006E7089" w:rsidRPr="00687F90" w:rsidRDefault="006E7089" w:rsidP="007C7D07">
            <w:pPr>
              <w:pStyle w:val="Style"/>
              <w:ind w:left="29"/>
              <w:jc w:val="center"/>
              <w:textAlignment w:val="baseline"/>
              <w:rPr>
                <w:sz w:val="18"/>
                <w:szCs w:val="18"/>
              </w:rPr>
            </w:pPr>
            <w:r w:rsidRPr="00687F90">
              <w:rPr>
                <w:sz w:val="18"/>
                <w:szCs w:val="18"/>
              </w:rPr>
              <w:t xml:space="preserve">(31.1) </w:t>
            </w:r>
          </w:p>
        </w:tc>
        <w:tc>
          <w:tcPr>
            <w:tcW w:w="497" w:type="pct"/>
          </w:tcPr>
          <w:p w14:paraId="0AB4E994" w14:textId="77777777" w:rsidR="006E7089" w:rsidRPr="00687F90" w:rsidRDefault="006E7089" w:rsidP="007C7D07">
            <w:pPr>
              <w:pStyle w:val="Style"/>
              <w:ind w:left="0"/>
              <w:textAlignment w:val="baseline"/>
              <w:rPr>
                <w:sz w:val="18"/>
                <w:szCs w:val="18"/>
              </w:rPr>
            </w:pPr>
            <w:r w:rsidRPr="00687F90">
              <w:rPr>
                <w:sz w:val="18"/>
                <w:szCs w:val="18"/>
              </w:rPr>
              <w:t xml:space="preserve">1129 (29.9) </w:t>
            </w:r>
          </w:p>
        </w:tc>
        <w:tc>
          <w:tcPr>
            <w:tcW w:w="502" w:type="pct"/>
          </w:tcPr>
          <w:p w14:paraId="597184D1" w14:textId="77777777" w:rsidR="006E7089" w:rsidRPr="00687F90" w:rsidRDefault="006E7089" w:rsidP="007C7D07">
            <w:pPr>
              <w:pStyle w:val="Style"/>
              <w:ind w:left="0"/>
              <w:textAlignment w:val="baseline"/>
              <w:rPr>
                <w:sz w:val="18"/>
                <w:szCs w:val="18"/>
              </w:rPr>
            </w:pPr>
            <w:r>
              <w:rPr>
                <w:sz w:val="18"/>
                <w:szCs w:val="18"/>
              </w:rPr>
              <w:t>1</w:t>
            </w:r>
            <w:r w:rsidRPr="00687F90">
              <w:rPr>
                <w:sz w:val="18"/>
                <w:szCs w:val="18"/>
              </w:rPr>
              <w:t xml:space="preserve">200 (33.4) </w:t>
            </w:r>
          </w:p>
        </w:tc>
      </w:tr>
      <w:tr w:rsidR="006E7089" w:rsidRPr="00687F90" w14:paraId="58C5BD28" w14:textId="77777777" w:rsidTr="007C7D07">
        <w:trPr>
          <w:trHeight w:val="1496"/>
        </w:trPr>
        <w:tc>
          <w:tcPr>
            <w:tcW w:w="633" w:type="pct"/>
          </w:tcPr>
          <w:p w14:paraId="0F1ADDA2" w14:textId="77777777" w:rsidR="006E7089" w:rsidRPr="00C2743F" w:rsidRDefault="006E7089" w:rsidP="007C7D07">
            <w:pPr>
              <w:pStyle w:val="Style"/>
              <w:ind w:left="0"/>
              <w:jc w:val="both"/>
              <w:textAlignment w:val="baseline"/>
              <w:rPr>
                <w:b/>
                <w:bCs/>
                <w:sz w:val="18"/>
                <w:szCs w:val="18"/>
              </w:rPr>
            </w:pPr>
            <w:r w:rsidRPr="00C2743F">
              <w:rPr>
                <w:b/>
                <w:bCs/>
                <w:w w:val="114"/>
                <w:sz w:val="18"/>
                <w:szCs w:val="18"/>
              </w:rPr>
              <w:t>t</w:t>
            </w:r>
            <w:r w:rsidRPr="00C2743F">
              <w:rPr>
                <w:b/>
                <w:bCs/>
                <w:w w:val="114"/>
                <w:sz w:val="18"/>
                <w:szCs w:val="18"/>
                <w:vertAlign w:val="subscript"/>
              </w:rPr>
              <w:t>1/2</w:t>
            </w:r>
            <w:r w:rsidRPr="00C2743F">
              <w:rPr>
                <w:b/>
                <w:bCs/>
                <w:w w:val="114"/>
                <w:sz w:val="18"/>
                <w:szCs w:val="18"/>
              </w:rPr>
              <w:t xml:space="preserve"> (days)</w:t>
            </w:r>
          </w:p>
        </w:tc>
        <w:tc>
          <w:tcPr>
            <w:tcW w:w="418" w:type="pct"/>
          </w:tcPr>
          <w:p w14:paraId="14B5571D" w14:textId="77777777" w:rsidR="006E7089" w:rsidRPr="00687F90" w:rsidRDefault="006E7089" w:rsidP="007C7D07">
            <w:pPr>
              <w:pStyle w:val="Style"/>
              <w:ind w:left="10"/>
              <w:jc w:val="center"/>
              <w:textAlignment w:val="baseline"/>
              <w:rPr>
                <w:sz w:val="18"/>
                <w:szCs w:val="18"/>
              </w:rPr>
            </w:pPr>
            <w:r w:rsidRPr="00687F90">
              <w:rPr>
                <w:sz w:val="18"/>
                <w:szCs w:val="18"/>
              </w:rPr>
              <w:t xml:space="preserve">21.99 </w:t>
            </w:r>
          </w:p>
          <w:p w14:paraId="0BDB9D0D" w14:textId="77777777" w:rsidR="006E7089" w:rsidRPr="00687F90" w:rsidRDefault="006E7089" w:rsidP="007C7D07">
            <w:pPr>
              <w:pStyle w:val="Style"/>
              <w:ind w:left="10"/>
              <w:jc w:val="center"/>
              <w:textAlignment w:val="baseline"/>
              <w:rPr>
                <w:sz w:val="18"/>
                <w:szCs w:val="18"/>
              </w:rPr>
            </w:pPr>
            <w:r w:rsidRPr="00687F90">
              <w:rPr>
                <w:sz w:val="18"/>
                <w:szCs w:val="18"/>
              </w:rPr>
              <w:t xml:space="preserve">(16.3, </w:t>
            </w:r>
          </w:p>
          <w:p w14:paraId="0324A0F7" w14:textId="77777777" w:rsidR="006E7089" w:rsidRPr="00687F90" w:rsidRDefault="006E7089" w:rsidP="007C7D07">
            <w:pPr>
              <w:pStyle w:val="Style"/>
              <w:ind w:left="10"/>
              <w:jc w:val="center"/>
              <w:textAlignment w:val="baseline"/>
              <w:rPr>
                <w:sz w:val="18"/>
                <w:szCs w:val="18"/>
              </w:rPr>
            </w:pPr>
            <w:r w:rsidRPr="00687F90">
              <w:rPr>
                <w:sz w:val="18"/>
                <w:szCs w:val="18"/>
              </w:rPr>
              <w:t xml:space="preserve">28.2) </w:t>
            </w:r>
          </w:p>
        </w:tc>
        <w:tc>
          <w:tcPr>
            <w:tcW w:w="419" w:type="pct"/>
          </w:tcPr>
          <w:p w14:paraId="2F3FE1C6" w14:textId="77777777" w:rsidR="006E7089" w:rsidRPr="00687F90" w:rsidRDefault="006E7089" w:rsidP="007C7D07">
            <w:pPr>
              <w:pStyle w:val="Style"/>
              <w:ind w:left="10"/>
              <w:jc w:val="center"/>
              <w:textAlignment w:val="baseline"/>
              <w:rPr>
                <w:sz w:val="18"/>
                <w:szCs w:val="18"/>
              </w:rPr>
            </w:pPr>
            <w:r w:rsidRPr="00687F90">
              <w:rPr>
                <w:sz w:val="18"/>
                <w:szCs w:val="18"/>
              </w:rPr>
              <w:t xml:space="preserve">20.81 </w:t>
            </w:r>
          </w:p>
          <w:p w14:paraId="40C52BB2" w14:textId="77777777" w:rsidR="006E7089" w:rsidRPr="00687F90" w:rsidRDefault="006E7089" w:rsidP="007C7D07">
            <w:pPr>
              <w:pStyle w:val="Style"/>
              <w:ind w:left="10"/>
              <w:jc w:val="center"/>
              <w:textAlignment w:val="baseline"/>
              <w:rPr>
                <w:sz w:val="18"/>
                <w:szCs w:val="18"/>
              </w:rPr>
            </w:pPr>
            <w:r w:rsidRPr="00687F90">
              <w:rPr>
                <w:sz w:val="18"/>
                <w:szCs w:val="18"/>
              </w:rPr>
              <w:t xml:space="preserve">(16.6, 33 .1) </w:t>
            </w:r>
          </w:p>
          <w:p w14:paraId="672A1012" w14:textId="77777777" w:rsidR="006E7089" w:rsidRPr="00687F90" w:rsidRDefault="006E7089" w:rsidP="007C7D07">
            <w:pPr>
              <w:pStyle w:val="Style"/>
              <w:textAlignment w:val="baseline"/>
              <w:rPr>
                <w:sz w:val="18"/>
                <w:szCs w:val="18"/>
              </w:rPr>
            </w:pPr>
            <w:r w:rsidRPr="00687F90">
              <w:rPr>
                <w:sz w:val="18"/>
                <w:szCs w:val="18"/>
              </w:rPr>
              <w:t xml:space="preserve"> </w:t>
            </w:r>
          </w:p>
        </w:tc>
        <w:tc>
          <w:tcPr>
            <w:tcW w:w="417" w:type="pct"/>
          </w:tcPr>
          <w:p w14:paraId="53B77C85" w14:textId="77777777" w:rsidR="006E7089" w:rsidRPr="00687F90" w:rsidRDefault="006E7089" w:rsidP="007C7D07">
            <w:pPr>
              <w:pStyle w:val="Style"/>
              <w:ind w:left="5"/>
              <w:jc w:val="center"/>
              <w:textAlignment w:val="baseline"/>
              <w:rPr>
                <w:sz w:val="18"/>
                <w:szCs w:val="18"/>
              </w:rPr>
            </w:pPr>
            <w:r w:rsidRPr="00687F90">
              <w:rPr>
                <w:sz w:val="18"/>
                <w:szCs w:val="18"/>
              </w:rPr>
              <w:t xml:space="preserve">22.35 </w:t>
            </w:r>
          </w:p>
          <w:p w14:paraId="4130EF6E" w14:textId="77777777" w:rsidR="006E7089" w:rsidRPr="00687F90" w:rsidRDefault="006E7089" w:rsidP="007C7D07">
            <w:pPr>
              <w:pStyle w:val="Style"/>
              <w:ind w:left="5"/>
              <w:jc w:val="center"/>
              <w:textAlignment w:val="baseline"/>
              <w:rPr>
                <w:sz w:val="18"/>
                <w:szCs w:val="18"/>
              </w:rPr>
            </w:pPr>
            <w:r w:rsidRPr="00687F90">
              <w:rPr>
                <w:sz w:val="18"/>
                <w:szCs w:val="18"/>
              </w:rPr>
              <w:t xml:space="preserve">(19.1, </w:t>
            </w:r>
          </w:p>
          <w:p w14:paraId="0D5E2522" w14:textId="77777777" w:rsidR="006E7089" w:rsidRPr="00687F90" w:rsidRDefault="006E7089" w:rsidP="007C7D07">
            <w:pPr>
              <w:pStyle w:val="Style"/>
              <w:ind w:left="5"/>
              <w:jc w:val="center"/>
              <w:textAlignment w:val="baseline"/>
              <w:rPr>
                <w:sz w:val="18"/>
                <w:szCs w:val="18"/>
              </w:rPr>
            </w:pPr>
            <w:r w:rsidRPr="00687F90">
              <w:rPr>
                <w:sz w:val="18"/>
                <w:szCs w:val="18"/>
              </w:rPr>
              <w:t xml:space="preserve">24.3) </w:t>
            </w:r>
          </w:p>
        </w:tc>
        <w:tc>
          <w:tcPr>
            <w:tcW w:w="419" w:type="pct"/>
          </w:tcPr>
          <w:p w14:paraId="6FC3387B" w14:textId="77777777" w:rsidR="006E7089" w:rsidRPr="00687F90" w:rsidRDefault="006E7089" w:rsidP="007C7D07">
            <w:pPr>
              <w:pStyle w:val="Style"/>
              <w:ind w:left="10"/>
              <w:jc w:val="center"/>
              <w:textAlignment w:val="baseline"/>
              <w:rPr>
                <w:sz w:val="18"/>
                <w:szCs w:val="18"/>
              </w:rPr>
            </w:pPr>
            <w:r w:rsidRPr="00687F90">
              <w:rPr>
                <w:sz w:val="18"/>
                <w:szCs w:val="18"/>
              </w:rPr>
              <w:t xml:space="preserve">25.00 </w:t>
            </w:r>
          </w:p>
          <w:p w14:paraId="2F5AAA31" w14:textId="77777777" w:rsidR="006E7089" w:rsidRPr="00687F90" w:rsidRDefault="006E7089" w:rsidP="007C7D07">
            <w:pPr>
              <w:pStyle w:val="Style"/>
              <w:ind w:left="10"/>
              <w:jc w:val="center"/>
              <w:textAlignment w:val="baseline"/>
              <w:rPr>
                <w:sz w:val="18"/>
                <w:szCs w:val="18"/>
              </w:rPr>
            </w:pPr>
            <w:r w:rsidRPr="00687F90">
              <w:rPr>
                <w:sz w:val="18"/>
                <w:szCs w:val="18"/>
              </w:rPr>
              <w:t xml:space="preserve">(20.4, 32.4) </w:t>
            </w:r>
          </w:p>
          <w:p w14:paraId="443FD5AB" w14:textId="77777777" w:rsidR="006E7089" w:rsidRPr="00687F90" w:rsidRDefault="006E7089" w:rsidP="007C7D07">
            <w:pPr>
              <w:pStyle w:val="Style"/>
              <w:textAlignment w:val="baseline"/>
              <w:rPr>
                <w:sz w:val="18"/>
                <w:szCs w:val="18"/>
              </w:rPr>
            </w:pPr>
            <w:r w:rsidRPr="00687F90">
              <w:rPr>
                <w:sz w:val="18"/>
                <w:szCs w:val="18"/>
              </w:rPr>
              <w:t xml:space="preserve"> </w:t>
            </w:r>
          </w:p>
        </w:tc>
        <w:tc>
          <w:tcPr>
            <w:tcW w:w="417" w:type="pct"/>
          </w:tcPr>
          <w:p w14:paraId="5FF4DFFB" w14:textId="77777777" w:rsidR="006E7089" w:rsidRPr="00687F90" w:rsidRDefault="006E7089" w:rsidP="007C7D07">
            <w:pPr>
              <w:pStyle w:val="Style"/>
              <w:ind w:left="5"/>
              <w:jc w:val="center"/>
              <w:textAlignment w:val="baseline"/>
              <w:rPr>
                <w:sz w:val="18"/>
                <w:szCs w:val="18"/>
              </w:rPr>
            </w:pPr>
            <w:r w:rsidRPr="00687F90">
              <w:rPr>
                <w:sz w:val="18"/>
                <w:szCs w:val="18"/>
              </w:rPr>
              <w:t xml:space="preserve">19.06 </w:t>
            </w:r>
          </w:p>
          <w:p w14:paraId="50417860" w14:textId="77777777" w:rsidR="006E7089" w:rsidRPr="00687F90" w:rsidRDefault="006E7089" w:rsidP="007C7D07">
            <w:pPr>
              <w:pStyle w:val="Style"/>
              <w:ind w:left="5"/>
              <w:jc w:val="center"/>
              <w:textAlignment w:val="baseline"/>
              <w:rPr>
                <w:sz w:val="18"/>
                <w:szCs w:val="18"/>
              </w:rPr>
            </w:pPr>
            <w:r w:rsidRPr="00687F90">
              <w:rPr>
                <w:sz w:val="18"/>
                <w:szCs w:val="18"/>
              </w:rPr>
              <w:t xml:space="preserve">(14.8, </w:t>
            </w:r>
          </w:p>
          <w:p w14:paraId="7AB3CCB2" w14:textId="77777777" w:rsidR="006E7089" w:rsidRPr="00687F90" w:rsidRDefault="006E7089" w:rsidP="007C7D07">
            <w:pPr>
              <w:pStyle w:val="Style"/>
              <w:ind w:left="5"/>
              <w:jc w:val="center"/>
              <w:textAlignment w:val="baseline"/>
              <w:rPr>
                <w:sz w:val="18"/>
                <w:szCs w:val="18"/>
              </w:rPr>
            </w:pPr>
            <w:r w:rsidRPr="00687F90">
              <w:rPr>
                <w:sz w:val="18"/>
                <w:szCs w:val="18"/>
              </w:rPr>
              <w:t xml:space="preserve">30.6) </w:t>
            </w:r>
          </w:p>
        </w:tc>
        <w:tc>
          <w:tcPr>
            <w:tcW w:w="419" w:type="pct"/>
          </w:tcPr>
          <w:p w14:paraId="5EC0AFFD" w14:textId="77777777" w:rsidR="006E7089" w:rsidRPr="00687F90" w:rsidRDefault="006E7089" w:rsidP="007C7D07">
            <w:pPr>
              <w:pStyle w:val="Style"/>
              <w:ind w:left="10"/>
              <w:jc w:val="center"/>
              <w:textAlignment w:val="baseline"/>
              <w:rPr>
                <w:sz w:val="18"/>
                <w:szCs w:val="18"/>
              </w:rPr>
            </w:pPr>
            <w:r w:rsidRPr="00687F90">
              <w:rPr>
                <w:sz w:val="18"/>
                <w:szCs w:val="18"/>
              </w:rPr>
              <w:t xml:space="preserve">25.91 </w:t>
            </w:r>
          </w:p>
          <w:p w14:paraId="212C6955" w14:textId="77777777" w:rsidR="006E7089" w:rsidRPr="00687F90" w:rsidRDefault="006E7089" w:rsidP="007C7D07">
            <w:pPr>
              <w:pStyle w:val="Style"/>
              <w:ind w:left="10"/>
              <w:jc w:val="center"/>
              <w:textAlignment w:val="baseline"/>
              <w:rPr>
                <w:sz w:val="18"/>
                <w:szCs w:val="18"/>
              </w:rPr>
            </w:pPr>
            <w:r w:rsidRPr="00687F90">
              <w:rPr>
                <w:sz w:val="18"/>
                <w:szCs w:val="18"/>
              </w:rPr>
              <w:t xml:space="preserve">(23.2, 32.6) </w:t>
            </w:r>
          </w:p>
          <w:p w14:paraId="3FD1B559" w14:textId="77777777" w:rsidR="006E7089" w:rsidRPr="00687F90" w:rsidRDefault="006E7089" w:rsidP="007C7D07">
            <w:pPr>
              <w:pStyle w:val="Style"/>
              <w:textAlignment w:val="baseline"/>
              <w:rPr>
                <w:sz w:val="18"/>
                <w:szCs w:val="18"/>
              </w:rPr>
            </w:pPr>
            <w:r w:rsidRPr="00687F90">
              <w:rPr>
                <w:sz w:val="18"/>
                <w:szCs w:val="18"/>
              </w:rPr>
              <w:t xml:space="preserve"> </w:t>
            </w:r>
          </w:p>
        </w:tc>
        <w:tc>
          <w:tcPr>
            <w:tcW w:w="428" w:type="pct"/>
          </w:tcPr>
          <w:p w14:paraId="6B26FE82" w14:textId="77777777" w:rsidR="006E7089" w:rsidRPr="00687F90" w:rsidRDefault="006E7089" w:rsidP="007C7D07">
            <w:pPr>
              <w:pStyle w:val="Style"/>
              <w:ind w:left="24"/>
              <w:jc w:val="center"/>
              <w:textAlignment w:val="baseline"/>
              <w:rPr>
                <w:sz w:val="18"/>
                <w:szCs w:val="18"/>
              </w:rPr>
            </w:pPr>
            <w:r w:rsidRPr="00687F90">
              <w:rPr>
                <w:sz w:val="18"/>
                <w:szCs w:val="18"/>
              </w:rPr>
              <w:t xml:space="preserve">22.48 </w:t>
            </w:r>
          </w:p>
          <w:p w14:paraId="51FE9FA3" w14:textId="77777777" w:rsidR="006E7089" w:rsidRPr="00687F90" w:rsidRDefault="006E7089" w:rsidP="007C7D07">
            <w:pPr>
              <w:pStyle w:val="Style"/>
              <w:ind w:left="24"/>
              <w:jc w:val="center"/>
              <w:textAlignment w:val="baseline"/>
              <w:rPr>
                <w:sz w:val="18"/>
                <w:szCs w:val="18"/>
              </w:rPr>
            </w:pPr>
            <w:r w:rsidRPr="00687F90">
              <w:rPr>
                <w:sz w:val="18"/>
                <w:szCs w:val="18"/>
              </w:rPr>
              <w:t xml:space="preserve">(14.7, </w:t>
            </w:r>
          </w:p>
          <w:p w14:paraId="303F04F6" w14:textId="77777777" w:rsidR="006E7089" w:rsidRPr="00687F90" w:rsidRDefault="006E7089" w:rsidP="007C7D07">
            <w:pPr>
              <w:pStyle w:val="Style"/>
              <w:ind w:left="24"/>
              <w:jc w:val="center"/>
              <w:textAlignment w:val="baseline"/>
              <w:rPr>
                <w:sz w:val="18"/>
                <w:szCs w:val="18"/>
              </w:rPr>
            </w:pPr>
            <w:r w:rsidRPr="00687F90">
              <w:rPr>
                <w:sz w:val="18"/>
                <w:szCs w:val="18"/>
              </w:rPr>
              <w:t xml:space="preserve">35.5) </w:t>
            </w:r>
          </w:p>
        </w:tc>
        <w:tc>
          <w:tcPr>
            <w:tcW w:w="431" w:type="pct"/>
          </w:tcPr>
          <w:p w14:paraId="7CAE158C" w14:textId="77777777" w:rsidR="006E7089" w:rsidRPr="00687F90" w:rsidRDefault="006E7089" w:rsidP="007C7D07">
            <w:pPr>
              <w:pStyle w:val="Style"/>
              <w:ind w:left="29"/>
              <w:jc w:val="center"/>
              <w:textAlignment w:val="baseline"/>
              <w:rPr>
                <w:sz w:val="18"/>
                <w:szCs w:val="18"/>
              </w:rPr>
            </w:pPr>
            <w:r w:rsidRPr="00687F90">
              <w:rPr>
                <w:sz w:val="18"/>
                <w:szCs w:val="18"/>
              </w:rPr>
              <w:t xml:space="preserve">24.14 </w:t>
            </w:r>
          </w:p>
          <w:p w14:paraId="3D7DA74D" w14:textId="77777777" w:rsidR="006E7089" w:rsidRPr="00687F90" w:rsidRDefault="006E7089" w:rsidP="007C7D07">
            <w:pPr>
              <w:pStyle w:val="Style"/>
              <w:ind w:left="29"/>
              <w:jc w:val="center"/>
              <w:textAlignment w:val="baseline"/>
              <w:rPr>
                <w:sz w:val="18"/>
                <w:szCs w:val="18"/>
              </w:rPr>
            </w:pPr>
            <w:r w:rsidRPr="00687F90">
              <w:rPr>
                <w:sz w:val="18"/>
                <w:szCs w:val="18"/>
              </w:rPr>
              <w:t xml:space="preserve">(10.3, </w:t>
            </w:r>
          </w:p>
          <w:p w14:paraId="1888102A" w14:textId="77777777" w:rsidR="006E7089" w:rsidRPr="00687F90" w:rsidRDefault="006E7089" w:rsidP="007C7D07">
            <w:pPr>
              <w:pStyle w:val="Style"/>
              <w:ind w:left="29"/>
              <w:jc w:val="center"/>
              <w:textAlignment w:val="baseline"/>
              <w:rPr>
                <w:sz w:val="18"/>
                <w:szCs w:val="18"/>
              </w:rPr>
            </w:pPr>
            <w:r w:rsidRPr="00687F90">
              <w:rPr>
                <w:sz w:val="18"/>
                <w:szCs w:val="18"/>
              </w:rPr>
              <w:t xml:space="preserve">37.2) </w:t>
            </w:r>
          </w:p>
        </w:tc>
        <w:tc>
          <w:tcPr>
            <w:tcW w:w="497" w:type="pct"/>
          </w:tcPr>
          <w:p w14:paraId="36E0D0E8" w14:textId="77777777" w:rsidR="006E7089" w:rsidRPr="00687F90" w:rsidRDefault="006E7089" w:rsidP="007C7D07">
            <w:pPr>
              <w:pStyle w:val="Style"/>
              <w:ind w:left="10"/>
              <w:jc w:val="center"/>
              <w:textAlignment w:val="baseline"/>
              <w:rPr>
                <w:sz w:val="18"/>
                <w:szCs w:val="18"/>
              </w:rPr>
            </w:pPr>
            <w:r w:rsidRPr="00687F90">
              <w:rPr>
                <w:sz w:val="18"/>
                <w:szCs w:val="18"/>
              </w:rPr>
              <w:t xml:space="preserve">23.56 </w:t>
            </w:r>
          </w:p>
          <w:p w14:paraId="69BB3037" w14:textId="77777777" w:rsidR="006E7089" w:rsidRPr="00687F90" w:rsidRDefault="006E7089" w:rsidP="007C7D07">
            <w:pPr>
              <w:pStyle w:val="Style"/>
              <w:ind w:left="10"/>
              <w:jc w:val="center"/>
              <w:textAlignment w:val="baseline"/>
              <w:rPr>
                <w:sz w:val="18"/>
                <w:szCs w:val="18"/>
              </w:rPr>
            </w:pPr>
            <w:r w:rsidRPr="00687F90">
              <w:rPr>
                <w:sz w:val="18"/>
                <w:szCs w:val="18"/>
              </w:rPr>
              <w:t xml:space="preserve">(13.2, </w:t>
            </w:r>
          </w:p>
          <w:p w14:paraId="4D35A950" w14:textId="77777777" w:rsidR="006E7089" w:rsidRPr="00687F90" w:rsidRDefault="006E7089" w:rsidP="007C7D07">
            <w:pPr>
              <w:pStyle w:val="Style"/>
              <w:ind w:left="10"/>
              <w:jc w:val="center"/>
              <w:textAlignment w:val="baseline"/>
              <w:rPr>
                <w:sz w:val="18"/>
                <w:szCs w:val="18"/>
              </w:rPr>
            </w:pPr>
            <w:r w:rsidRPr="00687F90">
              <w:rPr>
                <w:sz w:val="18"/>
                <w:szCs w:val="18"/>
              </w:rPr>
              <w:t xml:space="preserve">39.8) </w:t>
            </w:r>
          </w:p>
        </w:tc>
        <w:tc>
          <w:tcPr>
            <w:tcW w:w="502" w:type="pct"/>
          </w:tcPr>
          <w:p w14:paraId="1EAD3B28" w14:textId="77777777" w:rsidR="006E7089" w:rsidRPr="00687F90" w:rsidRDefault="006E7089" w:rsidP="007C7D07">
            <w:pPr>
              <w:pStyle w:val="Style"/>
              <w:ind w:left="19"/>
              <w:jc w:val="center"/>
              <w:textAlignment w:val="baseline"/>
              <w:rPr>
                <w:sz w:val="18"/>
                <w:szCs w:val="18"/>
              </w:rPr>
            </w:pPr>
            <w:r w:rsidRPr="00687F90">
              <w:rPr>
                <w:sz w:val="18"/>
                <w:szCs w:val="18"/>
              </w:rPr>
              <w:t xml:space="preserve">22.96 </w:t>
            </w:r>
          </w:p>
          <w:p w14:paraId="76C31FE1" w14:textId="77777777" w:rsidR="006E7089" w:rsidRPr="00687F90" w:rsidRDefault="006E7089" w:rsidP="007C7D07">
            <w:pPr>
              <w:pStyle w:val="Style"/>
              <w:ind w:left="19"/>
              <w:jc w:val="center"/>
              <w:textAlignment w:val="baseline"/>
              <w:rPr>
                <w:sz w:val="18"/>
                <w:szCs w:val="18"/>
              </w:rPr>
            </w:pPr>
            <w:r w:rsidRPr="00687F90">
              <w:rPr>
                <w:sz w:val="18"/>
                <w:szCs w:val="18"/>
              </w:rPr>
              <w:t xml:space="preserve">(14.2, </w:t>
            </w:r>
          </w:p>
          <w:p w14:paraId="36AAFD57" w14:textId="77777777" w:rsidR="006E7089" w:rsidRPr="00687F90" w:rsidRDefault="006E7089" w:rsidP="007C7D07">
            <w:pPr>
              <w:pStyle w:val="Style"/>
              <w:ind w:left="19"/>
              <w:jc w:val="center"/>
              <w:textAlignment w:val="baseline"/>
              <w:rPr>
                <w:sz w:val="18"/>
                <w:szCs w:val="18"/>
              </w:rPr>
            </w:pPr>
            <w:r w:rsidRPr="00687F90">
              <w:rPr>
                <w:sz w:val="18"/>
                <w:szCs w:val="18"/>
              </w:rPr>
              <w:t xml:space="preserve">35.7) </w:t>
            </w:r>
          </w:p>
        </w:tc>
      </w:tr>
    </w:tbl>
    <w:p w14:paraId="66CBCFF8" w14:textId="1F6ED03A" w:rsidR="00923A86" w:rsidRPr="00923A86" w:rsidRDefault="00923A86" w:rsidP="00923A86">
      <w:pPr>
        <w:pStyle w:val="TableDescription"/>
      </w:pPr>
      <w:r>
        <w:t xml:space="preserve">AUC = area under the plasma concentration-time curve from time 0 to infinity; </w:t>
      </w:r>
      <w:proofErr w:type="spellStart"/>
      <w:r>
        <w:t>AUCss</w:t>
      </w:r>
      <w:proofErr w:type="spellEnd"/>
      <w:r>
        <w:t xml:space="preserve"> = area under the plasma concentration-time curve at steady state; BKZ-AI = </w:t>
      </w:r>
      <w:proofErr w:type="spellStart"/>
      <w:r>
        <w:t>bimekizumab</w:t>
      </w:r>
      <w:proofErr w:type="spellEnd"/>
      <w:r>
        <w:t xml:space="preserve"> auto-injector; BKZ-SS = </w:t>
      </w:r>
      <w:proofErr w:type="spellStart"/>
      <w:r>
        <w:t>bimekizumab</w:t>
      </w:r>
      <w:proofErr w:type="spellEnd"/>
      <w:r>
        <w:t xml:space="preserve"> safety syringe; BKZ-TN = </w:t>
      </w:r>
      <w:proofErr w:type="spellStart"/>
      <w:r>
        <w:t>bimekizumab</w:t>
      </w:r>
      <w:proofErr w:type="spellEnd"/>
      <w:r>
        <w:t xml:space="preserve"> True North device presentation; </w:t>
      </w:r>
      <w:proofErr w:type="spellStart"/>
      <w:r>
        <w:t>C</w:t>
      </w:r>
      <w:r>
        <w:rPr>
          <w:sz w:val="12"/>
          <w:szCs w:val="12"/>
        </w:rPr>
        <w:t>max</w:t>
      </w:r>
      <w:proofErr w:type="spellEnd"/>
      <w:r>
        <w:rPr>
          <w:sz w:val="12"/>
          <w:szCs w:val="12"/>
        </w:rPr>
        <w:t xml:space="preserve"> </w:t>
      </w:r>
      <w:r>
        <w:t xml:space="preserve">= maximum concentration; CSR = clinical study report; CV = coefficient of variation; PK = pharmacokinetic; PSO = psoriasis; </w:t>
      </w:r>
      <w:proofErr w:type="spellStart"/>
      <w:r>
        <w:t>sc</w:t>
      </w:r>
      <w:proofErr w:type="spellEnd"/>
      <w:r>
        <w:t xml:space="preserve"> = subcutaneous; t</w:t>
      </w:r>
      <w:r>
        <w:rPr>
          <w:sz w:val="12"/>
          <w:szCs w:val="12"/>
        </w:rPr>
        <w:t xml:space="preserve">½ </w:t>
      </w:r>
      <w:r>
        <w:t xml:space="preserve">= apparent terminal half-life; </w:t>
      </w:r>
      <w:proofErr w:type="spellStart"/>
      <w:r>
        <w:t>t</w:t>
      </w:r>
      <w:r>
        <w:rPr>
          <w:sz w:val="12"/>
          <w:szCs w:val="12"/>
        </w:rPr>
        <w:t>max</w:t>
      </w:r>
      <w:proofErr w:type="spellEnd"/>
      <w:r>
        <w:rPr>
          <w:sz w:val="12"/>
          <w:szCs w:val="12"/>
        </w:rPr>
        <w:t xml:space="preserve"> </w:t>
      </w:r>
      <w:r>
        <w:t xml:space="preserve">= time of occurrence of </w:t>
      </w:r>
      <w:proofErr w:type="spellStart"/>
      <w:r>
        <w:t>C</w:t>
      </w:r>
      <w:r>
        <w:rPr>
          <w:sz w:val="12"/>
          <w:szCs w:val="12"/>
        </w:rPr>
        <w:t>max</w:t>
      </w:r>
      <w:proofErr w:type="spellEnd"/>
    </w:p>
    <w:p w14:paraId="51D8F818" w14:textId="0672619A" w:rsidR="00BF7D10" w:rsidRDefault="00367CEE" w:rsidP="00BF7D10">
      <w:r w:rsidRPr="00367CEE">
        <w:t>Similar results were seen across studies involving healthy subjects</w:t>
      </w:r>
      <w:r w:rsidR="00371A09">
        <w:t>.</w:t>
      </w:r>
    </w:p>
    <w:p w14:paraId="1AE39A2E" w14:textId="30EE954F" w:rsidR="00600EA7" w:rsidRDefault="00600EA7" w:rsidP="006E7089">
      <w:pPr>
        <w:pStyle w:val="Heading6"/>
        <w:rPr>
          <w:lang w:eastAsia="ja-JP"/>
        </w:rPr>
      </w:pPr>
      <w:r>
        <w:rPr>
          <w:lang w:eastAsia="ja-JP"/>
        </w:rPr>
        <w:t>Study RA0124</w:t>
      </w:r>
    </w:p>
    <w:p w14:paraId="28A69C60" w14:textId="314AF0F0" w:rsidR="00600EA7" w:rsidRPr="004D65C9" w:rsidRDefault="00600EA7" w:rsidP="00600EA7">
      <w:pPr>
        <w:rPr>
          <w:lang w:eastAsia="ja-JP"/>
        </w:rPr>
      </w:pPr>
      <w:r w:rsidRPr="004D65C9">
        <w:rPr>
          <w:lang w:eastAsia="ja-JP"/>
        </w:rPr>
        <w:t>Study RA0124 investigated the</w:t>
      </w:r>
      <w:r>
        <w:rPr>
          <w:lang w:eastAsia="ja-JP"/>
        </w:rPr>
        <w:t xml:space="preserve"> (absolute</w:t>
      </w:r>
      <w:bookmarkStart w:id="54" w:name="_Hlk128644917"/>
      <w:r>
        <w:rPr>
          <w:lang w:eastAsia="ja-JP"/>
        </w:rPr>
        <w:t xml:space="preserve">) </w:t>
      </w:r>
      <w:r w:rsidRPr="004D65C9">
        <w:rPr>
          <w:lang w:eastAsia="ja-JP"/>
        </w:rPr>
        <w:t xml:space="preserve">bioavailability of single </w:t>
      </w:r>
      <w:r>
        <w:rPr>
          <w:lang w:eastAsia="ja-JP"/>
        </w:rPr>
        <w:t xml:space="preserve">80 mg and 160 mg </w:t>
      </w:r>
      <w:r w:rsidRPr="004D65C9">
        <w:rPr>
          <w:lang w:eastAsia="ja-JP"/>
        </w:rPr>
        <w:t xml:space="preserve">doses of </w:t>
      </w:r>
      <w:proofErr w:type="spellStart"/>
      <w:r>
        <w:rPr>
          <w:lang w:eastAsia="ja-JP"/>
        </w:rPr>
        <w:t>bimekizumab</w:t>
      </w:r>
      <w:proofErr w:type="spellEnd"/>
      <w:r w:rsidRPr="004D65C9">
        <w:rPr>
          <w:lang w:eastAsia="ja-JP"/>
        </w:rPr>
        <w:t xml:space="preserve"> </w:t>
      </w:r>
      <w:r>
        <w:rPr>
          <w:lang w:eastAsia="ja-JP"/>
        </w:rPr>
        <w:t xml:space="preserve">per </w:t>
      </w:r>
      <w:r w:rsidRPr="004D65C9">
        <w:rPr>
          <w:lang w:eastAsia="ja-JP"/>
        </w:rPr>
        <w:t>subcutaneous</w:t>
      </w:r>
      <w:r>
        <w:rPr>
          <w:lang w:eastAsia="ja-JP"/>
        </w:rPr>
        <w:t xml:space="preserve"> </w:t>
      </w:r>
      <w:r w:rsidRPr="004D65C9">
        <w:rPr>
          <w:lang w:eastAsia="ja-JP"/>
        </w:rPr>
        <w:t>relative</w:t>
      </w:r>
      <w:r>
        <w:rPr>
          <w:lang w:eastAsia="ja-JP"/>
        </w:rPr>
        <w:t xml:space="preserve"> to per </w:t>
      </w:r>
      <w:bookmarkEnd w:id="54"/>
      <w:r>
        <w:rPr>
          <w:lang w:eastAsia="ja-JP"/>
        </w:rPr>
        <w:t>intravenous</w:t>
      </w:r>
      <w:r w:rsidRPr="004D65C9">
        <w:rPr>
          <w:lang w:eastAsia="ja-JP"/>
        </w:rPr>
        <w:t xml:space="preserve">, as </w:t>
      </w:r>
      <w:r w:rsidR="00371A09">
        <w:rPr>
          <w:lang w:eastAsia="ja-JP"/>
        </w:rPr>
        <w:t>shown in</w:t>
      </w:r>
      <w:r w:rsidRPr="004D65C9">
        <w:rPr>
          <w:lang w:eastAsia="ja-JP"/>
        </w:rPr>
        <w:t xml:space="preserve"> </w:t>
      </w:r>
      <w:r w:rsidR="00CC32C0">
        <w:rPr>
          <w:lang w:eastAsia="ja-JP"/>
        </w:rPr>
        <w:fldChar w:fldCharType="begin"/>
      </w:r>
      <w:r w:rsidR="00CC32C0">
        <w:rPr>
          <w:lang w:eastAsia="ja-JP"/>
        </w:rPr>
        <w:instrText xml:space="preserve"> REF _Ref129864880 \h </w:instrText>
      </w:r>
      <w:r w:rsidR="00CC32C0">
        <w:rPr>
          <w:lang w:eastAsia="ja-JP"/>
        </w:rPr>
      </w:r>
      <w:r w:rsidR="00CC32C0">
        <w:rPr>
          <w:lang w:eastAsia="ja-JP"/>
        </w:rPr>
        <w:fldChar w:fldCharType="separate"/>
      </w:r>
      <w:r w:rsidR="00B54079" w:rsidRPr="00CC32C0">
        <w:t xml:space="preserve">Figure </w:t>
      </w:r>
      <w:r w:rsidR="00B54079">
        <w:rPr>
          <w:noProof/>
        </w:rPr>
        <w:t>5</w:t>
      </w:r>
      <w:r w:rsidR="00CC32C0">
        <w:rPr>
          <w:lang w:eastAsia="ja-JP"/>
        </w:rPr>
        <w:fldChar w:fldCharType="end"/>
      </w:r>
      <w:r w:rsidR="00371A09">
        <w:rPr>
          <w:lang w:eastAsia="ja-JP"/>
        </w:rPr>
        <w:t>, below</w:t>
      </w:r>
      <w:r w:rsidR="00CC32C0">
        <w:rPr>
          <w:lang w:eastAsia="ja-JP"/>
        </w:rPr>
        <w:t>.</w:t>
      </w:r>
    </w:p>
    <w:p w14:paraId="799372C3" w14:textId="73F6385E" w:rsidR="00600EA7" w:rsidRDefault="00600EA7" w:rsidP="00CC32C0">
      <w:pPr>
        <w:pStyle w:val="FigureTitle"/>
      </w:pPr>
      <w:bookmarkStart w:id="55" w:name="_Ref129864880"/>
      <w:r w:rsidRPr="00CC32C0">
        <w:lastRenderedPageBreak/>
        <w:t xml:space="preserve">Figure </w:t>
      </w:r>
      <w:r w:rsidR="00172397">
        <w:fldChar w:fldCharType="begin"/>
      </w:r>
      <w:r w:rsidR="00172397">
        <w:instrText xml:space="preserve"> SEQ Figure \* ARABIC </w:instrText>
      </w:r>
      <w:r w:rsidR="00172397">
        <w:fldChar w:fldCharType="separate"/>
      </w:r>
      <w:r w:rsidR="00B54079">
        <w:rPr>
          <w:noProof/>
        </w:rPr>
        <w:t>5</w:t>
      </w:r>
      <w:r w:rsidR="00172397">
        <w:rPr>
          <w:noProof/>
        </w:rPr>
        <w:fldChar w:fldCharType="end"/>
      </w:r>
      <w:bookmarkEnd w:id="55"/>
      <w:r>
        <w:t xml:space="preserve">: </w:t>
      </w:r>
      <w:r w:rsidR="005D3F5B">
        <w:t xml:space="preserve">Study RA0124 </w:t>
      </w:r>
      <w:r>
        <w:t>B</w:t>
      </w:r>
      <w:r w:rsidRPr="00600EA7">
        <w:t xml:space="preserve">ioavailability of </w:t>
      </w:r>
      <w:proofErr w:type="spellStart"/>
      <w:r w:rsidRPr="00600EA7">
        <w:t>bimekizumab</w:t>
      </w:r>
      <w:proofErr w:type="spellEnd"/>
      <w:r w:rsidRPr="00600EA7">
        <w:t xml:space="preserve"> </w:t>
      </w:r>
      <w:r w:rsidR="00371A09">
        <w:t xml:space="preserve">as a </w:t>
      </w:r>
      <w:r w:rsidRPr="00600EA7">
        <w:t>single</w:t>
      </w:r>
      <w:r>
        <w:t xml:space="preserve"> </w:t>
      </w:r>
      <w:r w:rsidR="00371A09">
        <w:t xml:space="preserve">subcutaneous </w:t>
      </w:r>
      <w:r>
        <w:t>dose of</w:t>
      </w:r>
      <w:r w:rsidRPr="00600EA7">
        <w:t xml:space="preserve"> 80 mg</w:t>
      </w:r>
      <w:r w:rsidR="00371A09">
        <w:t>,</w:t>
      </w:r>
      <w:r w:rsidRPr="00600EA7">
        <w:t xml:space="preserve"> and</w:t>
      </w:r>
      <w:r w:rsidR="00371A09">
        <w:t xml:space="preserve"> singles doses of</w:t>
      </w:r>
      <w:r w:rsidRPr="00600EA7">
        <w:t xml:space="preserve"> 160 mg</w:t>
      </w:r>
      <w:r w:rsidR="00371A09">
        <w:t xml:space="preserve"> subcutaneously and </w:t>
      </w:r>
      <w:proofErr w:type="spellStart"/>
      <w:r w:rsidR="00371A09">
        <w:t>intraveously</w:t>
      </w:r>
      <w:proofErr w:type="spellEnd"/>
    </w:p>
    <w:p w14:paraId="65E73DB5" w14:textId="4919B6D2" w:rsidR="00600EA7" w:rsidRDefault="00600EA7" w:rsidP="00600EA7">
      <w:r w:rsidRPr="00760F43">
        <w:rPr>
          <w:noProof/>
          <w:lang w:val="en-GB" w:eastAsia="en-GB"/>
        </w:rPr>
        <w:drawing>
          <wp:inline distT="0" distB="0" distL="0" distR="0" wp14:anchorId="4766DCA4" wp14:editId="52C97FF9">
            <wp:extent cx="5492806" cy="2933645"/>
            <wp:effectExtent l="0" t="0" r="0" b="635"/>
            <wp:docPr id="22" name="Picture 22" descr="Bioavailability of bimekizumab single dose of 80 mg and 160 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Bioavailability of bimekizumab single dose of 80 mg and 160 mg"/>
                    <pic:cNvPicPr>
                      <a:picLocks noChangeAspect="1" noChangeArrowheads="1"/>
                    </pic:cNvPicPr>
                  </pic:nvPicPr>
                  <pic:blipFill rotWithShape="1">
                    <a:blip r:embed="rId21">
                      <a:lum bright="3000" contrast="9000"/>
                      <a:extLst>
                        <a:ext uri="{28A0092B-C50C-407E-A947-70E740481C1C}">
                          <a14:useLocalDpi xmlns:a14="http://schemas.microsoft.com/office/drawing/2010/main" val="0"/>
                        </a:ext>
                      </a:extLst>
                    </a:blip>
                    <a:srcRect l="9599" r="6512" b="10246"/>
                    <a:stretch/>
                  </pic:blipFill>
                  <pic:spPr bwMode="auto">
                    <a:xfrm>
                      <a:off x="0" y="0"/>
                      <a:ext cx="5532450" cy="2954818"/>
                    </a:xfrm>
                    <a:prstGeom prst="rect">
                      <a:avLst/>
                    </a:prstGeom>
                    <a:noFill/>
                    <a:ln>
                      <a:noFill/>
                    </a:ln>
                    <a:extLst>
                      <a:ext uri="{53640926-AAD7-44D8-BBD7-CCE9431645EC}">
                        <a14:shadowObscured xmlns:a14="http://schemas.microsoft.com/office/drawing/2010/main"/>
                      </a:ext>
                    </a:extLst>
                  </pic:spPr>
                </pic:pic>
              </a:graphicData>
            </a:graphic>
          </wp:inline>
        </w:drawing>
      </w:r>
    </w:p>
    <w:p w14:paraId="7A876DE1" w14:textId="74F56CF2" w:rsidR="00371A09" w:rsidRDefault="00371A09" w:rsidP="006E7089">
      <w:pPr>
        <w:pStyle w:val="FigureDescription"/>
      </w:pPr>
      <w:r>
        <w:t xml:space="preserve">Abbreviations: IV = intravenous; SC = subcutaneous; UCB4940 = development code for </w:t>
      </w:r>
      <w:proofErr w:type="spellStart"/>
      <w:r>
        <w:t>bimekizumab</w:t>
      </w:r>
      <w:proofErr w:type="spellEnd"/>
      <w:r>
        <w:t>.</w:t>
      </w:r>
    </w:p>
    <w:p w14:paraId="6A947AE4" w14:textId="2DBE3519" w:rsidR="00600EA7" w:rsidRDefault="00371A09" w:rsidP="00600EA7">
      <w:r>
        <w:t>The g</w:t>
      </w:r>
      <w:r w:rsidR="00600EA7">
        <w:t xml:space="preserve">eometric mean plasma concentration-time profiles for the two </w:t>
      </w:r>
      <w:r w:rsidR="00600EA7" w:rsidRPr="004D65C9">
        <w:rPr>
          <w:lang w:eastAsia="ja-JP"/>
        </w:rPr>
        <w:t>subcutaneous</w:t>
      </w:r>
      <w:r w:rsidR="00600EA7">
        <w:t xml:space="preserve"> doses (80 mg and 160 mg) showed linearity in their elimination phases.</w:t>
      </w:r>
    </w:p>
    <w:p w14:paraId="7457FFAB" w14:textId="27C15A84" w:rsidR="00600EA7" w:rsidRDefault="00371A09" w:rsidP="00600EA7">
      <w:r>
        <w:t>The p</w:t>
      </w:r>
      <w:r w:rsidR="00600EA7">
        <w:t xml:space="preserve">lasma concentration time profiles for the two doses in their elimination phases were similar between the </w:t>
      </w:r>
      <w:r w:rsidR="00600EA7" w:rsidRPr="004D65C9">
        <w:rPr>
          <w:lang w:eastAsia="ja-JP"/>
        </w:rPr>
        <w:t>subcutaneous</w:t>
      </w:r>
      <w:r w:rsidR="00600EA7">
        <w:t xml:space="preserve"> and </w:t>
      </w:r>
      <w:r w:rsidR="00600EA7">
        <w:rPr>
          <w:lang w:eastAsia="ja-JP"/>
        </w:rPr>
        <w:t>intravenous</w:t>
      </w:r>
      <w:r w:rsidR="00600EA7">
        <w:t xml:space="preserve"> routes.</w:t>
      </w:r>
    </w:p>
    <w:p w14:paraId="51D79DA2" w14:textId="0A4DE88C" w:rsidR="00600EA7" w:rsidRDefault="00600EA7" w:rsidP="00600EA7">
      <w:r>
        <w:t xml:space="preserve">The absolute bioavailability of the two </w:t>
      </w:r>
      <w:r w:rsidRPr="004D65C9">
        <w:rPr>
          <w:lang w:eastAsia="ja-JP"/>
        </w:rPr>
        <w:t>subcutaneous</w:t>
      </w:r>
      <w:r>
        <w:t xml:space="preserve"> doses relative to the </w:t>
      </w:r>
      <w:r>
        <w:rPr>
          <w:lang w:eastAsia="ja-JP"/>
        </w:rPr>
        <w:t>intravenous</w:t>
      </w:r>
      <w:r>
        <w:t xml:space="preserve"> doses, was similar (0.656 and 0.631 respectively for the 80</w:t>
      </w:r>
      <w:r w:rsidR="005D3F5B">
        <w:t xml:space="preserve"> </w:t>
      </w:r>
      <w:r>
        <w:t xml:space="preserve">mg and </w:t>
      </w:r>
      <w:r w:rsidR="001D2CFA">
        <w:t>160 mg</w:t>
      </w:r>
      <w:r>
        <w:t xml:space="preserve"> </w:t>
      </w:r>
      <w:proofErr w:type="spellStart"/>
      <w:r>
        <w:t>bimekizumab</w:t>
      </w:r>
      <w:proofErr w:type="spellEnd"/>
      <w:r>
        <w:t xml:space="preserve"> doses).</w:t>
      </w:r>
    </w:p>
    <w:p w14:paraId="40EA8D13" w14:textId="7C27F750" w:rsidR="00600EA7" w:rsidRDefault="00600EA7" w:rsidP="006E7089">
      <w:pPr>
        <w:pStyle w:val="Heading6"/>
      </w:pPr>
      <w:r>
        <w:t>Study UP0031</w:t>
      </w:r>
    </w:p>
    <w:p w14:paraId="2447A6BC" w14:textId="5A915605" w:rsidR="00600EA7" w:rsidRDefault="00600EA7" w:rsidP="00600EA7">
      <w:r>
        <w:t>Study UP0031 (</w:t>
      </w:r>
      <w:r w:rsidR="00371A09">
        <w:t xml:space="preserve">an </w:t>
      </w:r>
      <w:r>
        <w:t xml:space="preserve">open label, parallel group study) was designed to determine the relative bioavailability (of a 160 mg subcutaneous dose of </w:t>
      </w:r>
      <w:proofErr w:type="spellStart"/>
      <w:r>
        <w:t>bimekizumab</w:t>
      </w:r>
      <w:proofErr w:type="spellEnd"/>
      <w:r>
        <w:t xml:space="preserve">, given as 2 x 80 mg </w:t>
      </w:r>
      <w:r w:rsidR="00371A09">
        <w:t xml:space="preserve">doses </w:t>
      </w:r>
      <w:r>
        <w:t>(</w:t>
      </w:r>
      <w:r w:rsidR="00B77426">
        <w:t>F</w:t>
      </w:r>
      <w:r>
        <w:t>ormulation A) versus 1 x 160 mg</w:t>
      </w:r>
      <w:r w:rsidR="00371A09">
        <w:t xml:space="preserve"> dose</w:t>
      </w:r>
      <w:r>
        <w:t xml:space="preserve"> (</w:t>
      </w:r>
      <w:r w:rsidR="00B77426">
        <w:t>F</w:t>
      </w:r>
      <w:r>
        <w:t xml:space="preserve">ormulation B), as </w:t>
      </w:r>
      <w:r w:rsidR="00371A09">
        <w:t xml:space="preserve">shown in </w:t>
      </w:r>
      <w:r>
        <w:fldChar w:fldCharType="begin"/>
      </w:r>
      <w:r>
        <w:instrText xml:space="preserve"> REF _Ref128645189 \h </w:instrText>
      </w:r>
      <w:r>
        <w:fldChar w:fldCharType="separate"/>
      </w:r>
      <w:r w:rsidR="00B54079" w:rsidRPr="00CC32C0">
        <w:t xml:space="preserve">Table </w:t>
      </w:r>
      <w:r w:rsidR="00B54079">
        <w:rPr>
          <w:noProof/>
        </w:rPr>
        <w:t>6</w:t>
      </w:r>
      <w:r>
        <w:fldChar w:fldCharType="end"/>
      </w:r>
      <w:r>
        <w:t xml:space="preserve"> below.</w:t>
      </w:r>
    </w:p>
    <w:p w14:paraId="645C3E04" w14:textId="6AE3605B" w:rsidR="00371A09" w:rsidRDefault="00A405A3" w:rsidP="00600EA7">
      <w:r>
        <w:t>Note, Formulation B is the proposed formulation and the commercial product proposed in this submission.</w:t>
      </w:r>
    </w:p>
    <w:p w14:paraId="35530014" w14:textId="045D6138" w:rsidR="00600EA7" w:rsidRDefault="00600EA7" w:rsidP="00CC32C0">
      <w:pPr>
        <w:pStyle w:val="TableTitle"/>
      </w:pPr>
      <w:bookmarkStart w:id="56" w:name="_Ref128645189"/>
      <w:r w:rsidRPr="00CC32C0">
        <w:t xml:space="preserve">Table </w:t>
      </w:r>
      <w:r w:rsidR="00172397">
        <w:fldChar w:fldCharType="begin"/>
      </w:r>
      <w:r w:rsidR="00172397">
        <w:instrText xml:space="preserve"> SEQ Table \* ARABIC </w:instrText>
      </w:r>
      <w:r w:rsidR="00172397">
        <w:fldChar w:fldCharType="separate"/>
      </w:r>
      <w:r w:rsidR="00B54079">
        <w:rPr>
          <w:noProof/>
        </w:rPr>
        <w:t>6</w:t>
      </w:r>
      <w:r w:rsidR="00172397">
        <w:rPr>
          <w:noProof/>
        </w:rPr>
        <w:fldChar w:fldCharType="end"/>
      </w:r>
      <w:bookmarkEnd w:id="56"/>
      <w:r w:rsidRPr="00CC32C0">
        <w:t>:</w:t>
      </w:r>
      <w:r>
        <w:t xml:space="preserve"> </w:t>
      </w:r>
      <w:r w:rsidR="00CC32C0" w:rsidRPr="00CC32C0">
        <w:t>Study UP0031</w:t>
      </w:r>
      <w:r w:rsidR="00CC32C0">
        <w:t xml:space="preserve"> </w:t>
      </w:r>
      <w:r w:rsidR="00CC32C0" w:rsidRPr="00CC32C0">
        <w:t xml:space="preserve">Relative bioavailability of Formulation A and Formulation B of </w:t>
      </w:r>
      <w:proofErr w:type="spellStart"/>
      <w:r w:rsidR="00B57A0A">
        <w:t>b</w:t>
      </w:r>
      <w:r w:rsidR="00CC32C0" w:rsidRPr="00CC32C0">
        <w:t>imekizumab</w:t>
      </w:r>
      <w:proofErr w:type="spellEnd"/>
    </w:p>
    <w:p w14:paraId="34520F9D" w14:textId="202A3901" w:rsidR="00600EA7" w:rsidRDefault="00600EA7" w:rsidP="00600EA7">
      <w:r w:rsidRPr="00A34036">
        <w:rPr>
          <w:noProof/>
          <w:lang w:val="en-GB" w:eastAsia="en-GB"/>
        </w:rPr>
        <w:drawing>
          <wp:inline distT="0" distB="0" distL="0" distR="0" wp14:anchorId="7A75CA80" wp14:editId="04E393D1">
            <wp:extent cx="5168900" cy="831850"/>
            <wp:effectExtent l="0" t="0" r="0" b="6350"/>
            <wp:docPr id="24" name="Picture 24" descr="Study UP0031 Relative bioavailability of Formulation A (histidine based) and Formulation B (acetate Based) of Bimekizu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tudy UP0031 Relative bioavailability of Formulation A (histidine based) and Formulation B (acetate Based) of Bimekizumab"/>
                    <pic:cNvPicPr>
                      <a:picLocks noChangeAspect="1" noChangeArrowheads="1"/>
                    </pic:cNvPicPr>
                  </pic:nvPicPr>
                  <pic:blipFill rotWithShape="1">
                    <a:blip r:embed="rId22">
                      <a:extLst>
                        <a:ext uri="{28A0092B-C50C-407E-A947-70E740481C1C}">
                          <a14:useLocalDpi xmlns:a14="http://schemas.microsoft.com/office/drawing/2010/main" val="0"/>
                        </a:ext>
                      </a:extLst>
                    </a:blip>
                    <a:srcRect l="974" t="4200" r="-194" b="4117"/>
                    <a:stretch/>
                  </pic:blipFill>
                  <pic:spPr bwMode="auto">
                    <a:xfrm>
                      <a:off x="0" y="0"/>
                      <a:ext cx="5171871" cy="832328"/>
                    </a:xfrm>
                    <a:prstGeom prst="rect">
                      <a:avLst/>
                    </a:prstGeom>
                    <a:noFill/>
                    <a:ln>
                      <a:noFill/>
                    </a:ln>
                    <a:extLst>
                      <a:ext uri="{53640926-AAD7-44D8-BBD7-CCE9431645EC}">
                        <a14:shadowObscured xmlns:a14="http://schemas.microsoft.com/office/drawing/2010/main"/>
                      </a:ext>
                    </a:extLst>
                  </pic:spPr>
                </pic:pic>
              </a:graphicData>
            </a:graphic>
          </wp:inline>
        </w:drawing>
      </w:r>
    </w:p>
    <w:p w14:paraId="47E5FA60" w14:textId="697160E9" w:rsidR="00CC32C0" w:rsidRDefault="00CC32C0" w:rsidP="00CC32C0">
      <w:pPr>
        <w:pStyle w:val="TableDescription"/>
      </w:pPr>
      <w:r>
        <w:t xml:space="preserve">AUC = area under the plasma concentration-time curve; CI = confidence interval; </w:t>
      </w:r>
      <w:proofErr w:type="spellStart"/>
      <w:r>
        <w:t>GeoMean</w:t>
      </w:r>
      <w:proofErr w:type="spellEnd"/>
      <w:r>
        <w:t xml:space="preserve"> = geometric mean; PKPPS = Pharmacokinetic Per-Protocol Set, </w:t>
      </w:r>
      <w:proofErr w:type="spellStart"/>
      <w:r>
        <w:t>sc</w:t>
      </w:r>
      <w:proofErr w:type="spellEnd"/>
      <w:r>
        <w:t xml:space="preserve"> = subcutaneous</w:t>
      </w:r>
    </w:p>
    <w:p w14:paraId="5CC2FD2E" w14:textId="0FBEB8F8" w:rsidR="00CC32C0" w:rsidRDefault="00CC32C0" w:rsidP="00CC32C0">
      <w:pPr>
        <w:pStyle w:val="TableDescription"/>
      </w:pPr>
      <w:r>
        <w:t xml:space="preserve">Note: Formulation A = two 1mL injections of 80 mg each of </w:t>
      </w:r>
      <w:proofErr w:type="spellStart"/>
      <w:r>
        <w:t>bimekizumab</w:t>
      </w:r>
      <w:proofErr w:type="spellEnd"/>
    </w:p>
    <w:p w14:paraId="3F77B26A" w14:textId="3960ECCF" w:rsidR="00CC32C0" w:rsidRDefault="00CC32C0" w:rsidP="00CC32C0">
      <w:pPr>
        <w:pStyle w:val="TableDescription"/>
      </w:pPr>
      <w:r>
        <w:t xml:space="preserve">Note: Formulation B = a single injection of </w:t>
      </w:r>
      <w:proofErr w:type="spellStart"/>
      <w:r>
        <w:t>bimekizumab</w:t>
      </w:r>
      <w:proofErr w:type="spellEnd"/>
      <w:r>
        <w:t xml:space="preserve"> 160 mg as a 1</w:t>
      </w:r>
      <w:r w:rsidR="00A405A3">
        <w:t xml:space="preserve"> </w:t>
      </w:r>
      <w:r>
        <w:t>mL injection</w:t>
      </w:r>
      <w:r w:rsidR="00A405A3">
        <w:t>. Formulation B is the formulation proposed for approval and marketing in this submission.</w:t>
      </w:r>
    </w:p>
    <w:p w14:paraId="6E046B24" w14:textId="373E3563" w:rsidR="00CC32C0" w:rsidRDefault="00CC32C0" w:rsidP="00CC32C0">
      <w:pPr>
        <w:pStyle w:val="TableDescription"/>
      </w:pPr>
      <w:r>
        <w:t>a Relative bioavailability (</w:t>
      </w:r>
      <w:proofErr w:type="spellStart"/>
      <w:proofErr w:type="gramStart"/>
      <w:r>
        <w:t>F</w:t>
      </w:r>
      <w:r w:rsidRPr="006E7089">
        <w:rPr>
          <w:vertAlign w:val="subscript"/>
        </w:rPr>
        <w:t>rel</w:t>
      </w:r>
      <w:proofErr w:type="spellEnd"/>
      <w:r>
        <w:t>[</w:t>
      </w:r>
      <w:proofErr w:type="gramEnd"/>
      <w:r>
        <w:t>%])=(</w:t>
      </w:r>
      <w:proofErr w:type="spellStart"/>
      <w:r>
        <w:t>AUC</w:t>
      </w:r>
      <w:r w:rsidRPr="006E7089">
        <w:rPr>
          <w:vertAlign w:val="subscript"/>
        </w:rPr>
        <w:t>sc</w:t>
      </w:r>
      <w:proofErr w:type="spellEnd"/>
      <w:r>
        <w:t xml:space="preserve"> [1 x 160 mg]/</w:t>
      </w:r>
      <w:proofErr w:type="spellStart"/>
      <w:r>
        <w:t>AUC</w:t>
      </w:r>
      <w:r w:rsidRPr="006E7089">
        <w:rPr>
          <w:vertAlign w:val="subscript"/>
        </w:rPr>
        <w:t>sc</w:t>
      </w:r>
      <w:proofErr w:type="spellEnd"/>
      <w:r>
        <w:t xml:space="preserve"> [2 x 80mg])*100</w:t>
      </w:r>
    </w:p>
    <w:p w14:paraId="0ED9ADB6" w14:textId="7BF7C28A" w:rsidR="00CC32C0" w:rsidRDefault="00CC32C0" w:rsidP="00CC32C0">
      <w:pPr>
        <w:pStyle w:val="TableDescription"/>
      </w:pPr>
      <w:r>
        <w:t>b 95% CI for relative bioavailability</w:t>
      </w:r>
      <w:r w:rsidR="00A405A3">
        <w:t xml:space="preserve"> </w:t>
      </w:r>
      <w:r>
        <w:t>=</w:t>
      </w:r>
      <w:r w:rsidR="00A405A3">
        <w:t xml:space="preserve"> </w:t>
      </w:r>
      <w:r>
        <w:t>[</w:t>
      </w:r>
      <w:proofErr w:type="spellStart"/>
      <w:proofErr w:type="gramStart"/>
      <w:r>
        <w:t>F</w:t>
      </w:r>
      <w:r w:rsidRPr="006E7089">
        <w:rPr>
          <w:vertAlign w:val="subscript"/>
        </w:rPr>
        <w:t>rel</w:t>
      </w:r>
      <w:proofErr w:type="spellEnd"/>
      <w:r>
        <w:t>(</w:t>
      </w:r>
      <w:proofErr w:type="gramEnd"/>
      <w:r>
        <w:t xml:space="preserve">%) x exp(-t0.975,df x SE), </w:t>
      </w:r>
      <w:proofErr w:type="spellStart"/>
      <w:r>
        <w:t>F</w:t>
      </w:r>
      <w:r w:rsidRPr="006E7089">
        <w:rPr>
          <w:vertAlign w:val="subscript"/>
        </w:rPr>
        <w:t>rel</w:t>
      </w:r>
      <w:proofErr w:type="spellEnd"/>
      <w:r>
        <w:t>(%) x exp(+t0.975,df x SE)]</w:t>
      </w:r>
    </w:p>
    <w:p w14:paraId="535B2EDB" w14:textId="53C39D37" w:rsidR="00600EA7" w:rsidRPr="00600EA7" w:rsidRDefault="00600EA7" w:rsidP="00600EA7">
      <w:bookmarkStart w:id="57" w:name="_Toc314842514"/>
      <w:r w:rsidRPr="00600EA7">
        <w:lastRenderedPageBreak/>
        <w:t xml:space="preserve">The </w:t>
      </w:r>
      <w:r>
        <w:t>g</w:t>
      </w:r>
      <w:r w:rsidRPr="00600EA7">
        <w:t>eo</w:t>
      </w:r>
      <w:r>
        <w:t>metric m</w:t>
      </w:r>
      <w:r w:rsidRPr="00600EA7">
        <w:t>eans for AUC were similar between Formulation A and B treatment groups (653.8</w:t>
      </w:r>
      <w:r w:rsidR="00A405A3">
        <w:t xml:space="preserve"> </w:t>
      </w:r>
      <w:r w:rsidRPr="00600EA7">
        <w:t>day*</w:t>
      </w:r>
      <w:r>
        <w:t>µ</w:t>
      </w:r>
      <w:r w:rsidRPr="00600EA7">
        <w:t>g/mL and 628.3</w:t>
      </w:r>
      <w:r w:rsidR="00A405A3">
        <w:t xml:space="preserve"> </w:t>
      </w:r>
      <w:r w:rsidRPr="00600EA7">
        <w:t>day*</w:t>
      </w:r>
      <w:r>
        <w:t>µ</w:t>
      </w:r>
      <w:r w:rsidRPr="00600EA7">
        <w:t>g/mL, respectively).</w:t>
      </w:r>
    </w:p>
    <w:p w14:paraId="6C215C4D" w14:textId="5E25C1EF" w:rsidR="00600EA7" w:rsidRPr="00600EA7" w:rsidRDefault="00600EA7" w:rsidP="00600EA7">
      <w:r w:rsidRPr="00600EA7">
        <w:t xml:space="preserve">A similar </w:t>
      </w:r>
      <w:proofErr w:type="spellStart"/>
      <w:r w:rsidRPr="00600EA7">
        <w:t>C</w:t>
      </w:r>
      <w:r w:rsidRPr="00600EA7">
        <w:rPr>
          <w:vertAlign w:val="subscript"/>
        </w:rPr>
        <w:t>max</w:t>
      </w:r>
      <w:proofErr w:type="spellEnd"/>
      <w:r w:rsidRPr="00600EA7">
        <w:t xml:space="preserve"> was observed between the </w:t>
      </w:r>
      <w:proofErr w:type="spellStart"/>
      <w:r w:rsidRPr="00600EA7">
        <w:t>bimekizumab</w:t>
      </w:r>
      <w:proofErr w:type="spellEnd"/>
      <w:r w:rsidRPr="00600EA7">
        <w:t xml:space="preserve"> 2 x 80</w:t>
      </w:r>
      <w:r>
        <w:t> </w:t>
      </w:r>
      <w:r w:rsidRPr="00600EA7">
        <w:t>mg and 1</w:t>
      </w:r>
      <w:r>
        <w:t xml:space="preserve"> </w:t>
      </w:r>
      <w:r w:rsidRPr="00600EA7">
        <w:t>x</w:t>
      </w:r>
      <w:r>
        <w:t xml:space="preserve"> </w:t>
      </w:r>
      <w:r w:rsidRPr="00600EA7">
        <w:t>160</w:t>
      </w:r>
      <w:r>
        <w:t> </w:t>
      </w:r>
      <w:r w:rsidRPr="00600EA7">
        <w:t>mg treatment groups (</w:t>
      </w:r>
      <w:r w:rsidR="00263076">
        <w:t>g</w:t>
      </w:r>
      <w:r w:rsidR="00263076" w:rsidRPr="00600EA7">
        <w:t>eo</w:t>
      </w:r>
      <w:r w:rsidR="00263076">
        <w:t>metric m</w:t>
      </w:r>
      <w:r w:rsidR="00263076" w:rsidRPr="00600EA7">
        <w:t>eans</w:t>
      </w:r>
      <w:r w:rsidRPr="00600EA7">
        <w:t xml:space="preserve"> of 21.29</w:t>
      </w:r>
      <w:r w:rsidR="00263076">
        <w:t xml:space="preserve"> </w:t>
      </w:r>
      <w:proofErr w:type="spellStart"/>
      <w:r w:rsidRPr="00600EA7">
        <w:t>μg</w:t>
      </w:r>
      <w:proofErr w:type="spellEnd"/>
      <w:r w:rsidRPr="00600EA7">
        <w:t>/mL and 18.20</w:t>
      </w:r>
      <w:r w:rsidR="00263076">
        <w:t xml:space="preserve"> </w:t>
      </w:r>
      <w:proofErr w:type="spellStart"/>
      <w:r w:rsidRPr="00600EA7">
        <w:t>μg</w:t>
      </w:r>
      <w:proofErr w:type="spellEnd"/>
      <w:r w:rsidRPr="00600EA7">
        <w:t>/mL, respectively).</w:t>
      </w:r>
    </w:p>
    <w:p w14:paraId="608CE333" w14:textId="66B9E77B" w:rsidR="00600EA7" w:rsidRDefault="00600EA7" w:rsidP="00600EA7">
      <w:r w:rsidRPr="00600EA7">
        <w:t xml:space="preserve">The relative </w:t>
      </w:r>
      <w:r w:rsidR="00263076">
        <w:t>bioavailability</w:t>
      </w:r>
      <w:r w:rsidRPr="00600EA7">
        <w:t xml:space="preserve"> of </w:t>
      </w:r>
      <w:proofErr w:type="spellStart"/>
      <w:r w:rsidRPr="00600EA7">
        <w:t>bimekizumab</w:t>
      </w:r>
      <w:proofErr w:type="spellEnd"/>
      <w:r w:rsidRPr="00600EA7">
        <w:t xml:space="preserve"> </w:t>
      </w:r>
      <w:r w:rsidR="00A405A3">
        <w:t xml:space="preserve">in </w:t>
      </w:r>
      <w:r w:rsidRPr="00600EA7">
        <w:t xml:space="preserve">Formulation B </w:t>
      </w:r>
      <w:r w:rsidR="00263076">
        <w:t xml:space="preserve">versus </w:t>
      </w:r>
      <w:r w:rsidRPr="00600EA7">
        <w:t xml:space="preserve">Formulation A was 96.1% (95% </w:t>
      </w:r>
      <w:r w:rsidR="00CC32C0">
        <w:t>confidence interval (</w:t>
      </w:r>
      <w:r w:rsidRPr="00600EA7">
        <w:t>CI</w:t>
      </w:r>
      <w:r w:rsidR="00CC32C0">
        <w:t>)</w:t>
      </w:r>
      <w:r w:rsidRPr="00600EA7">
        <w:t>: 72.7%, 127%).</w:t>
      </w:r>
    </w:p>
    <w:p w14:paraId="13F90473" w14:textId="776C38F2" w:rsidR="00031D82" w:rsidRPr="00031D82" w:rsidRDefault="00031D82" w:rsidP="00031D82">
      <w:r>
        <w:t xml:space="preserve">The </w:t>
      </w:r>
      <w:r w:rsidR="00A405A3">
        <w:t xml:space="preserve">TGA’s clinical evaluation </w:t>
      </w:r>
      <w:r>
        <w:t xml:space="preserve">expressed </w:t>
      </w:r>
      <w:r w:rsidR="00A405A3">
        <w:t xml:space="preserve">that </w:t>
      </w:r>
      <w:r>
        <w:t xml:space="preserve">it </w:t>
      </w:r>
      <w:r w:rsidR="00A405A3">
        <w:t>was</w:t>
      </w:r>
      <w:r>
        <w:t xml:space="preserve"> unclear why the sponsor used 95% CI as opposed to the accepted limits of 90% CI to establish bioequivalence. There was no estimation of CI for the parameter </w:t>
      </w:r>
      <w:proofErr w:type="spellStart"/>
      <w:r>
        <w:t>C</w:t>
      </w:r>
      <w:r w:rsidRPr="00031D82">
        <w:rPr>
          <w:vertAlign w:val="subscript"/>
        </w:rPr>
        <w:t>max</w:t>
      </w:r>
      <w:proofErr w:type="spellEnd"/>
      <w:r>
        <w:rPr>
          <w:vertAlign w:val="subscript"/>
        </w:rPr>
        <w:t xml:space="preserve"> </w:t>
      </w:r>
      <w:r>
        <w:t>has been undertaken. The</w:t>
      </w:r>
      <w:r w:rsidR="00A405A3">
        <w:t xml:space="preserve"> TGA’s</w:t>
      </w:r>
      <w:r>
        <w:t xml:space="preserve"> clinical </w:t>
      </w:r>
      <w:r w:rsidR="006E7089">
        <w:t>e</w:t>
      </w:r>
      <w:r w:rsidR="00A405A3">
        <w:t xml:space="preserve">valuation also </w:t>
      </w:r>
      <w:r>
        <w:t>expressed that any difference in bioequivalence is unlikely to be of clinical significance. Importantly the formulation</w:t>
      </w:r>
      <w:r w:rsidR="00A405A3">
        <w:t xml:space="preserve"> (Formulation B)</w:t>
      </w:r>
      <w:r>
        <w:t xml:space="preserve"> used in most of the PK studies and the pivotal Phase III studies, is that intended for commercialisation.</w:t>
      </w:r>
    </w:p>
    <w:p w14:paraId="5932BFB6" w14:textId="37C106F4" w:rsidR="00031D82" w:rsidRDefault="00031D82" w:rsidP="00031D82">
      <w:r>
        <w:t xml:space="preserve">The Delegate commented that the </w:t>
      </w:r>
      <w:r w:rsidRPr="00031D82">
        <w:t>differential quantification between 90% CI and 95% CI would not have contributed significantly to the relative bioavailability (</w:t>
      </w:r>
      <w:r>
        <w:t xml:space="preserve">that is </w:t>
      </w:r>
      <w:r w:rsidRPr="00031D82">
        <w:t>bioequivalence) determination of the two formulations.</w:t>
      </w:r>
    </w:p>
    <w:p w14:paraId="0334A18D" w14:textId="69F1426A" w:rsidR="00031D82" w:rsidRDefault="00031D82" w:rsidP="006E7089">
      <w:pPr>
        <w:pStyle w:val="Heading6"/>
      </w:pPr>
      <w:r>
        <w:t>Study UP0033</w:t>
      </w:r>
    </w:p>
    <w:p w14:paraId="0CF0E6B0" w14:textId="01DA5A95" w:rsidR="00031D82" w:rsidRDefault="00031D82" w:rsidP="00031D82">
      <w:r>
        <w:t xml:space="preserve">Study UP0033 compared the PK bioequivalence parameters of </w:t>
      </w:r>
      <w:proofErr w:type="spellStart"/>
      <w:r>
        <w:t>bimekizumab</w:t>
      </w:r>
      <w:proofErr w:type="spellEnd"/>
      <w:r>
        <w:t xml:space="preserve"> as a single 320 mg dose when administered subcutaneously by the 3 different delivery devices:</w:t>
      </w:r>
    </w:p>
    <w:p w14:paraId="2ED57869" w14:textId="51555A42" w:rsidR="00031D82" w:rsidRDefault="00031D82" w:rsidP="009B153D">
      <w:pPr>
        <w:pStyle w:val="ListBullet"/>
      </w:pPr>
      <w:proofErr w:type="spellStart"/>
      <w:r>
        <w:t>bimekizumab</w:t>
      </w:r>
      <w:proofErr w:type="spellEnd"/>
      <w:r>
        <w:t>-</w:t>
      </w:r>
      <w:r w:rsidR="00136839">
        <w:t xml:space="preserve"> administered with True North syringe (</w:t>
      </w:r>
      <w:r w:rsidR="008B39CC">
        <w:t>BKZ-</w:t>
      </w:r>
      <w:r>
        <w:t>TN</w:t>
      </w:r>
      <w:r w:rsidR="00136839">
        <w:t>)</w:t>
      </w:r>
      <w:r>
        <w:t>,</w:t>
      </w:r>
    </w:p>
    <w:p w14:paraId="615579B7" w14:textId="03F352DA" w:rsidR="00031D82" w:rsidRDefault="00031D82" w:rsidP="009B153D">
      <w:pPr>
        <w:pStyle w:val="ListBullet"/>
      </w:pPr>
      <w:proofErr w:type="spellStart"/>
      <w:r>
        <w:t>bimekizumab</w:t>
      </w:r>
      <w:proofErr w:type="spellEnd"/>
      <w:r>
        <w:t>-</w:t>
      </w:r>
      <w:r w:rsidR="00136839">
        <w:t xml:space="preserve"> administered with 1</w:t>
      </w:r>
      <w:r w:rsidR="008B39CC">
        <w:t xml:space="preserve"> </w:t>
      </w:r>
      <w:r w:rsidR="00136839">
        <w:t xml:space="preserve">mL </w:t>
      </w:r>
      <w:r w:rsidR="00136839" w:rsidRPr="006F5EFF">
        <w:rPr>
          <w:lang w:eastAsia="ja-JP"/>
        </w:rPr>
        <w:t>safety syringe</w:t>
      </w:r>
      <w:r w:rsidR="00136839">
        <w:t xml:space="preserve"> </w:t>
      </w:r>
      <w:r w:rsidR="00D416A0">
        <w:t>(</w:t>
      </w:r>
      <w:r w:rsidR="008B39CC">
        <w:t>BKZ-</w:t>
      </w:r>
      <w:r w:rsidR="00D416A0">
        <w:t>SS</w:t>
      </w:r>
      <w:r w:rsidR="008B39CC">
        <w:t>-1mL</w:t>
      </w:r>
      <w:r w:rsidR="00136839">
        <w:t>)</w:t>
      </w:r>
      <w:r>
        <w:t>,</w:t>
      </w:r>
    </w:p>
    <w:p w14:paraId="678DCD59" w14:textId="6AC567C4" w:rsidR="00031D82" w:rsidRDefault="00031D82" w:rsidP="00031D82">
      <w:pPr>
        <w:pStyle w:val="ListBullet"/>
      </w:pPr>
      <w:proofErr w:type="spellStart"/>
      <w:r>
        <w:t>bimekizumab</w:t>
      </w:r>
      <w:proofErr w:type="spellEnd"/>
      <w:r>
        <w:t>-</w:t>
      </w:r>
      <w:r w:rsidR="00136839" w:rsidRPr="00136839">
        <w:rPr>
          <w:lang w:eastAsia="ja-JP"/>
        </w:rPr>
        <w:t xml:space="preserve"> </w:t>
      </w:r>
      <w:r w:rsidR="00136839" w:rsidRPr="006F5EFF">
        <w:rPr>
          <w:lang w:eastAsia="ja-JP"/>
        </w:rPr>
        <w:t>administered using</w:t>
      </w:r>
      <w:r w:rsidR="00136839">
        <w:rPr>
          <w:lang w:eastAsia="ja-JP"/>
        </w:rPr>
        <w:t xml:space="preserve"> </w:t>
      </w:r>
      <w:r w:rsidR="008B39CC">
        <w:rPr>
          <w:lang w:eastAsia="ja-JP"/>
        </w:rPr>
        <w:t xml:space="preserve">1 </w:t>
      </w:r>
      <w:r w:rsidR="00136839" w:rsidRPr="006F5EFF">
        <w:rPr>
          <w:lang w:eastAsia="ja-JP"/>
        </w:rPr>
        <w:t>mL autoinjector</w:t>
      </w:r>
      <w:r w:rsidR="00136839">
        <w:t xml:space="preserve"> (</w:t>
      </w:r>
      <w:r w:rsidR="008B39CC">
        <w:t>BKZ-</w:t>
      </w:r>
      <w:r w:rsidR="00136839">
        <w:t>AI</w:t>
      </w:r>
      <w:r w:rsidR="008B39CC">
        <w:t>-1mL</w:t>
      </w:r>
      <w:r w:rsidR="00136839">
        <w:t>).</w:t>
      </w:r>
    </w:p>
    <w:p w14:paraId="4B9BDAF6" w14:textId="5431FE84" w:rsidR="00136839" w:rsidRDefault="00136839" w:rsidP="00136839">
      <w:r>
        <w:t xml:space="preserve">The bimekizumab-SS-1mL and bimekizumab-AI-1mL presentations were those intended for commercialisation. </w:t>
      </w:r>
      <w:r w:rsidRPr="006F5EFF">
        <w:rPr>
          <w:rFonts w:cstheme="majorHAnsi"/>
          <w:lang w:eastAsia="ja-JP"/>
        </w:rPr>
        <w:t xml:space="preserve">The results are as shown in </w:t>
      </w:r>
      <w:r>
        <w:rPr>
          <w:rFonts w:cstheme="majorHAnsi"/>
          <w:lang w:eastAsia="ja-JP"/>
        </w:rPr>
        <w:fldChar w:fldCharType="begin"/>
      </w:r>
      <w:r>
        <w:rPr>
          <w:rFonts w:cstheme="majorHAnsi"/>
          <w:lang w:eastAsia="ja-JP"/>
        </w:rPr>
        <w:instrText xml:space="preserve"> REF _Ref128646994 \h </w:instrText>
      </w:r>
      <w:r>
        <w:rPr>
          <w:rFonts w:cstheme="majorHAnsi"/>
          <w:lang w:eastAsia="ja-JP"/>
        </w:rPr>
      </w:r>
      <w:r>
        <w:rPr>
          <w:rFonts w:cstheme="majorHAnsi"/>
          <w:lang w:eastAsia="ja-JP"/>
        </w:rPr>
        <w:fldChar w:fldCharType="separate"/>
      </w:r>
      <w:r w:rsidR="00B54079" w:rsidRPr="00D416A0">
        <w:t xml:space="preserve">Table </w:t>
      </w:r>
      <w:r w:rsidR="00B54079">
        <w:rPr>
          <w:noProof/>
        </w:rPr>
        <w:t>7</w:t>
      </w:r>
      <w:r>
        <w:rPr>
          <w:rFonts w:cstheme="majorHAnsi"/>
          <w:lang w:eastAsia="ja-JP"/>
        </w:rPr>
        <w:fldChar w:fldCharType="end"/>
      </w:r>
      <w:r>
        <w:rPr>
          <w:rFonts w:cstheme="majorHAnsi"/>
          <w:lang w:eastAsia="ja-JP"/>
        </w:rPr>
        <w:t xml:space="preserve"> </w:t>
      </w:r>
      <w:r w:rsidRPr="006F5EFF">
        <w:rPr>
          <w:rFonts w:cstheme="majorHAnsi"/>
          <w:lang w:eastAsia="ja-JP"/>
        </w:rPr>
        <w:t>below</w:t>
      </w:r>
    </w:p>
    <w:p w14:paraId="5018AB6A" w14:textId="4AB94B0B" w:rsidR="00136839" w:rsidRDefault="00136839" w:rsidP="00D416A0">
      <w:pPr>
        <w:pStyle w:val="TableTitle"/>
      </w:pPr>
      <w:bookmarkStart w:id="58" w:name="_Ref128646994"/>
      <w:r w:rsidRPr="00D416A0">
        <w:t xml:space="preserve">Table </w:t>
      </w:r>
      <w:r w:rsidR="00172397">
        <w:fldChar w:fldCharType="begin"/>
      </w:r>
      <w:r w:rsidR="00172397">
        <w:instrText xml:space="preserve"> SEQ Table \* ARABIC </w:instrText>
      </w:r>
      <w:r w:rsidR="00172397">
        <w:fldChar w:fldCharType="separate"/>
      </w:r>
      <w:r w:rsidR="00B54079">
        <w:rPr>
          <w:noProof/>
        </w:rPr>
        <w:t>7</w:t>
      </w:r>
      <w:r w:rsidR="00172397">
        <w:rPr>
          <w:noProof/>
        </w:rPr>
        <w:fldChar w:fldCharType="end"/>
      </w:r>
      <w:bookmarkEnd w:id="58"/>
      <w:r>
        <w:t>:</w:t>
      </w:r>
      <w:r w:rsidR="00D416A0">
        <w:t xml:space="preserve"> </w:t>
      </w:r>
      <w:r w:rsidR="00D416A0" w:rsidRPr="00D416A0">
        <w:t xml:space="preserve">Study UP0033 </w:t>
      </w:r>
      <w:r w:rsidR="00684BAA" w:rsidRPr="00D416A0">
        <w:t>Pharmacokinetic</w:t>
      </w:r>
      <w:r w:rsidR="00684BAA">
        <w:t>s</w:t>
      </w:r>
      <w:r w:rsidR="00D416A0" w:rsidRPr="00D416A0">
        <w:t xml:space="preserve"> parameters for </w:t>
      </w:r>
      <w:proofErr w:type="spellStart"/>
      <w:r w:rsidR="00D416A0" w:rsidRPr="00D416A0">
        <w:t>bimekizumab</w:t>
      </w:r>
      <w:proofErr w:type="spellEnd"/>
    </w:p>
    <w:tbl>
      <w:tblPr>
        <w:tblStyle w:val="TableTGAblue"/>
        <w:tblW w:w="8810" w:type="dxa"/>
        <w:tblLayout w:type="fixed"/>
        <w:tblLook w:val="0020" w:firstRow="1" w:lastRow="0" w:firstColumn="0" w:lastColumn="0" w:noHBand="0" w:noVBand="0"/>
      </w:tblPr>
      <w:tblGrid>
        <w:gridCol w:w="1790"/>
        <w:gridCol w:w="1620"/>
        <w:gridCol w:w="1667"/>
        <w:gridCol w:w="1707"/>
        <w:gridCol w:w="2026"/>
      </w:tblGrid>
      <w:tr w:rsidR="006E4137" w:rsidRPr="00136839" w14:paraId="0433C6AC" w14:textId="77777777" w:rsidTr="006E7089">
        <w:trPr>
          <w:cnfStyle w:val="100000000000" w:firstRow="1" w:lastRow="0" w:firstColumn="0" w:lastColumn="0" w:oddVBand="0" w:evenVBand="0" w:oddHBand="0" w:evenHBand="0" w:firstRowFirstColumn="0" w:firstRowLastColumn="0" w:lastRowFirstColumn="0" w:lastRowLastColumn="0"/>
          <w:trHeight w:hRule="exact" w:val="473"/>
        </w:trPr>
        <w:tc>
          <w:tcPr>
            <w:tcW w:w="1790" w:type="dxa"/>
            <w:vMerge w:val="restart"/>
            <w:tcBorders>
              <w:right w:val="single" w:sz="4" w:space="0" w:color="auto"/>
            </w:tcBorders>
          </w:tcPr>
          <w:p w14:paraId="70C656C6" w14:textId="22FBEB47" w:rsidR="00136839" w:rsidRPr="006E7089" w:rsidRDefault="00136839" w:rsidP="006E7089">
            <w:pPr>
              <w:rPr>
                <w:sz w:val="20"/>
              </w:rPr>
            </w:pPr>
            <w:r w:rsidRPr="006E7089">
              <w:rPr>
                <w:sz w:val="20"/>
                <w:szCs w:val="22"/>
                <w:lang w:eastAsia="en-US"/>
              </w:rPr>
              <w:t>Parameter (unit)</w:t>
            </w:r>
          </w:p>
        </w:tc>
        <w:tc>
          <w:tcPr>
            <w:tcW w:w="1620" w:type="dxa"/>
            <w:vMerge w:val="restart"/>
            <w:tcBorders>
              <w:left w:val="single" w:sz="4" w:space="0" w:color="auto"/>
              <w:right w:val="single" w:sz="4" w:space="0" w:color="auto"/>
            </w:tcBorders>
          </w:tcPr>
          <w:p w14:paraId="03FBDE00" w14:textId="4F20DD19" w:rsidR="00136839" w:rsidRPr="006E7089" w:rsidRDefault="00136839" w:rsidP="006E7089">
            <w:pPr>
              <w:rPr>
                <w:sz w:val="20"/>
              </w:rPr>
            </w:pPr>
            <w:r w:rsidRPr="006E7089">
              <w:rPr>
                <w:sz w:val="20"/>
                <w:szCs w:val="22"/>
                <w:lang w:eastAsia="en-US"/>
              </w:rPr>
              <w:t>Statistic</w:t>
            </w:r>
          </w:p>
        </w:tc>
        <w:tc>
          <w:tcPr>
            <w:tcW w:w="1667" w:type="dxa"/>
            <w:tcBorders>
              <w:left w:val="single" w:sz="4" w:space="0" w:color="auto"/>
              <w:right w:val="single" w:sz="4" w:space="0" w:color="auto"/>
            </w:tcBorders>
          </w:tcPr>
          <w:p w14:paraId="708057F9" w14:textId="3ACEF87A" w:rsidR="00136839" w:rsidRPr="006E7089" w:rsidRDefault="00136839" w:rsidP="006E7089">
            <w:pPr>
              <w:jc w:val="center"/>
              <w:rPr>
                <w:sz w:val="20"/>
              </w:rPr>
            </w:pPr>
            <w:r w:rsidRPr="006E7089">
              <w:rPr>
                <w:sz w:val="20"/>
                <w:szCs w:val="22"/>
                <w:lang w:eastAsia="en-US"/>
              </w:rPr>
              <w:t>BKZ-TN</w:t>
            </w:r>
          </w:p>
        </w:tc>
        <w:tc>
          <w:tcPr>
            <w:tcW w:w="0" w:type="dxa"/>
            <w:tcBorders>
              <w:left w:val="single" w:sz="4" w:space="0" w:color="auto"/>
              <w:right w:val="single" w:sz="4" w:space="0" w:color="auto"/>
            </w:tcBorders>
          </w:tcPr>
          <w:p w14:paraId="06BBF195" w14:textId="2A421D7E" w:rsidR="00136839" w:rsidRPr="006E7089" w:rsidRDefault="00136839" w:rsidP="006E7089">
            <w:pPr>
              <w:jc w:val="center"/>
              <w:rPr>
                <w:sz w:val="20"/>
              </w:rPr>
            </w:pPr>
            <w:r w:rsidRPr="006E7089">
              <w:rPr>
                <w:sz w:val="20"/>
                <w:szCs w:val="22"/>
                <w:lang w:eastAsia="en-US"/>
              </w:rPr>
              <w:t>BKZ-SS-</w:t>
            </w:r>
            <w:r w:rsidR="008B39CC" w:rsidRPr="006E7089">
              <w:rPr>
                <w:sz w:val="20"/>
                <w:szCs w:val="22"/>
                <w:lang w:eastAsia="en-US"/>
              </w:rPr>
              <w:t>1</w:t>
            </w:r>
            <w:r w:rsidRPr="006E7089">
              <w:rPr>
                <w:sz w:val="20"/>
                <w:szCs w:val="22"/>
                <w:lang w:eastAsia="en-US"/>
              </w:rPr>
              <w:t>mL</w:t>
            </w:r>
          </w:p>
        </w:tc>
        <w:tc>
          <w:tcPr>
            <w:tcW w:w="0" w:type="dxa"/>
            <w:tcBorders>
              <w:left w:val="single" w:sz="4" w:space="0" w:color="auto"/>
            </w:tcBorders>
          </w:tcPr>
          <w:p w14:paraId="732F99FF" w14:textId="1E97E5F6" w:rsidR="00136839" w:rsidRPr="006E7089" w:rsidRDefault="00136839" w:rsidP="006E7089">
            <w:pPr>
              <w:jc w:val="center"/>
              <w:rPr>
                <w:sz w:val="20"/>
              </w:rPr>
            </w:pPr>
            <w:r w:rsidRPr="006E7089">
              <w:rPr>
                <w:sz w:val="20"/>
                <w:szCs w:val="22"/>
                <w:lang w:eastAsia="en-US"/>
              </w:rPr>
              <w:t>BKZ-AI-</w:t>
            </w:r>
            <w:r w:rsidR="008B39CC" w:rsidRPr="006E7089">
              <w:rPr>
                <w:sz w:val="20"/>
                <w:szCs w:val="22"/>
                <w:lang w:eastAsia="en-US"/>
              </w:rPr>
              <w:t>1</w:t>
            </w:r>
            <w:r w:rsidRPr="006E7089">
              <w:rPr>
                <w:sz w:val="20"/>
                <w:szCs w:val="22"/>
                <w:lang w:eastAsia="en-US"/>
              </w:rPr>
              <w:t>mL</w:t>
            </w:r>
          </w:p>
        </w:tc>
      </w:tr>
      <w:tr w:rsidR="006E4137" w:rsidRPr="00136839" w14:paraId="37B1A529" w14:textId="77777777" w:rsidTr="006E7089">
        <w:trPr>
          <w:trHeight w:hRule="exact" w:val="419"/>
        </w:trPr>
        <w:tc>
          <w:tcPr>
            <w:tcW w:w="1790" w:type="dxa"/>
            <w:vMerge/>
            <w:tcBorders>
              <w:right w:val="single" w:sz="4" w:space="0" w:color="auto"/>
            </w:tcBorders>
          </w:tcPr>
          <w:p w14:paraId="515971DA" w14:textId="167925B3" w:rsidR="00136839" w:rsidRPr="006E7089" w:rsidRDefault="00136839" w:rsidP="006E7089">
            <w:pPr>
              <w:rPr>
                <w:sz w:val="20"/>
              </w:rPr>
            </w:pPr>
          </w:p>
        </w:tc>
        <w:tc>
          <w:tcPr>
            <w:tcW w:w="1620" w:type="dxa"/>
            <w:vMerge/>
            <w:tcBorders>
              <w:left w:val="single" w:sz="4" w:space="0" w:color="auto"/>
              <w:right w:val="single" w:sz="4" w:space="0" w:color="auto"/>
            </w:tcBorders>
          </w:tcPr>
          <w:p w14:paraId="6F7188F7" w14:textId="3A7FC92B" w:rsidR="00136839" w:rsidRPr="006E7089" w:rsidRDefault="00136839" w:rsidP="006E7089">
            <w:pPr>
              <w:rPr>
                <w:sz w:val="20"/>
              </w:rPr>
            </w:pPr>
          </w:p>
        </w:tc>
        <w:tc>
          <w:tcPr>
            <w:tcW w:w="1667" w:type="dxa"/>
            <w:tcBorders>
              <w:left w:val="single" w:sz="4" w:space="0" w:color="auto"/>
            </w:tcBorders>
          </w:tcPr>
          <w:p w14:paraId="71A06496" w14:textId="7FCEB78D" w:rsidR="00136839" w:rsidRPr="006E7089" w:rsidRDefault="001D2CFA" w:rsidP="006E7089">
            <w:pPr>
              <w:jc w:val="center"/>
              <w:rPr>
                <w:sz w:val="20"/>
              </w:rPr>
            </w:pPr>
            <w:r w:rsidRPr="006E7089">
              <w:rPr>
                <w:sz w:val="20"/>
                <w:szCs w:val="22"/>
                <w:lang w:eastAsia="en-US"/>
              </w:rPr>
              <w:t xml:space="preserve">N = </w:t>
            </w:r>
            <w:r w:rsidR="00136839" w:rsidRPr="006E7089">
              <w:rPr>
                <w:sz w:val="20"/>
                <w:szCs w:val="22"/>
                <w:lang w:eastAsia="en-US"/>
              </w:rPr>
              <w:t>63</w:t>
            </w:r>
          </w:p>
        </w:tc>
        <w:tc>
          <w:tcPr>
            <w:tcW w:w="1707" w:type="dxa"/>
          </w:tcPr>
          <w:p w14:paraId="313FCE3F" w14:textId="167B33BA" w:rsidR="00136839" w:rsidRPr="006E7089" w:rsidRDefault="001D2CFA" w:rsidP="006E7089">
            <w:pPr>
              <w:jc w:val="center"/>
              <w:rPr>
                <w:sz w:val="20"/>
              </w:rPr>
            </w:pPr>
            <w:r w:rsidRPr="006E7089">
              <w:rPr>
                <w:sz w:val="20"/>
                <w:szCs w:val="22"/>
                <w:lang w:eastAsia="en-US"/>
              </w:rPr>
              <w:t xml:space="preserve">N = </w:t>
            </w:r>
            <w:r w:rsidR="00136839" w:rsidRPr="006E7089">
              <w:rPr>
                <w:sz w:val="20"/>
                <w:szCs w:val="22"/>
                <w:lang w:eastAsia="en-US"/>
              </w:rPr>
              <w:t>63</w:t>
            </w:r>
          </w:p>
        </w:tc>
        <w:tc>
          <w:tcPr>
            <w:tcW w:w="2026" w:type="dxa"/>
          </w:tcPr>
          <w:p w14:paraId="77D8152F" w14:textId="4748DB5A" w:rsidR="00136839" w:rsidRPr="006E7089" w:rsidRDefault="001D2CFA" w:rsidP="006E7089">
            <w:pPr>
              <w:jc w:val="center"/>
              <w:rPr>
                <w:sz w:val="20"/>
              </w:rPr>
            </w:pPr>
            <w:r w:rsidRPr="006E7089">
              <w:rPr>
                <w:sz w:val="20"/>
                <w:szCs w:val="22"/>
                <w:lang w:eastAsia="en-US"/>
              </w:rPr>
              <w:t xml:space="preserve">N = </w:t>
            </w:r>
            <w:r w:rsidR="00136839" w:rsidRPr="006E7089">
              <w:rPr>
                <w:sz w:val="20"/>
                <w:szCs w:val="22"/>
                <w:lang w:eastAsia="en-US"/>
              </w:rPr>
              <w:t>63</w:t>
            </w:r>
          </w:p>
        </w:tc>
      </w:tr>
      <w:tr w:rsidR="00136839" w:rsidRPr="00136839" w14:paraId="60563C94" w14:textId="77777777" w:rsidTr="006E7089">
        <w:trPr>
          <w:trHeight w:hRule="exact" w:val="392"/>
        </w:trPr>
        <w:tc>
          <w:tcPr>
            <w:tcW w:w="1790" w:type="dxa"/>
            <w:vMerge w:val="restart"/>
          </w:tcPr>
          <w:p w14:paraId="3519DDC0" w14:textId="77777777" w:rsidR="00136839" w:rsidRPr="00136839" w:rsidRDefault="00136839" w:rsidP="009B153D">
            <w:pPr>
              <w:pStyle w:val="Style"/>
              <w:ind w:left="115"/>
              <w:textAlignment w:val="baseline"/>
              <w:rPr>
                <w:rFonts w:asciiTheme="minorHAnsi" w:hAnsiTheme="minorHAnsi"/>
                <w:sz w:val="20"/>
                <w:szCs w:val="20"/>
              </w:rPr>
            </w:pPr>
            <w:r w:rsidRPr="00136839">
              <w:rPr>
                <w:rFonts w:asciiTheme="minorHAnsi" w:hAnsiTheme="minorHAnsi"/>
                <w:sz w:val="20"/>
                <w:szCs w:val="20"/>
              </w:rPr>
              <w:t>AUC</w:t>
            </w:r>
            <w:r w:rsidRPr="00136839">
              <w:rPr>
                <w:rFonts w:asciiTheme="minorHAnsi" w:hAnsiTheme="minorHAnsi"/>
                <w:sz w:val="20"/>
                <w:szCs w:val="20"/>
                <w:vertAlign w:val="subscript"/>
              </w:rPr>
              <w:t>(0-t)</w:t>
            </w:r>
            <w:r w:rsidRPr="00136839">
              <w:rPr>
                <w:rFonts w:asciiTheme="minorHAnsi" w:hAnsiTheme="minorHAnsi"/>
                <w:sz w:val="20"/>
                <w:szCs w:val="20"/>
              </w:rPr>
              <w:t xml:space="preserve"> (day*µg/mL) </w:t>
            </w:r>
          </w:p>
        </w:tc>
        <w:tc>
          <w:tcPr>
            <w:tcW w:w="1620" w:type="dxa"/>
          </w:tcPr>
          <w:p w14:paraId="3C5CF002" w14:textId="77777777" w:rsidR="00136839" w:rsidRPr="00136839" w:rsidRDefault="00136839" w:rsidP="009B153D">
            <w:pPr>
              <w:pStyle w:val="Style"/>
              <w:ind w:left="125"/>
              <w:textAlignment w:val="baseline"/>
              <w:rPr>
                <w:rFonts w:asciiTheme="minorHAnsi" w:hAnsiTheme="minorHAnsi"/>
                <w:sz w:val="20"/>
                <w:szCs w:val="20"/>
              </w:rPr>
            </w:pPr>
            <w:proofErr w:type="spellStart"/>
            <w:r w:rsidRPr="00136839">
              <w:rPr>
                <w:rFonts w:asciiTheme="minorHAnsi" w:hAnsiTheme="minorHAnsi"/>
                <w:sz w:val="20"/>
                <w:szCs w:val="20"/>
              </w:rPr>
              <w:t>GeoMean</w:t>
            </w:r>
            <w:proofErr w:type="spellEnd"/>
            <w:r w:rsidRPr="00136839">
              <w:rPr>
                <w:rFonts w:asciiTheme="minorHAnsi" w:hAnsiTheme="minorHAnsi"/>
                <w:sz w:val="20"/>
                <w:szCs w:val="20"/>
              </w:rPr>
              <w:t xml:space="preserve"> </w:t>
            </w:r>
          </w:p>
        </w:tc>
        <w:tc>
          <w:tcPr>
            <w:tcW w:w="1667" w:type="dxa"/>
          </w:tcPr>
          <w:p w14:paraId="54704DB9" w14:textId="77777777" w:rsidR="00136839" w:rsidRPr="00136839" w:rsidRDefault="00136839" w:rsidP="009B153D">
            <w:pPr>
              <w:pStyle w:val="Style"/>
              <w:ind w:left="14"/>
              <w:jc w:val="center"/>
              <w:textAlignment w:val="baseline"/>
              <w:rPr>
                <w:rFonts w:asciiTheme="minorHAnsi" w:hAnsiTheme="minorHAnsi"/>
                <w:sz w:val="20"/>
                <w:szCs w:val="20"/>
              </w:rPr>
            </w:pPr>
            <w:r w:rsidRPr="00136839">
              <w:rPr>
                <w:rFonts w:asciiTheme="minorHAnsi" w:hAnsiTheme="minorHAnsi"/>
                <w:sz w:val="20"/>
                <w:szCs w:val="20"/>
              </w:rPr>
              <w:t xml:space="preserve">1080 </w:t>
            </w:r>
          </w:p>
        </w:tc>
        <w:tc>
          <w:tcPr>
            <w:tcW w:w="1707" w:type="dxa"/>
          </w:tcPr>
          <w:p w14:paraId="7362999B" w14:textId="77777777" w:rsidR="00136839" w:rsidRPr="00136839" w:rsidRDefault="00136839" w:rsidP="009B153D">
            <w:pPr>
              <w:pStyle w:val="Style"/>
              <w:ind w:left="19"/>
              <w:jc w:val="center"/>
              <w:textAlignment w:val="baseline"/>
              <w:rPr>
                <w:rFonts w:asciiTheme="minorHAnsi" w:hAnsiTheme="minorHAnsi"/>
                <w:sz w:val="20"/>
                <w:szCs w:val="20"/>
              </w:rPr>
            </w:pPr>
            <w:r w:rsidRPr="00136839">
              <w:rPr>
                <w:rFonts w:asciiTheme="minorHAnsi" w:hAnsiTheme="minorHAnsi"/>
                <w:sz w:val="20"/>
                <w:szCs w:val="20"/>
              </w:rPr>
              <w:t xml:space="preserve">1055 </w:t>
            </w:r>
          </w:p>
        </w:tc>
        <w:tc>
          <w:tcPr>
            <w:tcW w:w="2026" w:type="dxa"/>
          </w:tcPr>
          <w:p w14:paraId="28ABC2A0" w14:textId="77777777" w:rsidR="00136839" w:rsidRPr="00136839" w:rsidRDefault="00136839" w:rsidP="009B153D">
            <w:pPr>
              <w:pStyle w:val="Style"/>
              <w:ind w:left="24"/>
              <w:jc w:val="center"/>
              <w:textAlignment w:val="baseline"/>
              <w:rPr>
                <w:rFonts w:asciiTheme="minorHAnsi" w:hAnsiTheme="minorHAnsi"/>
                <w:sz w:val="20"/>
                <w:szCs w:val="20"/>
              </w:rPr>
            </w:pPr>
            <w:r w:rsidRPr="00136839">
              <w:rPr>
                <w:rFonts w:asciiTheme="minorHAnsi" w:hAnsiTheme="minorHAnsi"/>
                <w:sz w:val="20"/>
                <w:szCs w:val="20"/>
              </w:rPr>
              <w:t xml:space="preserve">1098 </w:t>
            </w:r>
          </w:p>
        </w:tc>
      </w:tr>
      <w:tr w:rsidR="00136839" w:rsidRPr="00136839" w14:paraId="7E211166" w14:textId="77777777" w:rsidTr="006E7089">
        <w:trPr>
          <w:trHeight w:hRule="exact" w:val="446"/>
        </w:trPr>
        <w:tc>
          <w:tcPr>
            <w:tcW w:w="1790" w:type="dxa"/>
            <w:vMerge/>
          </w:tcPr>
          <w:p w14:paraId="675EEC67" w14:textId="582B5E3D" w:rsidR="00136839" w:rsidRPr="00136839" w:rsidRDefault="00136839" w:rsidP="009B153D">
            <w:pPr>
              <w:pStyle w:val="Style"/>
              <w:textAlignment w:val="baseline"/>
              <w:rPr>
                <w:rFonts w:asciiTheme="minorHAnsi" w:hAnsiTheme="minorHAnsi"/>
                <w:sz w:val="20"/>
                <w:szCs w:val="20"/>
              </w:rPr>
            </w:pPr>
          </w:p>
        </w:tc>
        <w:tc>
          <w:tcPr>
            <w:tcW w:w="1620" w:type="dxa"/>
          </w:tcPr>
          <w:p w14:paraId="3FA0282D" w14:textId="6281A9ED" w:rsidR="00136839" w:rsidRPr="00136839" w:rsidRDefault="00136839" w:rsidP="009B153D">
            <w:pPr>
              <w:pStyle w:val="Style"/>
              <w:ind w:left="125"/>
              <w:textAlignment w:val="baseline"/>
              <w:rPr>
                <w:rFonts w:asciiTheme="minorHAnsi" w:hAnsiTheme="minorHAnsi"/>
                <w:sz w:val="20"/>
                <w:szCs w:val="20"/>
              </w:rPr>
            </w:pPr>
            <w:proofErr w:type="spellStart"/>
            <w:proofErr w:type="gramStart"/>
            <w:r w:rsidRPr="00136839">
              <w:rPr>
                <w:rFonts w:asciiTheme="minorHAnsi" w:hAnsiTheme="minorHAnsi"/>
                <w:sz w:val="20"/>
                <w:szCs w:val="20"/>
              </w:rPr>
              <w:t>GeoCV</w:t>
            </w:r>
            <w:proofErr w:type="spellEnd"/>
            <w:r w:rsidRPr="00136839">
              <w:rPr>
                <w:rFonts w:asciiTheme="minorHAnsi" w:hAnsiTheme="minorHAnsi"/>
                <w:sz w:val="20"/>
                <w:szCs w:val="20"/>
              </w:rPr>
              <w:t>(</w:t>
            </w:r>
            <w:proofErr w:type="gramEnd"/>
            <w:r w:rsidRPr="00136839">
              <w:rPr>
                <w:rFonts w:asciiTheme="minorHAnsi" w:hAnsiTheme="minorHAnsi"/>
                <w:sz w:val="20"/>
                <w:szCs w:val="20"/>
              </w:rPr>
              <w:t xml:space="preserve">%) </w:t>
            </w:r>
          </w:p>
        </w:tc>
        <w:tc>
          <w:tcPr>
            <w:tcW w:w="1667" w:type="dxa"/>
          </w:tcPr>
          <w:p w14:paraId="7E320A61" w14:textId="77777777" w:rsidR="00136839" w:rsidRPr="00136839" w:rsidRDefault="00136839" w:rsidP="009B153D">
            <w:pPr>
              <w:pStyle w:val="Style"/>
              <w:ind w:left="14"/>
              <w:jc w:val="center"/>
              <w:textAlignment w:val="baseline"/>
              <w:rPr>
                <w:rFonts w:asciiTheme="minorHAnsi" w:hAnsiTheme="minorHAnsi"/>
                <w:sz w:val="20"/>
                <w:szCs w:val="20"/>
              </w:rPr>
            </w:pPr>
            <w:r w:rsidRPr="00136839">
              <w:rPr>
                <w:rFonts w:asciiTheme="minorHAnsi" w:hAnsiTheme="minorHAnsi"/>
                <w:sz w:val="20"/>
                <w:szCs w:val="20"/>
              </w:rPr>
              <w:t xml:space="preserve">32.0 </w:t>
            </w:r>
          </w:p>
        </w:tc>
        <w:tc>
          <w:tcPr>
            <w:tcW w:w="1707" w:type="dxa"/>
          </w:tcPr>
          <w:p w14:paraId="60C528BE" w14:textId="77777777" w:rsidR="00136839" w:rsidRPr="00136839" w:rsidRDefault="00136839" w:rsidP="009B153D">
            <w:pPr>
              <w:pStyle w:val="Style"/>
              <w:ind w:left="19"/>
              <w:jc w:val="center"/>
              <w:textAlignment w:val="baseline"/>
              <w:rPr>
                <w:rFonts w:asciiTheme="minorHAnsi" w:hAnsiTheme="minorHAnsi"/>
                <w:sz w:val="20"/>
                <w:szCs w:val="20"/>
              </w:rPr>
            </w:pPr>
            <w:r w:rsidRPr="00136839">
              <w:rPr>
                <w:rFonts w:asciiTheme="minorHAnsi" w:hAnsiTheme="minorHAnsi"/>
                <w:sz w:val="20"/>
                <w:szCs w:val="20"/>
              </w:rPr>
              <w:t xml:space="preserve">30.6 </w:t>
            </w:r>
          </w:p>
        </w:tc>
        <w:tc>
          <w:tcPr>
            <w:tcW w:w="2026" w:type="dxa"/>
          </w:tcPr>
          <w:p w14:paraId="06B8E475" w14:textId="77777777" w:rsidR="00136839" w:rsidRPr="00136839" w:rsidRDefault="00136839" w:rsidP="009B153D">
            <w:pPr>
              <w:pStyle w:val="Style"/>
              <w:ind w:left="24"/>
              <w:jc w:val="center"/>
              <w:textAlignment w:val="baseline"/>
              <w:rPr>
                <w:rFonts w:asciiTheme="minorHAnsi" w:hAnsiTheme="minorHAnsi"/>
                <w:sz w:val="20"/>
                <w:szCs w:val="20"/>
              </w:rPr>
            </w:pPr>
            <w:r w:rsidRPr="00136839">
              <w:rPr>
                <w:rFonts w:asciiTheme="minorHAnsi" w:hAnsiTheme="minorHAnsi"/>
                <w:sz w:val="20"/>
                <w:szCs w:val="20"/>
              </w:rPr>
              <w:t xml:space="preserve">28.8 </w:t>
            </w:r>
          </w:p>
        </w:tc>
      </w:tr>
      <w:tr w:rsidR="00136839" w:rsidRPr="00136839" w14:paraId="549BA20F" w14:textId="77777777" w:rsidTr="006E7089">
        <w:trPr>
          <w:trHeight w:hRule="exact" w:val="419"/>
        </w:trPr>
        <w:tc>
          <w:tcPr>
            <w:tcW w:w="1790" w:type="dxa"/>
            <w:vMerge w:val="restart"/>
          </w:tcPr>
          <w:p w14:paraId="127CE585" w14:textId="77777777" w:rsidR="00136839" w:rsidRPr="00136839" w:rsidRDefault="00136839" w:rsidP="009B153D">
            <w:pPr>
              <w:pStyle w:val="Style"/>
              <w:ind w:left="115"/>
              <w:textAlignment w:val="baseline"/>
              <w:rPr>
                <w:rFonts w:asciiTheme="minorHAnsi" w:hAnsiTheme="minorHAnsi"/>
                <w:sz w:val="20"/>
                <w:szCs w:val="20"/>
              </w:rPr>
            </w:pPr>
            <w:r w:rsidRPr="00136839">
              <w:rPr>
                <w:rFonts w:asciiTheme="minorHAnsi" w:hAnsiTheme="minorHAnsi"/>
                <w:sz w:val="20"/>
                <w:szCs w:val="20"/>
              </w:rPr>
              <w:t>AUC</w:t>
            </w:r>
          </w:p>
          <w:p w14:paraId="55A57F66" w14:textId="7E4AB133" w:rsidR="00136839" w:rsidRPr="00136839" w:rsidRDefault="00136839" w:rsidP="009B153D">
            <w:pPr>
              <w:pStyle w:val="Style"/>
              <w:ind w:left="115"/>
              <w:textAlignment w:val="baseline"/>
              <w:rPr>
                <w:rFonts w:asciiTheme="minorHAnsi" w:hAnsiTheme="minorHAnsi"/>
                <w:sz w:val="20"/>
                <w:szCs w:val="20"/>
              </w:rPr>
            </w:pPr>
            <w:r w:rsidRPr="00136839">
              <w:rPr>
                <w:rFonts w:asciiTheme="minorHAnsi" w:hAnsiTheme="minorHAnsi"/>
                <w:sz w:val="20"/>
                <w:szCs w:val="20"/>
              </w:rPr>
              <w:t xml:space="preserve">(day*µg/mL) </w:t>
            </w:r>
          </w:p>
        </w:tc>
        <w:tc>
          <w:tcPr>
            <w:tcW w:w="1620" w:type="dxa"/>
          </w:tcPr>
          <w:p w14:paraId="491543F2" w14:textId="77777777" w:rsidR="00136839" w:rsidRPr="00136839" w:rsidRDefault="00136839" w:rsidP="009B153D">
            <w:pPr>
              <w:pStyle w:val="Style"/>
              <w:ind w:left="125"/>
              <w:textAlignment w:val="baseline"/>
              <w:rPr>
                <w:rFonts w:asciiTheme="minorHAnsi" w:hAnsiTheme="minorHAnsi"/>
                <w:sz w:val="20"/>
                <w:szCs w:val="20"/>
              </w:rPr>
            </w:pPr>
            <w:proofErr w:type="spellStart"/>
            <w:r w:rsidRPr="00136839">
              <w:rPr>
                <w:rFonts w:asciiTheme="minorHAnsi" w:hAnsiTheme="minorHAnsi"/>
                <w:sz w:val="20"/>
                <w:szCs w:val="20"/>
              </w:rPr>
              <w:t>GeoMean</w:t>
            </w:r>
            <w:proofErr w:type="spellEnd"/>
            <w:r w:rsidRPr="00136839">
              <w:rPr>
                <w:rFonts w:asciiTheme="minorHAnsi" w:hAnsiTheme="minorHAnsi"/>
                <w:sz w:val="20"/>
                <w:szCs w:val="20"/>
              </w:rPr>
              <w:t xml:space="preserve"> </w:t>
            </w:r>
          </w:p>
        </w:tc>
        <w:tc>
          <w:tcPr>
            <w:tcW w:w="1667" w:type="dxa"/>
          </w:tcPr>
          <w:p w14:paraId="4FDC773A" w14:textId="77777777" w:rsidR="00136839" w:rsidRPr="00136839" w:rsidRDefault="00136839" w:rsidP="009B153D">
            <w:pPr>
              <w:pStyle w:val="Style"/>
              <w:ind w:left="14"/>
              <w:jc w:val="center"/>
              <w:textAlignment w:val="baseline"/>
              <w:rPr>
                <w:rFonts w:asciiTheme="minorHAnsi" w:hAnsiTheme="minorHAnsi"/>
                <w:sz w:val="20"/>
                <w:szCs w:val="20"/>
              </w:rPr>
            </w:pPr>
            <w:r w:rsidRPr="00136839">
              <w:rPr>
                <w:rFonts w:asciiTheme="minorHAnsi" w:hAnsiTheme="minorHAnsi"/>
                <w:sz w:val="20"/>
                <w:szCs w:val="20"/>
              </w:rPr>
              <w:t xml:space="preserve">1107 </w:t>
            </w:r>
          </w:p>
        </w:tc>
        <w:tc>
          <w:tcPr>
            <w:tcW w:w="1707" w:type="dxa"/>
          </w:tcPr>
          <w:p w14:paraId="57D6BD84" w14:textId="77777777" w:rsidR="00136839" w:rsidRPr="00136839" w:rsidRDefault="00136839" w:rsidP="009B153D">
            <w:pPr>
              <w:pStyle w:val="Style"/>
              <w:ind w:left="19"/>
              <w:jc w:val="center"/>
              <w:textAlignment w:val="baseline"/>
              <w:rPr>
                <w:rFonts w:asciiTheme="minorHAnsi" w:hAnsiTheme="minorHAnsi"/>
                <w:sz w:val="20"/>
                <w:szCs w:val="20"/>
              </w:rPr>
            </w:pPr>
            <w:r w:rsidRPr="00136839">
              <w:rPr>
                <w:rFonts w:asciiTheme="minorHAnsi" w:hAnsiTheme="minorHAnsi"/>
                <w:sz w:val="20"/>
                <w:szCs w:val="20"/>
              </w:rPr>
              <w:t xml:space="preserve">1083 </w:t>
            </w:r>
          </w:p>
        </w:tc>
        <w:tc>
          <w:tcPr>
            <w:tcW w:w="2026" w:type="dxa"/>
          </w:tcPr>
          <w:p w14:paraId="64315BCD" w14:textId="77777777" w:rsidR="00136839" w:rsidRPr="00136839" w:rsidRDefault="00136839" w:rsidP="009B153D">
            <w:pPr>
              <w:pStyle w:val="Style"/>
              <w:ind w:left="24"/>
              <w:jc w:val="center"/>
              <w:textAlignment w:val="baseline"/>
              <w:rPr>
                <w:rFonts w:asciiTheme="minorHAnsi" w:hAnsiTheme="minorHAnsi"/>
                <w:sz w:val="20"/>
                <w:szCs w:val="20"/>
              </w:rPr>
            </w:pPr>
            <w:r w:rsidRPr="00136839">
              <w:rPr>
                <w:rFonts w:asciiTheme="minorHAnsi" w:hAnsiTheme="minorHAnsi"/>
                <w:sz w:val="20"/>
                <w:szCs w:val="20"/>
              </w:rPr>
              <w:t xml:space="preserve">1129 </w:t>
            </w:r>
          </w:p>
        </w:tc>
      </w:tr>
      <w:tr w:rsidR="00136839" w:rsidRPr="00136839" w14:paraId="42C29ACE" w14:textId="77777777" w:rsidTr="006E7089">
        <w:trPr>
          <w:trHeight w:hRule="exact" w:val="392"/>
        </w:trPr>
        <w:tc>
          <w:tcPr>
            <w:tcW w:w="1790" w:type="dxa"/>
            <w:vMerge/>
          </w:tcPr>
          <w:p w14:paraId="71A50A70" w14:textId="30A229D3" w:rsidR="00136839" w:rsidRPr="00136839" w:rsidRDefault="00136839" w:rsidP="009B153D">
            <w:pPr>
              <w:pStyle w:val="Style"/>
              <w:textAlignment w:val="baseline"/>
              <w:rPr>
                <w:rFonts w:asciiTheme="minorHAnsi" w:hAnsiTheme="minorHAnsi"/>
                <w:sz w:val="20"/>
                <w:szCs w:val="20"/>
              </w:rPr>
            </w:pPr>
          </w:p>
        </w:tc>
        <w:tc>
          <w:tcPr>
            <w:tcW w:w="1620" w:type="dxa"/>
          </w:tcPr>
          <w:p w14:paraId="638E6797" w14:textId="01F7A804" w:rsidR="00136839" w:rsidRPr="00136839" w:rsidRDefault="00136839" w:rsidP="009B153D">
            <w:pPr>
              <w:pStyle w:val="Style"/>
              <w:ind w:left="125"/>
              <w:textAlignment w:val="baseline"/>
              <w:rPr>
                <w:rFonts w:asciiTheme="minorHAnsi" w:hAnsiTheme="minorHAnsi"/>
                <w:sz w:val="20"/>
                <w:szCs w:val="20"/>
              </w:rPr>
            </w:pPr>
            <w:proofErr w:type="spellStart"/>
            <w:proofErr w:type="gramStart"/>
            <w:r w:rsidRPr="00136839">
              <w:rPr>
                <w:rFonts w:asciiTheme="minorHAnsi" w:hAnsiTheme="minorHAnsi"/>
                <w:sz w:val="20"/>
                <w:szCs w:val="20"/>
              </w:rPr>
              <w:t>GeoCV</w:t>
            </w:r>
            <w:proofErr w:type="spellEnd"/>
            <w:r w:rsidRPr="00136839">
              <w:rPr>
                <w:rFonts w:asciiTheme="minorHAnsi" w:hAnsiTheme="minorHAnsi"/>
                <w:sz w:val="20"/>
                <w:szCs w:val="20"/>
              </w:rPr>
              <w:t>(</w:t>
            </w:r>
            <w:proofErr w:type="gramEnd"/>
            <w:r w:rsidRPr="00136839">
              <w:rPr>
                <w:rFonts w:asciiTheme="minorHAnsi" w:hAnsiTheme="minorHAnsi"/>
                <w:sz w:val="20"/>
                <w:szCs w:val="20"/>
              </w:rPr>
              <w:t xml:space="preserve">%) </w:t>
            </w:r>
          </w:p>
        </w:tc>
        <w:tc>
          <w:tcPr>
            <w:tcW w:w="1667" w:type="dxa"/>
          </w:tcPr>
          <w:p w14:paraId="69290443" w14:textId="77777777" w:rsidR="00136839" w:rsidRPr="00136839" w:rsidRDefault="00136839" w:rsidP="009B153D">
            <w:pPr>
              <w:pStyle w:val="Style"/>
              <w:ind w:left="14"/>
              <w:jc w:val="center"/>
              <w:textAlignment w:val="baseline"/>
              <w:rPr>
                <w:rFonts w:asciiTheme="minorHAnsi" w:hAnsiTheme="minorHAnsi"/>
                <w:sz w:val="20"/>
                <w:szCs w:val="20"/>
              </w:rPr>
            </w:pPr>
            <w:r w:rsidRPr="00136839">
              <w:rPr>
                <w:rFonts w:asciiTheme="minorHAnsi" w:hAnsiTheme="minorHAnsi"/>
                <w:sz w:val="20"/>
                <w:szCs w:val="20"/>
              </w:rPr>
              <w:t xml:space="preserve">32.1 </w:t>
            </w:r>
          </w:p>
        </w:tc>
        <w:tc>
          <w:tcPr>
            <w:tcW w:w="1707" w:type="dxa"/>
          </w:tcPr>
          <w:p w14:paraId="65957A92" w14:textId="77777777" w:rsidR="00136839" w:rsidRPr="00136839" w:rsidRDefault="00136839" w:rsidP="009B153D">
            <w:pPr>
              <w:pStyle w:val="Style"/>
              <w:ind w:left="19"/>
              <w:jc w:val="center"/>
              <w:textAlignment w:val="baseline"/>
              <w:rPr>
                <w:rFonts w:asciiTheme="minorHAnsi" w:hAnsiTheme="minorHAnsi"/>
                <w:sz w:val="20"/>
                <w:szCs w:val="20"/>
              </w:rPr>
            </w:pPr>
            <w:r w:rsidRPr="00136839">
              <w:rPr>
                <w:rFonts w:asciiTheme="minorHAnsi" w:hAnsiTheme="minorHAnsi"/>
                <w:sz w:val="20"/>
                <w:szCs w:val="20"/>
              </w:rPr>
              <w:t xml:space="preserve">31.1 </w:t>
            </w:r>
          </w:p>
        </w:tc>
        <w:tc>
          <w:tcPr>
            <w:tcW w:w="2026" w:type="dxa"/>
          </w:tcPr>
          <w:p w14:paraId="328C1306" w14:textId="77777777" w:rsidR="00136839" w:rsidRPr="00136839" w:rsidRDefault="00136839" w:rsidP="009B153D">
            <w:pPr>
              <w:pStyle w:val="Style"/>
              <w:ind w:left="24"/>
              <w:jc w:val="center"/>
              <w:textAlignment w:val="baseline"/>
              <w:rPr>
                <w:rFonts w:asciiTheme="minorHAnsi" w:hAnsiTheme="minorHAnsi"/>
                <w:sz w:val="20"/>
                <w:szCs w:val="20"/>
              </w:rPr>
            </w:pPr>
            <w:r w:rsidRPr="00136839">
              <w:rPr>
                <w:rFonts w:asciiTheme="minorHAnsi" w:hAnsiTheme="minorHAnsi"/>
                <w:sz w:val="20"/>
                <w:szCs w:val="20"/>
              </w:rPr>
              <w:t xml:space="preserve">29.9 </w:t>
            </w:r>
          </w:p>
        </w:tc>
      </w:tr>
      <w:tr w:rsidR="00136839" w:rsidRPr="00136839" w14:paraId="2A328F74" w14:textId="77777777" w:rsidTr="006E7089">
        <w:trPr>
          <w:trHeight w:hRule="exact" w:val="446"/>
        </w:trPr>
        <w:tc>
          <w:tcPr>
            <w:tcW w:w="1790" w:type="dxa"/>
            <w:vMerge w:val="restart"/>
          </w:tcPr>
          <w:p w14:paraId="3701FB34" w14:textId="77777777" w:rsidR="00136839" w:rsidRPr="00136839" w:rsidRDefault="00136839" w:rsidP="009B153D">
            <w:pPr>
              <w:pStyle w:val="Style"/>
              <w:ind w:left="115"/>
              <w:textAlignment w:val="baseline"/>
              <w:rPr>
                <w:rFonts w:asciiTheme="minorHAnsi" w:hAnsiTheme="minorHAnsi"/>
                <w:sz w:val="20"/>
                <w:szCs w:val="20"/>
                <w:vertAlign w:val="subscript"/>
              </w:rPr>
            </w:pPr>
            <w:proofErr w:type="spellStart"/>
            <w:r w:rsidRPr="00136839">
              <w:rPr>
                <w:rFonts w:asciiTheme="minorHAnsi" w:hAnsiTheme="minorHAnsi"/>
                <w:sz w:val="20"/>
                <w:szCs w:val="20"/>
              </w:rPr>
              <w:t>C</w:t>
            </w:r>
            <w:r w:rsidRPr="00136839">
              <w:rPr>
                <w:rFonts w:asciiTheme="minorHAnsi" w:hAnsiTheme="minorHAnsi"/>
                <w:sz w:val="20"/>
                <w:szCs w:val="20"/>
                <w:vertAlign w:val="subscript"/>
              </w:rPr>
              <w:t>max</w:t>
            </w:r>
            <w:proofErr w:type="spellEnd"/>
          </w:p>
          <w:p w14:paraId="3EB9B192" w14:textId="6314FB85" w:rsidR="00136839" w:rsidRPr="00136839" w:rsidRDefault="00136839" w:rsidP="009B153D">
            <w:pPr>
              <w:pStyle w:val="Style"/>
              <w:ind w:left="115"/>
              <w:textAlignment w:val="baseline"/>
              <w:rPr>
                <w:rFonts w:asciiTheme="minorHAnsi" w:hAnsiTheme="minorHAnsi"/>
                <w:sz w:val="20"/>
                <w:szCs w:val="20"/>
              </w:rPr>
            </w:pPr>
            <w:r w:rsidRPr="00136839">
              <w:rPr>
                <w:rFonts w:asciiTheme="minorHAnsi" w:hAnsiTheme="minorHAnsi"/>
                <w:w w:val="118"/>
                <w:sz w:val="20"/>
                <w:szCs w:val="20"/>
              </w:rPr>
              <w:t xml:space="preserve">(µg/mL) </w:t>
            </w:r>
          </w:p>
        </w:tc>
        <w:tc>
          <w:tcPr>
            <w:tcW w:w="1620" w:type="dxa"/>
          </w:tcPr>
          <w:p w14:paraId="74DDF49E" w14:textId="77777777" w:rsidR="00136839" w:rsidRPr="00136839" w:rsidRDefault="00136839" w:rsidP="009B153D">
            <w:pPr>
              <w:pStyle w:val="Style"/>
              <w:ind w:left="125"/>
              <w:textAlignment w:val="baseline"/>
              <w:rPr>
                <w:rFonts w:asciiTheme="minorHAnsi" w:hAnsiTheme="minorHAnsi"/>
                <w:sz w:val="20"/>
                <w:szCs w:val="20"/>
              </w:rPr>
            </w:pPr>
            <w:proofErr w:type="spellStart"/>
            <w:r w:rsidRPr="00136839">
              <w:rPr>
                <w:rFonts w:asciiTheme="minorHAnsi" w:hAnsiTheme="minorHAnsi"/>
                <w:sz w:val="20"/>
                <w:szCs w:val="20"/>
              </w:rPr>
              <w:t>GeoMean</w:t>
            </w:r>
            <w:proofErr w:type="spellEnd"/>
            <w:r w:rsidRPr="00136839">
              <w:rPr>
                <w:rFonts w:asciiTheme="minorHAnsi" w:hAnsiTheme="minorHAnsi"/>
                <w:sz w:val="20"/>
                <w:szCs w:val="20"/>
              </w:rPr>
              <w:t xml:space="preserve"> </w:t>
            </w:r>
          </w:p>
        </w:tc>
        <w:tc>
          <w:tcPr>
            <w:tcW w:w="1667" w:type="dxa"/>
          </w:tcPr>
          <w:p w14:paraId="01FE55A7" w14:textId="77777777" w:rsidR="00136839" w:rsidRPr="00136839" w:rsidRDefault="00136839" w:rsidP="009B153D">
            <w:pPr>
              <w:pStyle w:val="Style"/>
              <w:ind w:left="14"/>
              <w:jc w:val="center"/>
              <w:textAlignment w:val="baseline"/>
              <w:rPr>
                <w:rFonts w:asciiTheme="minorHAnsi" w:hAnsiTheme="minorHAnsi"/>
                <w:sz w:val="20"/>
                <w:szCs w:val="20"/>
              </w:rPr>
            </w:pPr>
            <w:r w:rsidRPr="00136839">
              <w:rPr>
                <w:rFonts w:asciiTheme="minorHAnsi" w:hAnsiTheme="minorHAnsi"/>
                <w:sz w:val="20"/>
                <w:szCs w:val="20"/>
              </w:rPr>
              <w:t xml:space="preserve">31.18 </w:t>
            </w:r>
          </w:p>
        </w:tc>
        <w:tc>
          <w:tcPr>
            <w:tcW w:w="1707" w:type="dxa"/>
          </w:tcPr>
          <w:p w14:paraId="15288BB6" w14:textId="77777777" w:rsidR="00136839" w:rsidRPr="00136839" w:rsidRDefault="00136839" w:rsidP="009B153D">
            <w:pPr>
              <w:pStyle w:val="Style"/>
              <w:ind w:left="19"/>
              <w:jc w:val="center"/>
              <w:textAlignment w:val="baseline"/>
              <w:rPr>
                <w:rFonts w:asciiTheme="minorHAnsi" w:hAnsiTheme="minorHAnsi"/>
                <w:sz w:val="20"/>
                <w:szCs w:val="20"/>
              </w:rPr>
            </w:pPr>
            <w:r w:rsidRPr="00136839">
              <w:rPr>
                <w:rFonts w:asciiTheme="minorHAnsi" w:hAnsiTheme="minorHAnsi"/>
                <w:sz w:val="20"/>
                <w:szCs w:val="20"/>
              </w:rPr>
              <w:t xml:space="preserve">30.10 </w:t>
            </w:r>
          </w:p>
        </w:tc>
        <w:tc>
          <w:tcPr>
            <w:tcW w:w="2026" w:type="dxa"/>
          </w:tcPr>
          <w:p w14:paraId="4F8486C2" w14:textId="77777777" w:rsidR="00136839" w:rsidRPr="00136839" w:rsidRDefault="00136839" w:rsidP="009B153D">
            <w:pPr>
              <w:pStyle w:val="Style"/>
              <w:ind w:left="24"/>
              <w:jc w:val="center"/>
              <w:textAlignment w:val="baseline"/>
              <w:rPr>
                <w:rFonts w:asciiTheme="minorHAnsi" w:hAnsiTheme="minorHAnsi"/>
                <w:sz w:val="20"/>
                <w:szCs w:val="20"/>
              </w:rPr>
            </w:pPr>
            <w:r w:rsidRPr="00136839">
              <w:rPr>
                <w:rFonts w:asciiTheme="minorHAnsi" w:hAnsiTheme="minorHAnsi"/>
                <w:sz w:val="20"/>
                <w:szCs w:val="20"/>
              </w:rPr>
              <w:t xml:space="preserve">30.63 </w:t>
            </w:r>
          </w:p>
        </w:tc>
      </w:tr>
      <w:tr w:rsidR="00136839" w:rsidRPr="00136839" w14:paraId="697A13C2" w14:textId="77777777" w:rsidTr="006E7089">
        <w:trPr>
          <w:trHeight w:hRule="exact" w:val="437"/>
        </w:trPr>
        <w:tc>
          <w:tcPr>
            <w:tcW w:w="1790" w:type="dxa"/>
            <w:vMerge/>
          </w:tcPr>
          <w:p w14:paraId="70B619D9" w14:textId="66ED1742" w:rsidR="00136839" w:rsidRPr="00136839" w:rsidRDefault="00136839" w:rsidP="009B153D">
            <w:pPr>
              <w:pStyle w:val="Style"/>
              <w:textAlignment w:val="baseline"/>
              <w:rPr>
                <w:rFonts w:asciiTheme="minorHAnsi" w:hAnsiTheme="minorHAnsi"/>
                <w:sz w:val="20"/>
                <w:szCs w:val="20"/>
              </w:rPr>
            </w:pPr>
          </w:p>
        </w:tc>
        <w:tc>
          <w:tcPr>
            <w:tcW w:w="1620" w:type="dxa"/>
          </w:tcPr>
          <w:p w14:paraId="150A8954" w14:textId="359AB1C2" w:rsidR="00136839" w:rsidRPr="00136839" w:rsidRDefault="00136839" w:rsidP="009B153D">
            <w:pPr>
              <w:pStyle w:val="Style"/>
              <w:ind w:left="125"/>
              <w:textAlignment w:val="baseline"/>
              <w:rPr>
                <w:rFonts w:asciiTheme="minorHAnsi" w:hAnsiTheme="minorHAnsi"/>
                <w:sz w:val="20"/>
                <w:szCs w:val="20"/>
              </w:rPr>
            </w:pPr>
            <w:proofErr w:type="spellStart"/>
            <w:proofErr w:type="gramStart"/>
            <w:r w:rsidRPr="00136839">
              <w:rPr>
                <w:rFonts w:asciiTheme="minorHAnsi" w:hAnsiTheme="minorHAnsi"/>
                <w:sz w:val="20"/>
                <w:szCs w:val="20"/>
              </w:rPr>
              <w:t>GeoCV</w:t>
            </w:r>
            <w:proofErr w:type="spellEnd"/>
            <w:r w:rsidRPr="00136839">
              <w:rPr>
                <w:rFonts w:asciiTheme="minorHAnsi" w:hAnsiTheme="minorHAnsi"/>
                <w:sz w:val="20"/>
                <w:szCs w:val="20"/>
              </w:rPr>
              <w:t>(</w:t>
            </w:r>
            <w:proofErr w:type="gramEnd"/>
            <w:r w:rsidRPr="00136839">
              <w:rPr>
                <w:rFonts w:asciiTheme="minorHAnsi" w:hAnsiTheme="minorHAnsi"/>
                <w:sz w:val="20"/>
                <w:szCs w:val="20"/>
              </w:rPr>
              <w:t xml:space="preserve">%) </w:t>
            </w:r>
          </w:p>
        </w:tc>
        <w:tc>
          <w:tcPr>
            <w:tcW w:w="1667" w:type="dxa"/>
          </w:tcPr>
          <w:p w14:paraId="504319C8" w14:textId="77777777" w:rsidR="00136839" w:rsidRPr="00136839" w:rsidRDefault="00136839" w:rsidP="009B153D">
            <w:pPr>
              <w:pStyle w:val="Style"/>
              <w:ind w:left="14"/>
              <w:jc w:val="center"/>
              <w:textAlignment w:val="baseline"/>
              <w:rPr>
                <w:rFonts w:asciiTheme="minorHAnsi" w:hAnsiTheme="minorHAnsi"/>
                <w:sz w:val="20"/>
                <w:szCs w:val="20"/>
              </w:rPr>
            </w:pPr>
            <w:r w:rsidRPr="00136839">
              <w:rPr>
                <w:rFonts w:asciiTheme="minorHAnsi" w:hAnsiTheme="minorHAnsi"/>
                <w:sz w:val="20"/>
                <w:szCs w:val="20"/>
              </w:rPr>
              <w:t xml:space="preserve">30.5 </w:t>
            </w:r>
          </w:p>
        </w:tc>
        <w:tc>
          <w:tcPr>
            <w:tcW w:w="1707" w:type="dxa"/>
          </w:tcPr>
          <w:p w14:paraId="3940E553" w14:textId="77777777" w:rsidR="00136839" w:rsidRPr="00136839" w:rsidRDefault="00136839" w:rsidP="009B153D">
            <w:pPr>
              <w:pStyle w:val="Style"/>
              <w:ind w:left="19"/>
              <w:jc w:val="center"/>
              <w:textAlignment w:val="baseline"/>
              <w:rPr>
                <w:rFonts w:asciiTheme="minorHAnsi" w:hAnsiTheme="minorHAnsi"/>
                <w:sz w:val="20"/>
                <w:szCs w:val="20"/>
              </w:rPr>
            </w:pPr>
            <w:r w:rsidRPr="00136839">
              <w:rPr>
                <w:rFonts w:asciiTheme="minorHAnsi" w:hAnsiTheme="minorHAnsi"/>
                <w:sz w:val="20"/>
                <w:szCs w:val="20"/>
              </w:rPr>
              <w:t xml:space="preserve">28.0 </w:t>
            </w:r>
          </w:p>
        </w:tc>
        <w:tc>
          <w:tcPr>
            <w:tcW w:w="2026" w:type="dxa"/>
          </w:tcPr>
          <w:p w14:paraId="09AA6890" w14:textId="77777777" w:rsidR="00136839" w:rsidRPr="00136839" w:rsidRDefault="00136839" w:rsidP="009B153D">
            <w:pPr>
              <w:pStyle w:val="Style"/>
              <w:ind w:left="24"/>
              <w:jc w:val="center"/>
              <w:textAlignment w:val="baseline"/>
              <w:rPr>
                <w:rFonts w:asciiTheme="minorHAnsi" w:hAnsiTheme="minorHAnsi"/>
                <w:sz w:val="20"/>
                <w:szCs w:val="20"/>
              </w:rPr>
            </w:pPr>
            <w:r w:rsidRPr="00136839">
              <w:rPr>
                <w:rFonts w:asciiTheme="minorHAnsi" w:hAnsiTheme="minorHAnsi"/>
                <w:sz w:val="20"/>
                <w:szCs w:val="20"/>
              </w:rPr>
              <w:t xml:space="preserve">22.9 </w:t>
            </w:r>
          </w:p>
        </w:tc>
      </w:tr>
      <w:tr w:rsidR="00136839" w:rsidRPr="00136839" w14:paraId="4CD07B28" w14:textId="77777777" w:rsidTr="006E7089">
        <w:trPr>
          <w:trHeight w:hRule="exact" w:val="401"/>
        </w:trPr>
        <w:tc>
          <w:tcPr>
            <w:tcW w:w="1790" w:type="dxa"/>
            <w:vMerge w:val="restart"/>
          </w:tcPr>
          <w:p w14:paraId="3A5F3A55" w14:textId="77777777" w:rsidR="00136839" w:rsidRPr="00136839" w:rsidRDefault="00136839" w:rsidP="009B153D">
            <w:pPr>
              <w:pStyle w:val="Style"/>
              <w:ind w:left="115"/>
              <w:textAlignment w:val="baseline"/>
              <w:rPr>
                <w:rFonts w:asciiTheme="minorHAnsi" w:hAnsiTheme="minorHAnsi"/>
                <w:sz w:val="20"/>
                <w:szCs w:val="20"/>
                <w:vertAlign w:val="subscript"/>
              </w:rPr>
            </w:pPr>
            <w:proofErr w:type="spellStart"/>
            <w:r w:rsidRPr="00136839">
              <w:rPr>
                <w:rFonts w:asciiTheme="minorHAnsi" w:hAnsiTheme="minorHAnsi"/>
                <w:sz w:val="20"/>
                <w:szCs w:val="20"/>
              </w:rPr>
              <w:t>T</w:t>
            </w:r>
            <w:r w:rsidRPr="00136839">
              <w:rPr>
                <w:rFonts w:asciiTheme="minorHAnsi" w:hAnsiTheme="minorHAnsi"/>
                <w:sz w:val="20"/>
                <w:szCs w:val="20"/>
                <w:vertAlign w:val="subscript"/>
              </w:rPr>
              <w:t>max</w:t>
            </w:r>
            <w:proofErr w:type="spellEnd"/>
          </w:p>
          <w:p w14:paraId="0B54E334" w14:textId="6B8A7960" w:rsidR="00136839" w:rsidRPr="00136839" w:rsidRDefault="00136839" w:rsidP="009B153D">
            <w:pPr>
              <w:pStyle w:val="Style"/>
              <w:ind w:left="115"/>
              <w:textAlignment w:val="baseline"/>
              <w:rPr>
                <w:rFonts w:asciiTheme="minorHAnsi" w:hAnsiTheme="minorHAnsi"/>
                <w:sz w:val="20"/>
                <w:szCs w:val="20"/>
              </w:rPr>
            </w:pPr>
            <w:r w:rsidRPr="00136839">
              <w:rPr>
                <w:rFonts w:asciiTheme="minorHAnsi" w:hAnsiTheme="minorHAnsi"/>
                <w:sz w:val="20"/>
                <w:szCs w:val="20"/>
              </w:rPr>
              <w:t xml:space="preserve">(day) </w:t>
            </w:r>
          </w:p>
        </w:tc>
        <w:tc>
          <w:tcPr>
            <w:tcW w:w="1620" w:type="dxa"/>
          </w:tcPr>
          <w:p w14:paraId="529D00AE" w14:textId="77777777" w:rsidR="00136839" w:rsidRPr="00136839" w:rsidRDefault="00136839" w:rsidP="009B153D">
            <w:pPr>
              <w:pStyle w:val="Style"/>
              <w:ind w:left="125"/>
              <w:textAlignment w:val="baseline"/>
              <w:rPr>
                <w:rFonts w:asciiTheme="minorHAnsi" w:hAnsiTheme="minorHAnsi"/>
                <w:sz w:val="20"/>
                <w:szCs w:val="20"/>
              </w:rPr>
            </w:pPr>
            <w:r w:rsidRPr="00136839">
              <w:rPr>
                <w:rFonts w:asciiTheme="minorHAnsi" w:hAnsiTheme="minorHAnsi"/>
                <w:sz w:val="20"/>
                <w:szCs w:val="20"/>
              </w:rPr>
              <w:t xml:space="preserve">Median </w:t>
            </w:r>
          </w:p>
        </w:tc>
        <w:tc>
          <w:tcPr>
            <w:tcW w:w="1667" w:type="dxa"/>
          </w:tcPr>
          <w:p w14:paraId="6C2FF54A" w14:textId="77777777" w:rsidR="00136839" w:rsidRPr="00136839" w:rsidRDefault="00136839" w:rsidP="009B153D">
            <w:pPr>
              <w:pStyle w:val="Style"/>
              <w:ind w:left="14"/>
              <w:jc w:val="center"/>
              <w:textAlignment w:val="baseline"/>
              <w:rPr>
                <w:rFonts w:asciiTheme="minorHAnsi" w:hAnsiTheme="minorHAnsi"/>
                <w:sz w:val="20"/>
                <w:szCs w:val="20"/>
              </w:rPr>
            </w:pPr>
            <w:r w:rsidRPr="00136839">
              <w:rPr>
                <w:rFonts w:asciiTheme="minorHAnsi" w:hAnsiTheme="minorHAnsi"/>
                <w:sz w:val="20"/>
                <w:szCs w:val="20"/>
              </w:rPr>
              <w:t xml:space="preserve">5.031 </w:t>
            </w:r>
          </w:p>
        </w:tc>
        <w:tc>
          <w:tcPr>
            <w:tcW w:w="1707" w:type="dxa"/>
          </w:tcPr>
          <w:p w14:paraId="06E20F2C" w14:textId="77777777" w:rsidR="00136839" w:rsidRPr="00136839" w:rsidRDefault="00136839" w:rsidP="009B153D">
            <w:pPr>
              <w:pStyle w:val="Style"/>
              <w:ind w:left="19"/>
              <w:jc w:val="center"/>
              <w:textAlignment w:val="baseline"/>
              <w:rPr>
                <w:rFonts w:asciiTheme="minorHAnsi" w:hAnsiTheme="minorHAnsi"/>
                <w:sz w:val="20"/>
                <w:szCs w:val="20"/>
              </w:rPr>
            </w:pPr>
            <w:r w:rsidRPr="00136839">
              <w:rPr>
                <w:rFonts w:asciiTheme="minorHAnsi" w:hAnsiTheme="minorHAnsi"/>
                <w:sz w:val="20"/>
                <w:szCs w:val="20"/>
              </w:rPr>
              <w:t xml:space="preserve">5.999 </w:t>
            </w:r>
          </w:p>
        </w:tc>
        <w:tc>
          <w:tcPr>
            <w:tcW w:w="2026" w:type="dxa"/>
          </w:tcPr>
          <w:p w14:paraId="296CC50E" w14:textId="77777777" w:rsidR="00136839" w:rsidRPr="00136839" w:rsidRDefault="00136839" w:rsidP="009B153D">
            <w:pPr>
              <w:pStyle w:val="Style"/>
              <w:ind w:left="24"/>
              <w:jc w:val="center"/>
              <w:textAlignment w:val="baseline"/>
              <w:rPr>
                <w:rFonts w:asciiTheme="minorHAnsi" w:hAnsiTheme="minorHAnsi"/>
                <w:sz w:val="20"/>
                <w:szCs w:val="20"/>
              </w:rPr>
            </w:pPr>
            <w:r w:rsidRPr="00136839">
              <w:rPr>
                <w:rFonts w:asciiTheme="minorHAnsi" w:hAnsiTheme="minorHAnsi"/>
                <w:sz w:val="20"/>
                <w:szCs w:val="20"/>
              </w:rPr>
              <w:t xml:space="preserve">6.963 </w:t>
            </w:r>
          </w:p>
        </w:tc>
      </w:tr>
      <w:tr w:rsidR="00136839" w:rsidRPr="00136839" w14:paraId="3D05A852" w14:textId="77777777" w:rsidTr="006E7089">
        <w:trPr>
          <w:trHeight w:hRule="exact" w:val="408"/>
        </w:trPr>
        <w:tc>
          <w:tcPr>
            <w:tcW w:w="1790" w:type="dxa"/>
            <w:vMerge/>
          </w:tcPr>
          <w:p w14:paraId="75119BE6" w14:textId="05B76011" w:rsidR="00136839" w:rsidRPr="00136839" w:rsidRDefault="00136839" w:rsidP="009B153D">
            <w:pPr>
              <w:pStyle w:val="Style"/>
              <w:textAlignment w:val="baseline"/>
              <w:rPr>
                <w:rFonts w:asciiTheme="minorHAnsi" w:hAnsiTheme="minorHAnsi"/>
                <w:sz w:val="20"/>
                <w:szCs w:val="20"/>
              </w:rPr>
            </w:pPr>
          </w:p>
        </w:tc>
        <w:tc>
          <w:tcPr>
            <w:tcW w:w="1620" w:type="dxa"/>
          </w:tcPr>
          <w:p w14:paraId="3F96B5C0" w14:textId="77777777" w:rsidR="00136839" w:rsidRPr="00136839" w:rsidRDefault="00136839" w:rsidP="009B153D">
            <w:pPr>
              <w:pStyle w:val="Style"/>
              <w:ind w:left="125"/>
              <w:textAlignment w:val="baseline"/>
              <w:rPr>
                <w:rFonts w:asciiTheme="minorHAnsi" w:hAnsiTheme="minorHAnsi"/>
                <w:sz w:val="20"/>
                <w:szCs w:val="20"/>
              </w:rPr>
            </w:pPr>
            <w:r w:rsidRPr="00136839">
              <w:rPr>
                <w:rFonts w:asciiTheme="minorHAnsi" w:hAnsiTheme="minorHAnsi"/>
                <w:sz w:val="20"/>
                <w:szCs w:val="20"/>
              </w:rPr>
              <w:t xml:space="preserve">Min, max </w:t>
            </w:r>
          </w:p>
        </w:tc>
        <w:tc>
          <w:tcPr>
            <w:tcW w:w="1667" w:type="dxa"/>
          </w:tcPr>
          <w:p w14:paraId="13C74F82" w14:textId="77777777" w:rsidR="00136839" w:rsidRPr="00136839" w:rsidRDefault="00136839" w:rsidP="009B153D">
            <w:pPr>
              <w:pStyle w:val="Style"/>
              <w:ind w:left="14"/>
              <w:jc w:val="center"/>
              <w:textAlignment w:val="baseline"/>
              <w:rPr>
                <w:rFonts w:asciiTheme="minorHAnsi" w:hAnsiTheme="minorHAnsi"/>
                <w:sz w:val="20"/>
                <w:szCs w:val="20"/>
              </w:rPr>
            </w:pPr>
            <w:r w:rsidRPr="00136839">
              <w:rPr>
                <w:rFonts w:asciiTheme="minorHAnsi" w:hAnsiTheme="minorHAnsi"/>
                <w:sz w:val="20"/>
                <w:szCs w:val="20"/>
              </w:rPr>
              <w:t xml:space="preserve">1.97, 12.1 </w:t>
            </w:r>
          </w:p>
        </w:tc>
        <w:tc>
          <w:tcPr>
            <w:tcW w:w="1707" w:type="dxa"/>
          </w:tcPr>
          <w:p w14:paraId="6041F003" w14:textId="77777777" w:rsidR="00136839" w:rsidRPr="00136839" w:rsidRDefault="00136839" w:rsidP="009B153D">
            <w:pPr>
              <w:pStyle w:val="Style"/>
              <w:ind w:left="19"/>
              <w:jc w:val="center"/>
              <w:textAlignment w:val="baseline"/>
              <w:rPr>
                <w:rFonts w:asciiTheme="minorHAnsi" w:hAnsiTheme="minorHAnsi"/>
                <w:sz w:val="20"/>
                <w:szCs w:val="20"/>
              </w:rPr>
            </w:pPr>
            <w:r w:rsidRPr="00136839">
              <w:rPr>
                <w:rFonts w:asciiTheme="minorHAnsi" w:hAnsiTheme="minorHAnsi"/>
                <w:sz w:val="20"/>
                <w:szCs w:val="20"/>
              </w:rPr>
              <w:t xml:space="preserve">2.95, 15.0 </w:t>
            </w:r>
          </w:p>
        </w:tc>
        <w:tc>
          <w:tcPr>
            <w:tcW w:w="2026" w:type="dxa"/>
          </w:tcPr>
          <w:p w14:paraId="5CA18F5C" w14:textId="77777777" w:rsidR="00136839" w:rsidRPr="00136839" w:rsidRDefault="00136839" w:rsidP="009B153D">
            <w:pPr>
              <w:pStyle w:val="Style"/>
              <w:ind w:left="24"/>
              <w:jc w:val="center"/>
              <w:textAlignment w:val="baseline"/>
              <w:rPr>
                <w:rFonts w:asciiTheme="minorHAnsi" w:hAnsiTheme="minorHAnsi"/>
                <w:sz w:val="20"/>
                <w:szCs w:val="20"/>
              </w:rPr>
            </w:pPr>
            <w:r w:rsidRPr="00136839">
              <w:rPr>
                <w:rFonts w:asciiTheme="minorHAnsi" w:hAnsiTheme="minorHAnsi"/>
                <w:sz w:val="20"/>
                <w:szCs w:val="20"/>
              </w:rPr>
              <w:t xml:space="preserve">2.99, 13.0 </w:t>
            </w:r>
          </w:p>
        </w:tc>
      </w:tr>
      <w:tr w:rsidR="00136839" w:rsidRPr="00136839" w14:paraId="7ECD0A02" w14:textId="77777777" w:rsidTr="006E7089">
        <w:trPr>
          <w:trHeight w:hRule="exact" w:val="374"/>
        </w:trPr>
        <w:tc>
          <w:tcPr>
            <w:tcW w:w="1790" w:type="dxa"/>
            <w:vMerge w:val="restart"/>
          </w:tcPr>
          <w:p w14:paraId="3E8A076D" w14:textId="77777777" w:rsidR="00136839" w:rsidRPr="00136839" w:rsidRDefault="00136839" w:rsidP="009B153D">
            <w:pPr>
              <w:pStyle w:val="Style"/>
              <w:ind w:left="115"/>
              <w:textAlignment w:val="baseline"/>
              <w:rPr>
                <w:rFonts w:asciiTheme="minorHAnsi" w:hAnsiTheme="minorHAnsi"/>
                <w:sz w:val="20"/>
                <w:szCs w:val="20"/>
                <w:vertAlign w:val="subscript"/>
              </w:rPr>
            </w:pPr>
            <w:r w:rsidRPr="00136839">
              <w:rPr>
                <w:rFonts w:asciiTheme="minorHAnsi" w:hAnsiTheme="minorHAnsi"/>
                <w:sz w:val="20"/>
                <w:szCs w:val="20"/>
              </w:rPr>
              <w:t>t</w:t>
            </w:r>
            <w:r w:rsidRPr="00136839">
              <w:rPr>
                <w:rFonts w:asciiTheme="minorHAnsi" w:hAnsiTheme="minorHAnsi"/>
                <w:sz w:val="20"/>
                <w:szCs w:val="20"/>
                <w:vertAlign w:val="subscript"/>
              </w:rPr>
              <w:t>1/2</w:t>
            </w:r>
          </w:p>
          <w:p w14:paraId="1D171AD9" w14:textId="267701BA" w:rsidR="00136839" w:rsidRPr="00136839" w:rsidRDefault="00136839" w:rsidP="009B153D">
            <w:pPr>
              <w:pStyle w:val="Style"/>
              <w:ind w:left="115"/>
              <w:textAlignment w:val="baseline"/>
              <w:rPr>
                <w:rFonts w:asciiTheme="minorHAnsi" w:hAnsiTheme="minorHAnsi"/>
                <w:sz w:val="20"/>
                <w:szCs w:val="20"/>
              </w:rPr>
            </w:pPr>
            <w:r w:rsidRPr="00136839">
              <w:rPr>
                <w:rFonts w:asciiTheme="minorHAnsi" w:hAnsiTheme="minorHAnsi"/>
                <w:sz w:val="20"/>
                <w:szCs w:val="20"/>
              </w:rPr>
              <w:t xml:space="preserve">(day) </w:t>
            </w:r>
          </w:p>
        </w:tc>
        <w:tc>
          <w:tcPr>
            <w:tcW w:w="1620" w:type="dxa"/>
          </w:tcPr>
          <w:p w14:paraId="1A6DAE22" w14:textId="77777777" w:rsidR="00136839" w:rsidRPr="00136839" w:rsidRDefault="00136839" w:rsidP="009B153D">
            <w:pPr>
              <w:pStyle w:val="Style"/>
              <w:ind w:left="125"/>
              <w:textAlignment w:val="baseline"/>
              <w:rPr>
                <w:rFonts w:asciiTheme="minorHAnsi" w:hAnsiTheme="minorHAnsi"/>
                <w:sz w:val="20"/>
                <w:szCs w:val="20"/>
              </w:rPr>
            </w:pPr>
            <w:r w:rsidRPr="00136839">
              <w:rPr>
                <w:rFonts w:asciiTheme="minorHAnsi" w:hAnsiTheme="minorHAnsi"/>
                <w:sz w:val="20"/>
                <w:szCs w:val="20"/>
              </w:rPr>
              <w:t xml:space="preserve">Mean </w:t>
            </w:r>
          </w:p>
        </w:tc>
        <w:tc>
          <w:tcPr>
            <w:tcW w:w="1667" w:type="dxa"/>
          </w:tcPr>
          <w:p w14:paraId="7CBE03C6" w14:textId="77777777" w:rsidR="00136839" w:rsidRPr="00136839" w:rsidRDefault="00136839" w:rsidP="009B153D">
            <w:pPr>
              <w:pStyle w:val="Style"/>
              <w:ind w:left="14"/>
              <w:jc w:val="center"/>
              <w:textAlignment w:val="baseline"/>
              <w:rPr>
                <w:rFonts w:asciiTheme="minorHAnsi" w:hAnsiTheme="minorHAnsi"/>
                <w:sz w:val="20"/>
                <w:szCs w:val="20"/>
              </w:rPr>
            </w:pPr>
            <w:r w:rsidRPr="00136839">
              <w:rPr>
                <w:rFonts w:asciiTheme="minorHAnsi" w:hAnsiTheme="minorHAnsi"/>
                <w:sz w:val="20"/>
                <w:szCs w:val="20"/>
              </w:rPr>
              <w:t xml:space="preserve">22.76 </w:t>
            </w:r>
          </w:p>
        </w:tc>
        <w:tc>
          <w:tcPr>
            <w:tcW w:w="1707" w:type="dxa"/>
          </w:tcPr>
          <w:p w14:paraId="20A3B054" w14:textId="77777777" w:rsidR="00136839" w:rsidRPr="00136839" w:rsidRDefault="00136839" w:rsidP="009B153D">
            <w:pPr>
              <w:pStyle w:val="Style"/>
              <w:ind w:left="19"/>
              <w:jc w:val="center"/>
              <w:textAlignment w:val="baseline"/>
              <w:rPr>
                <w:rFonts w:asciiTheme="minorHAnsi" w:hAnsiTheme="minorHAnsi"/>
                <w:sz w:val="20"/>
                <w:szCs w:val="20"/>
              </w:rPr>
            </w:pPr>
            <w:r w:rsidRPr="00136839">
              <w:rPr>
                <w:rFonts w:asciiTheme="minorHAnsi" w:hAnsiTheme="minorHAnsi"/>
                <w:sz w:val="20"/>
                <w:szCs w:val="20"/>
              </w:rPr>
              <w:t xml:space="preserve">23.70 </w:t>
            </w:r>
          </w:p>
        </w:tc>
        <w:tc>
          <w:tcPr>
            <w:tcW w:w="2026" w:type="dxa"/>
          </w:tcPr>
          <w:p w14:paraId="42B0417C" w14:textId="77777777" w:rsidR="00136839" w:rsidRPr="00136839" w:rsidRDefault="00136839" w:rsidP="009B153D">
            <w:pPr>
              <w:pStyle w:val="Style"/>
              <w:ind w:left="24"/>
              <w:jc w:val="center"/>
              <w:textAlignment w:val="baseline"/>
              <w:rPr>
                <w:rFonts w:asciiTheme="minorHAnsi" w:hAnsiTheme="minorHAnsi"/>
                <w:sz w:val="20"/>
                <w:szCs w:val="20"/>
              </w:rPr>
            </w:pPr>
            <w:r w:rsidRPr="00136839">
              <w:rPr>
                <w:rFonts w:asciiTheme="minorHAnsi" w:hAnsiTheme="minorHAnsi"/>
                <w:sz w:val="20"/>
                <w:szCs w:val="20"/>
              </w:rPr>
              <w:t xml:space="preserve">24.02 </w:t>
            </w:r>
          </w:p>
        </w:tc>
      </w:tr>
      <w:tr w:rsidR="00136839" w:rsidRPr="00136839" w14:paraId="3A0AB4EC" w14:textId="77777777" w:rsidTr="006E7089">
        <w:trPr>
          <w:trHeight w:hRule="exact" w:val="429"/>
        </w:trPr>
        <w:tc>
          <w:tcPr>
            <w:tcW w:w="1790" w:type="dxa"/>
            <w:vMerge/>
          </w:tcPr>
          <w:p w14:paraId="1B05F85F" w14:textId="54ACD6C0" w:rsidR="00136839" w:rsidRPr="00136839" w:rsidRDefault="00136839" w:rsidP="009B153D">
            <w:pPr>
              <w:pStyle w:val="Style"/>
              <w:textAlignment w:val="baseline"/>
              <w:rPr>
                <w:rFonts w:asciiTheme="minorHAnsi" w:hAnsiTheme="minorHAnsi"/>
                <w:sz w:val="20"/>
                <w:szCs w:val="20"/>
              </w:rPr>
            </w:pPr>
          </w:p>
        </w:tc>
        <w:tc>
          <w:tcPr>
            <w:tcW w:w="1620" w:type="dxa"/>
          </w:tcPr>
          <w:p w14:paraId="4F1621E9" w14:textId="77777777" w:rsidR="00136839" w:rsidRPr="00136839" w:rsidRDefault="00136839" w:rsidP="009B153D">
            <w:pPr>
              <w:pStyle w:val="Style"/>
              <w:ind w:left="125"/>
              <w:textAlignment w:val="baseline"/>
              <w:rPr>
                <w:rFonts w:asciiTheme="minorHAnsi" w:hAnsiTheme="minorHAnsi"/>
                <w:sz w:val="20"/>
                <w:szCs w:val="20"/>
              </w:rPr>
            </w:pPr>
            <w:r w:rsidRPr="00136839">
              <w:rPr>
                <w:rFonts w:asciiTheme="minorHAnsi" w:hAnsiTheme="minorHAnsi"/>
                <w:sz w:val="20"/>
                <w:szCs w:val="20"/>
              </w:rPr>
              <w:t xml:space="preserve">SD </w:t>
            </w:r>
          </w:p>
        </w:tc>
        <w:tc>
          <w:tcPr>
            <w:tcW w:w="1667" w:type="dxa"/>
          </w:tcPr>
          <w:p w14:paraId="1F1FD9D6" w14:textId="77777777" w:rsidR="00136839" w:rsidRPr="00136839" w:rsidRDefault="00136839" w:rsidP="009B153D">
            <w:pPr>
              <w:pStyle w:val="Style"/>
              <w:ind w:left="14"/>
              <w:jc w:val="center"/>
              <w:textAlignment w:val="baseline"/>
              <w:rPr>
                <w:rFonts w:asciiTheme="minorHAnsi" w:hAnsiTheme="minorHAnsi"/>
                <w:sz w:val="20"/>
                <w:szCs w:val="20"/>
              </w:rPr>
            </w:pPr>
            <w:r w:rsidRPr="00136839">
              <w:rPr>
                <w:rFonts w:asciiTheme="minorHAnsi" w:hAnsiTheme="minorHAnsi"/>
                <w:sz w:val="20"/>
                <w:szCs w:val="20"/>
              </w:rPr>
              <w:t xml:space="preserve">4.187 </w:t>
            </w:r>
          </w:p>
        </w:tc>
        <w:tc>
          <w:tcPr>
            <w:tcW w:w="1707" w:type="dxa"/>
          </w:tcPr>
          <w:p w14:paraId="23F4B9B1" w14:textId="77777777" w:rsidR="00136839" w:rsidRPr="00136839" w:rsidRDefault="00136839" w:rsidP="009B153D">
            <w:pPr>
              <w:pStyle w:val="Style"/>
              <w:ind w:left="19"/>
              <w:jc w:val="center"/>
              <w:textAlignment w:val="baseline"/>
              <w:rPr>
                <w:rFonts w:asciiTheme="minorHAnsi" w:hAnsiTheme="minorHAnsi"/>
                <w:sz w:val="20"/>
                <w:szCs w:val="20"/>
              </w:rPr>
            </w:pPr>
            <w:r w:rsidRPr="00136839">
              <w:rPr>
                <w:rFonts w:asciiTheme="minorHAnsi" w:hAnsiTheme="minorHAnsi"/>
                <w:sz w:val="20"/>
                <w:szCs w:val="20"/>
              </w:rPr>
              <w:t xml:space="preserve">5.737 </w:t>
            </w:r>
          </w:p>
        </w:tc>
        <w:tc>
          <w:tcPr>
            <w:tcW w:w="2026" w:type="dxa"/>
          </w:tcPr>
          <w:p w14:paraId="7E8471B2" w14:textId="77777777" w:rsidR="00136839" w:rsidRPr="00136839" w:rsidRDefault="00136839" w:rsidP="009B153D">
            <w:pPr>
              <w:pStyle w:val="Style"/>
              <w:ind w:left="24"/>
              <w:jc w:val="center"/>
              <w:textAlignment w:val="baseline"/>
              <w:rPr>
                <w:rFonts w:asciiTheme="minorHAnsi" w:hAnsiTheme="minorHAnsi"/>
                <w:sz w:val="20"/>
                <w:szCs w:val="20"/>
              </w:rPr>
            </w:pPr>
            <w:r w:rsidRPr="00136839">
              <w:rPr>
                <w:rFonts w:asciiTheme="minorHAnsi" w:hAnsiTheme="minorHAnsi"/>
                <w:sz w:val="20"/>
                <w:szCs w:val="20"/>
              </w:rPr>
              <w:t xml:space="preserve">5.765 </w:t>
            </w:r>
          </w:p>
        </w:tc>
      </w:tr>
    </w:tbl>
    <w:p w14:paraId="4FD78344" w14:textId="5C137FC8" w:rsidR="00136839" w:rsidRDefault="00136839" w:rsidP="00DD0DC2">
      <w:pPr>
        <w:pStyle w:val="TableDescription"/>
        <w:rPr>
          <w:lang w:eastAsia="ja-JP"/>
        </w:rPr>
      </w:pPr>
      <w:r>
        <w:rPr>
          <w:lang w:eastAsia="ja-JP"/>
        </w:rPr>
        <w:t xml:space="preserve">Abbreviation: </w:t>
      </w:r>
      <w:r w:rsidRPr="006F5EFF">
        <w:rPr>
          <w:lang w:eastAsia="ja-JP"/>
        </w:rPr>
        <w:t>AUC</w:t>
      </w:r>
      <w:r>
        <w:rPr>
          <w:lang w:eastAsia="ja-JP"/>
        </w:rPr>
        <w:t xml:space="preserve"> </w:t>
      </w:r>
      <w:r w:rsidRPr="006F5EFF">
        <w:rPr>
          <w:lang w:eastAsia="ja-JP"/>
        </w:rPr>
        <w:t>=</w:t>
      </w:r>
      <w:r>
        <w:rPr>
          <w:lang w:eastAsia="ja-JP"/>
        </w:rPr>
        <w:t xml:space="preserve"> </w:t>
      </w:r>
      <w:r w:rsidRPr="006F5EFF">
        <w:rPr>
          <w:lang w:eastAsia="ja-JP"/>
        </w:rPr>
        <w:t>area under the plasma concentration-time curve; AUC</w:t>
      </w:r>
      <w:r w:rsidRPr="00136839">
        <w:rPr>
          <w:vertAlign w:val="subscript"/>
          <w:lang w:eastAsia="ja-JP"/>
        </w:rPr>
        <w:t>(O-t)</w:t>
      </w:r>
      <w:r>
        <w:rPr>
          <w:vertAlign w:val="subscript"/>
          <w:lang w:eastAsia="ja-JP"/>
        </w:rPr>
        <w:t xml:space="preserve"> </w:t>
      </w:r>
      <w:r w:rsidRPr="006F5EFF">
        <w:rPr>
          <w:lang w:eastAsia="ja-JP"/>
        </w:rPr>
        <w:t>=</w:t>
      </w:r>
      <w:r>
        <w:rPr>
          <w:lang w:eastAsia="ja-JP"/>
        </w:rPr>
        <w:t xml:space="preserve"> </w:t>
      </w:r>
      <w:r w:rsidRPr="006F5EFF">
        <w:rPr>
          <w:lang w:eastAsia="ja-JP"/>
        </w:rPr>
        <w:t xml:space="preserve">area under the plasma concentration-time curve from time </w:t>
      </w:r>
      <w:r>
        <w:rPr>
          <w:lang w:eastAsia="ja-JP"/>
        </w:rPr>
        <w:t xml:space="preserve">zero </w:t>
      </w:r>
      <w:r w:rsidRPr="006F5EFF">
        <w:rPr>
          <w:lang w:eastAsia="ja-JP"/>
        </w:rPr>
        <w:t>to time of  last quantifiable concentration; BKZ</w:t>
      </w:r>
      <w:r>
        <w:rPr>
          <w:lang w:eastAsia="ja-JP"/>
        </w:rPr>
        <w:t xml:space="preserve"> </w:t>
      </w:r>
      <w:r w:rsidRPr="006F5EFF">
        <w:rPr>
          <w:lang w:eastAsia="ja-JP"/>
        </w:rPr>
        <w:t>=</w:t>
      </w:r>
      <w:r>
        <w:rPr>
          <w:lang w:eastAsia="ja-JP"/>
        </w:rPr>
        <w:t xml:space="preserve"> </w:t>
      </w:r>
      <w:proofErr w:type="spellStart"/>
      <w:r w:rsidRPr="006F5EFF">
        <w:rPr>
          <w:lang w:eastAsia="ja-JP"/>
        </w:rPr>
        <w:t>bimekizumab</w:t>
      </w:r>
      <w:proofErr w:type="spellEnd"/>
      <w:r w:rsidRPr="006F5EFF">
        <w:rPr>
          <w:lang w:eastAsia="ja-JP"/>
        </w:rPr>
        <w:t>; BKZ-AI-</w:t>
      </w:r>
      <w:proofErr w:type="spellStart"/>
      <w:r w:rsidRPr="006F5EFF">
        <w:rPr>
          <w:lang w:eastAsia="ja-JP"/>
        </w:rPr>
        <w:t>lmL</w:t>
      </w:r>
      <w:proofErr w:type="spellEnd"/>
      <w:r w:rsidRPr="006F5EFF">
        <w:rPr>
          <w:lang w:eastAsia="ja-JP"/>
        </w:rPr>
        <w:t xml:space="preserve">=BKZ </w:t>
      </w:r>
      <w:r w:rsidR="001D2CFA">
        <w:rPr>
          <w:lang w:eastAsia="ja-JP"/>
        </w:rPr>
        <w:t>320 mg</w:t>
      </w:r>
      <w:r w:rsidRPr="006F5EFF">
        <w:rPr>
          <w:lang w:eastAsia="ja-JP"/>
        </w:rPr>
        <w:t xml:space="preserve"> administered using 2</w:t>
      </w:r>
      <w:r>
        <w:rPr>
          <w:lang w:eastAsia="ja-JP"/>
        </w:rPr>
        <w:t xml:space="preserve"> </w:t>
      </w:r>
      <w:r w:rsidRPr="006F5EFF">
        <w:rPr>
          <w:lang w:eastAsia="ja-JP"/>
        </w:rPr>
        <w:t>x</w:t>
      </w:r>
      <w:r>
        <w:rPr>
          <w:lang w:eastAsia="ja-JP"/>
        </w:rPr>
        <w:t xml:space="preserve"> </w:t>
      </w:r>
      <w:r w:rsidRPr="006F5EFF">
        <w:rPr>
          <w:lang w:eastAsia="ja-JP"/>
        </w:rPr>
        <w:t>l</w:t>
      </w:r>
      <w:r>
        <w:rPr>
          <w:lang w:eastAsia="ja-JP"/>
        </w:rPr>
        <w:t xml:space="preserve"> </w:t>
      </w:r>
      <w:r w:rsidRPr="006F5EFF">
        <w:rPr>
          <w:lang w:eastAsia="ja-JP"/>
        </w:rPr>
        <w:t>mL autoinjector; BKZ-SS-l</w:t>
      </w:r>
      <w:r>
        <w:rPr>
          <w:lang w:eastAsia="ja-JP"/>
        </w:rPr>
        <w:t xml:space="preserve"> </w:t>
      </w:r>
      <w:r w:rsidRPr="006F5EFF">
        <w:rPr>
          <w:lang w:eastAsia="ja-JP"/>
        </w:rPr>
        <w:t xml:space="preserve">mL=BKZ </w:t>
      </w:r>
      <w:r w:rsidR="001D2CFA">
        <w:rPr>
          <w:lang w:eastAsia="ja-JP"/>
        </w:rPr>
        <w:t>320 mg</w:t>
      </w:r>
      <w:r w:rsidRPr="006F5EFF">
        <w:rPr>
          <w:lang w:eastAsia="ja-JP"/>
        </w:rPr>
        <w:t xml:space="preserve"> administered using 2</w:t>
      </w:r>
      <w:r>
        <w:rPr>
          <w:lang w:eastAsia="ja-JP"/>
        </w:rPr>
        <w:t xml:space="preserve"> </w:t>
      </w:r>
      <w:r w:rsidRPr="006F5EFF">
        <w:rPr>
          <w:lang w:eastAsia="ja-JP"/>
        </w:rPr>
        <w:t>x</w:t>
      </w:r>
      <w:r>
        <w:rPr>
          <w:lang w:eastAsia="ja-JP"/>
        </w:rPr>
        <w:t xml:space="preserve"> </w:t>
      </w:r>
      <w:r w:rsidRPr="006F5EFF">
        <w:rPr>
          <w:lang w:eastAsia="ja-JP"/>
        </w:rPr>
        <w:t>l</w:t>
      </w:r>
      <w:r>
        <w:rPr>
          <w:lang w:eastAsia="ja-JP"/>
        </w:rPr>
        <w:t xml:space="preserve"> </w:t>
      </w:r>
      <w:r w:rsidRPr="006F5EFF">
        <w:rPr>
          <w:lang w:eastAsia="ja-JP"/>
        </w:rPr>
        <w:t>mL safety syringe; BKZ-T</w:t>
      </w:r>
      <w:r w:rsidR="001D2CFA">
        <w:rPr>
          <w:lang w:eastAsia="ja-JP"/>
        </w:rPr>
        <w:t xml:space="preserve">N = </w:t>
      </w:r>
      <w:r w:rsidRPr="006F5EFF">
        <w:rPr>
          <w:lang w:eastAsia="ja-JP"/>
        </w:rPr>
        <w:t xml:space="preserve">BKZ </w:t>
      </w:r>
      <w:r w:rsidR="001D2CFA">
        <w:rPr>
          <w:lang w:eastAsia="ja-JP"/>
        </w:rPr>
        <w:t>320 mg</w:t>
      </w:r>
      <w:r w:rsidRPr="006F5EFF">
        <w:rPr>
          <w:lang w:eastAsia="ja-JP"/>
        </w:rPr>
        <w:t xml:space="preserve"> administered using 2</w:t>
      </w:r>
      <w:r>
        <w:rPr>
          <w:lang w:eastAsia="ja-JP"/>
        </w:rPr>
        <w:t xml:space="preserve"> </w:t>
      </w:r>
      <w:r w:rsidRPr="006F5EFF">
        <w:rPr>
          <w:lang w:eastAsia="ja-JP"/>
        </w:rPr>
        <w:t>x</w:t>
      </w:r>
      <w:r>
        <w:rPr>
          <w:lang w:eastAsia="ja-JP"/>
        </w:rPr>
        <w:t xml:space="preserve"> </w:t>
      </w:r>
      <w:r w:rsidRPr="006F5EFF">
        <w:rPr>
          <w:lang w:eastAsia="ja-JP"/>
        </w:rPr>
        <w:t xml:space="preserve">1mL True North syringe; </w:t>
      </w:r>
      <w:proofErr w:type="spellStart"/>
      <w:r w:rsidRPr="006F5EFF">
        <w:rPr>
          <w:lang w:eastAsia="ja-JP"/>
        </w:rPr>
        <w:t>C</w:t>
      </w:r>
      <w:r w:rsidRPr="00136839">
        <w:rPr>
          <w:vertAlign w:val="subscript"/>
          <w:lang w:eastAsia="ja-JP"/>
        </w:rPr>
        <w:t>max</w:t>
      </w:r>
      <w:proofErr w:type="spellEnd"/>
      <w:r>
        <w:rPr>
          <w:lang w:eastAsia="ja-JP"/>
        </w:rPr>
        <w:t xml:space="preserve"> =</w:t>
      </w:r>
      <w:r w:rsidRPr="006F5EFF">
        <w:rPr>
          <w:lang w:eastAsia="ja-JP"/>
        </w:rPr>
        <w:t xml:space="preserve"> maximum observed plasma drug concentration; CV </w:t>
      </w:r>
      <w:r w:rsidR="00DD0DC2">
        <w:rPr>
          <w:lang w:eastAsia="ja-JP"/>
        </w:rPr>
        <w:t xml:space="preserve">= </w:t>
      </w:r>
      <w:r w:rsidRPr="006F5EFF">
        <w:rPr>
          <w:lang w:eastAsia="ja-JP"/>
        </w:rPr>
        <w:t xml:space="preserve">coefficient of variation; </w:t>
      </w:r>
      <w:r w:rsidRPr="006F5EFF">
        <w:rPr>
          <w:lang w:eastAsia="ja-JP"/>
        </w:rPr>
        <w:lastRenderedPageBreak/>
        <w:t>Geo=geometric; max=maximum; Mi</w:t>
      </w:r>
      <w:r w:rsidR="001D2CFA">
        <w:rPr>
          <w:lang w:eastAsia="ja-JP"/>
        </w:rPr>
        <w:t xml:space="preserve">n = </w:t>
      </w:r>
      <w:r w:rsidRPr="006F5EFF">
        <w:rPr>
          <w:lang w:eastAsia="ja-JP"/>
        </w:rPr>
        <w:t xml:space="preserve">minimum; SD=standard deviation; </w:t>
      </w:r>
      <w:proofErr w:type="spellStart"/>
      <w:r w:rsidRPr="006F5EFF">
        <w:rPr>
          <w:lang w:eastAsia="ja-JP"/>
        </w:rPr>
        <w:t>T</w:t>
      </w:r>
      <w:r w:rsidRPr="00136839">
        <w:rPr>
          <w:vertAlign w:val="subscript"/>
          <w:lang w:eastAsia="ja-JP"/>
        </w:rPr>
        <w:t>max</w:t>
      </w:r>
      <w:proofErr w:type="spellEnd"/>
      <w:r w:rsidRPr="006F5EFF">
        <w:rPr>
          <w:lang w:eastAsia="ja-JP"/>
        </w:rPr>
        <w:t xml:space="preserve">, time of observed </w:t>
      </w:r>
      <w:proofErr w:type="spellStart"/>
      <w:r w:rsidRPr="006F5EFF">
        <w:rPr>
          <w:lang w:eastAsia="ja-JP"/>
        </w:rPr>
        <w:t>C</w:t>
      </w:r>
      <w:r w:rsidRPr="00136839">
        <w:rPr>
          <w:vertAlign w:val="subscript"/>
          <w:lang w:eastAsia="ja-JP"/>
        </w:rPr>
        <w:t>max</w:t>
      </w:r>
      <w:proofErr w:type="spellEnd"/>
      <w:r w:rsidRPr="006F5EFF">
        <w:rPr>
          <w:lang w:eastAsia="ja-JP"/>
        </w:rPr>
        <w:t xml:space="preserve">; </w:t>
      </w:r>
      <w:r>
        <w:rPr>
          <w:lang w:eastAsia="ja-JP"/>
        </w:rPr>
        <w:t>t</w:t>
      </w:r>
      <w:r w:rsidRPr="00136839">
        <w:rPr>
          <w:vertAlign w:val="subscript"/>
          <w:lang w:eastAsia="ja-JP"/>
        </w:rPr>
        <w:t>1/2</w:t>
      </w:r>
      <w:r w:rsidRPr="006F5EFF">
        <w:rPr>
          <w:lang w:eastAsia="ja-JP"/>
        </w:rPr>
        <w:t xml:space="preserve"> apparent terminal half-life</w:t>
      </w:r>
      <w:r w:rsidR="00DD0DC2">
        <w:rPr>
          <w:lang w:eastAsia="ja-JP"/>
        </w:rPr>
        <w:t>.</w:t>
      </w:r>
    </w:p>
    <w:p w14:paraId="5A5BF977" w14:textId="79F53869" w:rsidR="00DD0DC2" w:rsidRDefault="00DD0DC2" w:rsidP="00DD0DC2">
      <w:pPr>
        <w:pStyle w:val="TableDescription"/>
        <w:rPr>
          <w:lang w:eastAsia="ja-JP"/>
        </w:rPr>
      </w:pPr>
      <w:r>
        <w:rPr>
          <w:lang w:eastAsia="ja-JP"/>
        </w:rPr>
        <w:t xml:space="preserve">Note: geometric means, standard deviations, and </w:t>
      </w:r>
      <w:r w:rsidRPr="006F5EFF">
        <w:rPr>
          <w:lang w:eastAsia="ja-JP"/>
        </w:rPr>
        <w:t>coefficient of variatio</w:t>
      </w:r>
      <w:r>
        <w:rPr>
          <w:lang w:eastAsia="ja-JP"/>
        </w:rPr>
        <w:t>ns were only calculated if at least two-thirds of the parameters were properly determined parameters. A data from 1 study participant in this group was excluded from the AUC, AUC(0-t), and t½ calculations due to missing data after Day 28.</w:t>
      </w:r>
    </w:p>
    <w:p w14:paraId="4F81FE18" w14:textId="0D1A7A1D" w:rsidR="00DD0DC2" w:rsidRDefault="00DD0DC2" w:rsidP="00DD0DC2">
      <w:pPr>
        <w:rPr>
          <w:lang w:eastAsia="ja-JP"/>
        </w:rPr>
      </w:pPr>
      <w:r>
        <w:rPr>
          <w:lang w:eastAsia="ja-JP"/>
        </w:rPr>
        <w:t>The Delegate noted that PK parameters were similar regardless of the method of administration.</w:t>
      </w:r>
    </w:p>
    <w:p w14:paraId="4BCB5013" w14:textId="165F3360" w:rsidR="00DD0DC2" w:rsidRDefault="00DD0DC2" w:rsidP="00DD0DC2">
      <w:pPr>
        <w:rPr>
          <w:lang w:eastAsia="ja-JP"/>
        </w:rPr>
      </w:pPr>
      <w:r>
        <w:rPr>
          <w:lang w:eastAsia="ja-JP"/>
        </w:rPr>
        <w:t xml:space="preserve">The PK parameters of the single </w:t>
      </w:r>
      <w:r w:rsidR="001D2CFA">
        <w:rPr>
          <w:lang w:eastAsia="ja-JP"/>
        </w:rPr>
        <w:t>320 mg</w:t>
      </w:r>
      <w:r>
        <w:rPr>
          <w:lang w:eastAsia="ja-JP"/>
        </w:rPr>
        <w:t xml:space="preserve"> </w:t>
      </w:r>
      <w:proofErr w:type="spellStart"/>
      <w:r>
        <w:rPr>
          <w:lang w:eastAsia="ja-JP"/>
        </w:rPr>
        <w:t>bimekizumab</w:t>
      </w:r>
      <w:proofErr w:type="spellEnd"/>
      <w:r>
        <w:rPr>
          <w:lang w:eastAsia="ja-JP"/>
        </w:rPr>
        <w:t xml:space="preserve"> dose via bimekizumab-SS-1 mL and bimekizumab-AI-1 mL, were compared to those via </w:t>
      </w:r>
      <w:proofErr w:type="spellStart"/>
      <w:r>
        <w:rPr>
          <w:lang w:eastAsia="ja-JP"/>
        </w:rPr>
        <w:t>bimekizumab</w:t>
      </w:r>
      <w:proofErr w:type="spellEnd"/>
      <w:r>
        <w:rPr>
          <w:lang w:eastAsia="ja-JP"/>
        </w:rPr>
        <w:t xml:space="preserve">-TN, as reference </w:t>
      </w:r>
      <w:r w:rsidR="00D416A0">
        <w:rPr>
          <w:lang w:eastAsia="ja-JP"/>
        </w:rPr>
        <w:t>(</w:t>
      </w:r>
      <w:r>
        <w:rPr>
          <w:lang w:eastAsia="ja-JP"/>
        </w:rPr>
        <w:t>that is relative bioequivalence wise</w:t>
      </w:r>
      <w:r w:rsidR="00D416A0">
        <w:rPr>
          <w:lang w:eastAsia="ja-JP"/>
        </w:rPr>
        <w:t>)</w:t>
      </w:r>
      <w:r>
        <w:rPr>
          <w:lang w:eastAsia="ja-JP"/>
        </w:rPr>
        <w:t xml:space="preserve"> as per </w:t>
      </w:r>
      <w:r>
        <w:rPr>
          <w:lang w:eastAsia="ja-JP"/>
        </w:rPr>
        <w:fldChar w:fldCharType="begin"/>
      </w:r>
      <w:r>
        <w:rPr>
          <w:lang w:eastAsia="ja-JP"/>
        </w:rPr>
        <w:instrText xml:space="preserve"> REF _Ref128647739 \h </w:instrText>
      </w:r>
      <w:r>
        <w:rPr>
          <w:lang w:eastAsia="ja-JP"/>
        </w:rPr>
      </w:r>
      <w:r>
        <w:rPr>
          <w:lang w:eastAsia="ja-JP"/>
        </w:rPr>
        <w:fldChar w:fldCharType="separate"/>
      </w:r>
      <w:r w:rsidR="00B54079" w:rsidRPr="00D416A0">
        <w:t xml:space="preserve">Table </w:t>
      </w:r>
      <w:r w:rsidR="00B54079">
        <w:rPr>
          <w:noProof/>
        </w:rPr>
        <w:t>8</w:t>
      </w:r>
      <w:r>
        <w:rPr>
          <w:lang w:eastAsia="ja-JP"/>
        </w:rPr>
        <w:fldChar w:fldCharType="end"/>
      </w:r>
      <w:r>
        <w:rPr>
          <w:lang w:eastAsia="ja-JP"/>
        </w:rPr>
        <w:t>.</w:t>
      </w:r>
    </w:p>
    <w:p w14:paraId="56C9E441" w14:textId="38473138" w:rsidR="00DD0DC2" w:rsidRDefault="00DD0DC2" w:rsidP="00D416A0">
      <w:pPr>
        <w:pStyle w:val="TableTitle"/>
      </w:pPr>
      <w:bookmarkStart w:id="59" w:name="_Ref128647739"/>
      <w:r w:rsidRPr="00D416A0">
        <w:t xml:space="preserve">Table </w:t>
      </w:r>
      <w:r w:rsidR="00172397">
        <w:fldChar w:fldCharType="begin"/>
      </w:r>
      <w:r w:rsidR="00172397">
        <w:instrText xml:space="preserve"> SEQ Table \* ARABIC </w:instrText>
      </w:r>
      <w:r w:rsidR="00172397">
        <w:fldChar w:fldCharType="separate"/>
      </w:r>
      <w:r w:rsidR="00B54079">
        <w:rPr>
          <w:noProof/>
        </w:rPr>
        <w:t>8</w:t>
      </w:r>
      <w:r w:rsidR="00172397">
        <w:rPr>
          <w:noProof/>
        </w:rPr>
        <w:fldChar w:fldCharType="end"/>
      </w:r>
      <w:bookmarkEnd w:id="59"/>
      <w:r>
        <w:t xml:space="preserve">: </w:t>
      </w:r>
      <w:r w:rsidR="005D3F5B">
        <w:t xml:space="preserve">Study UP0033 </w:t>
      </w:r>
      <w:r w:rsidRPr="00DD0DC2">
        <w:t>Statistical analysis of bioequivalence</w:t>
      </w:r>
    </w:p>
    <w:tbl>
      <w:tblPr>
        <w:tblW w:w="0" w:type="auto"/>
        <w:jc w:val="center"/>
        <w:tblLayout w:type="fixed"/>
        <w:tblCellMar>
          <w:left w:w="0" w:type="dxa"/>
          <w:right w:w="0" w:type="dxa"/>
        </w:tblCellMar>
        <w:tblLook w:val="0000" w:firstRow="0" w:lastRow="0" w:firstColumn="0" w:lastColumn="0" w:noHBand="0" w:noVBand="0"/>
      </w:tblPr>
      <w:tblGrid>
        <w:gridCol w:w="2512"/>
        <w:gridCol w:w="1080"/>
        <w:gridCol w:w="1980"/>
        <w:gridCol w:w="1548"/>
        <w:gridCol w:w="1062"/>
      </w:tblGrid>
      <w:tr w:rsidR="0006309E" w:rsidRPr="00DD0DC2" w14:paraId="7A55D630" w14:textId="77777777" w:rsidTr="006E7089">
        <w:trPr>
          <w:trHeight w:hRule="exact" w:val="326"/>
          <w:jc w:val="center"/>
        </w:trPr>
        <w:tc>
          <w:tcPr>
            <w:tcW w:w="2512" w:type="dxa"/>
            <w:vMerge w:val="restart"/>
            <w:tcBorders>
              <w:top w:val="single" w:sz="6" w:space="0" w:color="auto"/>
              <w:left w:val="single" w:sz="6" w:space="0" w:color="auto"/>
              <w:right w:val="single" w:sz="6" w:space="0" w:color="auto"/>
            </w:tcBorders>
            <w:vAlign w:val="center"/>
          </w:tcPr>
          <w:p w14:paraId="10DF5643" w14:textId="6A917C5D" w:rsidR="0006309E" w:rsidRPr="00DD0DC2" w:rsidRDefault="0006309E" w:rsidP="0006309E">
            <w:pPr>
              <w:pStyle w:val="Style"/>
              <w:jc w:val="center"/>
              <w:textAlignment w:val="baseline"/>
              <w:rPr>
                <w:sz w:val="20"/>
                <w:szCs w:val="20"/>
              </w:rPr>
            </w:pPr>
            <w:r w:rsidRPr="00DD0DC2">
              <w:rPr>
                <w:rFonts w:asciiTheme="minorHAnsi" w:hAnsiTheme="minorHAnsi"/>
                <w:b/>
                <w:sz w:val="20"/>
                <w:szCs w:val="20"/>
              </w:rPr>
              <w:t>Parameter (unit)</w:t>
            </w:r>
          </w:p>
        </w:tc>
        <w:tc>
          <w:tcPr>
            <w:tcW w:w="1080" w:type="dxa"/>
            <w:vMerge w:val="restart"/>
            <w:tcBorders>
              <w:top w:val="single" w:sz="6" w:space="0" w:color="auto"/>
              <w:left w:val="single" w:sz="6" w:space="0" w:color="auto"/>
              <w:right w:val="single" w:sz="6" w:space="0" w:color="auto"/>
            </w:tcBorders>
            <w:vAlign w:val="center"/>
          </w:tcPr>
          <w:p w14:paraId="62FCF106" w14:textId="37972774" w:rsidR="0006309E" w:rsidRPr="00DD0DC2" w:rsidRDefault="0006309E" w:rsidP="0006309E">
            <w:pPr>
              <w:pStyle w:val="Style"/>
              <w:jc w:val="center"/>
              <w:textAlignment w:val="baseline"/>
              <w:rPr>
                <w:sz w:val="20"/>
                <w:szCs w:val="20"/>
              </w:rPr>
            </w:pPr>
            <w:r w:rsidRPr="00DD0DC2">
              <w:rPr>
                <w:rFonts w:asciiTheme="minorHAnsi" w:hAnsiTheme="minorHAnsi"/>
                <w:b/>
                <w:sz w:val="20"/>
                <w:szCs w:val="20"/>
              </w:rPr>
              <w:t>Test</w:t>
            </w:r>
          </w:p>
        </w:tc>
        <w:tc>
          <w:tcPr>
            <w:tcW w:w="1980" w:type="dxa"/>
            <w:tcBorders>
              <w:top w:val="single" w:sz="6" w:space="0" w:color="auto"/>
              <w:left w:val="single" w:sz="6" w:space="0" w:color="auto"/>
              <w:bottom w:val="nil"/>
              <w:right w:val="single" w:sz="6" w:space="0" w:color="auto"/>
            </w:tcBorders>
            <w:vAlign w:val="center"/>
          </w:tcPr>
          <w:p w14:paraId="1CB76539" w14:textId="77777777" w:rsidR="0006309E" w:rsidRPr="00DD0DC2" w:rsidRDefault="0006309E" w:rsidP="009B153D">
            <w:pPr>
              <w:pStyle w:val="Style"/>
              <w:ind w:left="14"/>
              <w:jc w:val="center"/>
              <w:textAlignment w:val="baseline"/>
              <w:rPr>
                <w:rFonts w:asciiTheme="minorHAnsi" w:hAnsiTheme="minorHAnsi"/>
                <w:sz w:val="20"/>
                <w:szCs w:val="20"/>
              </w:rPr>
            </w:pPr>
            <w:r w:rsidRPr="00DD0DC2">
              <w:rPr>
                <w:rFonts w:asciiTheme="minorHAnsi" w:hAnsiTheme="minorHAnsi"/>
                <w:b/>
                <w:sz w:val="20"/>
                <w:szCs w:val="20"/>
              </w:rPr>
              <w:t xml:space="preserve">Reference </w:t>
            </w:r>
          </w:p>
        </w:tc>
        <w:tc>
          <w:tcPr>
            <w:tcW w:w="2610" w:type="dxa"/>
            <w:gridSpan w:val="2"/>
            <w:vMerge w:val="restart"/>
            <w:tcBorders>
              <w:top w:val="single" w:sz="6" w:space="0" w:color="auto"/>
              <w:left w:val="single" w:sz="6" w:space="0" w:color="auto"/>
              <w:right w:val="single" w:sz="6" w:space="0" w:color="auto"/>
            </w:tcBorders>
            <w:vAlign w:val="center"/>
          </w:tcPr>
          <w:p w14:paraId="682F517B" w14:textId="340A0B0C" w:rsidR="0006309E" w:rsidRPr="00DD0DC2" w:rsidRDefault="0006309E" w:rsidP="0006309E">
            <w:pPr>
              <w:pStyle w:val="Style"/>
              <w:jc w:val="center"/>
              <w:textAlignment w:val="baseline"/>
              <w:rPr>
                <w:rFonts w:asciiTheme="minorHAnsi" w:hAnsiTheme="minorHAnsi"/>
                <w:sz w:val="20"/>
                <w:szCs w:val="20"/>
              </w:rPr>
            </w:pPr>
            <w:r w:rsidRPr="0006309E">
              <w:rPr>
                <w:rFonts w:asciiTheme="minorHAnsi" w:hAnsiTheme="minorHAnsi"/>
                <w:b/>
                <w:bCs/>
                <w:sz w:val="20"/>
                <w:szCs w:val="20"/>
              </w:rPr>
              <w:t>T</w:t>
            </w:r>
            <w:r w:rsidRPr="00DD0DC2">
              <w:rPr>
                <w:rFonts w:asciiTheme="minorHAnsi" w:hAnsiTheme="minorHAnsi"/>
                <w:b/>
                <w:sz w:val="20"/>
                <w:szCs w:val="20"/>
              </w:rPr>
              <w:t xml:space="preserve">est </w:t>
            </w:r>
            <w:r w:rsidR="004858E7">
              <w:rPr>
                <w:rFonts w:asciiTheme="minorHAnsi" w:hAnsiTheme="minorHAnsi"/>
                <w:b/>
                <w:sz w:val="20"/>
                <w:szCs w:val="20"/>
              </w:rPr>
              <w:t>versus</w:t>
            </w:r>
            <w:r w:rsidRPr="00DD0DC2">
              <w:rPr>
                <w:rFonts w:asciiTheme="minorHAnsi" w:hAnsiTheme="minorHAnsi"/>
                <w:b/>
                <w:sz w:val="20"/>
                <w:szCs w:val="20"/>
              </w:rPr>
              <w:t xml:space="preserve"> Reference</w:t>
            </w:r>
          </w:p>
        </w:tc>
      </w:tr>
      <w:tr w:rsidR="0006309E" w:rsidRPr="00DD0DC2" w14:paraId="4BD9FDAC" w14:textId="77777777" w:rsidTr="006E7089">
        <w:trPr>
          <w:trHeight w:hRule="exact" w:val="307"/>
          <w:jc w:val="center"/>
        </w:trPr>
        <w:tc>
          <w:tcPr>
            <w:tcW w:w="2512" w:type="dxa"/>
            <w:vMerge/>
            <w:tcBorders>
              <w:left w:val="single" w:sz="6" w:space="0" w:color="auto"/>
              <w:right w:val="single" w:sz="6" w:space="0" w:color="auto"/>
            </w:tcBorders>
            <w:vAlign w:val="center"/>
          </w:tcPr>
          <w:p w14:paraId="4A06EEF7" w14:textId="58861D36" w:rsidR="0006309E" w:rsidRPr="00DD0DC2" w:rsidRDefault="0006309E" w:rsidP="00DD0DC2">
            <w:pPr>
              <w:pStyle w:val="Style"/>
              <w:ind w:left="115"/>
              <w:jc w:val="center"/>
              <w:textAlignment w:val="baseline"/>
              <w:rPr>
                <w:sz w:val="20"/>
                <w:szCs w:val="20"/>
              </w:rPr>
            </w:pPr>
          </w:p>
        </w:tc>
        <w:tc>
          <w:tcPr>
            <w:tcW w:w="1080" w:type="dxa"/>
            <w:vMerge/>
            <w:tcBorders>
              <w:left w:val="single" w:sz="6" w:space="0" w:color="auto"/>
              <w:bottom w:val="single" w:sz="6" w:space="0" w:color="auto"/>
              <w:right w:val="single" w:sz="6" w:space="0" w:color="auto"/>
            </w:tcBorders>
            <w:vAlign w:val="center"/>
          </w:tcPr>
          <w:p w14:paraId="070A5991" w14:textId="0DDA6704" w:rsidR="0006309E" w:rsidRPr="00DD0DC2" w:rsidRDefault="0006309E" w:rsidP="009B153D">
            <w:pPr>
              <w:pStyle w:val="Style"/>
              <w:ind w:left="14"/>
              <w:jc w:val="center"/>
              <w:textAlignment w:val="baseline"/>
              <w:rPr>
                <w:rFonts w:asciiTheme="minorHAnsi" w:hAnsiTheme="minorHAnsi"/>
                <w:sz w:val="20"/>
                <w:szCs w:val="20"/>
              </w:rPr>
            </w:pPr>
          </w:p>
        </w:tc>
        <w:tc>
          <w:tcPr>
            <w:tcW w:w="1980" w:type="dxa"/>
            <w:tcBorders>
              <w:top w:val="nil"/>
              <w:left w:val="single" w:sz="6" w:space="0" w:color="auto"/>
              <w:bottom w:val="single" w:sz="6" w:space="0" w:color="auto"/>
              <w:right w:val="single" w:sz="6" w:space="0" w:color="auto"/>
            </w:tcBorders>
            <w:vAlign w:val="center"/>
          </w:tcPr>
          <w:p w14:paraId="331ACF5E" w14:textId="21E2E206" w:rsidR="0006309E" w:rsidRPr="00DD0DC2" w:rsidRDefault="0006309E" w:rsidP="009B153D">
            <w:pPr>
              <w:pStyle w:val="Style"/>
              <w:ind w:left="14"/>
              <w:jc w:val="center"/>
              <w:textAlignment w:val="baseline"/>
              <w:rPr>
                <w:rFonts w:asciiTheme="minorHAnsi" w:hAnsiTheme="minorHAnsi"/>
                <w:sz w:val="20"/>
                <w:szCs w:val="20"/>
              </w:rPr>
            </w:pPr>
            <w:r w:rsidRPr="00DD0DC2">
              <w:rPr>
                <w:rFonts w:asciiTheme="minorHAnsi" w:hAnsiTheme="minorHAnsi"/>
                <w:b/>
                <w:sz w:val="20"/>
                <w:szCs w:val="20"/>
              </w:rPr>
              <w:t>BKZ-TN (n</w:t>
            </w:r>
            <w:r>
              <w:rPr>
                <w:rFonts w:asciiTheme="minorHAnsi" w:hAnsiTheme="minorHAnsi"/>
                <w:b/>
                <w:sz w:val="20"/>
                <w:szCs w:val="20"/>
              </w:rPr>
              <w:t xml:space="preserve"> </w:t>
            </w:r>
            <w:r w:rsidRPr="00DD0DC2">
              <w:rPr>
                <w:rFonts w:asciiTheme="minorHAnsi" w:hAnsiTheme="minorHAnsi"/>
                <w:b/>
                <w:sz w:val="20"/>
                <w:szCs w:val="20"/>
              </w:rPr>
              <w:t>=</w:t>
            </w:r>
            <w:r>
              <w:rPr>
                <w:rFonts w:asciiTheme="minorHAnsi" w:hAnsiTheme="minorHAnsi"/>
                <w:b/>
                <w:sz w:val="20"/>
                <w:szCs w:val="20"/>
              </w:rPr>
              <w:t xml:space="preserve"> </w:t>
            </w:r>
            <w:r w:rsidRPr="00DD0DC2">
              <w:rPr>
                <w:rFonts w:asciiTheme="minorHAnsi" w:hAnsiTheme="minorHAnsi"/>
                <w:b/>
                <w:sz w:val="20"/>
                <w:szCs w:val="20"/>
              </w:rPr>
              <w:t xml:space="preserve">63) </w:t>
            </w:r>
          </w:p>
        </w:tc>
        <w:tc>
          <w:tcPr>
            <w:tcW w:w="2610" w:type="dxa"/>
            <w:gridSpan w:val="2"/>
            <w:vMerge/>
            <w:tcBorders>
              <w:left w:val="single" w:sz="6" w:space="0" w:color="auto"/>
              <w:bottom w:val="single" w:sz="6" w:space="0" w:color="auto"/>
              <w:right w:val="single" w:sz="6" w:space="0" w:color="auto"/>
            </w:tcBorders>
            <w:vAlign w:val="center"/>
          </w:tcPr>
          <w:p w14:paraId="26920BC3" w14:textId="280DF0BF" w:rsidR="0006309E" w:rsidRPr="00DD0DC2" w:rsidRDefault="0006309E" w:rsidP="009B153D">
            <w:pPr>
              <w:pStyle w:val="Style"/>
              <w:ind w:left="34"/>
              <w:jc w:val="center"/>
              <w:textAlignment w:val="baseline"/>
              <w:rPr>
                <w:rFonts w:asciiTheme="minorHAnsi" w:hAnsiTheme="minorHAnsi"/>
                <w:sz w:val="20"/>
                <w:szCs w:val="20"/>
              </w:rPr>
            </w:pPr>
          </w:p>
        </w:tc>
      </w:tr>
      <w:tr w:rsidR="0006309E" w:rsidRPr="00DD0DC2" w14:paraId="298702C3" w14:textId="77777777" w:rsidTr="006E7089">
        <w:trPr>
          <w:trHeight w:val="1239"/>
          <w:jc w:val="center"/>
        </w:trPr>
        <w:tc>
          <w:tcPr>
            <w:tcW w:w="2512" w:type="dxa"/>
            <w:vMerge/>
            <w:tcBorders>
              <w:left w:val="single" w:sz="6" w:space="0" w:color="auto"/>
              <w:bottom w:val="nil"/>
              <w:right w:val="single" w:sz="6" w:space="0" w:color="auto"/>
            </w:tcBorders>
            <w:vAlign w:val="center"/>
          </w:tcPr>
          <w:p w14:paraId="04E5946B" w14:textId="00C8D065" w:rsidR="0006309E" w:rsidRPr="00DD0DC2" w:rsidRDefault="0006309E" w:rsidP="00DD0DC2">
            <w:pPr>
              <w:pStyle w:val="Style"/>
              <w:ind w:left="115"/>
              <w:jc w:val="center"/>
              <w:textAlignment w:val="baseline"/>
              <w:rPr>
                <w:sz w:val="20"/>
                <w:szCs w:val="20"/>
              </w:rPr>
            </w:pPr>
          </w:p>
        </w:tc>
        <w:tc>
          <w:tcPr>
            <w:tcW w:w="1080" w:type="dxa"/>
            <w:tcBorders>
              <w:top w:val="single" w:sz="6" w:space="0" w:color="auto"/>
              <w:left w:val="single" w:sz="6" w:space="0" w:color="auto"/>
              <w:bottom w:val="nil"/>
              <w:right w:val="single" w:sz="6" w:space="0" w:color="auto"/>
            </w:tcBorders>
            <w:vAlign w:val="center"/>
          </w:tcPr>
          <w:p w14:paraId="767B73AE" w14:textId="3A466B9A" w:rsidR="0006309E" w:rsidRPr="00DD0DC2" w:rsidRDefault="0006309E" w:rsidP="00DD0DC2">
            <w:pPr>
              <w:pStyle w:val="Style"/>
              <w:ind w:left="14"/>
              <w:jc w:val="center"/>
              <w:textAlignment w:val="baseline"/>
              <w:rPr>
                <w:rFonts w:asciiTheme="minorHAnsi" w:hAnsiTheme="minorHAnsi"/>
                <w:sz w:val="20"/>
                <w:szCs w:val="20"/>
              </w:rPr>
            </w:pPr>
            <w:r w:rsidRPr="00DD0DC2">
              <w:rPr>
                <w:rFonts w:asciiTheme="minorHAnsi" w:hAnsiTheme="minorHAnsi"/>
                <w:b/>
                <w:sz w:val="20"/>
                <w:szCs w:val="20"/>
              </w:rPr>
              <w:t xml:space="preserve">Geo </w:t>
            </w:r>
            <w:proofErr w:type="spellStart"/>
            <w:r w:rsidRPr="00DD0DC2">
              <w:rPr>
                <w:rFonts w:asciiTheme="minorHAnsi" w:hAnsiTheme="minorHAnsi"/>
                <w:b/>
                <w:sz w:val="20"/>
                <w:szCs w:val="20"/>
              </w:rPr>
              <w:t>LSMean</w:t>
            </w:r>
            <w:proofErr w:type="spellEnd"/>
          </w:p>
        </w:tc>
        <w:tc>
          <w:tcPr>
            <w:tcW w:w="1980" w:type="dxa"/>
            <w:tcBorders>
              <w:top w:val="single" w:sz="6" w:space="0" w:color="auto"/>
              <w:left w:val="single" w:sz="6" w:space="0" w:color="auto"/>
              <w:bottom w:val="nil"/>
              <w:right w:val="single" w:sz="6" w:space="0" w:color="auto"/>
            </w:tcBorders>
            <w:vAlign w:val="center"/>
          </w:tcPr>
          <w:p w14:paraId="7911DDDB" w14:textId="3A9AD5B4" w:rsidR="0006309E" w:rsidRPr="00DD0DC2" w:rsidRDefault="0006309E" w:rsidP="00DD0DC2">
            <w:pPr>
              <w:pStyle w:val="Style"/>
              <w:jc w:val="center"/>
              <w:textAlignment w:val="baseline"/>
              <w:rPr>
                <w:rFonts w:asciiTheme="minorHAnsi" w:hAnsiTheme="minorHAnsi"/>
                <w:sz w:val="20"/>
                <w:szCs w:val="20"/>
              </w:rPr>
            </w:pPr>
            <w:r>
              <w:rPr>
                <w:rFonts w:asciiTheme="minorHAnsi" w:hAnsiTheme="minorHAnsi"/>
                <w:sz w:val="20"/>
                <w:szCs w:val="20"/>
              </w:rPr>
              <w:t>G</w:t>
            </w:r>
            <w:r w:rsidRPr="00DD0DC2">
              <w:rPr>
                <w:rFonts w:asciiTheme="minorHAnsi" w:hAnsiTheme="minorHAnsi"/>
                <w:b/>
                <w:sz w:val="20"/>
                <w:szCs w:val="20"/>
              </w:rPr>
              <w:t xml:space="preserve">eo </w:t>
            </w:r>
            <w:proofErr w:type="spellStart"/>
            <w:r w:rsidRPr="00DD0DC2">
              <w:rPr>
                <w:rFonts w:asciiTheme="minorHAnsi" w:hAnsiTheme="minorHAnsi"/>
                <w:b/>
                <w:sz w:val="20"/>
                <w:szCs w:val="20"/>
              </w:rPr>
              <w:t>LSMean</w:t>
            </w:r>
            <w:proofErr w:type="spellEnd"/>
          </w:p>
        </w:tc>
        <w:tc>
          <w:tcPr>
            <w:tcW w:w="1548" w:type="dxa"/>
            <w:tcBorders>
              <w:top w:val="single" w:sz="6" w:space="0" w:color="auto"/>
              <w:left w:val="single" w:sz="6" w:space="0" w:color="auto"/>
              <w:bottom w:val="nil"/>
              <w:right w:val="single" w:sz="6" w:space="0" w:color="auto"/>
            </w:tcBorders>
            <w:vAlign w:val="center"/>
          </w:tcPr>
          <w:p w14:paraId="13FA415A" w14:textId="61051D4D" w:rsidR="0006309E" w:rsidRPr="00DD0DC2" w:rsidRDefault="0006309E" w:rsidP="00DD0DC2">
            <w:pPr>
              <w:pStyle w:val="Style"/>
              <w:ind w:left="43"/>
              <w:jc w:val="center"/>
              <w:textAlignment w:val="baseline"/>
              <w:rPr>
                <w:rFonts w:asciiTheme="minorHAnsi" w:hAnsiTheme="minorHAnsi"/>
                <w:sz w:val="20"/>
                <w:szCs w:val="20"/>
              </w:rPr>
            </w:pPr>
            <w:r w:rsidRPr="00DD0DC2">
              <w:rPr>
                <w:rFonts w:asciiTheme="minorHAnsi" w:hAnsiTheme="minorHAnsi"/>
                <w:b/>
                <w:sz w:val="20"/>
                <w:szCs w:val="20"/>
              </w:rPr>
              <w:t xml:space="preserve">Estimate </w:t>
            </w:r>
            <w:r w:rsidRPr="00DD0DC2">
              <w:rPr>
                <w:rFonts w:asciiTheme="minorHAnsi" w:eastAsia="Arial" w:hAnsiTheme="minorHAnsi" w:cs="Arial"/>
                <w:w w:val="115"/>
                <w:sz w:val="20"/>
                <w:szCs w:val="20"/>
              </w:rPr>
              <w:t xml:space="preserve">(%) </w:t>
            </w:r>
            <w:r w:rsidRPr="00DD0DC2">
              <w:rPr>
                <w:rFonts w:asciiTheme="minorHAnsi" w:hAnsiTheme="minorHAnsi"/>
                <w:b/>
                <w:sz w:val="20"/>
                <w:szCs w:val="20"/>
              </w:rPr>
              <w:t>of</w:t>
            </w:r>
          </w:p>
          <w:p w14:paraId="02A9DE55" w14:textId="1C41F4AF" w:rsidR="0006309E" w:rsidRPr="00DD0DC2" w:rsidRDefault="0006309E" w:rsidP="00DD0DC2">
            <w:pPr>
              <w:pStyle w:val="Style"/>
              <w:ind w:left="43"/>
              <w:jc w:val="center"/>
              <w:textAlignment w:val="baseline"/>
              <w:rPr>
                <w:rFonts w:asciiTheme="minorHAnsi" w:hAnsiTheme="minorHAnsi"/>
                <w:sz w:val="20"/>
                <w:szCs w:val="20"/>
              </w:rPr>
            </w:pPr>
            <w:r w:rsidRPr="00DD0DC2">
              <w:rPr>
                <w:rFonts w:asciiTheme="minorHAnsi" w:hAnsiTheme="minorHAnsi"/>
                <w:b/>
                <w:sz w:val="20"/>
                <w:szCs w:val="20"/>
              </w:rPr>
              <w:t xml:space="preserve">Geo </w:t>
            </w:r>
            <w:proofErr w:type="spellStart"/>
            <w:r w:rsidRPr="00DD0DC2">
              <w:rPr>
                <w:rFonts w:asciiTheme="minorHAnsi" w:hAnsiTheme="minorHAnsi"/>
                <w:b/>
                <w:sz w:val="20"/>
                <w:szCs w:val="20"/>
              </w:rPr>
              <w:t>LSMean</w:t>
            </w:r>
            <w:proofErr w:type="spellEnd"/>
          </w:p>
          <w:p w14:paraId="3D79204E" w14:textId="29548BA8" w:rsidR="0006309E" w:rsidRPr="00DD0DC2" w:rsidRDefault="0006309E" w:rsidP="00DD0DC2">
            <w:pPr>
              <w:pStyle w:val="Style"/>
              <w:ind w:left="43"/>
              <w:jc w:val="center"/>
              <w:textAlignment w:val="baseline"/>
              <w:rPr>
                <w:rFonts w:asciiTheme="minorHAnsi" w:hAnsiTheme="minorHAnsi"/>
                <w:sz w:val="20"/>
                <w:szCs w:val="20"/>
              </w:rPr>
            </w:pPr>
            <w:r w:rsidRPr="00DD0DC2">
              <w:rPr>
                <w:rFonts w:asciiTheme="minorHAnsi" w:hAnsiTheme="minorHAnsi"/>
                <w:b/>
                <w:sz w:val="20"/>
                <w:szCs w:val="20"/>
              </w:rPr>
              <w:t>ratio</w:t>
            </w:r>
          </w:p>
        </w:tc>
        <w:tc>
          <w:tcPr>
            <w:tcW w:w="1062" w:type="dxa"/>
            <w:tcBorders>
              <w:top w:val="single" w:sz="6" w:space="0" w:color="auto"/>
              <w:left w:val="single" w:sz="6" w:space="0" w:color="auto"/>
              <w:bottom w:val="nil"/>
              <w:right w:val="single" w:sz="6" w:space="0" w:color="auto"/>
            </w:tcBorders>
            <w:vAlign w:val="center"/>
          </w:tcPr>
          <w:p w14:paraId="6AD93304" w14:textId="7266AA41" w:rsidR="0006309E" w:rsidRPr="00DD0DC2" w:rsidRDefault="0006309E" w:rsidP="00DD0DC2">
            <w:pPr>
              <w:pStyle w:val="Style"/>
              <w:ind w:left="29"/>
              <w:jc w:val="center"/>
              <w:textAlignment w:val="baseline"/>
              <w:rPr>
                <w:rFonts w:asciiTheme="minorHAnsi" w:hAnsiTheme="minorHAnsi"/>
                <w:sz w:val="20"/>
                <w:szCs w:val="20"/>
              </w:rPr>
            </w:pPr>
            <w:r w:rsidRPr="00DD0DC2">
              <w:rPr>
                <w:rFonts w:asciiTheme="minorHAnsi" w:hAnsiTheme="minorHAnsi"/>
                <w:b/>
                <w:sz w:val="20"/>
                <w:szCs w:val="20"/>
              </w:rPr>
              <w:t>95%CI</w:t>
            </w:r>
          </w:p>
        </w:tc>
      </w:tr>
      <w:tr w:rsidR="00D416A0" w:rsidRPr="00DD0DC2" w14:paraId="68EA69F4" w14:textId="77777777" w:rsidTr="006E7089">
        <w:trPr>
          <w:trHeight w:hRule="exact" w:val="389"/>
          <w:jc w:val="center"/>
        </w:trPr>
        <w:tc>
          <w:tcPr>
            <w:tcW w:w="8182" w:type="dxa"/>
            <w:gridSpan w:val="5"/>
            <w:tcBorders>
              <w:top w:val="single" w:sz="6" w:space="0" w:color="auto"/>
              <w:left w:val="single" w:sz="6" w:space="0" w:color="auto"/>
              <w:bottom w:val="single" w:sz="6" w:space="0" w:color="auto"/>
              <w:right w:val="single" w:sz="6" w:space="0" w:color="auto"/>
            </w:tcBorders>
            <w:vAlign w:val="center"/>
          </w:tcPr>
          <w:p w14:paraId="70FE5AB3" w14:textId="7B25A849" w:rsidR="00D416A0" w:rsidRPr="00DD0DC2" w:rsidRDefault="00D416A0" w:rsidP="00D416A0">
            <w:pPr>
              <w:pStyle w:val="Style"/>
              <w:ind w:left="115"/>
              <w:textAlignment w:val="baseline"/>
              <w:rPr>
                <w:rFonts w:asciiTheme="minorHAnsi" w:hAnsiTheme="minorHAnsi"/>
                <w:sz w:val="20"/>
                <w:szCs w:val="20"/>
              </w:rPr>
            </w:pPr>
            <w:r w:rsidRPr="00DD0DC2">
              <w:rPr>
                <w:rFonts w:asciiTheme="minorHAnsi" w:hAnsiTheme="minorHAnsi"/>
                <w:b/>
                <w:sz w:val="20"/>
                <w:szCs w:val="20"/>
              </w:rPr>
              <w:t>BKZ-SS-l</w:t>
            </w:r>
            <w:r>
              <w:rPr>
                <w:rFonts w:asciiTheme="minorHAnsi" w:hAnsiTheme="minorHAnsi"/>
                <w:b/>
                <w:sz w:val="20"/>
                <w:szCs w:val="20"/>
              </w:rPr>
              <w:t xml:space="preserve"> </w:t>
            </w:r>
            <w:r w:rsidRPr="00DD0DC2">
              <w:rPr>
                <w:rFonts w:asciiTheme="minorHAnsi" w:hAnsiTheme="minorHAnsi"/>
                <w:b/>
                <w:sz w:val="20"/>
                <w:szCs w:val="20"/>
              </w:rPr>
              <w:t>mL (n</w:t>
            </w:r>
            <w:r>
              <w:rPr>
                <w:rFonts w:asciiTheme="minorHAnsi" w:hAnsiTheme="minorHAnsi"/>
                <w:b/>
                <w:sz w:val="20"/>
                <w:szCs w:val="20"/>
              </w:rPr>
              <w:t xml:space="preserve"> </w:t>
            </w:r>
            <w:r w:rsidRPr="00DD0DC2">
              <w:rPr>
                <w:rFonts w:asciiTheme="minorHAnsi" w:hAnsiTheme="minorHAnsi"/>
                <w:b/>
                <w:sz w:val="20"/>
                <w:szCs w:val="20"/>
              </w:rPr>
              <w:t>=</w:t>
            </w:r>
            <w:r>
              <w:rPr>
                <w:rFonts w:asciiTheme="minorHAnsi" w:hAnsiTheme="minorHAnsi"/>
                <w:b/>
                <w:sz w:val="20"/>
                <w:szCs w:val="20"/>
              </w:rPr>
              <w:t xml:space="preserve"> </w:t>
            </w:r>
            <w:r w:rsidRPr="00DD0DC2">
              <w:rPr>
                <w:rFonts w:asciiTheme="minorHAnsi" w:hAnsiTheme="minorHAnsi"/>
                <w:b/>
                <w:sz w:val="20"/>
                <w:szCs w:val="20"/>
              </w:rPr>
              <w:t>62)</w:t>
            </w:r>
          </w:p>
        </w:tc>
      </w:tr>
      <w:tr w:rsidR="00DD0DC2" w:rsidRPr="00DD0DC2" w14:paraId="798605B0" w14:textId="77777777" w:rsidTr="006E7089">
        <w:trPr>
          <w:trHeight w:hRule="exact" w:val="384"/>
          <w:jc w:val="center"/>
        </w:trPr>
        <w:tc>
          <w:tcPr>
            <w:tcW w:w="2512" w:type="dxa"/>
            <w:tcBorders>
              <w:top w:val="single" w:sz="6" w:space="0" w:color="auto"/>
              <w:left w:val="single" w:sz="6" w:space="0" w:color="auto"/>
              <w:bottom w:val="single" w:sz="6" w:space="0" w:color="auto"/>
              <w:right w:val="single" w:sz="6" w:space="0" w:color="auto"/>
            </w:tcBorders>
            <w:vAlign w:val="center"/>
          </w:tcPr>
          <w:p w14:paraId="03EFA942" w14:textId="77777777" w:rsidR="00DD0DC2" w:rsidRPr="00DD0DC2" w:rsidRDefault="00DD0DC2" w:rsidP="009B153D">
            <w:pPr>
              <w:pStyle w:val="Style"/>
              <w:ind w:left="115"/>
              <w:textAlignment w:val="baseline"/>
              <w:rPr>
                <w:rFonts w:asciiTheme="minorHAnsi" w:hAnsiTheme="minorHAnsi"/>
                <w:sz w:val="20"/>
                <w:szCs w:val="20"/>
              </w:rPr>
            </w:pPr>
            <w:r w:rsidRPr="00DD0DC2">
              <w:rPr>
                <w:rFonts w:asciiTheme="minorHAnsi" w:hAnsiTheme="minorHAnsi"/>
                <w:sz w:val="20"/>
                <w:szCs w:val="20"/>
              </w:rPr>
              <w:t>AUC</w:t>
            </w:r>
            <w:r w:rsidRPr="0006309E">
              <w:rPr>
                <w:rFonts w:asciiTheme="minorHAnsi" w:hAnsiTheme="minorHAnsi"/>
                <w:sz w:val="20"/>
                <w:szCs w:val="20"/>
                <w:vertAlign w:val="subscript"/>
              </w:rPr>
              <w:t>(0-t)</w:t>
            </w:r>
            <w:r w:rsidRPr="00DD0DC2">
              <w:rPr>
                <w:rFonts w:asciiTheme="minorHAnsi" w:hAnsiTheme="minorHAnsi"/>
                <w:sz w:val="20"/>
                <w:szCs w:val="20"/>
              </w:rPr>
              <w:t xml:space="preserve"> (day*µg/mL) </w:t>
            </w:r>
          </w:p>
        </w:tc>
        <w:tc>
          <w:tcPr>
            <w:tcW w:w="1080" w:type="dxa"/>
            <w:tcBorders>
              <w:top w:val="single" w:sz="6" w:space="0" w:color="auto"/>
              <w:left w:val="single" w:sz="6" w:space="0" w:color="auto"/>
              <w:bottom w:val="single" w:sz="6" w:space="0" w:color="auto"/>
              <w:right w:val="single" w:sz="6" w:space="0" w:color="auto"/>
            </w:tcBorders>
            <w:vAlign w:val="center"/>
          </w:tcPr>
          <w:p w14:paraId="1C3D06DF" w14:textId="77777777" w:rsidR="00DD0DC2" w:rsidRPr="00DD0DC2" w:rsidRDefault="00DD0DC2" w:rsidP="009B153D">
            <w:pPr>
              <w:pStyle w:val="Style"/>
              <w:ind w:left="14"/>
              <w:jc w:val="center"/>
              <w:textAlignment w:val="baseline"/>
              <w:rPr>
                <w:rFonts w:asciiTheme="minorHAnsi" w:hAnsiTheme="minorHAnsi"/>
                <w:sz w:val="20"/>
                <w:szCs w:val="20"/>
              </w:rPr>
            </w:pPr>
            <w:r w:rsidRPr="00DD0DC2">
              <w:rPr>
                <w:rFonts w:asciiTheme="minorHAnsi" w:hAnsiTheme="minorHAnsi"/>
                <w:sz w:val="20"/>
                <w:szCs w:val="20"/>
              </w:rPr>
              <w:t xml:space="preserve">1055 </w:t>
            </w:r>
          </w:p>
        </w:tc>
        <w:tc>
          <w:tcPr>
            <w:tcW w:w="1980" w:type="dxa"/>
            <w:tcBorders>
              <w:top w:val="single" w:sz="6" w:space="0" w:color="auto"/>
              <w:left w:val="single" w:sz="6" w:space="0" w:color="auto"/>
              <w:bottom w:val="single" w:sz="6" w:space="0" w:color="auto"/>
              <w:right w:val="single" w:sz="6" w:space="0" w:color="auto"/>
            </w:tcBorders>
            <w:vAlign w:val="center"/>
          </w:tcPr>
          <w:p w14:paraId="6C3D4DD5" w14:textId="77777777" w:rsidR="00DD0DC2" w:rsidRPr="00DD0DC2" w:rsidRDefault="00DD0DC2" w:rsidP="009B153D">
            <w:pPr>
              <w:pStyle w:val="Style"/>
              <w:ind w:left="14"/>
              <w:jc w:val="center"/>
              <w:textAlignment w:val="baseline"/>
              <w:rPr>
                <w:rFonts w:asciiTheme="minorHAnsi" w:hAnsiTheme="minorHAnsi"/>
                <w:sz w:val="20"/>
                <w:szCs w:val="20"/>
              </w:rPr>
            </w:pPr>
            <w:r w:rsidRPr="00DD0DC2">
              <w:rPr>
                <w:rFonts w:asciiTheme="minorHAnsi" w:hAnsiTheme="minorHAnsi"/>
                <w:sz w:val="20"/>
                <w:szCs w:val="20"/>
              </w:rPr>
              <w:t xml:space="preserve">1080 </w:t>
            </w:r>
          </w:p>
        </w:tc>
        <w:tc>
          <w:tcPr>
            <w:tcW w:w="1548" w:type="dxa"/>
            <w:tcBorders>
              <w:top w:val="single" w:sz="6" w:space="0" w:color="auto"/>
              <w:left w:val="single" w:sz="6" w:space="0" w:color="auto"/>
              <w:bottom w:val="single" w:sz="6" w:space="0" w:color="auto"/>
              <w:right w:val="single" w:sz="6" w:space="0" w:color="auto"/>
            </w:tcBorders>
            <w:vAlign w:val="center"/>
          </w:tcPr>
          <w:p w14:paraId="06DFE6C2" w14:textId="77777777" w:rsidR="00DD0DC2" w:rsidRPr="00DD0DC2" w:rsidRDefault="00DD0DC2" w:rsidP="009B153D">
            <w:pPr>
              <w:pStyle w:val="Style"/>
              <w:ind w:left="43"/>
              <w:jc w:val="center"/>
              <w:textAlignment w:val="baseline"/>
              <w:rPr>
                <w:rFonts w:asciiTheme="minorHAnsi" w:hAnsiTheme="minorHAnsi"/>
                <w:sz w:val="20"/>
                <w:szCs w:val="20"/>
              </w:rPr>
            </w:pPr>
            <w:r w:rsidRPr="00DD0DC2">
              <w:rPr>
                <w:rFonts w:asciiTheme="minorHAnsi" w:hAnsiTheme="minorHAnsi"/>
                <w:sz w:val="20"/>
                <w:szCs w:val="20"/>
              </w:rPr>
              <w:t xml:space="preserve">97.70 </w:t>
            </w:r>
          </w:p>
        </w:tc>
        <w:tc>
          <w:tcPr>
            <w:tcW w:w="1062" w:type="dxa"/>
            <w:tcBorders>
              <w:top w:val="single" w:sz="6" w:space="0" w:color="auto"/>
              <w:left w:val="single" w:sz="6" w:space="0" w:color="auto"/>
              <w:bottom w:val="single" w:sz="6" w:space="0" w:color="auto"/>
              <w:right w:val="single" w:sz="6" w:space="0" w:color="auto"/>
            </w:tcBorders>
            <w:vAlign w:val="center"/>
          </w:tcPr>
          <w:p w14:paraId="56A4560D" w14:textId="77777777" w:rsidR="00DD0DC2" w:rsidRPr="00DD0DC2" w:rsidRDefault="00DD0DC2" w:rsidP="009B153D">
            <w:pPr>
              <w:pStyle w:val="Style"/>
              <w:ind w:left="29"/>
              <w:jc w:val="center"/>
              <w:textAlignment w:val="baseline"/>
              <w:rPr>
                <w:rFonts w:asciiTheme="minorHAnsi" w:hAnsiTheme="minorHAnsi"/>
                <w:sz w:val="20"/>
                <w:szCs w:val="20"/>
              </w:rPr>
            </w:pPr>
            <w:r w:rsidRPr="00DD0DC2">
              <w:rPr>
                <w:rFonts w:asciiTheme="minorHAnsi" w:hAnsiTheme="minorHAnsi"/>
                <w:sz w:val="20"/>
                <w:szCs w:val="20"/>
              </w:rPr>
              <w:t xml:space="preserve">87.7, 108.9 </w:t>
            </w:r>
          </w:p>
        </w:tc>
      </w:tr>
      <w:tr w:rsidR="00DD0DC2" w:rsidRPr="00DD0DC2" w14:paraId="75AB1DA2" w14:textId="77777777" w:rsidTr="006E7089">
        <w:trPr>
          <w:trHeight w:hRule="exact" w:val="384"/>
          <w:jc w:val="center"/>
        </w:trPr>
        <w:tc>
          <w:tcPr>
            <w:tcW w:w="2512" w:type="dxa"/>
            <w:tcBorders>
              <w:top w:val="single" w:sz="6" w:space="0" w:color="auto"/>
              <w:left w:val="single" w:sz="6" w:space="0" w:color="auto"/>
              <w:bottom w:val="single" w:sz="6" w:space="0" w:color="auto"/>
              <w:right w:val="single" w:sz="6" w:space="0" w:color="auto"/>
            </w:tcBorders>
            <w:vAlign w:val="center"/>
          </w:tcPr>
          <w:p w14:paraId="25953064" w14:textId="77777777" w:rsidR="00DD0DC2" w:rsidRPr="00DD0DC2" w:rsidRDefault="00DD0DC2" w:rsidP="009B153D">
            <w:pPr>
              <w:pStyle w:val="Style"/>
              <w:ind w:left="115"/>
              <w:textAlignment w:val="baseline"/>
              <w:rPr>
                <w:rFonts w:asciiTheme="minorHAnsi" w:hAnsiTheme="minorHAnsi"/>
                <w:sz w:val="20"/>
                <w:szCs w:val="20"/>
              </w:rPr>
            </w:pPr>
            <w:r w:rsidRPr="00DD0DC2">
              <w:rPr>
                <w:rFonts w:asciiTheme="minorHAnsi" w:hAnsiTheme="minorHAnsi"/>
                <w:sz w:val="20"/>
                <w:szCs w:val="20"/>
              </w:rPr>
              <w:t xml:space="preserve">AUC (day*µg/mL) </w:t>
            </w:r>
          </w:p>
        </w:tc>
        <w:tc>
          <w:tcPr>
            <w:tcW w:w="1080" w:type="dxa"/>
            <w:tcBorders>
              <w:top w:val="single" w:sz="6" w:space="0" w:color="auto"/>
              <w:left w:val="single" w:sz="6" w:space="0" w:color="auto"/>
              <w:bottom w:val="single" w:sz="6" w:space="0" w:color="auto"/>
              <w:right w:val="single" w:sz="6" w:space="0" w:color="auto"/>
            </w:tcBorders>
            <w:vAlign w:val="center"/>
          </w:tcPr>
          <w:p w14:paraId="676E451E" w14:textId="77777777" w:rsidR="00DD0DC2" w:rsidRPr="00DD0DC2" w:rsidRDefault="00DD0DC2" w:rsidP="009B153D">
            <w:pPr>
              <w:pStyle w:val="Style"/>
              <w:ind w:left="14"/>
              <w:jc w:val="center"/>
              <w:textAlignment w:val="baseline"/>
              <w:rPr>
                <w:rFonts w:asciiTheme="minorHAnsi" w:hAnsiTheme="minorHAnsi"/>
                <w:sz w:val="20"/>
                <w:szCs w:val="20"/>
              </w:rPr>
            </w:pPr>
            <w:r w:rsidRPr="00DD0DC2">
              <w:rPr>
                <w:rFonts w:asciiTheme="minorHAnsi" w:hAnsiTheme="minorHAnsi"/>
                <w:sz w:val="20"/>
                <w:szCs w:val="20"/>
              </w:rPr>
              <w:t xml:space="preserve">1083 </w:t>
            </w:r>
          </w:p>
        </w:tc>
        <w:tc>
          <w:tcPr>
            <w:tcW w:w="1980" w:type="dxa"/>
            <w:tcBorders>
              <w:top w:val="single" w:sz="6" w:space="0" w:color="auto"/>
              <w:left w:val="single" w:sz="6" w:space="0" w:color="auto"/>
              <w:bottom w:val="single" w:sz="6" w:space="0" w:color="auto"/>
              <w:right w:val="single" w:sz="6" w:space="0" w:color="auto"/>
            </w:tcBorders>
            <w:vAlign w:val="center"/>
          </w:tcPr>
          <w:p w14:paraId="0C5E731B" w14:textId="77777777" w:rsidR="00DD0DC2" w:rsidRPr="00DD0DC2" w:rsidRDefault="00DD0DC2" w:rsidP="009B153D">
            <w:pPr>
              <w:pStyle w:val="Style"/>
              <w:ind w:left="14"/>
              <w:jc w:val="center"/>
              <w:textAlignment w:val="baseline"/>
              <w:rPr>
                <w:rFonts w:asciiTheme="minorHAnsi" w:hAnsiTheme="minorHAnsi"/>
                <w:sz w:val="20"/>
                <w:szCs w:val="20"/>
              </w:rPr>
            </w:pPr>
            <w:r w:rsidRPr="00DD0DC2">
              <w:rPr>
                <w:rFonts w:asciiTheme="minorHAnsi" w:hAnsiTheme="minorHAnsi"/>
                <w:sz w:val="20"/>
                <w:szCs w:val="20"/>
              </w:rPr>
              <w:t xml:space="preserve">1107 </w:t>
            </w:r>
          </w:p>
        </w:tc>
        <w:tc>
          <w:tcPr>
            <w:tcW w:w="1548" w:type="dxa"/>
            <w:tcBorders>
              <w:top w:val="single" w:sz="6" w:space="0" w:color="auto"/>
              <w:left w:val="single" w:sz="6" w:space="0" w:color="auto"/>
              <w:bottom w:val="single" w:sz="6" w:space="0" w:color="auto"/>
              <w:right w:val="single" w:sz="6" w:space="0" w:color="auto"/>
            </w:tcBorders>
            <w:vAlign w:val="center"/>
          </w:tcPr>
          <w:p w14:paraId="1E72992B" w14:textId="77777777" w:rsidR="00DD0DC2" w:rsidRPr="00DD0DC2" w:rsidRDefault="00DD0DC2" w:rsidP="009B153D">
            <w:pPr>
              <w:pStyle w:val="Style"/>
              <w:ind w:left="43"/>
              <w:jc w:val="center"/>
              <w:textAlignment w:val="baseline"/>
              <w:rPr>
                <w:rFonts w:asciiTheme="minorHAnsi" w:hAnsiTheme="minorHAnsi"/>
                <w:sz w:val="20"/>
                <w:szCs w:val="20"/>
              </w:rPr>
            </w:pPr>
            <w:r w:rsidRPr="00DD0DC2">
              <w:rPr>
                <w:rFonts w:asciiTheme="minorHAnsi" w:hAnsiTheme="minorHAnsi"/>
                <w:sz w:val="20"/>
                <w:szCs w:val="20"/>
              </w:rPr>
              <w:t xml:space="preserve">97.82 </w:t>
            </w:r>
          </w:p>
        </w:tc>
        <w:tc>
          <w:tcPr>
            <w:tcW w:w="1062" w:type="dxa"/>
            <w:tcBorders>
              <w:top w:val="single" w:sz="6" w:space="0" w:color="auto"/>
              <w:left w:val="single" w:sz="6" w:space="0" w:color="auto"/>
              <w:bottom w:val="single" w:sz="6" w:space="0" w:color="auto"/>
              <w:right w:val="single" w:sz="6" w:space="0" w:color="auto"/>
            </w:tcBorders>
            <w:vAlign w:val="center"/>
          </w:tcPr>
          <w:p w14:paraId="2D6ACF9A" w14:textId="77777777" w:rsidR="00DD0DC2" w:rsidRPr="00DD0DC2" w:rsidRDefault="00DD0DC2" w:rsidP="009B153D">
            <w:pPr>
              <w:pStyle w:val="Style"/>
              <w:ind w:left="29"/>
              <w:jc w:val="center"/>
              <w:textAlignment w:val="baseline"/>
              <w:rPr>
                <w:rFonts w:asciiTheme="minorHAnsi" w:hAnsiTheme="minorHAnsi"/>
                <w:sz w:val="20"/>
                <w:szCs w:val="20"/>
              </w:rPr>
            </w:pPr>
            <w:r w:rsidRPr="00DD0DC2">
              <w:rPr>
                <w:rFonts w:asciiTheme="minorHAnsi" w:hAnsiTheme="minorHAnsi"/>
                <w:sz w:val="20"/>
                <w:szCs w:val="20"/>
              </w:rPr>
              <w:t xml:space="preserve">87.7, 109.1 </w:t>
            </w:r>
          </w:p>
        </w:tc>
      </w:tr>
      <w:tr w:rsidR="00DD0DC2" w:rsidRPr="00DD0DC2" w14:paraId="37320563" w14:textId="77777777" w:rsidTr="006E7089">
        <w:trPr>
          <w:trHeight w:hRule="exact" w:val="379"/>
          <w:jc w:val="center"/>
        </w:trPr>
        <w:tc>
          <w:tcPr>
            <w:tcW w:w="2512" w:type="dxa"/>
            <w:tcBorders>
              <w:top w:val="single" w:sz="6" w:space="0" w:color="auto"/>
              <w:left w:val="single" w:sz="6" w:space="0" w:color="auto"/>
              <w:bottom w:val="single" w:sz="6" w:space="0" w:color="auto"/>
              <w:right w:val="single" w:sz="6" w:space="0" w:color="auto"/>
            </w:tcBorders>
            <w:vAlign w:val="center"/>
          </w:tcPr>
          <w:p w14:paraId="409CD620" w14:textId="77777777" w:rsidR="00DD0DC2" w:rsidRPr="00DD0DC2" w:rsidRDefault="00DD0DC2" w:rsidP="009B153D">
            <w:pPr>
              <w:pStyle w:val="Style"/>
              <w:ind w:left="115"/>
              <w:textAlignment w:val="baseline"/>
              <w:rPr>
                <w:rFonts w:asciiTheme="minorHAnsi" w:hAnsiTheme="minorHAnsi"/>
                <w:sz w:val="20"/>
                <w:szCs w:val="20"/>
              </w:rPr>
            </w:pPr>
            <w:proofErr w:type="spellStart"/>
            <w:r w:rsidRPr="00DD0DC2">
              <w:rPr>
                <w:rFonts w:asciiTheme="minorHAnsi" w:hAnsiTheme="minorHAnsi"/>
                <w:sz w:val="20"/>
                <w:szCs w:val="20"/>
              </w:rPr>
              <w:t>C</w:t>
            </w:r>
            <w:r w:rsidRPr="0006309E">
              <w:rPr>
                <w:rFonts w:asciiTheme="minorHAnsi" w:hAnsiTheme="minorHAnsi"/>
                <w:sz w:val="20"/>
                <w:szCs w:val="20"/>
                <w:vertAlign w:val="subscript"/>
              </w:rPr>
              <w:t>max</w:t>
            </w:r>
            <w:proofErr w:type="spellEnd"/>
            <w:r w:rsidRPr="00DD0DC2">
              <w:rPr>
                <w:rFonts w:asciiTheme="minorHAnsi" w:hAnsiTheme="minorHAnsi"/>
                <w:sz w:val="20"/>
                <w:szCs w:val="20"/>
              </w:rPr>
              <w:t xml:space="preserve"> (µg/mL) </w:t>
            </w:r>
          </w:p>
        </w:tc>
        <w:tc>
          <w:tcPr>
            <w:tcW w:w="1080" w:type="dxa"/>
            <w:tcBorders>
              <w:top w:val="single" w:sz="6" w:space="0" w:color="auto"/>
              <w:left w:val="single" w:sz="6" w:space="0" w:color="auto"/>
              <w:bottom w:val="single" w:sz="6" w:space="0" w:color="auto"/>
              <w:right w:val="single" w:sz="6" w:space="0" w:color="auto"/>
            </w:tcBorders>
            <w:vAlign w:val="center"/>
          </w:tcPr>
          <w:p w14:paraId="5BCF5048" w14:textId="77777777" w:rsidR="00DD0DC2" w:rsidRPr="00DD0DC2" w:rsidRDefault="00DD0DC2" w:rsidP="009B153D">
            <w:pPr>
              <w:pStyle w:val="Style"/>
              <w:ind w:left="14"/>
              <w:jc w:val="center"/>
              <w:textAlignment w:val="baseline"/>
              <w:rPr>
                <w:rFonts w:asciiTheme="minorHAnsi" w:hAnsiTheme="minorHAnsi"/>
                <w:sz w:val="20"/>
                <w:szCs w:val="20"/>
              </w:rPr>
            </w:pPr>
            <w:r w:rsidRPr="00DD0DC2">
              <w:rPr>
                <w:rFonts w:asciiTheme="minorHAnsi" w:hAnsiTheme="minorHAnsi"/>
                <w:sz w:val="20"/>
                <w:szCs w:val="20"/>
              </w:rPr>
              <w:t xml:space="preserve">30.10 </w:t>
            </w:r>
          </w:p>
        </w:tc>
        <w:tc>
          <w:tcPr>
            <w:tcW w:w="1980" w:type="dxa"/>
            <w:tcBorders>
              <w:top w:val="single" w:sz="6" w:space="0" w:color="auto"/>
              <w:left w:val="single" w:sz="6" w:space="0" w:color="auto"/>
              <w:bottom w:val="single" w:sz="6" w:space="0" w:color="auto"/>
              <w:right w:val="single" w:sz="6" w:space="0" w:color="auto"/>
            </w:tcBorders>
            <w:vAlign w:val="center"/>
          </w:tcPr>
          <w:p w14:paraId="3B47BF03" w14:textId="77777777" w:rsidR="00DD0DC2" w:rsidRPr="00DD0DC2" w:rsidRDefault="00DD0DC2" w:rsidP="009B153D">
            <w:pPr>
              <w:pStyle w:val="Style"/>
              <w:ind w:left="14"/>
              <w:jc w:val="center"/>
              <w:textAlignment w:val="baseline"/>
              <w:rPr>
                <w:rFonts w:asciiTheme="minorHAnsi" w:hAnsiTheme="minorHAnsi"/>
                <w:sz w:val="20"/>
                <w:szCs w:val="20"/>
              </w:rPr>
            </w:pPr>
            <w:r w:rsidRPr="00DD0DC2">
              <w:rPr>
                <w:rFonts w:asciiTheme="minorHAnsi" w:hAnsiTheme="minorHAnsi"/>
                <w:sz w:val="20"/>
                <w:szCs w:val="20"/>
              </w:rPr>
              <w:t xml:space="preserve">31.18 </w:t>
            </w:r>
          </w:p>
        </w:tc>
        <w:tc>
          <w:tcPr>
            <w:tcW w:w="1548" w:type="dxa"/>
            <w:tcBorders>
              <w:top w:val="single" w:sz="6" w:space="0" w:color="auto"/>
              <w:left w:val="single" w:sz="6" w:space="0" w:color="auto"/>
              <w:bottom w:val="single" w:sz="6" w:space="0" w:color="auto"/>
              <w:right w:val="single" w:sz="6" w:space="0" w:color="auto"/>
            </w:tcBorders>
            <w:vAlign w:val="center"/>
          </w:tcPr>
          <w:p w14:paraId="4A779C4C" w14:textId="77777777" w:rsidR="00DD0DC2" w:rsidRPr="00DD0DC2" w:rsidRDefault="00DD0DC2" w:rsidP="009B153D">
            <w:pPr>
              <w:pStyle w:val="Style"/>
              <w:ind w:left="43"/>
              <w:jc w:val="center"/>
              <w:textAlignment w:val="baseline"/>
              <w:rPr>
                <w:rFonts w:asciiTheme="minorHAnsi" w:hAnsiTheme="minorHAnsi"/>
                <w:sz w:val="20"/>
                <w:szCs w:val="20"/>
              </w:rPr>
            </w:pPr>
            <w:r w:rsidRPr="00DD0DC2">
              <w:rPr>
                <w:rFonts w:asciiTheme="minorHAnsi" w:hAnsiTheme="minorHAnsi"/>
                <w:sz w:val="20"/>
                <w:szCs w:val="20"/>
              </w:rPr>
              <w:t xml:space="preserve">96.53 </w:t>
            </w:r>
          </w:p>
        </w:tc>
        <w:tc>
          <w:tcPr>
            <w:tcW w:w="1062" w:type="dxa"/>
            <w:tcBorders>
              <w:top w:val="single" w:sz="6" w:space="0" w:color="auto"/>
              <w:left w:val="single" w:sz="6" w:space="0" w:color="auto"/>
              <w:bottom w:val="single" w:sz="6" w:space="0" w:color="auto"/>
              <w:right w:val="single" w:sz="6" w:space="0" w:color="auto"/>
            </w:tcBorders>
            <w:vAlign w:val="center"/>
          </w:tcPr>
          <w:p w14:paraId="69B3F104" w14:textId="77777777" w:rsidR="00DD0DC2" w:rsidRPr="00DD0DC2" w:rsidRDefault="00DD0DC2" w:rsidP="009B153D">
            <w:pPr>
              <w:pStyle w:val="Style"/>
              <w:ind w:left="29"/>
              <w:jc w:val="center"/>
              <w:textAlignment w:val="baseline"/>
              <w:rPr>
                <w:rFonts w:asciiTheme="minorHAnsi" w:hAnsiTheme="minorHAnsi"/>
                <w:sz w:val="20"/>
                <w:szCs w:val="20"/>
              </w:rPr>
            </w:pPr>
            <w:r w:rsidRPr="00DD0DC2">
              <w:rPr>
                <w:rFonts w:asciiTheme="minorHAnsi" w:hAnsiTheme="minorHAnsi"/>
                <w:sz w:val="20"/>
                <w:szCs w:val="20"/>
              </w:rPr>
              <w:t xml:space="preserve">87.3, 106.8 </w:t>
            </w:r>
          </w:p>
        </w:tc>
      </w:tr>
      <w:tr w:rsidR="00D416A0" w:rsidRPr="00DD0DC2" w14:paraId="4C6C0A13" w14:textId="77777777" w:rsidTr="006E7089">
        <w:trPr>
          <w:trHeight w:hRule="exact" w:val="389"/>
          <w:jc w:val="center"/>
        </w:trPr>
        <w:tc>
          <w:tcPr>
            <w:tcW w:w="8182" w:type="dxa"/>
            <w:gridSpan w:val="5"/>
            <w:tcBorders>
              <w:top w:val="single" w:sz="6" w:space="0" w:color="auto"/>
              <w:left w:val="single" w:sz="6" w:space="0" w:color="auto"/>
              <w:bottom w:val="single" w:sz="6" w:space="0" w:color="auto"/>
              <w:right w:val="single" w:sz="6" w:space="0" w:color="auto"/>
            </w:tcBorders>
            <w:vAlign w:val="center"/>
          </w:tcPr>
          <w:p w14:paraId="28011414" w14:textId="32DFE013" w:rsidR="00D416A0" w:rsidRPr="00DD0DC2" w:rsidRDefault="00D416A0" w:rsidP="00D416A0">
            <w:pPr>
              <w:pStyle w:val="Style"/>
              <w:ind w:left="115"/>
              <w:textAlignment w:val="baseline"/>
              <w:rPr>
                <w:rFonts w:asciiTheme="minorHAnsi" w:hAnsiTheme="minorHAnsi"/>
                <w:sz w:val="20"/>
                <w:szCs w:val="20"/>
              </w:rPr>
            </w:pPr>
            <w:r w:rsidRPr="00DD0DC2">
              <w:rPr>
                <w:rFonts w:asciiTheme="minorHAnsi" w:hAnsiTheme="minorHAnsi"/>
                <w:b/>
                <w:sz w:val="20"/>
                <w:szCs w:val="20"/>
              </w:rPr>
              <w:t>BKZ-AI-l</w:t>
            </w:r>
            <w:r>
              <w:rPr>
                <w:rFonts w:asciiTheme="minorHAnsi" w:hAnsiTheme="minorHAnsi"/>
                <w:b/>
                <w:sz w:val="20"/>
                <w:szCs w:val="20"/>
              </w:rPr>
              <w:t xml:space="preserve"> </w:t>
            </w:r>
            <w:r w:rsidRPr="00DD0DC2">
              <w:rPr>
                <w:rFonts w:asciiTheme="minorHAnsi" w:hAnsiTheme="minorHAnsi"/>
                <w:b/>
                <w:sz w:val="20"/>
                <w:szCs w:val="20"/>
              </w:rPr>
              <w:t>mL (n</w:t>
            </w:r>
            <w:r>
              <w:rPr>
                <w:rFonts w:asciiTheme="minorHAnsi" w:hAnsiTheme="minorHAnsi"/>
                <w:b/>
                <w:sz w:val="20"/>
                <w:szCs w:val="20"/>
              </w:rPr>
              <w:t xml:space="preserve"> </w:t>
            </w:r>
            <w:r w:rsidRPr="00DD0DC2">
              <w:rPr>
                <w:rFonts w:asciiTheme="minorHAnsi" w:hAnsiTheme="minorHAnsi"/>
                <w:b/>
                <w:sz w:val="20"/>
                <w:szCs w:val="20"/>
              </w:rPr>
              <w:t>=</w:t>
            </w:r>
            <w:r>
              <w:rPr>
                <w:rFonts w:asciiTheme="minorHAnsi" w:hAnsiTheme="minorHAnsi"/>
                <w:b/>
                <w:sz w:val="20"/>
                <w:szCs w:val="20"/>
              </w:rPr>
              <w:t xml:space="preserve"> </w:t>
            </w:r>
            <w:r w:rsidRPr="00DD0DC2">
              <w:rPr>
                <w:rFonts w:asciiTheme="minorHAnsi" w:hAnsiTheme="minorHAnsi"/>
                <w:b/>
                <w:sz w:val="20"/>
                <w:szCs w:val="20"/>
              </w:rPr>
              <w:t>63)</w:t>
            </w:r>
          </w:p>
        </w:tc>
      </w:tr>
      <w:tr w:rsidR="00DD0DC2" w:rsidRPr="00DD0DC2" w14:paraId="5B04FC6E" w14:textId="77777777" w:rsidTr="006E7089">
        <w:trPr>
          <w:trHeight w:hRule="exact" w:val="384"/>
          <w:jc w:val="center"/>
        </w:trPr>
        <w:tc>
          <w:tcPr>
            <w:tcW w:w="2512" w:type="dxa"/>
            <w:tcBorders>
              <w:top w:val="single" w:sz="6" w:space="0" w:color="auto"/>
              <w:left w:val="single" w:sz="6" w:space="0" w:color="auto"/>
              <w:bottom w:val="single" w:sz="6" w:space="0" w:color="auto"/>
              <w:right w:val="single" w:sz="6" w:space="0" w:color="auto"/>
            </w:tcBorders>
            <w:vAlign w:val="center"/>
          </w:tcPr>
          <w:p w14:paraId="67CB4754" w14:textId="77777777" w:rsidR="00DD0DC2" w:rsidRPr="00DD0DC2" w:rsidRDefault="00DD0DC2" w:rsidP="009B153D">
            <w:pPr>
              <w:pStyle w:val="Style"/>
              <w:ind w:left="115"/>
              <w:textAlignment w:val="baseline"/>
              <w:rPr>
                <w:rFonts w:asciiTheme="minorHAnsi" w:hAnsiTheme="minorHAnsi"/>
                <w:sz w:val="20"/>
                <w:szCs w:val="20"/>
              </w:rPr>
            </w:pPr>
            <w:r w:rsidRPr="00DD0DC2">
              <w:rPr>
                <w:rFonts w:asciiTheme="minorHAnsi" w:hAnsiTheme="minorHAnsi"/>
                <w:sz w:val="20"/>
                <w:szCs w:val="20"/>
              </w:rPr>
              <w:t>AUC</w:t>
            </w:r>
            <w:r w:rsidRPr="0006309E">
              <w:rPr>
                <w:rFonts w:asciiTheme="minorHAnsi" w:hAnsiTheme="minorHAnsi"/>
                <w:sz w:val="20"/>
                <w:szCs w:val="20"/>
                <w:vertAlign w:val="subscript"/>
              </w:rPr>
              <w:t>(0-t)</w:t>
            </w:r>
            <w:r w:rsidRPr="00DD0DC2">
              <w:rPr>
                <w:rFonts w:asciiTheme="minorHAnsi" w:hAnsiTheme="minorHAnsi"/>
                <w:sz w:val="20"/>
                <w:szCs w:val="20"/>
              </w:rPr>
              <w:t xml:space="preserve"> (day*µg/mL) </w:t>
            </w:r>
          </w:p>
        </w:tc>
        <w:tc>
          <w:tcPr>
            <w:tcW w:w="1080" w:type="dxa"/>
            <w:tcBorders>
              <w:top w:val="single" w:sz="6" w:space="0" w:color="auto"/>
              <w:left w:val="single" w:sz="6" w:space="0" w:color="auto"/>
              <w:bottom w:val="single" w:sz="6" w:space="0" w:color="auto"/>
              <w:right w:val="single" w:sz="6" w:space="0" w:color="auto"/>
            </w:tcBorders>
            <w:vAlign w:val="center"/>
          </w:tcPr>
          <w:p w14:paraId="7C7C45D7" w14:textId="77777777" w:rsidR="00DD0DC2" w:rsidRPr="00DD0DC2" w:rsidRDefault="00DD0DC2" w:rsidP="009B153D">
            <w:pPr>
              <w:pStyle w:val="Style"/>
              <w:ind w:left="14"/>
              <w:jc w:val="center"/>
              <w:textAlignment w:val="baseline"/>
              <w:rPr>
                <w:rFonts w:asciiTheme="minorHAnsi" w:hAnsiTheme="minorHAnsi"/>
                <w:sz w:val="20"/>
                <w:szCs w:val="20"/>
              </w:rPr>
            </w:pPr>
            <w:r w:rsidRPr="00DD0DC2">
              <w:rPr>
                <w:rFonts w:asciiTheme="minorHAnsi" w:hAnsiTheme="minorHAnsi"/>
                <w:sz w:val="20"/>
                <w:szCs w:val="20"/>
              </w:rPr>
              <w:t xml:space="preserve">1098 </w:t>
            </w:r>
          </w:p>
        </w:tc>
        <w:tc>
          <w:tcPr>
            <w:tcW w:w="1980" w:type="dxa"/>
            <w:tcBorders>
              <w:top w:val="single" w:sz="6" w:space="0" w:color="auto"/>
              <w:left w:val="single" w:sz="6" w:space="0" w:color="auto"/>
              <w:bottom w:val="single" w:sz="6" w:space="0" w:color="auto"/>
              <w:right w:val="single" w:sz="6" w:space="0" w:color="auto"/>
            </w:tcBorders>
            <w:vAlign w:val="center"/>
          </w:tcPr>
          <w:p w14:paraId="469051A0" w14:textId="77777777" w:rsidR="00DD0DC2" w:rsidRPr="00DD0DC2" w:rsidRDefault="00DD0DC2" w:rsidP="009B153D">
            <w:pPr>
              <w:pStyle w:val="Style"/>
              <w:ind w:left="14"/>
              <w:jc w:val="center"/>
              <w:textAlignment w:val="baseline"/>
              <w:rPr>
                <w:rFonts w:asciiTheme="minorHAnsi" w:hAnsiTheme="minorHAnsi"/>
                <w:sz w:val="20"/>
                <w:szCs w:val="20"/>
              </w:rPr>
            </w:pPr>
            <w:r w:rsidRPr="00DD0DC2">
              <w:rPr>
                <w:rFonts w:asciiTheme="minorHAnsi" w:hAnsiTheme="minorHAnsi"/>
                <w:sz w:val="20"/>
                <w:szCs w:val="20"/>
              </w:rPr>
              <w:t xml:space="preserve">1080 </w:t>
            </w:r>
          </w:p>
        </w:tc>
        <w:tc>
          <w:tcPr>
            <w:tcW w:w="1548" w:type="dxa"/>
            <w:tcBorders>
              <w:top w:val="single" w:sz="6" w:space="0" w:color="auto"/>
              <w:left w:val="single" w:sz="6" w:space="0" w:color="auto"/>
              <w:bottom w:val="single" w:sz="6" w:space="0" w:color="auto"/>
              <w:right w:val="single" w:sz="6" w:space="0" w:color="auto"/>
            </w:tcBorders>
            <w:vAlign w:val="center"/>
          </w:tcPr>
          <w:p w14:paraId="29983F2B" w14:textId="77777777" w:rsidR="00DD0DC2" w:rsidRPr="00DD0DC2" w:rsidRDefault="00DD0DC2" w:rsidP="009B153D">
            <w:pPr>
              <w:pStyle w:val="Style"/>
              <w:ind w:left="43"/>
              <w:jc w:val="center"/>
              <w:textAlignment w:val="baseline"/>
              <w:rPr>
                <w:rFonts w:asciiTheme="minorHAnsi" w:hAnsiTheme="minorHAnsi"/>
                <w:sz w:val="20"/>
                <w:szCs w:val="20"/>
              </w:rPr>
            </w:pPr>
            <w:r w:rsidRPr="00DD0DC2">
              <w:rPr>
                <w:rFonts w:asciiTheme="minorHAnsi" w:hAnsiTheme="minorHAnsi"/>
                <w:sz w:val="20"/>
                <w:szCs w:val="20"/>
              </w:rPr>
              <w:t xml:space="preserve">101.7 </w:t>
            </w:r>
          </w:p>
        </w:tc>
        <w:tc>
          <w:tcPr>
            <w:tcW w:w="1062" w:type="dxa"/>
            <w:tcBorders>
              <w:top w:val="single" w:sz="6" w:space="0" w:color="auto"/>
              <w:left w:val="single" w:sz="6" w:space="0" w:color="auto"/>
              <w:bottom w:val="single" w:sz="6" w:space="0" w:color="auto"/>
              <w:right w:val="single" w:sz="6" w:space="0" w:color="auto"/>
            </w:tcBorders>
            <w:vAlign w:val="center"/>
          </w:tcPr>
          <w:p w14:paraId="50BC1881" w14:textId="77777777" w:rsidR="00DD0DC2" w:rsidRPr="00DD0DC2" w:rsidRDefault="00DD0DC2" w:rsidP="009B153D">
            <w:pPr>
              <w:pStyle w:val="Style"/>
              <w:ind w:left="29"/>
              <w:jc w:val="center"/>
              <w:textAlignment w:val="baseline"/>
              <w:rPr>
                <w:rFonts w:asciiTheme="minorHAnsi" w:hAnsiTheme="minorHAnsi"/>
                <w:sz w:val="20"/>
                <w:szCs w:val="20"/>
              </w:rPr>
            </w:pPr>
            <w:r w:rsidRPr="00DD0DC2">
              <w:rPr>
                <w:rFonts w:asciiTheme="minorHAnsi" w:hAnsiTheme="minorHAnsi"/>
                <w:sz w:val="20"/>
                <w:szCs w:val="20"/>
              </w:rPr>
              <w:t xml:space="preserve">91.6, 113.0 </w:t>
            </w:r>
          </w:p>
        </w:tc>
      </w:tr>
      <w:tr w:rsidR="00DD0DC2" w:rsidRPr="00DD0DC2" w14:paraId="2052508D" w14:textId="77777777" w:rsidTr="006E7089">
        <w:trPr>
          <w:trHeight w:hRule="exact" w:val="384"/>
          <w:jc w:val="center"/>
        </w:trPr>
        <w:tc>
          <w:tcPr>
            <w:tcW w:w="2512" w:type="dxa"/>
            <w:tcBorders>
              <w:top w:val="single" w:sz="6" w:space="0" w:color="auto"/>
              <w:left w:val="single" w:sz="6" w:space="0" w:color="auto"/>
              <w:bottom w:val="single" w:sz="6" w:space="0" w:color="auto"/>
              <w:right w:val="single" w:sz="6" w:space="0" w:color="auto"/>
            </w:tcBorders>
            <w:vAlign w:val="center"/>
          </w:tcPr>
          <w:p w14:paraId="6954F38E" w14:textId="77777777" w:rsidR="00DD0DC2" w:rsidRPr="00DD0DC2" w:rsidRDefault="00DD0DC2" w:rsidP="009B153D">
            <w:pPr>
              <w:pStyle w:val="Style"/>
              <w:ind w:left="115"/>
              <w:textAlignment w:val="baseline"/>
              <w:rPr>
                <w:rFonts w:asciiTheme="minorHAnsi" w:hAnsiTheme="minorHAnsi"/>
                <w:sz w:val="20"/>
                <w:szCs w:val="20"/>
              </w:rPr>
            </w:pPr>
            <w:r w:rsidRPr="00DD0DC2">
              <w:rPr>
                <w:rFonts w:asciiTheme="minorHAnsi" w:hAnsiTheme="minorHAnsi"/>
                <w:sz w:val="20"/>
                <w:szCs w:val="20"/>
              </w:rPr>
              <w:t xml:space="preserve">AUC (day*µg/mL) </w:t>
            </w:r>
          </w:p>
        </w:tc>
        <w:tc>
          <w:tcPr>
            <w:tcW w:w="1080" w:type="dxa"/>
            <w:tcBorders>
              <w:top w:val="single" w:sz="6" w:space="0" w:color="auto"/>
              <w:left w:val="single" w:sz="6" w:space="0" w:color="auto"/>
              <w:bottom w:val="single" w:sz="6" w:space="0" w:color="auto"/>
              <w:right w:val="single" w:sz="6" w:space="0" w:color="auto"/>
            </w:tcBorders>
            <w:vAlign w:val="center"/>
          </w:tcPr>
          <w:p w14:paraId="7B10887E" w14:textId="77777777" w:rsidR="00DD0DC2" w:rsidRPr="00DD0DC2" w:rsidRDefault="00DD0DC2" w:rsidP="009B153D">
            <w:pPr>
              <w:pStyle w:val="Style"/>
              <w:ind w:left="14"/>
              <w:jc w:val="center"/>
              <w:textAlignment w:val="baseline"/>
              <w:rPr>
                <w:rFonts w:asciiTheme="minorHAnsi" w:hAnsiTheme="minorHAnsi"/>
                <w:sz w:val="20"/>
                <w:szCs w:val="20"/>
              </w:rPr>
            </w:pPr>
            <w:r w:rsidRPr="00DD0DC2">
              <w:rPr>
                <w:rFonts w:asciiTheme="minorHAnsi" w:hAnsiTheme="minorHAnsi"/>
                <w:sz w:val="20"/>
                <w:szCs w:val="20"/>
              </w:rPr>
              <w:t xml:space="preserve">1129 </w:t>
            </w:r>
          </w:p>
        </w:tc>
        <w:tc>
          <w:tcPr>
            <w:tcW w:w="1980" w:type="dxa"/>
            <w:tcBorders>
              <w:top w:val="single" w:sz="6" w:space="0" w:color="auto"/>
              <w:left w:val="single" w:sz="6" w:space="0" w:color="auto"/>
              <w:bottom w:val="single" w:sz="6" w:space="0" w:color="auto"/>
              <w:right w:val="single" w:sz="6" w:space="0" w:color="auto"/>
            </w:tcBorders>
            <w:vAlign w:val="center"/>
          </w:tcPr>
          <w:p w14:paraId="445137EB" w14:textId="77777777" w:rsidR="00DD0DC2" w:rsidRPr="00DD0DC2" w:rsidRDefault="00DD0DC2" w:rsidP="009B153D">
            <w:pPr>
              <w:pStyle w:val="Style"/>
              <w:ind w:left="14"/>
              <w:jc w:val="center"/>
              <w:textAlignment w:val="baseline"/>
              <w:rPr>
                <w:rFonts w:asciiTheme="minorHAnsi" w:hAnsiTheme="minorHAnsi"/>
                <w:sz w:val="20"/>
                <w:szCs w:val="20"/>
              </w:rPr>
            </w:pPr>
            <w:r w:rsidRPr="00DD0DC2">
              <w:rPr>
                <w:rFonts w:asciiTheme="minorHAnsi" w:hAnsiTheme="minorHAnsi"/>
                <w:sz w:val="20"/>
                <w:szCs w:val="20"/>
              </w:rPr>
              <w:t xml:space="preserve">1107 </w:t>
            </w:r>
          </w:p>
        </w:tc>
        <w:tc>
          <w:tcPr>
            <w:tcW w:w="1548" w:type="dxa"/>
            <w:tcBorders>
              <w:top w:val="single" w:sz="6" w:space="0" w:color="auto"/>
              <w:left w:val="single" w:sz="6" w:space="0" w:color="auto"/>
              <w:bottom w:val="single" w:sz="6" w:space="0" w:color="auto"/>
              <w:right w:val="single" w:sz="6" w:space="0" w:color="auto"/>
            </w:tcBorders>
            <w:vAlign w:val="center"/>
          </w:tcPr>
          <w:p w14:paraId="7ADB0CCE" w14:textId="77777777" w:rsidR="00DD0DC2" w:rsidRPr="00DD0DC2" w:rsidRDefault="00DD0DC2" w:rsidP="009B153D">
            <w:pPr>
              <w:pStyle w:val="Style"/>
              <w:ind w:left="43"/>
              <w:jc w:val="center"/>
              <w:textAlignment w:val="baseline"/>
              <w:rPr>
                <w:rFonts w:asciiTheme="minorHAnsi" w:hAnsiTheme="minorHAnsi"/>
                <w:sz w:val="20"/>
                <w:szCs w:val="20"/>
              </w:rPr>
            </w:pPr>
            <w:r w:rsidRPr="00DD0DC2">
              <w:rPr>
                <w:rFonts w:asciiTheme="minorHAnsi" w:hAnsiTheme="minorHAnsi"/>
                <w:sz w:val="20"/>
                <w:szCs w:val="20"/>
              </w:rPr>
              <w:t xml:space="preserve">102.0 </w:t>
            </w:r>
          </w:p>
        </w:tc>
        <w:tc>
          <w:tcPr>
            <w:tcW w:w="1062" w:type="dxa"/>
            <w:tcBorders>
              <w:top w:val="single" w:sz="6" w:space="0" w:color="auto"/>
              <w:left w:val="single" w:sz="6" w:space="0" w:color="auto"/>
              <w:bottom w:val="single" w:sz="6" w:space="0" w:color="auto"/>
              <w:right w:val="single" w:sz="6" w:space="0" w:color="auto"/>
            </w:tcBorders>
            <w:vAlign w:val="center"/>
          </w:tcPr>
          <w:p w14:paraId="40874441" w14:textId="77777777" w:rsidR="00DD0DC2" w:rsidRPr="00DD0DC2" w:rsidRDefault="00DD0DC2" w:rsidP="009B153D">
            <w:pPr>
              <w:pStyle w:val="Style"/>
              <w:ind w:left="29"/>
              <w:jc w:val="center"/>
              <w:textAlignment w:val="baseline"/>
              <w:rPr>
                <w:rFonts w:asciiTheme="minorHAnsi" w:hAnsiTheme="minorHAnsi"/>
                <w:sz w:val="20"/>
                <w:szCs w:val="20"/>
              </w:rPr>
            </w:pPr>
            <w:r w:rsidRPr="00DD0DC2">
              <w:rPr>
                <w:rFonts w:asciiTheme="minorHAnsi" w:hAnsiTheme="minorHAnsi"/>
                <w:sz w:val="20"/>
                <w:szCs w:val="20"/>
              </w:rPr>
              <w:t xml:space="preserve">91.6, 113.5 </w:t>
            </w:r>
          </w:p>
        </w:tc>
      </w:tr>
      <w:tr w:rsidR="00DD0DC2" w:rsidRPr="00DD0DC2" w14:paraId="05F1B13B" w14:textId="77777777" w:rsidTr="006E7089">
        <w:trPr>
          <w:trHeight w:hRule="exact" w:val="379"/>
          <w:jc w:val="center"/>
        </w:trPr>
        <w:tc>
          <w:tcPr>
            <w:tcW w:w="2512" w:type="dxa"/>
            <w:tcBorders>
              <w:top w:val="single" w:sz="6" w:space="0" w:color="auto"/>
              <w:left w:val="single" w:sz="6" w:space="0" w:color="auto"/>
              <w:bottom w:val="single" w:sz="6" w:space="0" w:color="auto"/>
              <w:right w:val="single" w:sz="6" w:space="0" w:color="auto"/>
            </w:tcBorders>
            <w:vAlign w:val="center"/>
          </w:tcPr>
          <w:p w14:paraId="10E8EA06" w14:textId="77777777" w:rsidR="00DD0DC2" w:rsidRPr="00DD0DC2" w:rsidRDefault="00DD0DC2" w:rsidP="009B153D">
            <w:pPr>
              <w:pStyle w:val="Style"/>
              <w:ind w:left="115"/>
              <w:textAlignment w:val="baseline"/>
              <w:rPr>
                <w:rFonts w:asciiTheme="minorHAnsi" w:hAnsiTheme="minorHAnsi"/>
                <w:sz w:val="20"/>
                <w:szCs w:val="20"/>
              </w:rPr>
            </w:pPr>
            <w:proofErr w:type="spellStart"/>
            <w:r w:rsidRPr="00DD0DC2">
              <w:rPr>
                <w:rFonts w:asciiTheme="minorHAnsi" w:hAnsiTheme="minorHAnsi"/>
                <w:sz w:val="20"/>
                <w:szCs w:val="20"/>
              </w:rPr>
              <w:t>C</w:t>
            </w:r>
            <w:r w:rsidRPr="0006309E">
              <w:rPr>
                <w:rFonts w:asciiTheme="minorHAnsi" w:hAnsiTheme="minorHAnsi"/>
                <w:sz w:val="20"/>
                <w:szCs w:val="20"/>
                <w:vertAlign w:val="subscript"/>
              </w:rPr>
              <w:t>max</w:t>
            </w:r>
            <w:proofErr w:type="spellEnd"/>
            <w:r w:rsidRPr="00DD0DC2">
              <w:rPr>
                <w:rFonts w:asciiTheme="minorHAnsi" w:hAnsiTheme="minorHAnsi"/>
                <w:sz w:val="20"/>
                <w:szCs w:val="20"/>
              </w:rPr>
              <w:t xml:space="preserve"> (µg/mL) </w:t>
            </w:r>
          </w:p>
        </w:tc>
        <w:tc>
          <w:tcPr>
            <w:tcW w:w="1080" w:type="dxa"/>
            <w:tcBorders>
              <w:top w:val="single" w:sz="6" w:space="0" w:color="auto"/>
              <w:left w:val="single" w:sz="6" w:space="0" w:color="auto"/>
              <w:bottom w:val="single" w:sz="6" w:space="0" w:color="auto"/>
              <w:right w:val="single" w:sz="6" w:space="0" w:color="auto"/>
            </w:tcBorders>
            <w:vAlign w:val="center"/>
          </w:tcPr>
          <w:p w14:paraId="52668F84" w14:textId="77777777" w:rsidR="00DD0DC2" w:rsidRPr="00DD0DC2" w:rsidRDefault="00DD0DC2" w:rsidP="009B153D">
            <w:pPr>
              <w:pStyle w:val="Style"/>
              <w:ind w:left="14"/>
              <w:jc w:val="center"/>
              <w:textAlignment w:val="baseline"/>
              <w:rPr>
                <w:rFonts w:asciiTheme="minorHAnsi" w:hAnsiTheme="minorHAnsi"/>
                <w:sz w:val="20"/>
                <w:szCs w:val="20"/>
              </w:rPr>
            </w:pPr>
            <w:r w:rsidRPr="00DD0DC2">
              <w:rPr>
                <w:rFonts w:asciiTheme="minorHAnsi" w:hAnsiTheme="minorHAnsi"/>
                <w:sz w:val="20"/>
                <w:szCs w:val="20"/>
              </w:rPr>
              <w:t xml:space="preserve">30.63 </w:t>
            </w:r>
          </w:p>
        </w:tc>
        <w:tc>
          <w:tcPr>
            <w:tcW w:w="1980" w:type="dxa"/>
            <w:tcBorders>
              <w:top w:val="single" w:sz="6" w:space="0" w:color="auto"/>
              <w:left w:val="single" w:sz="6" w:space="0" w:color="auto"/>
              <w:bottom w:val="single" w:sz="6" w:space="0" w:color="auto"/>
              <w:right w:val="single" w:sz="6" w:space="0" w:color="auto"/>
            </w:tcBorders>
            <w:vAlign w:val="center"/>
          </w:tcPr>
          <w:p w14:paraId="439CA2A7" w14:textId="77777777" w:rsidR="00DD0DC2" w:rsidRPr="00DD0DC2" w:rsidRDefault="00DD0DC2" w:rsidP="009B153D">
            <w:pPr>
              <w:pStyle w:val="Style"/>
              <w:ind w:left="14"/>
              <w:jc w:val="center"/>
              <w:textAlignment w:val="baseline"/>
              <w:rPr>
                <w:rFonts w:asciiTheme="minorHAnsi" w:hAnsiTheme="minorHAnsi"/>
                <w:sz w:val="20"/>
                <w:szCs w:val="20"/>
              </w:rPr>
            </w:pPr>
            <w:r w:rsidRPr="00DD0DC2">
              <w:rPr>
                <w:rFonts w:asciiTheme="minorHAnsi" w:hAnsiTheme="minorHAnsi"/>
                <w:sz w:val="20"/>
                <w:szCs w:val="20"/>
              </w:rPr>
              <w:t xml:space="preserve">31.18 </w:t>
            </w:r>
          </w:p>
        </w:tc>
        <w:tc>
          <w:tcPr>
            <w:tcW w:w="1548" w:type="dxa"/>
            <w:tcBorders>
              <w:top w:val="single" w:sz="6" w:space="0" w:color="auto"/>
              <w:left w:val="single" w:sz="6" w:space="0" w:color="auto"/>
              <w:bottom w:val="single" w:sz="6" w:space="0" w:color="auto"/>
              <w:right w:val="single" w:sz="6" w:space="0" w:color="auto"/>
            </w:tcBorders>
            <w:vAlign w:val="center"/>
          </w:tcPr>
          <w:p w14:paraId="6B18C97E" w14:textId="77777777" w:rsidR="00DD0DC2" w:rsidRPr="00DD0DC2" w:rsidRDefault="00DD0DC2" w:rsidP="009B153D">
            <w:pPr>
              <w:pStyle w:val="Style"/>
              <w:ind w:left="43"/>
              <w:jc w:val="center"/>
              <w:textAlignment w:val="baseline"/>
              <w:rPr>
                <w:rFonts w:asciiTheme="minorHAnsi" w:hAnsiTheme="minorHAnsi"/>
                <w:sz w:val="20"/>
                <w:szCs w:val="20"/>
              </w:rPr>
            </w:pPr>
            <w:r w:rsidRPr="00DD0DC2">
              <w:rPr>
                <w:rFonts w:asciiTheme="minorHAnsi" w:hAnsiTheme="minorHAnsi"/>
                <w:sz w:val="20"/>
                <w:szCs w:val="20"/>
              </w:rPr>
              <w:t xml:space="preserve">98.25 </w:t>
            </w:r>
          </w:p>
        </w:tc>
        <w:tc>
          <w:tcPr>
            <w:tcW w:w="1062" w:type="dxa"/>
            <w:tcBorders>
              <w:top w:val="single" w:sz="6" w:space="0" w:color="auto"/>
              <w:left w:val="single" w:sz="6" w:space="0" w:color="auto"/>
              <w:bottom w:val="single" w:sz="6" w:space="0" w:color="auto"/>
              <w:right w:val="single" w:sz="6" w:space="0" w:color="auto"/>
            </w:tcBorders>
            <w:vAlign w:val="center"/>
          </w:tcPr>
          <w:p w14:paraId="30F6C509" w14:textId="77777777" w:rsidR="00DD0DC2" w:rsidRPr="00DD0DC2" w:rsidRDefault="00DD0DC2" w:rsidP="009B153D">
            <w:pPr>
              <w:pStyle w:val="Style"/>
              <w:ind w:left="29"/>
              <w:jc w:val="center"/>
              <w:textAlignment w:val="baseline"/>
              <w:rPr>
                <w:rFonts w:asciiTheme="minorHAnsi" w:hAnsiTheme="minorHAnsi"/>
                <w:sz w:val="20"/>
                <w:szCs w:val="20"/>
              </w:rPr>
            </w:pPr>
            <w:r w:rsidRPr="00DD0DC2">
              <w:rPr>
                <w:rFonts w:asciiTheme="minorHAnsi" w:hAnsiTheme="minorHAnsi"/>
                <w:sz w:val="20"/>
                <w:szCs w:val="20"/>
              </w:rPr>
              <w:t xml:space="preserve">89.5, 107.9 </w:t>
            </w:r>
          </w:p>
        </w:tc>
      </w:tr>
    </w:tbl>
    <w:p w14:paraId="477533C5" w14:textId="350A27EB" w:rsidR="0006309E" w:rsidRDefault="0006309E" w:rsidP="0006309E">
      <w:pPr>
        <w:pStyle w:val="TableDescription"/>
        <w:rPr>
          <w:b/>
          <w:bCs/>
          <w:u w:val="single"/>
          <w:lang w:eastAsia="ja-JP"/>
        </w:rPr>
      </w:pPr>
      <w:r w:rsidRPr="001F4F1A">
        <w:rPr>
          <w:lang w:eastAsia="ja-JP"/>
        </w:rPr>
        <w:t>AUC</w:t>
      </w:r>
      <w:r>
        <w:rPr>
          <w:lang w:eastAsia="ja-JP"/>
        </w:rPr>
        <w:t xml:space="preserve"> </w:t>
      </w:r>
      <w:r w:rsidRPr="001F4F1A">
        <w:rPr>
          <w:lang w:eastAsia="ja-JP"/>
        </w:rPr>
        <w:t>=</w:t>
      </w:r>
      <w:r>
        <w:rPr>
          <w:lang w:eastAsia="ja-JP"/>
        </w:rPr>
        <w:t xml:space="preserve"> </w:t>
      </w:r>
      <w:r w:rsidRPr="001F4F1A">
        <w:rPr>
          <w:lang w:eastAsia="ja-JP"/>
        </w:rPr>
        <w:t>area under the plasma concentration-time curve; AUC</w:t>
      </w:r>
      <w:r w:rsidRPr="0006309E">
        <w:rPr>
          <w:vertAlign w:val="subscript"/>
          <w:lang w:eastAsia="ja-JP"/>
        </w:rPr>
        <w:t>(0-t)</w:t>
      </w:r>
      <w:r>
        <w:rPr>
          <w:vertAlign w:val="subscript"/>
          <w:lang w:eastAsia="ja-JP"/>
        </w:rPr>
        <w:t xml:space="preserve"> </w:t>
      </w:r>
      <w:r w:rsidRPr="001F4F1A">
        <w:rPr>
          <w:lang w:eastAsia="ja-JP"/>
        </w:rPr>
        <w:t>=</w:t>
      </w:r>
      <w:r>
        <w:rPr>
          <w:lang w:eastAsia="ja-JP"/>
        </w:rPr>
        <w:t xml:space="preserve"> </w:t>
      </w:r>
      <w:r w:rsidRPr="001F4F1A">
        <w:rPr>
          <w:lang w:eastAsia="ja-JP"/>
        </w:rPr>
        <w:t xml:space="preserve">area under the plasma concentration-time curve from time </w:t>
      </w:r>
      <w:r>
        <w:rPr>
          <w:lang w:eastAsia="ja-JP"/>
        </w:rPr>
        <w:t xml:space="preserve">zero </w:t>
      </w:r>
      <w:r w:rsidRPr="001F4F1A">
        <w:rPr>
          <w:lang w:eastAsia="ja-JP"/>
        </w:rPr>
        <w:t>to time  of last quantifiable concentration; BKZ</w:t>
      </w:r>
      <w:r>
        <w:rPr>
          <w:lang w:eastAsia="ja-JP"/>
        </w:rPr>
        <w:t xml:space="preserve"> </w:t>
      </w:r>
      <w:r w:rsidRPr="001F4F1A">
        <w:rPr>
          <w:lang w:eastAsia="ja-JP"/>
        </w:rPr>
        <w:t>=</w:t>
      </w:r>
      <w:r>
        <w:rPr>
          <w:lang w:eastAsia="ja-JP"/>
        </w:rPr>
        <w:t xml:space="preserve"> </w:t>
      </w:r>
      <w:proofErr w:type="spellStart"/>
      <w:r w:rsidRPr="001F4F1A">
        <w:rPr>
          <w:lang w:eastAsia="ja-JP"/>
        </w:rPr>
        <w:t>bimekizumab</w:t>
      </w:r>
      <w:proofErr w:type="spellEnd"/>
      <w:r w:rsidRPr="001F4F1A">
        <w:rPr>
          <w:lang w:eastAsia="ja-JP"/>
        </w:rPr>
        <w:t>; BKZ-AI-</w:t>
      </w:r>
      <w:r>
        <w:rPr>
          <w:lang w:eastAsia="ja-JP"/>
        </w:rPr>
        <w:t xml:space="preserve"> </w:t>
      </w:r>
      <w:r w:rsidRPr="001F4F1A">
        <w:rPr>
          <w:lang w:eastAsia="ja-JP"/>
        </w:rPr>
        <w:t>l</w:t>
      </w:r>
      <w:r>
        <w:rPr>
          <w:lang w:eastAsia="ja-JP"/>
        </w:rPr>
        <w:t> </w:t>
      </w:r>
      <w:r w:rsidRPr="001F4F1A">
        <w:rPr>
          <w:lang w:eastAsia="ja-JP"/>
        </w:rPr>
        <w:t xml:space="preserve">mL=BKZ </w:t>
      </w:r>
      <w:r w:rsidR="001D2CFA">
        <w:rPr>
          <w:lang w:eastAsia="ja-JP"/>
        </w:rPr>
        <w:t>320 mg</w:t>
      </w:r>
      <w:r w:rsidRPr="001F4F1A">
        <w:rPr>
          <w:lang w:eastAsia="ja-JP"/>
        </w:rPr>
        <w:t xml:space="preserve"> administered using 2xlmL autoinjector; BKZ-SS-l</w:t>
      </w:r>
      <w:r>
        <w:rPr>
          <w:lang w:eastAsia="ja-JP"/>
        </w:rPr>
        <w:t xml:space="preserve"> </w:t>
      </w:r>
      <w:r w:rsidRPr="001F4F1A">
        <w:rPr>
          <w:lang w:eastAsia="ja-JP"/>
        </w:rPr>
        <w:t xml:space="preserve">mL=BKZ </w:t>
      </w:r>
      <w:r w:rsidR="001D2CFA">
        <w:rPr>
          <w:lang w:eastAsia="ja-JP"/>
        </w:rPr>
        <w:t>320 mg</w:t>
      </w:r>
      <w:r w:rsidRPr="001F4F1A">
        <w:rPr>
          <w:lang w:eastAsia="ja-JP"/>
        </w:rPr>
        <w:t xml:space="preserve"> administered using 2</w:t>
      </w:r>
      <w:r>
        <w:rPr>
          <w:lang w:eastAsia="ja-JP"/>
        </w:rPr>
        <w:t xml:space="preserve"> </w:t>
      </w:r>
      <w:r w:rsidRPr="001F4F1A">
        <w:rPr>
          <w:lang w:eastAsia="ja-JP"/>
        </w:rPr>
        <w:t>x</w:t>
      </w:r>
      <w:r>
        <w:rPr>
          <w:lang w:eastAsia="ja-JP"/>
        </w:rPr>
        <w:t xml:space="preserve"> </w:t>
      </w:r>
      <w:r w:rsidRPr="001F4F1A">
        <w:rPr>
          <w:lang w:eastAsia="ja-JP"/>
        </w:rPr>
        <w:t>l</w:t>
      </w:r>
      <w:r>
        <w:rPr>
          <w:lang w:eastAsia="ja-JP"/>
        </w:rPr>
        <w:t xml:space="preserve"> </w:t>
      </w:r>
      <w:r w:rsidRPr="001F4F1A">
        <w:rPr>
          <w:lang w:eastAsia="ja-JP"/>
        </w:rPr>
        <w:t>mL safety syringe; BKZ-TN</w:t>
      </w:r>
      <w:r>
        <w:rPr>
          <w:lang w:eastAsia="ja-JP"/>
        </w:rPr>
        <w:t xml:space="preserve"> </w:t>
      </w:r>
      <w:r w:rsidRPr="001F4F1A">
        <w:rPr>
          <w:lang w:eastAsia="ja-JP"/>
        </w:rPr>
        <w:t>=</w:t>
      </w:r>
      <w:r>
        <w:rPr>
          <w:lang w:eastAsia="ja-JP"/>
        </w:rPr>
        <w:t xml:space="preserve"> </w:t>
      </w:r>
      <w:r w:rsidRPr="001F4F1A">
        <w:rPr>
          <w:lang w:eastAsia="ja-JP"/>
        </w:rPr>
        <w:t xml:space="preserve">BKZ </w:t>
      </w:r>
      <w:r w:rsidR="001D2CFA">
        <w:rPr>
          <w:lang w:eastAsia="ja-JP"/>
        </w:rPr>
        <w:t>320 mg</w:t>
      </w:r>
      <w:r w:rsidRPr="001F4F1A">
        <w:rPr>
          <w:lang w:eastAsia="ja-JP"/>
        </w:rPr>
        <w:t xml:space="preserve"> administered using </w:t>
      </w:r>
      <w:r>
        <w:rPr>
          <w:lang w:eastAsia="ja-JP"/>
        </w:rPr>
        <w:t xml:space="preserve">2 </w:t>
      </w:r>
      <w:r w:rsidRPr="001F4F1A">
        <w:rPr>
          <w:lang w:eastAsia="ja-JP"/>
        </w:rPr>
        <w:t>x</w:t>
      </w:r>
      <w:r>
        <w:rPr>
          <w:lang w:eastAsia="ja-JP"/>
        </w:rPr>
        <w:t xml:space="preserve"> </w:t>
      </w:r>
      <w:r w:rsidRPr="001F4F1A">
        <w:rPr>
          <w:lang w:eastAsia="ja-JP"/>
        </w:rPr>
        <w:t>1</w:t>
      </w:r>
      <w:r>
        <w:rPr>
          <w:lang w:eastAsia="ja-JP"/>
        </w:rPr>
        <w:t xml:space="preserve"> </w:t>
      </w:r>
      <w:r w:rsidRPr="001F4F1A">
        <w:rPr>
          <w:lang w:eastAsia="ja-JP"/>
        </w:rPr>
        <w:t>mL True North syringe; CI</w:t>
      </w:r>
      <w:r>
        <w:rPr>
          <w:lang w:eastAsia="ja-JP"/>
        </w:rPr>
        <w:t xml:space="preserve"> =</w:t>
      </w:r>
      <w:r w:rsidRPr="001F4F1A">
        <w:rPr>
          <w:lang w:eastAsia="ja-JP"/>
        </w:rPr>
        <w:t xml:space="preserve"> confidence interval; </w:t>
      </w:r>
      <w:proofErr w:type="spellStart"/>
      <w:r w:rsidRPr="001F4F1A">
        <w:rPr>
          <w:lang w:eastAsia="ja-JP"/>
        </w:rPr>
        <w:t>C</w:t>
      </w:r>
      <w:r w:rsidRPr="0006309E">
        <w:rPr>
          <w:vertAlign w:val="subscript"/>
          <w:lang w:eastAsia="ja-JP"/>
        </w:rPr>
        <w:t>max</w:t>
      </w:r>
      <w:proofErr w:type="spellEnd"/>
      <w:r>
        <w:rPr>
          <w:lang w:eastAsia="ja-JP"/>
        </w:rPr>
        <w:t xml:space="preserve"> =</w:t>
      </w:r>
      <w:r w:rsidRPr="001F4F1A">
        <w:rPr>
          <w:lang w:eastAsia="ja-JP"/>
        </w:rPr>
        <w:t xml:space="preserve"> maximum observed plasma drug concentration; Geo</w:t>
      </w:r>
      <w:r>
        <w:rPr>
          <w:lang w:eastAsia="ja-JP"/>
        </w:rPr>
        <w:t xml:space="preserve"> </w:t>
      </w:r>
      <w:r w:rsidRPr="001F4F1A">
        <w:rPr>
          <w:lang w:eastAsia="ja-JP"/>
        </w:rPr>
        <w:t>=</w:t>
      </w:r>
      <w:r>
        <w:rPr>
          <w:lang w:eastAsia="ja-JP"/>
        </w:rPr>
        <w:t xml:space="preserve"> </w:t>
      </w:r>
      <w:r w:rsidRPr="001F4F1A">
        <w:rPr>
          <w:lang w:eastAsia="ja-JP"/>
        </w:rPr>
        <w:t xml:space="preserve">Geometric; </w:t>
      </w:r>
      <w:proofErr w:type="spellStart"/>
      <w:r w:rsidRPr="001F4F1A">
        <w:rPr>
          <w:lang w:eastAsia="ja-JP"/>
        </w:rPr>
        <w:t>LSMean</w:t>
      </w:r>
      <w:proofErr w:type="spellEnd"/>
      <w:r>
        <w:rPr>
          <w:lang w:eastAsia="ja-JP"/>
        </w:rPr>
        <w:t xml:space="preserve"> </w:t>
      </w:r>
      <w:r w:rsidRPr="001F4F1A">
        <w:rPr>
          <w:lang w:eastAsia="ja-JP"/>
        </w:rPr>
        <w:t>=</w:t>
      </w:r>
      <w:r>
        <w:rPr>
          <w:lang w:eastAsia="ja-JP"/>
        </w:rPr>
        <w:t xml:space="preserve"> </w:t>
      </w:r>
      <w:r w:rsidRPr="001F4F1A">
        <w:rPr>
          <w:lang w:eastAsia="ja-JP"/>
        </w:rPr>
        <w:t>least-squares mean</w:t>
      </w:r>
      <w:r>
        <w:rPr>
          <w:lang w:eastAsia="ja-JP"/>
        </w:rPr>
        <w:t>.</w:t>
      </w:r>
    </w:p>
    <w:p w14:paraId="5CB4F4BA" w14:textId="120FF47C" w:rsidR="00DD0DC2" w:rsidRDefault="00B5126D" w:rsidP="00DD0DC2">
      <w:r>
        <w:t>The clinical evaluat</w:t>
      </w:r>
      <w:r w:rsidR="005D3F5B">
        <w:t>ion</w:t>
      </w:r>
      <w:r>
        <w:t xml:space="preserve"> noted that </w:t>
      </w:r>
      <w:r w:rsidRPr="00B5126D">
        <w:t xml:space="preserve">centre and centre-by-treatment interaction was tested, but not included in the model, because both tests were not significant at a 0.1 for AUCs (same model was used for </w:t>
      </w:r>
      <w:proofErr w:type="spellStart"/>
      <w:r w:rsidRPr="00B5126D">
        <w:t>C</w:t>
      </w:r>
      <w:r w:rsidRPr="00B5126D">
        <w:rPr>
          <w:vertAlign w:val="subscript"/>
        </w:rPr>
        <w:t>max</w:t>
      </w:r>
      <w:proofErr w:type="spellEnd"/>
      <w:r w:rsidRPr="00B5126D">
        <w:t>).</w:t>
      </w:r>
    </w:p>
    <w:p w14:paraId="3E8EE86B" w14:textId="2A2E5D17" w:rsidR="00B5126D" w:rsidRDefault="00B5126D" w:rsidP="00B5126D">
      <w:pPr>
        <w:pStyle w:val="Heading5"/>
      </w:pPr>
      <w:r>
        <w:t>Dose proportionality</w:t>
      </w:r>
    </w:p>
    <w:p w14:paraId="0BCC1659" w14:textId="778EA0AF" w:rsidR="00B5126D" w:rsidRDefault="00B5126D" w:rsidP="00B5126D">
      <w:r>
        <w:t>Dose proportionality with regards to plasma concentration was investigated in Studies</w:t>
      </w:r>
      <w:r w:rsidR="005D3F5B">
        <w:t> </w:t>
      </w:r>
      <w:r>
        <w:t>UP0008 and UP0042.</w:t>
      </w:r>
    </w:p>
    <w:p w14:paraId="61392D8E" w14:textId="6B748843" w:rsidR="005D3F5B" w:rsidRDefault="005D3F5B" w:rsidP="006E7089">
      <w:pPr>
        <w:pStyle w:val="Heading6"/>
      </w:pPr>
      <w:r>
        <w:t>Study UP0008</w:t>
      </w:r>
    </w:p>
    <w:p w14:paraId="4FB5F413" w14:textId="0F76E98E" w:rsidR="00B5126D" w:rsidRDefault="00B5126D" w:rsidP="00B5126D">
      <w:r>
        <w:t xml:space="preserve">In Study UP0008, healthy subjects received either 8 mg, 40 mg, 160 mg, 480 </w:t>
      </w:r>
      <w:proofErr w:type="gramStart"/>
      <w:r>
        <w:t>mg</w:t>
      </w:r>
      <w:proofErr w:type="gramEnd"/>
      <w:r>
        <w:t xml:space="preserve"> or 640 mg of </w:t>
      </w:r>
      <w:proofErr w:type="spellStart"/>
      <w:r>
        <w:t>bimekizumab</w:t>
      </w:r>
      <w:proofErr w:type="spellEnd"/>
      <w:r>
        <w:t xml:space="preserve"> intravenously, as </w:t>
      </w:r>
      <w:r w:rsidR="005D3F5B">
        <w:t xml:space="preserve">shown in </w:t>
      </w:r>
      <w:r w:rsidR="001E2AC4">
        <w:fldChar w:fldCharType="begin"/>
      </w:r>
      <w:r w:rsidR="001E2AC4">
        <w:instrText xml:space="preserve"> REF _Ref129865916 \h </w:instrText>
      </w:r>
      <w:r w:rsidR="001E2AC4">
        <w:fldChar w:fldCharType="separate"/>
      </w:r>
      <w:r w:rsidR="00B54079" w:rsidRPr="001E2AC4">
        <w:t xml:space="preserve">Figure </w:t>
      </w:r>
      <w:r w:rsidR="00B54079">
        <w:rPr>
          <w:noProof/>
        </w:rPr>
        <w:t>6</w:t>
      </w:r>
      <w:r w:rsidR="001E2AC4">
        <w:fldChar w:fldCharType="end"/>
      </w:r>
      <w:r>
        <w:t>.</w:t>
      </w:r>
    </w:p>
    <w:p w14:paraId="790D6FEB" w14:textId="3F9DA0C6" w:rsidR="00B5126D" w:rsidRDefault="00B5126D" w:rsidP="001E2AC4">
      <w:pPr>
        <w:pStyle w:val="FigureTitle"/>
      </w:pPr>
      <w:bookmarkStart w:id="60" w:name="_Ref129865916"/>
      <w:r w:rsidRPr="001E2AC4">
        <w:lastRenderedPageBreak/>
        <w:t xml:space="preserve">Figure </w:t>
      </w:r>
      <w:r w:rsidR="00172397">
        <w:fldChar w:fldCharType="begin"/>
      </w:r>
      <w:r w:rsidR="00172397">
        <w:instrText xml:space="preserve"> SEQ Figure \* ARABIC </w:instrText>
      </w:r>
      <w:r w:rsidR="00172397">
        <w:fldChar w:fldCharType="separate"/>
      </w:r>
      <w:r w:rsidR="00B54079">
        <w:rPr>
          <w:noProof/>
        </w:rPr>
        <w:t>6</w:t>
      </w:r>
      <w:r w:rsidR="00172397">
        <w:rPr>
          <w:noProof/>
        </w:rPr>
        <w:fldChar w:fldCharType="end"/>
      </w:r>
      <w:bookmarkEnd w:id="60"/>
      <w:r>
        <w:t>:</w:t>
      </w:r>
      <w:r w:rsidR="001E2AC4">
        <w:t xml:space="preserve"> </w:t>
      </w:r>
      <w:r w:rsidR="005D3F5B">
        <w:t xml:space="preserve">Study UP0008 </w:t>
      </w:r>
      <w:r w:rsidR="001E2AC4" w:rsidRPr="001E2AC4">
        <w:t xml:space="preserve">Plot of geometric mean </w:t>
      </w:r>
      <w:proofErr w:type="spellStart"/>
      <w:r w:rsidR="001E2AC4" w:rsidRPr="001E2AC4">
        <w:t>bimekizumab</w:t>
      </w:r>
      <w:proofErr w:type="spellEnd"/>
      <w:r w:rsidR="001E2AC4" w:rsidRPr="001E2AC4">
        <w:t xml:space="preserve"> plasma concentration-time profile by dose following </w:t>
      </w:r>
      <w:r w:rsidR="001E2AC4">
        <w:t>intravenous</w:t>
      </w:r>
      <w:r w:rsidR="001E2AC4" w:rsidRPr="001E2AC4">
        <w:t xml:space="preserve"> administration</w:t>
      </w:r>
      <w:r w:rsidR="005D3F5B">
        <w:t xml:space="preserve"> of a single dose</w:t>
      </w:r>
    </w:p>
    <w:p w14:paraId="57225E07" w14:textId="2330E6EF" w:rsidR="00B5126D" w:rsidRDefault="00B5126D" w:rsidP="00B5126D">
      <w:r w:rsidRPr="00613917">
        <w:rPr>
          <w:noProof/>
          <w:lang w:val="en-GB" w:eastAsia="en-GB"/>
        </w:rPr>
        <w:drawing>
          <wp:inline distT="0" distB="0" distL="0" distR="0" wp14:anchorId="6453874F" wp14:editId="685A3F55">
            <wp:extent cx="5359180" cy="2746726"/>
            <wp:effectExtent l="0" t="0" r="0" b="0"/>
            <wp:docPr id="4" name="Picture 4" descr="Plot of geometric mean bimekizumab plasma concentration-time profile by dose following single intravenou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lot of geometric mean bimekizumab plasma concentration-time profile by dose following single intravenous administration"/>
                    <pic:cNvPicPr>
                      <a:picLocks noChangeAspect="1" noChangeArrowheads="1"/>
                    </pic:cNvPicPr>
                  </pic:nvPicPr>
                  <pic:blipFill rotWithShape="1">
                    <a:blip r:embed="rId23">
                      <a:extLst>
                        <a:ext uri="{28A0092B-C50C-407E-A947-70E740481C1C}">
                          <a14:useLocalDpi xmlns:a14="http://schemas.microsoft.com/office/drawing/2010/main" val="0"/>
                        </a:ext>
                      </a:extLst>
                    </a:blip>
                    <a:srcRect l="2209" r="4731"/>
                    <a:stretch/>
                  </pic:blipFill>
                  <pic:spPr bwMode="auto">
                    <a:xfrm>
                      <a:off x="0" y="0"/>
                      <a:ext cx="5365473" cy="2749951"/>
                    </a:xfrm>
                    <a:prstGeom prst="rect">
                      <a:avLst/>
                    </a:prstGeom>
                    <a:noFill/>
                    <a:ln>
                      <a:noFill/>
                    </a:ln>
                    <a:extLst>
                      <a:ext uri="{53640926-AAD7-44D8-BBD7-CCE9431645EC}">
                        <a14:shadowObscured xmlns:a14="http://schemas.microsoft.com/office/drawing/2010/main"/>
                      </a:ext>
                    </a:extLst>
                  </pic:spPr>
                </pic:pic>
              </a:graphicData>
            </a:graphic>
          </wp:inline>
        </w:drawing>
      </w:r>
    </w:p>
    <w:p w14:paraId="26182A21" w14:textId="1B33E31B" w:rsidR="001E2AC4" w:rsidRDefault="00726284" w:rsidP="001E2AC4">
      <w:pPr>
        <w:pStyle w:val="FigureDescription"/>
      </w:pPr>
      <w:r>
        <w:t xml:space="preserve">Abbreviation: </w:t>
      </w:r>
      <w:r w:rsidR="001E2AC4">
        <w:t>UCB4940</w:t>
      </w:r>
      <w:r>
        <w:t xml:space="preserve"> </w:t>
      </w:r>
      <w:r w:rsidR="001E2AC4">
        <w:t>=</w:t>
      </w:r>
      <w:r>
        <w:t xml:space="preserve"> </w:t>
      </w:r>
      <w:proofErr w:type="spellStart"/>
      <w:r w:rsidR="001E2AC4">
        <w:t>bimekizumab</w:t>
      </w:r>
      <w:proofErr w:type="spellEnd"/>
    </w:p>
    <w:p w14:paraId="7E600076" w14:textId="022B145A" w:rsidR="00B5126D" w:rsidRDefault="00B5126D" w:rsidP="00B5126D">
      <w:r>
        <w:t xml:space="preserve">Following intravenous dosing, </w:t>
      </w:r>
      <w:proofErr w:type="spellStart"/>
      <w:r>
        <w:t>bimekizumab</w:t>
      </w:r>
      <w:proofErr w:type="spellEnd"/>
      <w:r>
        <w:t xml:space="preserve"> exhibited a biphasic disposition and linear elimination. Dose proportionality was demonstrated for AUC at steady state, </w:t>
      </w:r>
      <w:proofErr w:type="spellStart"/>
      <w:r>
        <w:t>C</w:t>
      </w:r>
      <w:r w:rsidRPr="00B5126D">
        <w:rPr>
          <w:vertAlign w:val="subscript"/>
        </w:rPr>
        <w:t>max</w:t>
      </w:r>
      <w:proofErr w:type="spellEnd"/>
      <w:r w:rsidRPr="00B5126D">
        <w:rPr>
          <w:vertAlign w:val="subscript"/>
        </w:rPr>
        <w:t xml:space="preserve"> </w:t>
      </w:r>
      <w:r>
        <w:t xml:space="preserve">and </w:t>
      </w:r>
      <w:r w:rsidR="001E2AC4">
        <w:t>minimum concentration (</w:t>
      </w:r>
      <w:proofErr w:type="spellStart"/>
      <w:r>
        <w:t>C</w:t>
      </w:r>
      <w:r w:rsidRPr="00B5126D">
        <w:rPr>
          <w:vertAlign w:val="subscript"/>
        </w:rPr>
        <w:t>min</w:t>
      </w:r>
      <w:proofErr w:type="spellEnd"/>
      <w:r w:rsidR="001E2AC4">
        <w:t>).</w:t>
      </w:r>
    </w:p>
    <w:p w14:paraId="49B86B2E" w14:textId="173FD1F4" w:rsidR="005D3F5B" w:rsidRDefault="005D3F5B" w:rsidP="006E7089">
      <w:pPr>
        <w:pStyle w:val="Heading6"/>
      </w:pPr>
      <w:r>
        <w:t>Study UP0042</w:t>
      </w:r>
    </w:p>
    <w:p w14:paraId="26BC7832" w14:textId="006ED035" w:rsidR="00B5126D" w:rsidRDefault="00B5126D" w:rsidP="00B5126D">
      <w:r>
        <w:t xml:space="preserve">Study UP0042 was a randomised, double blind, placebo controlled, single dose, parallel group study to evaluate the safety, tolerability, and PK of </w:t>
      </w:r>
      <w:proofErr w:type="spellStart"/>
      <w:r>
        <w:t>bimekizumab</w:t>
      </w:r>
      <w:proofErr w:type="spellEnd"/>
      <w:r>
        <w:t xml:space="preserve"> administered as a subcutaneous injection of 80 mg, 160 mg, 320 mg </w:t>
      </w:r>
      <w:proofErr w:type="spellStart"/>
      <w:r>
        <w:t>bimekizumab</w:t>
      </w:r>
      <w:proofErr w:type="spellEnd"/>
      <w:r>
        <w:t xml:space="preserve"> or placebo to Japanese and Caucasian healthy subjects.</w:t>
      </w:r>
    </w:p>
    <w:p w14:paraId="275BF0AE" w14:textId="3EC30D1B" w:rsidR="00B5126D" w:rsidRDefault="00B5126D" w:rsidP="00B5126D">
      <w:pPr>
        <w:pStyle w:val="ListBullet"/>
      </w:pPr>
      <w:r>
        <w:t xml:space="preserve">In both Japanese and Caucasian subjects, the </w:t>
      </w:r>
      <w:proofErr w:type="spellStart"/>
      <w:r>
        <w:t>bimekizumab</w:t>
      </w:r>
      <w:proofErr w:type="spellEnd"/>
      <w:r>
        <w:t xml:space="preserve"> plasma concentration</w:t>
      </w:r>
      <w:r w:rsidR="00787298">
        <w:t xml:space="preserve"> </w:t>
      </w:r>
      <w:r>
        <w:t xml:space="preserve">time profiles increased with increasing doses of </w:t>
      </w:r>
      <w:proofErr w:type="spellStart"/>
      <w:r>
        <w:t>bimekizumab</w:t>
      </w:r>
      <w:proofErr w:type="spellEnd"/>
      <w:r>
        <w:t xml:space="preserve"> and showed a linear elimination of </w:t>
      </w:r>
      <w:proofErr w:type="spellStart"/>
      <w:r>
        <w:t>bimekizumab</w:t>
      </w:r>
      <w:proofErr w:type="spellEnd"/>
      <w:r>
        <w:t xml:space="preserve"> for the </w:t>
      </w:r>
      <w:r w:rsidR="00787298">
        <w:t>three</w:t>
      </w:r>
      <w:r>
        <w:t xml:space="preserve"> doses investigated (80</w:t>
      </w:r>
      <w:r w:rsidR="00787298">
        <w:t xml:space="preserve"> </w:t>
      </w:r>
      <w:r>
        <w:t>mg, 160</w:t>
      </w:r>
      <w:r w:rsidR="00787298">
        <w:t xml:space="preserve"> </w:t>
      </w:r>
      <w:r>
        <w:t>mg, and 320</w:t>
      </w:r>
      <w:r w:rsidR="005D3F5B">
        <w:t> </w:t>
      </w:r>
      <w:r>
        <w:t>mg).</w:t>
      </w:r>
    </w:p>
    <w:p w14:paraId="157A47B8" w14:textId="2378E8AF" w:rsidR="00B5126D" w:rsidRDefault="00B5126D" w:rsidP="00B5126D">
      <w:pPr>
        <w:pStyle w:val="ListBullet"/>
      </w:pPr>
      <w:r>
        <w:t xml:space="preserve">In both Japanese and Caucasian subjects, </w:t>
      </w:r>
      <w:r w:rsidR="004133DA">
        <w:t>exposure (</w:t>
      </w:r>
      <w:r>
        <w:t xml:space="preserve">AUC and </w:t>
      </w:r>
      <w:proofErr w:type="spellStart"/>
      <w:r>
        <w:t>C</w:t>
      </w:r>
      <w:r w:rsidRPr="00787298">
        <w:rPr>
          <w:vertAlign w:val="subscript"/>
        </w:rPr>
        <w:t>max</w:t>
      </w:r>
      <w:proofErr w:type="spellEnd"/>
      <w:r w:rsidR="004133DA">
        <w:t>) i</w:t>
      </w:r>
      <w:r>
        <w:t xml:space="preserve">ncreased with increasing </w:t>
      </w:r>
      <w:proofErr w:type="spellStart"/>
      <w:r>
        <w:t>bimekizumab</w:t>
      </w:r>
      <w:proofErr w:type="spellEnd"/>
      <w:r>
        <w:t xml:space="preserve"> dose in a proportional manner and were dose proportional for the </w:t>
      </w:r>
      <w:r w:rsidR="00787298">
        <w:t>three</w:t>
      </w:r>
      <w:r>
        <w:t xml:space="preserve"> dose levels.</w:t>
      </w:r>
    </w:p>
    <w:p w14:paraId="73FA84B1" w14:textId="6AA48251" w:rsidR="00787298" w:rsidRDefault="00787298" w:rsidP="00787298">
      <w:pPr>
        <w:pStyle w:val="ListBullet"/>
        <w:numPr>
          <w:ilvl w:val="0"/>
          <w:numId w:val="0"/>
        </w:numPr>
      </w:pPr>
      <w:r>
        <w:t>The Delegate noted that bioavailability during multiple dosing was not investigate</w:t>
      </w:r>
      <w:r w:rsidR="00BB2128">
        <w:t>d</w:t>
      </w:r>
      <w:r>
        <w:t xml:space="preserve"> in healthy subject</w:t>
      </w:r>
      <w:r w:rsidR="00BB2128">
        <w:t>s</w:t>
      </w:r>
      <w:r>
        <w:t xml:space="preserve">. The Delegate commented that </w:t>
      </w:r>
      <w:proofErr w:type="spellStart"/>
      <w:r>
        <w:t>bimekizumab</w:t>
      </w:r>
      <w:proofErr w:type="spellEnd"/>
      <w:r>
        <w:t xml:space="preserve"> dosing interval is stated as 0, 4, 8, 12, 16 week</w:t>
      </w:r>
      <w:r w:rsidR="004133DA">
        <w:t>s</w:t>
      </w:r>
      <w:r>
        <w:t xml:space="preserve">, followed by 8 weekly intervals </w:t>
      </w:r>
      <w:r w:rsidR="001E2AC4">
        <w:t>(</w:t>
      </w:r>
      <w:r>
        <w:t>except for overweight patients at 4</w:t>
      </w:r>
      <w:r w:rsidR="004133DA">
        <w:t> </w:t>
      </w:r>
      <w:r>
        <w:t>weekly intervals</w:t>
      </w:r>
      <w:r w:rsidR="001E2AC4">
        <w:t>)</w:t>
      </w:r>
      <w:r>
        <w:t xml:space="preserve"> after Week 16. Given that the estimated </w:t>
      </w:r>
      <w:r w:rsidR="001E2AC4">
        <w:t>half</w:t>
      </w:r>
      <w:r w:rsidR="00F87452">
        <w:t>-</w:t>
      </w:r>
      <w:r w:rsidR="00BF2C42">
        <w:t xml:space="preserve">life </w:t>
      </w:r>
      <w:r>
        <w:t xml:space="preserve">of </w:t>
      </w:r>
      <w:proofErr w:type="spellStart"/>
      <w:r>
        <w:t>bimekizumab</w:t>
      </w:r>
      <w:proofErr w:type="spellEnd"/>
      <w:r>
        <w:t xml:space="preserve"> is about 3 weeks, the stated dosing interval is expected to yield a steady bioavailability profile of </w:t>
      </w:r>
      <w:proofErr w:type="spellStart"/>
      <w:r>
        <w:t>bimekizumab</w:t>
      </w:r>
      <w:proofErr w:type="spellEnd"/>
      <w:r>
        <w:t xml:space="preserve"> with minimal accumulation.</w:t>
      </w:r>
    </w:p>
    <w:p w14:paraId="1CD93633" w14:textId="2D05BD34" w:rsidR="00787298" w:rsidRDefault="00787298" w:rsidP="00787298">
      <w:pPr>
        <w:pStyle w:val="Heading5"/>
      </w:pPr>
      <w:r>
        <w:t>Effect of administration timing</w:t>
      </w:r>
    </w:p>
    <w:p w14:paraId="54011612" w14:textId="1719DE00" w:rsidR="00787298" w:rsidRDefault="00787298" w:rsidP="00787298">
      <w:pPr>
        <w:pStyle w:val="ListBullet"/>
        <w:numPr>
          <w:ilvl w:val="0"/>
          <w:numId w:val="0"/>
        </w:numPr>
      </w:pPr>
      <w:r>
        <w:t>No studies have been undertaken to investigate the timing of administration in healthy subjects</w:t>
      </w:r>
    </w:p>
    <w:p w14:paraId="6DAC79DC" w14:textId="2C9B5D9F" w:rsidR="00787298" w:rsidRDefault="00787298" w:rsidP="00787298">
      <w:pPr>
        <w:pStyle w:val="Heading5"/>
      </w:pPr>
      <w:r>
        <w:lastRenderedPageBreak/>
        <w:t>Volume of distribution/plasma protein binding</w:t>
      </w:r>
    </w:p>
    <w:p w14:paraId="5F636871" w14:textId="07FA3BF1" w:rsidR="004133DA" w:rsidRPr="00EA20FE" w:rsidRDefault="004133DA" w:rsidP="006E7089">
      <w:pPr>
        <w:pStyle w:val="Heading6"/>
      </w:pPr>
      <w:r>
        <w:t>Study UP0008</w:t>
      </w:r>
    </w:p>
    <w:p w14:paraId="0CCBE868" w14:textId="2085D7FF" w:rsidR="00787298" w:rsidRDefault="00787298" w:rsidP="006E7089">
      <w:r>
        <w:t>Results from Study UP0008 demonstrated a geometric mean volume of distribution (V/F) in the range of 4.2L to 5.8 L. This apparent volume of distribution approximates closely to plasma circulating volume, thereby suggesting limited distribution to other tissues.</w:t>
      </w:r>
    </w:p>
    <w:p w14:paraId="49BC1EE3" w14:textId="598C6DC2" w:rsidR="004133DA" w:rsidRDefault="004133DA" w:rsidP="006E7089">
      <w:pPr>
        <w:pStyle w:val="Heading6"/>
      </w:pPr>
      <w:r>
        <w:t>Study UP0042</w:t>
      </w:r>
    </w:p>
    <w:p w14:paraId="059F9E73" w14:textId="04056C99" w:rsidR="00787298" w:rsidRDefault="00787298" w:rsidP="006E7089">
      <w:r>
        <w:t xml:space="preserve">Results from study UP0042 indicate that the V/F was </w:t>
      </w:r>
      <w:proofErr w:type="spellStart"/>
      <w:r>
        <w:t>approxinmately</w:t>
      </w:r>
      <w:proofErr w:type="spellEnd"/>
      <w:r>
        <w:t xml:space="preserve"> 8.5 L in Caucasian and 7.2 L in Japanese healthy subjects, following subcutaneous administration. </w:t>
      </w:r>
    </w:p>
    <w:p w14:paraId="578E4BE3" w14:textId="5F23E5E6" w:rsidR="00787298" w:rsidRDefault="00787298" w:rsidP="00787298">
      <w:pPr>
        <w:pStyle w:val="Heading5"/>
      </w:pPr>
      <w:r>
        <w:t>Plasma protein binding</w:t>
      </w:r>
    </w:p>
    <w:p w14:paraId="09022074" w14:textId="72B55B6C" w:rsidR="00787298" w:rsidRDefault="00787298" w:rsidP="006E7089">
      <w:proofErr w:type="spellStart"/>
      <w:r>
        <w:t>Bimekizumab</w:t>
      </w:r>
      <w:proofErr w:type="spellEnd"/>
      <w:r>
        <w:t xml:space="preserve"> is a monoclonal antibody with specific binding sites at the IL-17A, </w:t>
      </w:r>
      <w:r w:rsidR="001E2AC4">
        <w:t>IL-</w:t>
      </w:r>
      <w:r>
        <w:t xml:space="preserve">17F and </w:t>
      </w:r>
      <w:r w:rsidR="001E2AC4">
        <w:t>IL-</w:t>
      </w:r>
      <w:r>
        <w:t>17AF cytokine proteins and therefore, no specific study was undertaken to determine the binding to other proteins.</w:t>
      </w:r>
    </w:p>
    <w:p w14:paraId="31A3C594" w14:textId="231E3CE6" w:rsidR="00787298" w:rsidRDefault="00787298" w:rsidP="00787298">
      <w:pPr>
        <w:pStyle w:val="Heading5"/>
      </w:pPr>
      <w:r>
        <w:t>Tissue distribution</w:t>
      </w:r>
    </w:p>
    <w:p w14:paraId="72DF8485" w14:textId="2481E0BE" w:rsidR="00787298" w:rsidRDefault="00787298" w:rsidP="00787298">
      <w:pPr>
        <w:pStyle w:val="ListBullet"/>
        <w:numPr>
          <w:ilvl w:val="0"/>
          <w:numId w:val="0"/>
        </w:numPr>
        <w:ind w:left="360" w:hanging="360"/>
      </w:pPr>
      <w:r>
        <w:t>Tissue distribution was not investigated in healthy subjects.</w:t>
      </w:r>
    </w:p>
    <w:p w14:paraId="03EBE6A5" w14:textId="2597B124" w:rsidR="00787298" w:rsidRDefault="00787298" w:rsidP="00787298">
      <w:pPr>
        <w:pStyle w:val="Heading5"/>
      </w:pPr>
      <w:r>
        <w:t>Metabolism</w:t>
      </w:r>
    </w:p>
    <w:p w14:paraId="0BFBF307" w14:textId="3487F86F" w:rsidR="00787298" w:rsidRDefault="00787298" w:rsidP="00787298">
      <w:pPr>
        <w:pStyle w:val="ListBullet"/>
        <w:numPr>
          <w:ilvl w:val="0"/>
          <w:numId w:val="0"/>
        </w:numPr>
      </w:pPr>
      <w:r>
        <w:t xml:space="preserve">As a human IgG1 monoclonal antibody, </w:t>
      </w:r>
      <w:proofErr w:type="spellStart"/>
      <w:r>
        <w:t>bimekizumab</w:t>
      </w:r>
      <w:proofErr w:type="spellEnd"/>
      <w:r>
        <w:t xml:space="preserve"> in common with other monoclonal antibodies, is expected to be degraded into small peptides and amino acids via catabolic pathways in the same manner as endogenous IgG. Therefore, the metabolic pathway of </w:t>
      </w:r>
      <w:proofErr w:type="spellStart"/>
      <w:r>
        <w:t>bimekizumab</w:t>
      </w:r>
      <w:proofErr w:type="spellEnd"/>
      <w:r>
        <w:t xml:space="preserve"> has not been specifically characterised.</w:t>
      </w:r>
    </w:p>
    <w:p w14:paraId="004ED749" w14:textId="0EE8F1CC" w:rsidR="00787298" w:rsidRDefault="00787298" w:rsidP="00787298">
      <w:pPr>
        <w:pStyle w:val="Heading5"/>
      </w:pPr>
      <w:r>
        <w:t>Excretion</w:t>
      </w:r>
    </w:p>
    <w:p w14:paraId="1990EB04" w14:textId="20578480" w:rsidR="004133DA" w:rsidRPr="00EA20FE" w:rsidRDefault="004133DA" w:rsidP="006E7089">
      <w:pPr>
        <w:pStyle w:val="Heading6"/>
      </w:pPr>
      <w:r>
        <w:t>Study UP0042</w:t>
      </w:r>
    </w:p>
    <w:p w14:paraId="6BA5C117" w14:textId="0DFE4809" w:rsidR="00787298" w:rsidRDefault="00787298" w:rsidP="00787298">
      <w:pPr>
        <w:pStyle w:val="ListBullet"/>
        <w:numPr>
          <w:ilvl w:val="0"/>
          <w:numId w:val="0"/>
        </w:numPr>
      </w:pPr>
      <w:r>
        <w:t xml:space="preserve">Results from </w:t>
      </w:r>
      <w:r w:rsidR="001E2AC4">
        <w:t>S</w:t>
      </w:r>
      <w:r>
        <w:t xml:space="preserve">tudy UP0042 demonstrated that following either the 80 mg, 160 </w:t>
      </w:r>
      <w:proofErr w:type="gramStart"/>
      <w:r>
        <w:t>mg</w:t>
      </w:r>
      <w:proofErr w:type="gramEnd"/>
      <w:r>
        <w:t xml:space="preserve"> or 320 mg dose of </w:t>
      </w:r>
      <w:proofErr w:type="spellStart"/>
      <w:r>
        <w:t>bimekizumab</w:t>
      </w:r>
      <w:proofErr w:type="spellEnd"/>
      <w:r>
        <w:t>, the apparent terminal half-life ranged between 19 to 26</w:t>
      </w:r>
      <w:r w:rsidR="004133DA">
        <w:t> </w:t>
      </w:r>
      <w:r>
        <w:t>days, as previously stated.</w:t>
      </w:r>
    </w:p>
    <w:p w14:paraId="50ED8AB0" w14:textId="4C7D40FC" w:rsidR="00787298" w:rsidRDefault="00787298" w:rsidP="00787298">
      <w:pPr>
        <w:pStyle w:val="Heading6"/>
      </w:pPr>
      <w:r>
        <w:t>Routes and mechanisms of excretion/metabolic elimination</w:t>
      </w:r>
    </w:p>
    <w:p w14:paraId="43EE696A" w14:textId="4489A5FA" w:rsidR="00787298" w:rsidRDefault="00787298" w:rsidP="00787298">
      <w:pPr>
        <w:pStyle w:val="ListBullet"/>
        <w:numPr>
          <w:ilvl w:val="0"/>
          <w:numId w:val="0"/>
        </w:numPr>
      </w:pPr>
      <w:proofErr w:type="spellStart"/>
      <w:r>
        <w:t>Bimekizumab</w:t>
      </w:r>
      <w:proofErr w:type="spellEnd"/>
      <w:r>
        <w:t xml:space="preserve"> is a human IgG immunoglobulin with a molecular mass of approximately 150 </w:t>
      </w:r>
      <w:proofErr w:type="spellStart"/>
      <w:r>
        <w:t>kDa</w:t>
      </w:r>
      <w:proofErr w:type="spellEnd"/>
      <w:r>
        <w:t>, and in common with other IgG of this mass, will not be filtered by the kidney.  Most of the IgG metabolic elimination will occur via intracellular catabolism, following fluid phase or receptor mediated endocytosis.</w:t>
      </w:r>
    </w:p>
    <w:p w14:paraId="2D62A135" w14:textId="68529DFD" w:rsidR="00787298" w:rsidRDefault="00787298" w:rsidP="00BF53ED">
      <w:pPr>
        <w:pStyle w:val="Heading5"/>
      </w:pPr>
      <w:r>
        <w:t>Intra- and inter-individual variability of pharmacokinetics</w:t>
      </w:r>
    </w:p>
    <w:p w14:paraId="7A30E378" w14:textId="5E78BA78" w:rsidR="00787298" w:rsidRDefault="00787298" w:rsidP="00787298">
      <w:pPr>
        <w:pStyle w:val="ListBullet"/>
        <w:numPr>
          <w:ilvl w:val="0"/>
          <w:numId w:val="0"/>
        </w:numPr>
      </w:pPr>
      <w:r>
        <w:t xml:space="preserve">Following single </w:t>
      </w:r>
      <w:r w:rsidR="00BF53ED">
        <w:t xml:space="preserve">subcutaneous </w:t>
      </w:r>
      <w:r>
        <w:t xml:space="preserve">injection of either 80 mg, 160 mg, or 320 mg </w:t>
      </w:r>
      <w:proofErr w:type="spellStart"/>
      <w:r>
        <w:t>bimekizumab</w:t>
      </w:r>
      <w:proofErr w:type="spellEnd"/>
      <w:r>
        <w:t xml:space="preserve"> to healthy subjects, the coefficient of variation (CV%) regarding inter subject variability ranged between 13.2% to 22.7% for Caucasians and 18% to 29.6% for Japanese</w:t>
      </w:r>
      <w:r w:rsidR="004133DA">
        <w:t xml:space="preserve"> populations</w:t>
      </w:r>
      <w:r>
        <w:t>.</w:t>
      </w:r>
    </w:p>
    <w:p w14:paraId="5E44E8CD" w14:textId="3FA9CC8E" w:rsidR="00BF53ED" w:rsidRPr="007A7968" w:rsidRDefault="00807B99" w:rsidP="00BF53ED">
      <w:pPr>
        <w:pStyle w:val="Heading5"/>
      </w:pPr>
      <w:r>
        <w:t>Pharmacokinetics in the t</w:t>
      </w:r>
      <w:r w:rsidR="00BF53ED" w:rsidRPr="004B6B26">
        <w:t>arget populatio</w:t>
      </w:r>
      <w:r w:rsidR="00BF53ED">
        <w:t>n</w:t>
      </w:r>
    </w:p>
    <w:p w14:paraId="70E32294" w14:textId="1975C23A" w:rsidR="004133DA" w:rsidRDefault="004133DA" w:rsidP="006E4137">
      <w:pPr>
        <w:pStyle w:val="Heading6"/>
        <w:rPr>
          <w:lang w:eastAsia="ja-JP"/>
        </w:rPr>
      </w:pPr>
      <w:r>
        <w:rPr>
          <w:lang w:eastAsia="ja-JP"/>
        </w:rPr>
        <w:t>Study PA0007</w:t>
      </w:r>
    </w:p>
    <w:p w14:paraId="6D0F1FD4" w14:textId="40123109" w:rsidR="00BF53ED" w:rsidRPr="004404CC" w:rsidRDefault="00BF53ED" w:rsidP="00BF53ED">
      <w:pPr>
        <w:rPr>
          <w:lang w:eastAsia="ja-JP"/>
        </w:rPr>
      </w:pPr>
      <w:r w:rsidRPr="004404CC">
        <w:rPr>
          <w:lang w:eastAsia="ja-JP"/>
        </w:rPr>
        <w:t>Study PA0007 was a randomised, double</w:t>
      </w:r>
      <w:r>
        <w:rPr>
          <w:lang w:eastAsia="ja-JP"/>
        </w:rPr>
        <w:t xml:space="preserve"> </w:t>
      </w:r>
      <w:r w:rsidRPr="004404CC">
        <w:rPr>
          <w:lang w:eastAsia="ja-JP"/>
        </w:rPr>
        <w:t xml:space="preserve">blind </w:t>
      </w:r>
      <w:proofErr w:type="gramStart"/>
      <w:r w:rsidRPr="004404CC">
        <w:rPr>
          <w:lang w:eastAsia="ja-JP"/>
        </w:rPr>
        <w:t>placebo</w:t>
      </w:r>
      <w:r>
        <w:rPr>
          <w:lang w:eastAsia="ja-JP"/>
        </w:rPr>
        <w:t xml:space="preserve"> </w:t>
      </w:r>
      <w:r w:rsidRPr="004404CC">
        <w:rPr>
          <w:lang w:eastAsia="ja-JP"/>
        </w:rPr>
        <w:t>controlled</w:t>
      </w:r>
      <w:proofErr w:type="gramEnd"/>
      <w:r w:rsidRPr="004404CC">
        <w:rPr>
          <w:lang w:eastAsia="ja-JP"/>
        </w:rPr>
        <w:t xml:space="preserve"> study that investigated</w:t>
      </w:r>
      <w:r w:rsidRPr="004404CC">
        <w:t xml:space="preserve"> </w:t>
      </w:r>
      <w:r w:rsidR="004133DA">
        <w:rPr>
          <w:lang w:eastAsia="ja-JP"/>
        </w:rPr>
        <w:t>pharmacokinetics (PK)</w:t>
      </w:r>
      <w:r w:rsidRPr="004404CC">
        <w:rPr>
          <w:lang w:eastAsia="ja-JP"/>
        </w:rPr>
        <w:t xml:space="preserve"> and </w:t>
      </w:r>
      <w:r w:rsidR="004133DA">
        <w:rPr>
          <w:lang w:eastAsia="ja-JP"/>
        </w:rPr>
        <w:t>pharmacodynamics (</w:t>
      </w:r>
      <w:r w:rsidR="00726284">
        <w:rPr>
          <w:lang w:eastAsia="ja-JP"/>
        </w:rPr>
        <w:t>PD</w:t>
      </w:r>
      <w:r w:rsidR="004133DA">
        <w:rPr>
          <w:lang w:eastAsia="ja-JP"/>
        </w:rPr>
        <w:t>)</w:t>
      </w:r>
      <w:r w:rsidRPr="004404CC">
        <w:rPr>
          <w:lang w:eastAsia="ja-JP"/>
        </w:rPr>
        <w:t xml:space="preserve"> of multiple doses of </w:t>
      </w:r>
      <w:proofErr w:type="spellStart"/>
      <w:r w:rsidRPr="004404CC">
        <w:rPr>
          <w:lang w:eastAsia="ja-JP"/>
        </w:rPr>
        <w:t>bimekizumab</w:t>
      </w:r>
      <w:proofErr w:type="spellEnd"/>
      <w:r>
        <w:rPr>
          <w:lang w:eastAsia="ja-JP"/>
        </w:rPr>
        <w:t xml:space="preserve"> intravenous </w:t>
      </w:r>
      <w:r w:rsidRPr="004404CC">
        <w:rPr>
          <w:lang w:eastAsia="ja-JP"/>
        </w:rPr>
        <w:t>in study participants with active psoriasis.</w:t>
      </w:r>
    </w:p>
    <w:p w14:paraId="06F53096" w14:textId="472C4726" w:rsidR="00BF53ED" w:rsidRDefault="00BF53ED" w:rsidP="00BF53ED">
      <w:pPr>
        <w:rPr>
          <w:lang w:eastAsia="ja-JP"/>
        </w:rPr>
      </w:pPr>
      <w:r w:rsidRPr="004404CC">
        <w:rPr>
          <w:lang w:eastAsia="ja-JP"/>
        </w:rPr>
        <w:t xml:space="preserve">Like </w:t>
      </w:r>
      <w:r w:rsidR="004133DA">
        <w:rPr>
          <w:lang w:eastAsia="ja-JP"/>
        </w:rPr>
        <w:t xml:space="preserve">in </w:t>
      </w:r>
      <w:r w:rsidRPr="004404CC">
        <w:rPr>
          <w:lang w:eastAsia="ja-JP"/>
        </w:rPr>
        <w:t xml:space="preserve">healthy subjects, the PK parameters was linear across the dose range and </w:t>
      </w:r>
      <w:r w:rsidRPr="004A4F87">
        <w:rPr>
          <w:lang w:eastAsia="ja-JP"/>
        </w:rPr>
        <w:t>was not altered by repeated dosing.</w:t>
      </w:r>
      <w:r>
        <w:rPr>
          <w:lang w:eastAsia="ja-JP"/>
        </w:rPr>
        <w:t xml:space="preserve"> </w:t>
      </w:r>
      <w:r w:rsidRPr="004404CC">
        <w:rPr>
          <w:lang w:eastAsia="ja-JP"/>
        </w:rPr>
        <w:t>The estimated</w:t>
      </w:r>
      <w:r w:rsidR="00726284">
        <w:rPr>
          <w:lang w:eastAsia="ja-JP"/>
        </w:rPr>
        <w:t xml:space="preserve"> </w:t>
      </w:r>
      <w:r w:rsidR="004133DA">
        <w:rPr>
          <w:lang w:eastAsia="ja-JP"/>
        </w:rPr>
        <w:t>half-life</w:t>
      </w:r>
      <w:r w:rsidR="00726284">
        <w:rPr>
          <w:lang w:eastAsia="ja-JP"/>
        </w:rPr>
        <w:t xml:space="preserve"> </w:t>
      </w:r>
      <w:r w:rsidRPr="004404CC">
        <w:rPr>
          <w:lang w:eastAsia="ja-JP"/>
        </w:rPr>
        <w:t>was approximately 24 days.</w:t>
      </w:r>
    </w:p>
    <w:p w14:paraId="6DE9CE9A" w14:textId="791F6E93" w:rsidR="004133DA" w:rsidRPr="004404CC" w:rsidRDefault="004133DA" w:rsidP="006E7089">
      <w:pPr>
        <w:pStyle w:val="Heading6"/>
        <w:rPr>
          <w:lang w:eastAsia="ja-JP"/>
        </w:rPr>
      </w:pPr>
      <w:r>
        <w:rPr>
          <w:lang w:eastAsia="ja-JP"/>
        </w:rPr>
        <w:lastRenderedPageBreak/>
        <w:t>Study PS0010</w:t>
      </w:r>
    </w:p>
    <w:p w14:paraId="452608B3" w14:textId="46050785" w:rsidR="00BF53ED" w:rsidRDefault="00BF53ED" w:rsidP="00BF53ED">
      <w:pPr>
        <w:rPr>
          <w:lang w:eastAsia="ja-JP"/>
        </w:rPr>
      </w:pPr>
      <w:r w:rsidRPr="004404CC">
        <w:rPr>
          <w:lang w:eastAsia="ja-JP"/>
        </w:rPr>
        <w:t xml:space="preserve">Study PS0010 investigated the dose proportionality of </w:t>
      </w:r>
      <w:proofErr w:type="spellStart"/>
      <w:r w:rsidRPr="004404CC">
        <w:rPr>
          <w:lang w:eastAsia="ja-JP"/>
        </w:rPr>
        <w:t>bimekizumab</w:t>
      </w:r>
      <w:proofErr w:type="spellEnd"/>
      <w:r w:rsidRPr="004404CC">
        <w:rPr>
          <w:lang w:eastAsia="ja-JP"/>
        </w:rPr>
        <w:t xml:space="preserve"> in patients with severe plaque psoriasis, across the dose range of 64</w:t>
      </w:r>
      <w:r w:rsidR="00726284">
        <w:rPr>
          <w:lang w:eastAsia="ja-JP"/>
        </w:rPr>
        <w:t xml:space="preserve"> </w:t>
      </w:r>
      <w:r w:rsidRPr="004404CC">
        <w:rPr>
          <w:lang w:eastAsia="ja-JP"/>
        </w:rPr>
        <w:t>mg to 480 mg delivered subcutaneously.</w:t>
      </w:r>
    </w:p>
    <w:p w14:paraId="2479D0B6" w14:textId="5ABDA3AD" w:rsidR="00BF53ED" w:rsidRDefault="00BF53ED" w:rsidP="00BF53ED">
      <w:pPr>
        <w:rPr>
          <w:lang w:eastAsia="ja-JP"/>
        </w:rPr>
      </w:pPr>
      <w:r w:rsidRPr="00722235">
        <w:rPr>
          <w:lang w:eastAsia="ja-JP"/>
        </w:rPr>
        <w:t xml:space="preserve">Overall, geometric mean plasma </w:t>
      </w:r>
      <w:proofErr w:type="spellStart"/>
      <w:r w:rsidRPr="00722235">
        <w:rPr>
          <w:lang w:eastAsia="ja-JP"/>
        </w:rPr>
        <w:t>bimekizumab</w:t>
      </w:r>
      <w:proofErr w:type="spellEnd"/>
      <w:r w:rsidRPr="00722235">
        <w:rPr>
          <w:lang w:eastAsia="ja-JP"/>
        </w:rPr>
        <w:t xml:space="preserve"> concentrations increased with dose in a linear fashion and were within the expected concentration ranges at each visit.</w:t>
      </w:r>
    </w:p>
    <w:p w14:paraId="383D0960" w14:textId="69DB299B" w:rsidR="004133DA" w:rsidRPr="00722235" w:rsidRDefault="004133DA" w:rsidP="006E7089">
      <w:pPr>
        <w:pStyle w:val="Heading6"/>
        <w:rPr>
          <w:lang w:eastAsia="ja-JP"/>
        </w:rPr>
      </w:pPr>
      <w:r>
        <w:rPr>
          <w:lang w:eastAsia="ja-JP"/>
        </w:rPr>
        <w:t>Study PS0011</w:t>
      </w:r>
    </w:p>
    <w:p w14:paraId="7048908F" w14:textId="77777777" w:rsidR="00BF53ED" w:rsidRPr="00726284" w:rsidRDefault="00BF53ED" w:rsidP="00726284">
      <w:r w:rsidRPr="00726284">
        <w:t>Study PS0011 was an open label extension to Study PS0010. Study participants either remained on the dosing regimen they received in PS0010 or could move across dose levels.</w:t>
      </w:r>
    </w:p>
    <w:p w14:paraId="3C5A4520" w14:textId="4D716B82" w:rsidR="00BF53ED" w:rsidRDefault="00BF53ED" w:rsidP="00BF53ED">
      <w:pPr>
        <w:rPr>
          <w:lang w:eastAsia="ja-JP"/>
        </w:rPr>
      </w:pPr>
      <w:r w:rsidRPr="00722235">
        <w:rPr>
          <w:lang w:eastAsia="ja-JP"/>
        </w:rPr>
        <w:t xml:space="preserve">The geometric mean plasma </w:t>
      </w:r>
      <w:proofErr w:type="spellStart"/>
      <w:r w:rsidRPr="00722235">
        <w:rPr>
          <w:lang w:eastAsia="ja-JP"/>
        </w:rPr>
        <w:t>bimekizumab</w:t>
      </w:r>
      <w:proofErr w:type="spellEnd"/>
      <w:r w:rsidRPr="00722235">
        <w:rPr>
          <w:lang w:eastAsia="ja-JP"/>
        </w:rPr>
        <w:t xml:space="preserve"> concentrations were within the expected concentration ranges at each visit, demonstrating linear pharmacokinetics</w:t>
      </w:r>
      <w:r>
        <w:rPr>
          <w:lang w:eastAsia="ja-JP"/>
        </w:rPr>
        <w:t>. The</w:t>
      </w:r>
      <w:r w:rsidRPr="00722235">
        <w:rPr>
          <w:lang w:eastAsia="ja-JP"/>
        </w:rPr>
        <w:t xml:space="preserve"> plasma </w:t>
      </w:r>
      <w:proofErr w:type="spellStart"/>
      <w:r w:rsidRPr="00722235">
        <w:rPr>
          <w:lang w:eastAsia="ja-JP"/>
        </w:rPr>
        <w:t>bimekizumab</w:t>
      </w:r>
      <w:proofErr w:type="spellEnd"/>
      <w:r w:rsidRPr="00722235">
        <w:rPr>
          <w:lang w:eastAsia="ja-JP"/>
        </w:rPr>
        <w:t xml:space="preserve"> concentrations</w:t>
      </w:r>
      <w:r>
        <w:rPr>
          <w:lang w:eastAsia="ja-JP"/>
        </w:rPr>
        <w:t xml:space="preserve"> </w:t>
      </w:r>
      <w:r w:rsidRPr="00722235">
        <w:rPr>
          <w:lang w:eastAsia="ja-JP"/>
        </w:rPr>
        <w:t xml:space="preserve">decreased after </w:t>
      </w:r>
      <w:proofErr w:type="spellStart"/>
      <w:r w:rsidRPr="00722235">
        <w:rPr>
          <w:lang w:eastAsia="ja-JP"/>
        </w:rPr>
        <w:t>bimekizumab</w:t>
      </w:r>
      <w:proofErr w:type="spellEnd"/>
      <w:r w:rsidRPr="00722235">
        <w:rPr>
          <w:lang w:eastAsia="ja-JP"/>
        </w:rPr>
        <w:t xml:space="preserve"> was discontinued</w:t>
      </w:r>
      <w:r>
        <w:rPr>
          <w:lang w:eastAsia="ja-JP"/>
        </w:rPr>
        <w:t xml:space="preserve">, as per </w:t>
      </w:r>
      <w:r>
        <w:rPr>
          <w:lang w:eastAsia="ja-JP"/>
        </w:rPr>
        <w:fldChar w:fldCharType="begin"/>
      </w:r>
      <w:r>
        <w:rPr>
          <w:lang w:eastAsia="ja-JP"/>
        </w:rPr>
        <w:instrText xml:space="preserve"> REF _Ref128650001 \h </w:instrText>
      </w:r>
      <w:r>
        <w:rPr>
          <w:lang w:eastAsia="ja-JP"/>
        </w:rPr>
      </w:r>
      <w:r>
        <w:rPr>
          <w:lang w:eastAsia="ja-JP"/>
        </w:rPr>
        <w:fldChar w:fldCharType="separate"/>
      </w:r>
      <w:r w:rsidR="00B54079" w:rsidRPr="00726284">
        <w:t xml:space="preserve">Figure </w:t>
      </w:r>
      <w:r w:rsidR="00B54079">
        <w:rPr>
          <w:noProof/>
        </w:rPr>
        <w:t>7</w:t>
      </w:r>
      <w:r>
        <w:rPr>
          <w:lang w:eastAsia="ja-JP"/>
        </w:rPr>
        <w:fldChar w:fldCharType="end"/>
      </w:r>
      <w:r w:rsidR="00726284">
        <w:rPr>
          <w:lang w:eastAsia="ja-JP"/>
        </w:rPr>
        <w:t>.</w:t>
      </w:r>
    </w:p>
    <w:p w14:paraId="10C7DBB8" w14:textId="1ADA861B" w:rsidR="00BF53ED" w:rsidRDefault="00BF53ED" w:rsidP="00726284">
      <w:pPr>
        <w:pStyle w:val="FigureTitle"/>
      </w:pPr>
      <w:bookmarkStart w:id="61" w:name="_Ref128650001"/>
      <w:r w:rsidRPr="00726284">
        <w:t xml:space="preserve">Figure </w:t>
      </w:r>
      <w:r w:rsidR="00172397">
        <w:fldChar w:fldCharType="begin"/>
      </w:r>
      <w:r w:rsidR="00172397">
        <w:instrText xml:space="preserve"> SEQ Figure \* ARABIC </w:instrText>
      </w:r>
      <w:r w:rsidR="00172397">
        <w:fldChar w:fldCharType="separate"/>
      </w:r>
      <w:r w:rsidR="00B54079">
        <w:rPr>
          <w:noProof/>
        </w:rPr>
        <w:t>7</w:t>
      </w:r>
      <w:r w:rsidR="00172397">
        <w:rPr>
          <w:noProof/>
        </w:rPr>
        <w:fldChar w:fldCharType="end"/>
      </w:r>
      <w:bookmarkEnd w:id="61"/>
      <w:r>
        <w:t>: Study PS0011</w:t>
      </w:r>
      <w:r w:rsidR="00726284" w:rsidRPr="00726284">
        <w:t xml:space="preserve"> </w:t>
      </w:r>
      <w:proofErr w:type="spellStart"/>
      <w:r w:rsidR="00726284" w:rsidRPr="00726284">
        <w:t>Bimekizumab</w:t>
      </w:r>
      <w:proofErr w:type="spellEnd"/>
      <w:r w:rsidR="00726284" w:rsidRPr="00726284">
        <w:t xml:space="preserve"> </w:t>
      </w:r>
      <w:r w:rsidR="004133DA">
        <w:t xml:space="preserve">geometric mean plasma </w:t>
      </w:r>
      <w:r w:rsidR="00726284" w:rsidRPr="00726284">
        <w:t>concentrations by week</w:t>
      </w:r>
      <w:r w:rsidR="004133DA">
        <w:t xml:space="preserve"> (with 95% confidence intervals)</w:t>
      </w:r>
    </w:p>
    <w:p w14:paraId="3F1C9EE9" w14:textId="141FCC70" w:rsidR="00BF53ED" w:rsidRDefault="00BF53ED" w:rsidP="00BF53ED">
      <w:r w:rsidRPr="00E461D7">
        <w:rPr>
          <w:noProof/>
          <w:lang w:val="en-GB" w:eastAsia="en-GB"/>
        </w:rPr>
        <w:drawing>
          <wp:inline distT="0" distB="0" distL="0" distR="0" wp14:anchorId="4732EBA3" wp14:editId="3F48463F">
            <wp:extent cx="5316734" cy="2361538"/>
            <wp:effectExtent l="0" t="0" r="0" b="1270"/>
            <wp:docPr id="25" name="Picture 25" descr="Study PS0011 Bimekizumab concentrations by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tudy PS0011 Bimekizumab concentrations by week"/>
                    <pic:cNvPicPr>
                      <a:picLocks noChangeAspect="1" noChangeArrowheads="1"/>
                    </pic:cNvPicPr>
                  </pic:nvPicPr>
                  <pic:blipFill rotWithShape="1">
                    <a:blip r:embed="rId24">
                      <a:extLst>
                        <a:ext uri="{28A0092B-C50C-407E-A947-70E740481C1C}">
                          <a14:useLocalDpi xmlns:a14="http://schemas.microsoft.com/office/drawing/2010/main" val="0"/>
                        </a:ext>
                      </a:extLst>
                    </a:blip>
                    <a:srcRect l="2504" t="2691" r="4998" b="3498"/>
                    <a:stretch/>
                  </pic:blipFill>
                  <pic:spPr bwMode="auto">
                    <a:xfrm>
                      <a:off x="0" y="0"/>
                      <a:ext cx="5332847" cy="2368695"/>
                    </a:xfrm>
                    <a:prstGeom prst="rect">
                      <a:avLst/>
                    </a:prstGeom>
                    <a:noFill/>
                    <a:ln>
                      <a:noFill/>
                    </a:ln>
                    <a:extLst>
                      <a:ext uri="{53640926-AAD7-44D8-BBD7-CCE9431645EC}">
                        <a14:shadowObscured xmlns:a14="http://schemas.microsoft.com/office/drawing/2010/main"/>
                      </a:ext>
                    </a:extLst>
                  </pic:spPr>
                </pic:pic>
              </a:graphicData>
            </a:graphic>
          </wp:inline>
        </w:drawing>
      </w:r>
    </w:p>
    <w:p w14:paraId="22F2A1C2" w14:textId="2EBB5D77" w:rsidR="00726284" w:rsidRDefault="00726284" w:rsidP="00726284">
      <w:pPr>
        <w:pStyle w:val="FigureDescription"/>
      </w:pPr>
      <w:r>
        <w:t xml:space="preserve">Abbreviation: BKZ = </w:t>
      </w:r>
      <w:proofErr w:type="spellStart"/>
      <w:r>
        <w:t>bimekizumab</w:t>
      </w:r>
      <w:proofErr w:type="spellEnd"/>
    </w:p>
    <w:p w14:paraId="4426D695" w14:textId="07CB230B" w:rsidR="00BF53ED" w:rsidRDefault="00BF53ED" w:rsidP="00BF53ED">
      <w:r>
        <w:t>The clinical evaluat</w:t>
      </w:r>
      <w:r w:rsidR="004133DA">
        <w:t>ion</w:t>
      </w:r>
      <w:r>
        <w:t xml:space="preserve"> </w:t>
      </w:r>
      <w:r w:rsidR="004133DA">
        <w:t xml:space="preserve">noted </w:t>
      </w:r>
      <w:r>
        <w:t>that dose proportionality and multiple dosing have been investigated in the target patient population.</w:t>
      </w:r>
    </w:p>
    <w:p w14:paraId="36E1EBC5" w14:textId="30E5E156" w:rsidR="004133DA" w:rsidRDefault="004133DA" w:rsidP="006E7089">
      <w:pPr>
        <w:pStyle w:val="Heading6"/>
      </w:pPr>
      <w:r>
        <w:t>Study PS0016</w:t>
      </w:r>
    </w:p>
    <w:p w14:paraId="187525F6" w14:textId="46D29083" w:rsidR="00BF53ED" w:rsidRPr="00C61ACE" w:rsidRDefault="00BF53ED" w:rsidP="00BF53ED">
      <w:pPr>
        <w:rPr>
          <w:lang w:eastAsia="ja-JP"/>
        </w:rPr>
      </w:pPr>
      <w:r w:rsidRPr="00C61ACE">
        <w:rPr>
          <w:lang w:eastAsia="ja-JP"/>
        </w:rPr>
        <w:t xml:space="preserve">Study PS0016 was a Phase II study undertaken in patients with severe plaque psoriasis. The study also investigated plasma concentrations of </w:t>
      </w:r>
      <w:proofErr w:type="spellStart"/>
      <w:r w:rsidRPr="00C61ACE">
        <w:rPr>
          <w:lang w:eastAsia="ja-JP"/>
        </w:rPr>
        <w:t>bimekizumab</w:t>
      </w:r>
      <w:proofErr w:type="spellEnd"/>
      <w:r w:rsidRPr="00C61ACE">
        <w:rPr>
          <w:lang w:eastAsia="ja-JP"/>
        </w:rPr>
        <w:t xml:space="preserve"> and was a parallel group study whereby, patients who had moderate to severe plaque psoriasis received</w:t>
      </w:r>
      <w:r w:rsidR="00726284">
        <w:rPr>
          <w:lang w:eastAsia="ja-JP"/>
        </w:rPr>
        <w:t xml:space="preserve"> (</w:t>
      </w:r>
      <w:r w:rsidR="00726284">
        <w:rPr>
          <w:lang w:eastAsia="ja-JP"/>
        </w:rPr>
        <w:fldChar w:fldCharType="begin"/>
      </w:r>
      <w:r w:rsidR="00726284">
        <w:rPr>
          <w:lang w:eastAsia="ja-JP"/>
        </w:rPr>
        <w:instrText xml:space="preserve"> REF _Ref128650227 \h </w:instrText>
      </w:r>
      <w:r w:rsidR="00726284">
        <w:rPr>
          <w:lang w:eastAsia="ja-JP"/>
        </w:rPr>
      </w:r>
      <w:r w:rsidR="00726284">
        <w:rPr>
          <w:lang w:eastAsia="ja-JP"/>
        </w:rPr>
        <w:fldChar w:fldCharType="separate"/>
      </w:r>
      <w:r w:rsidR="00B54079" w:rsidRPr="00726284">
        <w:t xml:space="preserve">Figure </w:t>
      </w:r>
      <w:r w:rsidR="00B54079">
        <w:rPr>
          <w:noProof/>
        </w:rPr>
        <w:t>8</w:t>
      </w:r>
      <w:r w:rsidR="00726284">
        <w:rPr>
          <w:lang w:eastAsia="ja-JP"/>
        </w:rPr>
        <w:fldChar w:fldCharType="end"/>
      </w:r>
      <w:r w:rsidR="00726284">
        <w:rPr>
          <w:lang w:eastAsia="ja-JP"/>
        </w:rPr>
        <w:t>):</w:t>
      </w:r>
    </w:p>
    <w:p w14:paraId="276B7882" w14:textId="5E4144C8" w:rsidR="00BF53ED" w:rsidRPr="00C61ACE" w:rsidRDefault="00BF53ED" w:rsidP="00BF53ED">
      <w:pPr>
        <w:pStyle w:val="ListBullet"/>
        <w:rPr>
          <w:lang w:eastAsia="ja-JP"/>
        </w:rPr>
      </w:pPr>
      <w:r w:rsidRPr="00C61ACE">
        <w:rPr>
          <w:lang w:eastAsia="ja-JP"/>
        </w:rPr>
        <w:t xml:space="preserve">Either </w:t>
      </w:r>
      <w:r w:rsidR="00726284" w:rsidRPr="00C61ACE">
        <w:rPr>
          <w:lang w:eastAsia="ja-JP"/>
        </w:rPr>
        <w:t>320</w:t>
      </w:r>
      <w:r w:rsidR="00726284">
        <w:rPr>
          <w:lang w:eastAsia="ja-JP"/>
        </w:rPr>
        <w:t xml:space="preserve"> </w:t>
      </w:r>
      <w:r w:rsidR="00726284" w:rsidRPr="00C61ACE">
        <w:rPr>
          <w:lang w:eastAsia="ja-JP"/>
        </w:rPr>
        <w:t xml:space="preserve">mg </w:t>
      </w:r>
      <w:proofErr w:type="spellStart"/>
      <w:r w:rsidRPr="00C61ACE">
        <w:rPr>
          <w:lang w:eastAsia="ja-JP"/>
        </w:rPr>
        <w:t>bimekizumab</w:t>
      </w:r>
      <w:proofErr w:type="spellEnd"/>
      <w:r w:rsidRPr="00C61ACE">
        <w:rPr>
          <w:lang w:eastAsia="ja-JP"/>
        </w:rPr>
        <w:t xml:space="preserve"> </w:t>
      </w:r>
      <w:r w:rsidR="00726284">
        <w:rPr>
          <w:lang w:eastAsia="ja-JP"/>
        </w:rPr>
        <w:t xml:space="preserve">plus </w:t>
      </w:r>
      <w:r w:rsidRPr="00C61ACE">
        <w:rPr>
          <w:lang w:eastAsia="ja-JP"/>
        </w:rPr>
        <w:t>placebo</w:t>
      </w:r>
      <w:r w:rsidR="00726284">
        <w:rPr>
          <w:lang w:eastAsia="ja-JP"/>
        </w:rPr>
        <w:t xml:space="preserve"> switched over to </w:t>
      </w:r>
      <w:r w:rsidR="00726284" w:rsidRPr="00C61ACE">
        <w:rPr>
          <w:lang w:eastAsia="ja-JP"/>
        </w:rPr>
        <w:t>320</w:t>
      </w:r>
      <w:r w:rsidR="00726284">
        <w:rPr>
          <w:lang w:eastAsia="ja-JP"/>
        </w:rPr>
        <w:t xml:space="preserve"> </w:t>
      </w:r>
      <w:r w:rsidR="00726284" w:rsidRPr="00C61ACE">
        <w:rPr>
          <w:lang w:eastAsia="ja-JP"/>
        </w:rPr>
        <w:t xml:space="preserve">mg </w:t>
      </w:r>
      <w:proofErr w:type="spellStart"/>
      <w:r w:rsidRPr="00C61ACE">
        <w:rPr>
          <w:lang w:eastAsia="ja-JP"/>
        </w:rPr>
        <w:t>bimekizumab</w:t>
      </w:r>
      <w:proofErr w:type="spellEnd"/>
      <w:r w:rsidRPr="00C61ACE">
        <w:rPr>
          <w:lang w:eastAsia="ja-JP"/>
        </w:rPr>
        <w:t xml:space="preserve"> administered </w:t>
      </w:r>
      <w:r>
        <w:rPr>
          <w:lang w:eastAsia="ja-JP"/>
        </w:rPr>
        <w:t>subcutaneously</w:t>
      </w:r>
      <w:r w:rsidRPr="00C61ACE">
        <w:rPr>
          <w:lang w:eastAsia="ja-JP"/>
        </w:rPr>
        <w:t xml:space="preserve"> at Baseline and Week 4, and placebo administered at Week 16 (N</w:t>
      </w:r>
      <w:r>
        <w:rPr>
          <w:lang w:eastAsia="ja-JP"/>
        </w:rPr>
        <w:t xml:space="preserve"> </w:t>
      </w:r>
      <w:r w:rsidRPr="00C61ACE">
        <w:rPr>
          <w:lang w:eastAsia="ja-JP"/>
        </w:rPr>
        <w:t>=</w:t>
      </w:r>
      <w:r>
        <w:rPr>
          <w:lang w:eastAsia="ja-JP"/>
        </w:rPr>
        <w:t xml:space="preserve"> </w:t>
      </w:r>
      <w:r w:rsidRPr="00C61ACE">
        <w:rPr>
          <w:lang w:eastAsia="ja-JP"/>
        </w:rPr>
        <w:t>32).</w:t>
      </w:r>
    </w:p>
    <w:p w14:paraId="112F8759" w14:textId="1CE5A948" w:rsidR="00BF53ED" w:rsidRDefault="00BF53ED" w:rsidP="00BF53ED">
      <w:pPr>
        <w:pStyle w:val="ListBullet"/>
        <w:rPr>
          <w:lang w:eastAsia="ja-JP"/>
        </w:rPr>
      </w:pPr>
      <w:r w:rsidRPr="00C61ACE">
        <w:rPr>
          <w:lang w:eastAsia="ja-JP"/>
        </w:rPr>
        <w:t xml:space="preserve">Or </w:t>
      </w:r>
      <w:r w:rsidR="00726284" w:rsidRPr="00C61ACE">
        <w:rPr>
          <w:lang w:eastAsia="ja-JP"/>
        </w:rPr>
        <w:t>320</w:t>
      </w:r>
      <w:r w:rsidR="00726284">
        <w:rPr>
          <w:lang w:eastAsia="ja-JP"/>
        </w:rPr>
        <w:t xml:space="preserve"> </w:t>
      </w:r>
      <w:r w:rsidR="00726284" w:rsidRPr="00C61ACE">
        <w:rPr>
          <w:lang w:eastAsia="ja-JP"/>
        </w:rPr>
        <w:t>mg</w:t>
      </w:r>
      <w:r w:rsidR="00726284">
        <w:rPr>
          <w:lang w:eastAsia="ja-JP"/>
        </w:rPr>
        <w:t xml:space="preserve"> </w:t>
      </w:r>
      <w:proofErr w:type="spellStart"/>
      <w:r w:rsidRPr="00C61ACE">
        <w:rPr>
          <w:lang w:eastAsia="ja-JP"/>
        </w:rPr>
        <w:t>bimekizumab</w:t>
      </w:r>
      <w:proofErr w:type="spellEnd"/>
      <w:r w:rsidRPr="00C61ACE">
        <w:rPr>
          <w:lang w:eastAsia="ja-JP"/>
        </w:rPr>
        <w:t xml:space="preserve"> </w:t>
      </w:r>
      <w:r w:rsidR="00726284">
        <w:rPr>
          <w:lang w:eastAsia="ja-JP"/>
        </w:rPr>
        <w:t>switched over to 320 mg</w:t>
      </w:r>
      <w:r w:rsidRPr="00C61ACE">
        <w:rPr>
          <w:lang w:eastAsia="ja-JP"/>
        </w:rPr>
        <w:t xml:space="preserve"> </w:t>
      </w:r>
      <w:proofErr w:type="spellStart"/>
      <w:r w:rsidRPr="00C61ACE">
        <w:rPr>
          <w:lang w:eastAsia="ja-JP"/>
        </w:rPr>
        <w:t>bimekizumab</w:t>
      </w:r>
      <w:proofErr w:type="spellEnd"/>
      <w:r w:rsidRPr="00C61ACE">
        <w:rPr>
          <w:lang w:eastAsia="ja-JP"/>
        </w:rPr>
        <w:t xml:space="preserve"> administered </w:t>
      </w:r>
      <w:r>
        <w:rPr>
          <w:lang w:eastAsia="ja-JP"/>
        </w:rPr>
        <w:t>subcutaneously</w:t>
      </w:r>
      <w:r w:rsidRPr="00C61ACE">
        <w:rPr>
          <w:lang w:eastAsia="ja-JP"/>
        </w:rPr>
        <w:t xml:space="preserve"> at Baseline and Weeks 4 and 16 (N</w:t>
      </w:r>
      <w:r>
        <w:rPr>
          <w:lang w:eastAsia="ja-JP"/>
        </w:rPr>
        <w:t xml:space="preserve"> </w:t>
      </w:r>
      <w:r w:rsidRPr="00C61ACE">
        <w:rPr>
          <w:lang w:eastAsia="ja-JP"/>
        </w:rPr>
        <w:t>=</w:t>
      </w:r>
      <w:r>
        <w:rPr>
          <w:lang w:eastAsia="ja-JP"/>
        </w:rPr>
        <w:t xml:space="preserve"> </w:t>
      </w:r>
      <w:r w:rsidRPr="00C61ACE">
        <w:rPr>
          <w:lang w:eastAsia="ja-JP"/>
        </w:rPr>
        <w:t>17).</w:t>
      </w:r>
    </w:p>
    <w:p w14:paraId="4F963534" w14:textId="0C3D964A" w:rsidR="00BF53ED" w:rsidRDefault="00BF53ED" w:rsidP="00BF53ED">
      <w:pPr>
        <w:rPr>
          <w:lang w:eastAsia="ja-JP"/>
        </w:rPr>
      </w:pPr>
      <w:r>
        <w:rPr>
          <w:lang w:eastAsia="ja-JP"/>
        </w:rPr>
        <w:t>Plasma concentrations were similar in both dose groups and were in the ranges that may be predicted by the results in Study PS0010.</w:t>
      </w:r>
    </w:p>
    <w:p w14:paraId="333E2BE4" w14:textId="56358984" w:rsidR="00BF53ED" w:rsidRDefault="00BF53ED" w:rsidP="00726284">
      <w:pPr>
        <w:pStyle w:val="FigureTitle"/>
      </w:pPr>
      <w:bookmarkStart w:id="62" w:name="_Ref128650227"/>
      <w:r w:rsidRPr="00726284">
        <w:lastRenderedPageBreak/>
        <w:t xml:space="preserve">Figure </w:t>
      </w:r>
      <w:r w:rsidR="00172397">
        <w:fldChar w:fldCharType="begin"/>
      </w:r>
      <w:r w:rsidR="00172397">
        <w:instrText xml:space="preserve"> SEQ Figure \* ARABIC </w:instrText>
      </w:r>
      <w:r w:rsidR="00172397">
        <w:fldChar w:fldCharType="separate"/>
      </w:r>
      <w:r w:rsidR="00B54079">
        <w:rPr>
          <w:noProof/>
        </w:rPr>
        <w:t>8</w:t>
      </w:r>
      <w:r w:rsidR="00172397">
        <w:rPr>
          <w:noProof/>
        </w:rPr>
        <w:fldChar w:fldCharType="end"/>
      </w:r>
      <w:bookmarkEnd w:id="62"/>
      <w:r w:rsidRPr="00726284">
        <w:t>:</w:t>
      </w:r>
      <w:r>
        <w:t xml:space="preserve"> </w:t>
      </w:r>
      <w:r w:rsidR="00807B99">
        <w:t xml:space="preserve">Study PS0016 </w:t>
      </w:r>
      <w:proofErr w:type="spellStart"/>
      <w:r w:rsidR="00807B99">
        <w:t>B</w:t>
      </w:r>
      <w:r w:rsidR="00807B99" w:rsidRPr="00BF53ED">
        <w:t>imekizumab</w:t>
      </w:r>
      <w:proofErr w:type="spellEnd"/>
      <w:r w:rsidR="00807B99" w:rsidRPr="00BF53ED">
        <w:t xml:space="preserve"> </w:t>
      </w:r>
      <w:r w:rsidR="00807B99">
        <w:t>g</w:t>
      </w:r>
      <w:r w:rsidRPr="00BF53ED">
        <w:t xml:space="preserve">eometric mean plasma concentrations of </w:t>
      </w:r>
      <w:r w:rsidR="004858E7">
        <w:t>versus</w:t>
      </w:r>
      <w:r w:rsidRPr="00BF53ED">
        <w:t xml:space="preserve"> scheduled time by treatment</w:t>
      </w:r>
      <w:r w:rsidR="00807B99">
        <w:t xml:space="preserve"> (with 95% confidence intervals)</w:t>
      </w:r>
    </w:p>
    <w:p w14:paraId="661A6EF3" w14:textId="6888CBBA" w:rsidR="00BF53ED" w:rsidRDefault="00BF53ED" w:rsidP="00BF53ED">
      <w:r w:rsidRPr="00815876">
        <w:rPr>
          <w:noProof/>
          <w:lang w:val="en-GB" w:eastAsia="en-GB"/>
        </w:rPr>
        <w:drawing>
          <wp:inline distT="0" distB="0" distL="0" distR="0" wp14:anchorId="1A8A0A8B" wp14:editId="3210C1E8">
            <wp:extent cx="5316220" cy="2567940"/>
            <wp:effectExtent l="0" t="0" r="0" b="3810"/>
            <wp:docPr id="26" name="Picture 26" descr="Geometric mean (with 95% CI) plasma concentrations of bimekizumab versus scheduled time by treat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eometric mean (with 95% CI) plasma concentrations of bimekizumab versus scheduled time by treatment."/>
                    <pic:cNvPicPr>
                      <a:picLocks noChangeAspect="1" noChangeArrowheads="1"/>
                    </pic:cNvPicPr>
                  </pic:nvPicPr>
                  <pic:blipFill rotWithShape="1">
                    <a:blip r:embed="rId25">
                      <a:extLst>
                        <a:ext uri="{28A0092B-C50C-407E-A947-70E740481C1C}">
                          <a14:useLocalDpi xmlns:a14="http://schemas.microsoft.com/office/drawing/2010/main" val="0"/>
                        </a:ext>
                      </a:extLst>
                    </a:blip>
                    <a:srcRect l="1" r="1535"/>
                    <a:stretch/>
                  </pic:blipFill>
                  <pic:spPr bwMode="auto">
                    <a:xfrm>
                      <a:off x="0" y="0"/>
                      <a:ext cx="5317170" cy="2568399"/>
                    </a:xfrm>
                    <a:prstGeom prst="rect">
                      <a:avLst/>
                    </a:prstGeom>
                    <a:noFill/>
                    <a:ln>
                      <a:noFill/>
                    </a:ln>
                    <a:extLst>
                      <a:ext uri="{53640926-AAD7-44D8-BBD7-CCE9431645EC}">
                        <a14:shadowObscured xmlns:a14="http://schemas.microsoft.com/office/drawing/2010/main"/>
                      </a:ext>
                    </a:extLst>
                  </pic:spPr>
                </pic:pic>
              </a:graphicData>
            </a:graphic>
          </wp:inline>
        </w:drawing>
      </w:r>
    </w:p>
    <w:p w14:paraId="62FC9E8C" w14:textId="06CAD765" w:rsidR="00726284" w:rsidRDefault="00726284" w:rsidP="00726284">
      <w:pPr>
        <w:pStyle w:val="FigureDescription"/>
      </w:pPr>
      <w:r>
        <w:t xml:space="preserve">Abbreviation: BKZ = </w:t>
      </w:r>
      <w:proofErr w:type="spellStart"/>
      <w:r>
        <w:t>bimekizumab</w:t>
      </w:r>
      <w:proofErr w:type="spellEnd"/>
      <w:r>
        <w:t>; PBO = placebo</w:t>
      </w:r>
    </w:p>
    <w:p w14:paraId="6777E03D" w14:textId="6F5EC04D" w:rsidR="00BF53ED" w:rsidRDefault="00BF53ED" w:rsidP="00BF53ED">
      <w:r>
        <w:t xml:space="preserve">The Delegate commented that </w:t>
      </w:r>
      <w:r>
        <w:fldChar w:fldCharType="begin"/>
      </w:r>
      <w:r>
        <w:instrText xml:space="preserve"> REF _Ref128650227 \h </w:instrText>
      </w:r>
      <w:r>
        <w:fldChar w:fldCharType="separate"/>
      </w:r>
      <w:r w:rsidR="00B54079" w:rsidRPr="00726284">
        <w:t xml:space="preserve">Figure </w:t>
      </w:r>
      <w:r w:rsidR="00B54079">
        <w:rPr>
          <w:noProof/>
        </w:rPr>
        <w:t>8</w:t>
      </w:r>
      <w:r>
        <w:fldChar w:fldCharType="end"/>
      </w:r>
      <w:r>
        <w:t xml:space="preserve"> depicts the tendency of </w:t>
      </w:r>
      <w:proofErr w:type="spellStart"/>
      <w:r>
        <w:t>bimekizumab</w:t>
      </w:r>
      <w:proofErr w:type="spellEnd"/>
      <w:r>
        <w:t xml:space="preserve"> to fall weekly, edging close to zero, 3 months after the second dose at Week 4 and, rising again post the dose at Week 16. The above plasma concentrations of </w:t>
      </w:r>
      <w:proofErr w:type="spellStart"/>
      <w:r>
        <w:t>bimekizumab</w:t>
      </w:r>
      <w:proofErr w:type="spellEnd"/>
      <w:r>
        <w:t xml:space="preserve"> versus scheduled time appears to vindicate the proposed 4</w:t>
      </w:r>
      <w:r w:rsidR="00726284">
        <w:t>-</w:t>
      </w:r>
      <w:r>
        <w:t>weekly dosing regimen, followed by the 8-weekly regimen.</w:t>
      </w:r>
    </w:p>
    <w:p w14:paraId="672E5A7A" w14:textId="18D2972A" w:rsidR="00807B99" w:rsidRDefault="00807B99" w:rsidP="006E7089">
      <w:pPr>
        <w:pStyle w:val="Heading6"/>
      </w:pPr>
      <w:r>
        <w:t>Study PS0018</w:t>
      </w:r>
    </w:p>
    <w:p w14:paraId="103710C7" w14:textId="2F431445" w:rsidR="00BF53ED" w:rsidRPr="00BF53ED" w:rsidRDefault="00BF53ED" w:rsidP="00BF53ED">
      <w:pPr>
        <w:rPr>
          <w:lang w:eastAsia="ja-JP"/>
        </w:rPr>
      </w:pPr>
      <w:r w:rsidRPr="00BF53ED">
        <w:rPr>
          <w:lang w:eastAsia="ja-JP"/>
        </w:rPr>
        <w:t xml:space="preserve">Study PS0018 was a </w:t>
      </w:r>
      <w:proofErr w:type="gramStart"/>
      <w:r w:rsidRPr="00BF53ED">
        <w:rPr>
          <w:lang w:eastAsia="ja-JP"/>
        </w:rPr>
        <w:t>48</w:t>
      </w:r>
      <w:r w:rsidR="00726284">
        <w:rPr>
          <w:lang w:eastAsia="ja-JP"/>
        </w:rPr>
        <w:t xml:space="preserve"> </w:t>
      </w:r>
      <w:r w:rsidRPr="00BF53ED">
        <w:rPr>
          <w:lang w:eastAsia="ja-JP"/>
        </w:rPr>
        <w:t>week</w:t>
      </w:r>
      <w:proofErr w:type="gramEnd"/>
      <w:r w:rsidRPr="00BF53ED">
        <w:rPr>
          <w:lang w:eastAsia="ja-JP"/>
        </w:rPr>
        <w:t xml:space="preserve"> open label extension to </w:t>
      </w:r>
      <w:r w:rsidR="006B5446">
        <w:rPr>
          <w:lang w:eastAsia="ja-JP"/>
        </w:rPr>
        <w:t>S</w:t>
      </w:r>
      <w:r w:rsidRPr="00BF53ED">
        <w:rPr>
          <w:lang w:eastAsia="ja-JP"/>
        </w:rPr>
        <w:t xml:space="preserve">tudy PS0016. In total, 43 study participants were enrolled to </w:t>
      </w:r>
      <w:r>
        <w:rPr>
          <w:lang w:eastAsia="ja-JP"/>
        </w:rPr>
        <w:t xml:space="preserve">Study </w:t>
      </w:r>
      <w:r w:rsidRPr="00BF53ED">
        <w:rPr>
          <w:lang w:eastAsia="ja-JP"/>
        </w:rPr>
        <w:t xml:space="preserve">PS0018 and received </w:t>
      </w:r>
      <w:proofErr w:type="spellStart"/>
      <w:r w:rsidRPr="00BF53ED">
        <w:rPr>
          <w:lang w:eastAsia="ja-JP"/>
        </w:rPr>
        <w:t>bimekizumab</w:t>
      </w:r>
      <w:proofErr w:type="spellEnd"/>
      <w:r w:rsidRPr="00BF53ED">
        <w:rPr>
          <w:lang w:eastAsia="ja-JP"/>
        </w:rPr>
        <w:t xml:space="preserve"> 160</w:t>
      </w:r>
      <w:r>
        <w:rPr>
          <w:lang w:eastAsia="ja-JP"/>
        </w:rPr>
        <w:t> </w:t>
      </w:r>
      <w:r w:rsidRPr="00BF53ED">
        <w:rPr>
          <w:lang w:eastAsia="ja-JP"/>
        </w:rPr>
        <w:t>mg 4-weekly with an option to increase to 320</w:t>
      </w:r>
      <w:r>
        <w:rPr>
          <w:lang w:eastAsia="ja-JP"/>
        </w:rPr>
        <w:t> </w:t>
      </w:r>
      <w:r w:rsidRPr="00BF53ED">
        <w:rPr>
          <w:lang w:eastAsia="ja-JP"/>
        </w:rPr>
        <w:t xml:space="preserve">mg </w:t>
      </w:r>
      <w:r>
        <w:rPr>
          <w:lang w:eastAsia="ja-JP"/>
        </w:rPr>
        <w:t>subcutaneously</w:t>
      </w:r>
      <w:r w:rsidRPr="00BF53ED">
        <w:rPr>
          <w:lang w:eastAsia="ja-JP"/>
        </w:rPr>
        <w:t>, depending on response to treatment.</w:t>
      </w:r>
      <w:r>
        <w:rPr>
          <w:lang w:eastAsia="ja-JP"/>
        </w:rPr>
        <w:t xml:space="preserve"> </w:t>
      </w:r>
      <w:r w:rsidRPr="00BF53ED">
        <w:rPr>
          <w:lang w:eastAsia="ja-JP"/>
        </w:rPr>
        <w:t>Plasma concentrations were within the expected ranges demonstrated in other studies that had PK as an endpoint.</w:t>
      </w:r>
    </w:p>
    <w:p w14:paraId="29919DA1" w14:textId="3B1DAF74" w:rsidR="00BF53ED" w:rsidRDefault="006B5446" w:rsidP="006B5446">
      <w:r>
        <w:t xml:space="preserve">The clinical </w:t>
      </w:r>
      <w:r w:rsidR="00807B99">
        <w:t xml:space="preserve">evaluation </w:t>
      </w:r>
      <w:r>
        <w:t>noted that pharmacokinetic parameters were also investigated as part of the three Phase III studies evaluated and, the results are included in the population PK analysis below.</w:t>
      </w:r>
    </w:p>
    <w:p w14:paraId="0BAB0E61" w14:textId="18B0BB68" w:rsidR="006B5446" w:rsidRPr="008749F3" w:rsidRDefault="00807B99" w:rsidP="0020426F">
      <w:pPr>
        <w:pStyle w:val="Heading5"/>
      </w:pPr>
      <w:r>
        <w:t>Pharmacokinetics in s</w:t>
      </w:r>
      <w:r w:rsidR="006B5446" w:rsidRPr="008749F3">
        <w:t>pecial populations</w:t>
      </w:r>
    </w:p>
    <w:p w14:paraId="36FC16AE" w14:textId="77777777" w:rsidR="00807B99" w:rsidRDefault="0020426F">
      <w:pPr>
        <w:pStyle w:val="Heading6"/>
      </w:pPr>
      <w:bookmarkStart w:id="63" w:name="_Toc272414631"/>
      <w:bookmarkStart w:id="64" w:name="_Toc290888480"/>
      <w:bookmarkStart w:id="65" w:name="_Toc416353676"/>
      <w:r w:rsidRPr="00175D3E">
        <w:t>Genetic factors</w:t>
      </w:r>
    </w:p>
    <w:p w14:paraId="08211256" w14:textId="2895B98C" w:rsidR="00807B99" w:rsidRPr="00EA20FE" w:rsidRDefault="00807B99" w:rsidP="006E7089">
      <w:pPr>
        <w:pStyle w:val="Heading7"/>
      </w:pPr>
      <w:r w:rsidRPr="006E7089">
        <w:rPr>
          <w:i/>
          <w:sz w:val="22"/>
        </w:rPr>
        <w:t>Study UP0042</w:t>
      </w:r>
    </w:p>
    <w:p w14:paraId="13BAA036" w14:textId="60957EED" w:rsidR="006B5446" w:rsidRPr="00175D3E" w:rsidRDefault="006B5446" w:rsidP="0020426F">
      <w:pPr>
        <w:rPr>
          <w:lang w:eastAsia="ja-JP"/>
        </w:rPr>
      </w:pPr>
      <w:r w:rsidRPr="00175D3E">
        <w:rPr>
          <w:lang w:eastAsia="ja-JP"/>
        </w:rPr>
        <w:t>Study UP0042 which investigated the PK in Japanese and Caucasian subjects, found that differences in body weight between the two racial groups showed no significant different effect on PK parameters for the two groups</w:t>
      </w:r>
      <w:r>
        <w:rPr>
          <w:lang w:eastAsia="ja-JP"/>
        </w:rPr>
        <w:t xml:space="preserve"> </w:t>
      </w:r>
      <w:r w:rsidR="0020426F">
        <w:rPr>
          <w:lang w:eastAsia="ja-JP"/>
        </w:rPr>
        <w:t>that is</w:t>
      </w:r>
      <w:r>
        <w:rPr>
          <w:lang w:eastAsia="ja-JP"/>
        </w:rPr>
        <w:t xml:space="preserve"> equally affected</w:t>
      </w:r>
      <w:r w:rsidRPr="00175D3E">
        <w:rPr>
          <w:lang w:eastAsia="ja-JP"/>
        </w:rPr>
        <w:t xml:space="preserve">. </w:t>
      </w:r>
    </w:p>
    <w:p w14:paraId="79A10251" w14:textId="36BD9D83" w:rsidR="006B5446" w:rsidRPr="00175D3E" w:rsidRDefault="006B5446" w:rsidP="0020426F">
      <w:pPr>
        <w:pStyle w:val="Heading5"/>
      </w:pPr>
      <w:r w:rsidRPr="00175D3E">
        <w:t>Other special population/with other population characteristic</w:t>
      </w:r>
      <w:bookmarkEnd w:id="63"/>
      <w:bookmarkEnd w:id="64"/>
      <w:bookmarkEnd w:id="65"/>
      <w:r w:rsidR="00807B99">
        <w:t>s</w:t>
      </w:r>
    </w:p>
    <w:p w14:paraId="30E2E14D" w14:textId="5FB64EF5" w:rsidR="006B5446" w:rsidRDefault="006B5446" w:rsidP="0020426F">
      <w:pPr>
        <w:pStyle w:val="Heading6"/>
      </w:pPr>
      <w:r w:rsidRPr="00E552F7">
        <w:t xml:space="preserve">Body </w:t>
      </w:r>
      <w:r w:rsidR="00807B99">
        <w:t>w</w:t>
      </w:r>
      <w:r w:rsidRPr="00E552F7">
        <w:t>eight</w:t>
      </w:r>
    </w:p>
    <w:p w14:paraId="512DB1ED" w14:textId="5BBC291A" w:rsidR="006B5446" w:rsidRPr="001B56E4" w:rsidRDefault="006B5446" w:rsidP="0020426F">
      <w:r w:rsidRPr="001B56E4">
        <w:t xml:space="preserve">The </w:t>
      </w:r>
      <w:r w:rsidR="00807B99">
        <w:t>population pharmacokinetic (</w:t>
      </w:r>
      <w:proofErr w:type="spellStart"/>
      <w:r w:rsidR="0020426F">
        <w:t>p</w:t>
      </w:r>
      <w:r w:rsidRPr="001B56E4">
        <w:t>op</w:t>
      </w:r>
      <w:r w:rsidR="009F5C1C">
        <w:t>PK</w:t>
      </w:r>
      <w:proofErr w:type="spellEnd"/>
      <w:r w:rsidR="00807B99">
        <w:t>)</w:t>
      </w:r>
      <w:r w:rsidRPr="001B56E4">
        <w:t xml:space="preserve"> analysis described below identified body weight as a covariate effecting bioavailability.</w:t>
      </w:r>
    </w:p>
    <w:p w14:paraId="610FB1AE" w14:textId="6398464E" w:rsidR="006B5446" w:rsidRPr="001B56E4" w:rsidRDefault="006B5446" w:rsidP="0020426F">
      <w:pPr>
        <w:pStyle w:val="Heading6"/>
        <w:rPr>
          <w:lang w:eastAsia="ja-JP"/>
        </w:rPr>
      </w:pPr>
      <w:r w:rsidRPr="001B56E4">
        <w:rPr>
          <w:lang w:eastAsia="ja-JP"/>
        </w:rPr>
        <w:t>Anti-drug antibodies</w:t>
      </w:r>
    </w:p>
    <w:p w14:paraId="1A262D79" w14:textId="27386199" w:rsidR="006B5446" w:rsidRPr="001B56E4" w:rsidRDefault="006B5446" w:rsidP="0020426F">
      <w:r w:rsidRPr="001B56E4">
        <w:rPr>
          <w:lang w:eastAsia="ja-JP"/>
        </w:rPr>
        <w:t>Treatment</w:t>
      </w:r>
      <w:r w:rsidR="009F5C1C">
        <w:rPr>
          <w:lang w:eastAsia="ja-JP"/>
        </w:rPr>
        <w:t xml:space="preserve"> </w:t>
      </w:r>
      <w:r w:rsidRPr="001B56E4">
        <w:rPr>
          <w:lang w:eastAsia="ja-JP"/>
        </w:rPr>
        <w:t xml:space="preserve">emergent </w:t>
      </w:r>
      <w:r w:rsidR="0020426F">
        <w:rPr>
          <w:lang w:eastAsia="ja-JP"/>
        </w:rPr>
        <w:t xml:space="preserve">anti-drug </w:t>
      </w:r>
      <w:r w:rsidR="004858E7">
        <w:rPr>
          <w:lang w:eastAsia="ja-JP"/>
        </w:rPr>
        <w:t>a</w:t>
      </w:r>
      <w:r w:rsidR="0020426F">
        <w:rPr>
          <w:lang w:eastAsia="ja-JP"/>
        </w:rPr>
        <w:t>ntibodies</w:t>
      </w:r>
      <w:r w:rsidRPr="001B56E4">
        <w:rPr>
          <w:lang w:eastAsia="ja-JP"/>
        </w:rPr>
        <w:t xml:space="preserve"> occurred as early as 4 weeks post first dose </w:t>
      </w:r>
      <w:r w:rsidR="009F5C1C">
        <w:rPr>
          <w:lang w:eastAsia="ja-JP"/>
        </w:rPr>
        <w:t>(</w:t>
      </w:r>
      <w:r w:rsidR="0020426F">
        <w:rPr>
          <w:lang w:eastAsia="ja-JP"/>
        </w:rPr>
        <w:t>that is</w:t>
      </w:r>
      <w:r w:rsidRPr="001B56E4">
        <w:rPr>
          <w:lang w:eastAsia="ja-JP"/>
        </w:rPr>
        <w:t xml:space="preserve"> baseline dose</w:t>
      </w:r>
      <w:r w:rsidR="009F5C1C">
        <w:rPr>
          <w:lang w:eastAsia="ja-JP"/>
        </w:rPr>
        <w:t>)</w:t>
      </w:r>
      <w:r w:rsidRPr="001B56E4">
        <w:rPr>
          <w:lang w:eastAsia="ja-JP"/>
        </w:rPr>
        <w:t xml:space="preserve"> at the first </w:t>
      </w:r>
      <w:r w:rsidR="004858E7">
        <w:rPr>
          <w:lang w:eastAsia="ja-JP"/>
        </w:rPr>
        <w:t>anti-drug antibodies</w:t>
      </w:r>
      <w:r w:rsidRPr="001B56E4">
        <w:rPr>
          <w:lang w:eastAsia="ja-JP"/>
        </w:rPr>
        <w:t xml:space="preserve"> sampling time point, and cumulative counts increased over time thereafter.</w:t>
      </w:r>
    </w:p>
    <w:p w14:paraId="567123D8" w14:textId="67ABB253" w:rsidR="006B5446" w:rsidRDefault="006B5446" w:rsidP="0020426F">
      <w:r w:rsidRPr="001B56E4">
        <w:rPr>
          <w:lang w:eastAsia="ja-JP"/>
        </w:rPr>
        <w:lastRenderedPageBreak/>
        <w:t xml:space="preserve">The PK of </w:t>
      </w:r>
      <w:proofErr w:type="spellStart"/>
      <w:r w:rsidRPr="001B56E4">
        <w:rPr>
          <w:lang w:eastAsia="ja-JP"/>
        </w:rPr>
        <w:t>bimekizumab</w:t>
      </w:r>
      <w:proofErr w:type="spellEnd"/>
      <w:r w:rsidRPr="001B56E4">
        <w:rPr>
          <w:lang w:eastAsia="ja-JP"/>
        </w:rPr>
        <w:t xml:space="preserve"> is impacted in the presence of </w:t>
      </w:r>
      <w:r w:rsidR="004858E7">
        <w:rPr>
          <w:lang w:eastAsia="ja-JP"/>
        </w:rPr>
        <w:t>anti-drug antibodies</w:t>
      </w:r>
      <w:r w:rsidRPr="001B56E4">
        <w:rPr>
          <w:lang w:eastAsia="ja-JP"/>
        </w:rPr>
        <w:t xml:space="preserve">, with a slightly lower </w:t>
      </w:r>
      <w:proofErr w:type="spellStart"/>
      <w:r w:rsidRPr="001B56E4">
        <w:rPr>
          <w:lang w:eastAsia="ja-JP"/>
        </w:rPr>
        <w:t>bimekizumab</w:t>
      </w:r>
      <w:proofErr w:type="spellEnd"/>
      <w:r w:rsidRPr="001B56E4">
        <w:rPr>
          <w:lang w:eastAsia="ja-JP"/>
        </w:rPr>
        <w:t xml:space="preserve"> plasma concentration and an 8% higher apparent clearance in </w:t>
      </w:r>
      <w:r w:rsidR="004858E7">
        <w:rPr>
          <w:lang w:eastAsia="ja-JP"/>
        </w:rPr>
        <w:t>anti</w:t>
      </w:r>
      <w:r w:rsidR="009F5C1C">
        <w:rPr>
          <w:lang w:eastAsia="ja-JP"/>
        </w:rPr>
        <w:noBreakHyphen/>
      </w:r>
      <w:r w:rsidR="004858E7">
        <w:rPr>
          <w:lang w:eastAsia="ja-JP"/>
        </w:rPr>
        <w:t>drug antibod</w:t>
      </w:r>
      <w:r w:rsidR="00807B99">
        <w:rPr>
          <w:lang w:eastAsia="ja-JP"/>
        </w:rPr>
        <w:t>y</w:t>
      </w:r>
      <w:r w:rsidRPr="001B56E4">
        <w:rPr>
          <w:lang w:eastAsia="ja-JP"/>
        </w:rPr>
        <w:t xml:space="preserve">-positive compared with </w:t>
      </w:r>
      <w:r w:rsidR="004858E7">
        <w:rPr>
          <w:lang w:eastAsia="ja-JP"/>
        </w:rPr>
        <w:t>anti-drug antibod</w:t>
      </w:r>
      <w:r w:rsidR="00807B99">
        <w:rPr>
          <w:lang w:eastAsia="ja-JP"/>
        </w:rPr>
        <w:t>y-</w:t>
      </w:r>
      <w:r w:rsidRPr="001B56E4">
        <w:rPr>
          <w:lang w:eastAsia="ja-JP"/>
        </w:rPr>
        <w:t>negative study participants.</w:t>
      </w:r>
    </w:p>
    <w:p w14:paraId="35394796" w14:textId="6F632A2C" w:rsidR="006B5446" w:rsidRDefault="006B5446" w:rsidP="0020426F">
      <w:r w:rsidRPr="001B56E4">
        <w:rPr>
          <w:lang w:eastAsia="ja-JP"/>
        </w:rPr>
        <w:t xml:space="preserve">The PK of </w:t>
      </w:r>
      <w:proofErr w:type="spellStart"/>
      <w:r w:rsidRPr="001B56E4">
        <w:rPr>
          <w:lang w:eastAsia="ja-JP"/>
        </w:rPr>
        <w:t>bimekizumab</w:t>
      </w:r>
      <w:proofErr w:type="spellEnd"/>
      <w:r w:rsidRPr="001B56E4">
        <w:rPr>
          <w:lang w:eastAsia="ja-JP"/>
        </w:rPr>
        <w:t xml:space="preserve"> was also impacted in the presence of antibodies with neutrali</w:t>
      </w:r>
      <w:r w:rsidR="009F5C1C">
        <w:rPr>
          <w:lang w:eastAsia="ja-JP"/>
        </w:rPr>
        <w:t>s</w:t>
      </w:r>
      <w:r w:rsidRPr="001B56E4">
        <w:rPr>
          <w:lang w:eastAsia="ja-JP"/>
        </w:rPr>
        <w:t>ing antibody activity, and the impact of</w:t>
      </w:r>
      <w:r w:rsidR="009F5C1C">
        <w:rPr>
          <w:lang w:eastAsia="ja-JP"/>
        </w:rPr>
        <w:t xml:space="preserve"> </w:t>
      </w:r>
      <w:r w:rsidR="009F5C1C" w:rsidRPr="001B56E4">
        <w:rPr>
          <w:lang w:eastAsia="ja-JP"/>
        </w:rPr>
        <w:t>with neutrali</w:t>
      </w:r>
      <w:r w:rsidR="009F5C1C">
        <w:rPr>
          <w:lang w:eastAsia="ja-JP"/>
        </w:rPr>
        <w:t>s</w:t>
      </w:r>
      <w:r w:rsidR="009F5C1C" w:rsidRPr="001B56E4">
        <w:rPr>
          <w:lang w:eastAsia="ja-JP"/>
        </w:rPr>
        <w:t>ing antibody</w:t>
      </w:r>
      <w:r w:rsidRPr="001B56E4">
        <w:rPr>
          <w:lang w:eastAsia="ja-JP"/>
        </w:rPr>
        <w:t xml:space="preserve"> on PK was larger than for </w:t>
      </w:r>
      <w:r w:rsidR="004858E7">
        <w:rPr>
          <w:lang w:eastAsia="ja-JP"/>
        </w:rPr>
        <w:t>anti-drug antibodies</w:t>
      </w:r>
      <w:r w:rsidRPr="001B56E4">
        <w:rPr>
          <w:lang w:eastAsia="ja-JP"/>
        </w:rPr>
        <w:t xml:space="preserve"> positivity.</w:t>
      </w:r>
      <w:bookmarkStart w:id="66" w:name="_Toc416353677"/>
      <w:bookmarkStart w:id="67" w:name="_Toc421005247"/>
      <w:bookmarkStart w:id="68" w:name="_Toc432079129"/>
      <w:bookmarkStart w:id="69" w:name="_Toc432080702"/>
    </w:p>
    <w:p w14:paraId="3F388F2B" w14:textId="6B7FDC02" w:rsidR="006B5446" w:rsidRPr="00A84452" w:rsidRDefault="006B5446" w:rsidP="0020426F">
      <w:pPr>
        <w:pStyle w:val="Heading5"/>
      </w:pPr>
      <w:r w:rsidRPr="00A84452">
        <w:t xml:space="preserve">Population </w:t>
      </w:r>
      <w:bookmarkEnd w:id="66"/>
      <w:bookmarkEnd w:id="67"/>
      <w:bookmarkEnd w:id="68"/>
      <w:bookmarkEnd w:id="69"/>
      <w:r w:rsidRPr="00A84452">
        <w:t>pharmacokinetics</w:t>
      </w:r>
    </w:p>
    <w:p w14:paraId="0AA11B8C" w14:textId="1CFBA595" w:rsidR="006B5446" w:rsidRPr="005958B5" w:rsidRDefault="006B5446" w:rsidP="000709C7">
      <w:pPr>
        <w:rPr>
          <w:lang w:eastAsia="ja-JP"/>
        </w:rPr>
      </w:pPr>
      <w:r w:rsidRPr="00A84452">
        <w:rPr>
          <w:lang w:eastAsia="ja-JP"/>
        </w:rPr>
        <w:t xml:space="preserve">The </w:t>
      </w:r>
      <w:r w:rsidR="0020426F">
        <w:rPr>
          <w:lang w:eastAsia="ja-JP"/>
        </w:rPr>
        <w:t xml:space="preserve">sponsor </w:t>
      </w:r>
      <w:r w:rsidRPr="00A84452">
        <w:rPr>
          <w:lang w:eastAsia="ja-JP"/>
        </w:rPr>
        <w:t xml:space="preserve">undertook three </w:t>
      </w:r>
      <w:proofErr w:type="spellStart"/>
      <w:r w:rsidRPr="00A84452">
        <w:rPr>
          <w:lang w:eastAsia="ja-JP"/>
        </w:rPr>
        <w:t>popPK</w:t>
      </w:r>
      <w:proofErr w:type="spellEnd"/>
      <w:r w:rsidRPr="00A84452">
        <w:rPr>
          <w:lang w:eastAsia="ja-JP"/>
        </w:rPr>
        <w:t xml:space="preserve"> analysis vi</w:t>
      </w:r>
      <w:r w:rsidR="000709C7">
        <w:rPr>
          <w:lang w:eastAsia="ja-JP"/>
        </w:rPr>
        <w:t xml:space="preserve">a </w:t>
      </w:r>
      <w:r w:rsidR="000709C7" w:rsidRPr="000709C7">
        <w:rPr>
          <w:lang w:eastAsia="ja-JP"/>
        </w:rPr>
        <w:t xml:space="preserve">Study </w:t>
      </w:r>
      <w:r w:rsidRPr="000709C7">
        <w:rPr>
          <w:lang w:eastAsia="ja-JP"/>
        </w:rPr>
        <w:t>CL0453 to estimate bioavailability</w:t>
      </w:r>
      <w:r w:rsidR="000709C7">
        <w:rPr>
          <w:lang w:eastAsia="ja-JP"/>
        </w:rPr>
        <w:t>;</w:t>
      </w:r>
      <w:r w:rsidR="000709C7" w:rsidRPr="000709C7">
        <w:rPr>
          <w:lang w:eastAsia="ja-JP"/>
        </w:rPr>
        <w:t xml:space="preserve"> Study </w:t>
      </w:r>
      <w:r w:rsidRPr="000709C7">
        <w:rPr>
          <w:lang w:eastAsia="ja-JP"/>
        </w:rPr>
        <w:t xml:space="preserve">CL0446 to establish the dose-exposure relationship between </w:t>
      </w:r>
      <w:proofErr w:type="spellStart"/>
      <w:r w:rsidRPr="000709C7">
        <w:rPr>
          <w:lang w:eastAsia="ja-JP"/>
        </w:rPr>
        <w:t>bimekizumab</w:t>
      </w:r>
      <w:proofErr w:type="spellEnd"/>
      <w:r w:rsidRPr="000709C7">
        <w:rPr>
          <w:lang w:eastAsia="ja-JP"/>
        </w:rPr>
        <w:t xml:space="preserve"> and response to the PASI at the end of Phase </w:t>
      </w:r>
      <w:r w:rsidR="000709C7" w:rsidRPr="000709C7">
        <w:rPr>
          <w:lang w:eastAsia="ja-JP"/>
        </w:rPr>
        <w:t>II</w:t>
      </w:r>
      <w:r w:rsidR="000709C7">
        <w:rPr>
          <w:lang w:eastAsia="ja-JP"/>
        </w:rPr>
        <w:t xml:space="preserve">; and </w:t>
      </w:r>
      <w:r w:rsidR="000709C7" w:rsidRPr="000709C7">
        <w:rPr>
          <w:lang w:eastAsia="ja-JP"/>
        </w:rPr>
        <w:t xml:space="preserve">Study </w:t>
      </w:r>
      <w:r w:rsidRPr="000709C7">
        <w:rPr>
          <w:lang w:eastAsia="ja-JP"/>
        </w:rPr>
        <w:t>CL0485 is an updated dose</w:t>
      </w:r>
      <w:r w:rsidR="009F5C1C">
        <w:rPr>
          <w:lang w:eastAsia="ja-JP"/>
        </w:rPr>
        <w:t xml:space="preserve"> </w:t>
      </w:r>
      <w:r w:rsidRPr="000709C7">
        <w:rPr>
          <w:lang w:eastAsia="ja-JP"/>
        </w:rPr>
        <w:t>exposure relationship analysis of PASI and</w:t>
      </w:r>
      <w:r w:rsidRPr="000709C7">
        <w:t xml:space="preserve"> </w:t>
      </w:r>
      <w:r w:rsidRPr="000709C7">
        <w:rPr>
          <w:lang w:eastAsia="ja-JP"/>
        </w:rPr>
        <w:t xml:space="preserve">Investigator’s Global Assessment (IGA) at the end of </w:t>
      </w:r>
      <w:r w:rsidR="000709C7" w:rsidRPr="000709C7">
        <w:rPr>
          <w:lang w:eastAsia="ja-JP"/>
        </w:rPr>
        <w:t>P</w:t>
      </w:r>
      <w:r w:rsidRPr="000709C7">
        <w:rPr>
          <w:lang w:eastAsia="ja-JP"/>
        </w:rPr>
        <w:t xml:space="preserve">hase </w:t>
      </w:r>
      <w:r w:rsidR="000709C7" w:rsidRPr="000709C7">
        <w:rPr>
          <w:lang w:eastAsia="ja-JP"/>
        </w:rPr>
        <w:t>III.</w:t>
      </w:r>
      <w:bookmarkStart w:id="70" w:name="_Toc421005248"/>
    </w:p>
    <w:p w14:paraId="2C5308F6" w14:textId="4759DF4D" w:rsidR="000709C7" w:rsidRDefault="003F210A" w:rsidP="000709C7">
      <w:pPr>
        <w:pStyle w:val="Heading6"/>
        <w:rPr>
          <w:lang w:eastAsia="ja-JP"/>
        </w:rPr>
      </w:pPr>
      <w:r>
        <w:rPr>
          <w:lang w:eastAsia="ja-JP"/>
        </w:rPr>
        <w:t xml:space="preserve">Analysis </w:t>
      </w:r>
      <w:r w:rsidR="000709C7">
        <w:rPr>
          <w:lang w:eastAsia="ja-JP"/>
        </w:rPr>
        <w:t>CL0453</w:t>
      </w:r>
    </w:p>
    <w:p w14:paraId="43D32A03" w14:textId="1F27184F" w:rsidR="003F210A" w:rsidRDefault="003F210A" w:rsidP="000709C7">
      <w:pPr>
        <w:rPr>
          <w:lang w:eastAsia="ja-JP"/>
        </w:rPr>
      </w:pPr>
      <w:r>
        <w:rPr>
          <w:lang w:eastAsia="ja-JP"/>
        </w:rPr>
        <w:t xml:space="preserve">Analysis </w:t>
      </w:r>
      <w:r w:rsidR="006B5446" w:rsidRPr="000709C7">
        <w:rPr>
          <w:lang w:eastAsia="ja-JP"/>
        </w:rPr>
        <w:t>CL0453 included</w:t>
      </w:r>
      <w:r w:rsidR="006B5446" w:rsidRPr="005F6409">
        <w:rPr>
          <w:lang w:eastAsia="ja-JP"/>
        </w:rPr>
        <w:t xml:space="preserve"> pooled data from the following </w:t>
      </w:r>
      <w:r w:rsidR="009F5C1C">
        <w:rPr>
          <w:lang w:eastAsia="ja-JP"/>
        </w:rPr>
        <w:t>S</w:t>
      </w:r>
      <w:r w:rsidR="006B5446" w:rsidRPr="005F6409">
        <w:rPr>
          <w:lang w:eastAsia="ja-JP"/>
        </w:rPr>
        <w:t xml:space="preserve">tudies UP0008, </w:t>
      </w:r>
      <w:r w:rsidR="009F5C1C">
        <w:rPr>
          <w:lang w:eastAsia="ja-JP"/>
        </w:rPr>
        <w:t>UP00</w:t>
      </w:r>
      <w:r w:rsidR="006B5446" w:rsidRPr="005F6409">
        <w:rPr>
          <w:lang w:eastAsia="ja-JP"/>
        </w:rPr>
        <w:t xml:space="preserve">31, </w:t>
      </w:r>
      <w:r w:rsidR="009F5C1C">
        <w:rPr>
          <w:lang w:eastAsia="ja-JP"/>
        </w:rPr>
        <w:t>UP00</w:t>
      </w:r>
      <w:r w:rsidR="006B5446" w:rsidRPr="005F6409">
        <w:rPr>
          <w:lang w:eastAsia="ja-JP"/>
        </w:rPr>
        <w:t>42 an</w:t>
      </w:r>
      <w:r w:rsidR="000709C7">
        <w:rPr>
          <w:lang w:eastAsia="ja-JP"/>
        </w:rPr>
        <w:t xml:space="preserve">d </w:t>
      </w:r>
      <w:r w:rsidR="006B5446" w:rsidRPr="005F6409">
        <w:rPr>
          <w:lang w:eastAsia="ja-JP"/>
        </w:rPr>
        <w:t>RA0124 and, includes data from 104 subjects.</w:t>
      </w:r>
    </w:p>
    <w:p w14:paraId="61AA8DE4" w14:textId="3F99AD67" w:rsidR="006B5446" w:rsidRPr="005F6409" w:rsidRDefault="003F210A" w:rsidP="000709C7">
      <w:pPr>
        <w:rPr>
          <w:lang w:eastAsia="ja-JP"/>
        </w:rPr>
      </w:pPr>
      <w:r>
        <w:rPr>
          <w:lang w:eastAsia="ja-JP"/>
        </w:rPr>
        <w:t>Findings from the estimation of the</w:t>
      </w:r>
      <w:r w:rsidR="006B5446" w:rsidRPr="005F6409">
        <w:rPr>
          <w:lang w:eastAsia="ja-JP"/>
        </w:rPr>
        <w:t xml:space="preserve"> </w:t>
      </w:r>
      <w:r>
        <w:rPr>
          <w:lang w:eastAsia="ja-JP"/>
        </w:rPr>
        <w:t>key</w:t>
      </w:r>
      <w:r w:rsidRPr="005F6409">
        <w:rPr>
          <w:lang w:eastAsia="ja-JP"/>
        </w:rPr>
        <w:t xml:space="preserve"> </w:t>
      </w:r>
      <w:r w:rsidR="006B5446" w:rsidRPr="005F6409">
        <w:rPr>
          <w:lang w:eastAsia="ja-JP"/>
        </w:rPr>
        <w:t>parameter</w:t>
      </w:r>
      <w:r>
        <w:rPr>
          <w:lang w:eastAsia="ja-JP"/>
        </w:rPr>
        <w:t>s are as follows:</w:t>
      </w:r>
    </w:p>
    <w:p w14:paraId="472CDD3C" w14:textId="4B281242" w:rsidR="006B5446" w:rsidRPr="005F6409" w:rsidRDefault="000709C7" w:rsidP="000709C7">
      <w:pPr>
        <w:pStyle w:val="ListBullet"/>
        <w:rPr>
          <w:lang w:eastAsia="ja-JP"/>
        </w:rPr>
      </w:pPr>
      <w:r>
        <w:rPr>
          <w:lang w:eastAsia="ja-JP"/>
        </w:rPr>
        <w:t>C</w:t>
      </w:r>
      <w:r w:rsidR="006B5446" w:rsidRPr="005F6409">
        <w:rPr>
          <w:lang w:eastAsia="ja-JP"/>
        </w:rPr>
        <w:t>learance = 0.179 L/day (21.4%), inter-compartment clearance = 0.296 L/day,</w:t>
      </w:r>
    </w:p>
    <w:p w14:paraId="138C2876" w14:textId="4B1CD6B9" w:rsidR="006B5446" w:rsidRPr="005F6409" w:rsidRDefault="000709C7" w:rsidP="000709C7">
      <w:pPr>
        <w:pStyle w:val="ListBullet"/>
        <w:rPr>
          <w:lang w:eastAsia="ja-JP"/>
        </w:rPr>
      </w:pPr>
      <w:r>
        <w:rPr>
          <w:lang w:eastAsia="ja-JP"/>
        </w:rPr>
        <w:t>V</w:t>
      </w:r>
      <w:r w:rsidR="006B5446" w:rsidRPr="005F6409">
        <w:rPr>
          <w:lang w:eastAsia="ja-JP"/>
        </w:rPr>
        <w:t>olume of central compartment = 3.03 L (23.9%), volume of peripheral compartment</w:t>
      </w:r>
      <w:r w:rsidR="009F5C1C">
        <w:rPr>
          <w:lang w:eastAsia="ja-JP"/>
        </w:rPr>
        <w:t> </w:t>
      </w:r>
      <w:r w:rsidR="006B5446" w:rsidRPr="005F6409">
        <w:rPr>
          <w:lang w:eastAsia="ja-JP"/>
        </w:rPr>
        <w:t>= 2.13 L, and the SC absorption rate</w:t>
      </w:r>
      <w:r w:rsidR="009F5C1C">
        <w:rPr>
          <w:lang w:eastAsia="ja-JP"/>
        </w:rPr>
        <w:t xml:space="preserve"> </w:t>
      </w:r>
      <w:r w:rsidR="006B5446" w:rsidRPr="005F6409">
        <w:rPr>
          <w:lang w:eastAsia="ja-JP"/>
        </w:rPr>
        <w:t xml:space="preserve">= 0.172 /day (25.5%). </w:t>
      </w:r>
    </w:p>
    <w:p w14:paraId="37224778" w14:textId="59449C18" w:rsidR="006B5446" w:rsidRPr="005F6409" w:rsidRDefault="003F210A" w:rsidP="000709C7">
      <w:pPr>
        <w:pStyle w:val="ListBullet"/>
        <w:rPr>
          <w:lang w:eastAsia="ja-JP"/>
        </w:rPr>
      </w:pPr>
      <w:r>
        <w:rPr>
          <w:lang w:eastAsia="ja-JP"/>
        </w:rPr>
        <w:t>A</w:t>
      </w:r>
      <w:r w:rsidR="006B5446" w:rsidRPr="005F6409">
        <w:rPr>
          <w:lang w:eastAsia="ja-JP"/>
        </w:rPr>
        <w:t>bsolute bioavailability of SC administration = 70.1% (45.9%).</w:t>
      </w:r>
    </w:p>
    <w:p w14:paraId="1A2C9509" w14:textId="793FF6AB" w:rsidR="006B5446" w:rsidRPr="0022071A" w:rsidRDefault="003F210A" w:rsidP="000709C7">
      <w:pPr>
        <w:pStyle w:val="ListBullet"/>
        <w:rPr>
          <w:lang w:eastAsia="ja-JP"/>
        </w:rPr>
      </w:pPr>
      <w:r>
        <w:rPr>
          <w:lang w:eastAsia="ja-JP"/>
        </w:rPr>
        <w:t>B</w:t>
      </w:r>
      <w:r w:rsidR="006B5446" w:rsidRPr="0022071A">
        <w:rPr>
          <w:lang w:eastAsia="ja-JP"/>
        </w:rPr>
        <w:t>ody weight was identified as a covariate on both elimination clearance and volume of central compartment, and the estimated exponent values were 0.54 and 0.60 respectively.</w:t>
      </w:r>
    </w:p>
    <w:p w14:paraId="262D9426" w14:textId="5063854C" w:rsidR="006B5446" w:rsidRPr="0022071A" w:rsidRDefault="003F210A" w:rsidP="000709C7">
      <w:pPr>
        <w:pStyle w:val="ListBullet"/>
        <w:rPr>
          <w:lang w:eastAsia="ja-JP"/>
        </w:rPr>
      </w:pPr>
      <w:r>
        <w:rPr>
          <w:lang w:eastAsia="ja-JP"/>
        </w:rPr>
        <w:t>D</w:t>
      </w:r>
      <w:r w:rsidR="006B5446" w:rsidRPr="0022071A">
        <w:rPr>
          <w:lang w:eastAsia="ja-JP"/>
        </w:rPr>
        <w:t xml:space="preserve">ifferent drug formulations </w:t>
      </w:r>
      <w:r>
        <w:rPr>
          <w:lang w:eastAsia="ja-JP"/>
        </w:rPr>
        <w:t xml:space="preserve">(Formulation A versus </w:t>
      </w:r>
      <w:proofErr w:type="spellStart"/>
      <w:r>
        <w:rPr>
          <w:lang w:eastAsia="ja-JP"/>
        </w:rPr>
        <w:t>Formlation</w:t>
      </w:r>
      <w:proofErr w:type="spellEnd"/>
      <w:r>
        <w:rPr>
          <w:lang w:eastAsia="ja-JP"/>
        </w:rPr>
        <w:t xml:space="preserve"> B (the to-be-marketed formulation) </w:t>
      </w:r>
      <w:r w:rsidR="006B5446" w:rsidRPr="0022071A">
        <w:rPr>
          <w:lang w:eastAsia="ja-JP"/>
        </w:rPr>
        <w:t>and manufacturing processes (processes 1, 2 and 3) did not result in different bioavailability or absorption rate of SC administration.</w:t>
      </w:r>
    </w:p>
    <w:p w14:paraId="39EDE884" w14:textId="38908155" w:rsidR="006B5446" w:rsidRPr="0022071A" w:rsidRDefault="006B5446" w:rsidP="000709C7">
      <w:pPr>
        <w:pStyle w:val="ListBullet"/>
        <w:rPr>
          <w:lang w:eastAsia="ja-JP"/>
        </w:rPr>
      </w:pPr>
      <w:r w:rsidRPr="0022071A">
        <w:rPr>
          <w:lang w:eastAsia="ja-JP"/>
        </w:rPr>
        <w:t xml:space="preserve">The absolute bioavailability of 70.1%, is reflective of the results for </w:t>
      </w:r>
      <w:r w:rsidR="009F5C1C">
        <w:rPr>
          <w:lang w:eastAsia="ja-JP"/>
        </w:rPr>
        <w:t>S</w:t>
      </w:r>
      <w:r w:rsidRPr="0022071A">
        <w:rPr>
          <w:lang w:eastAsia="ja-JP"/>
        </w:rPr>
        <w:t xml:space="preserve">tudy RA0124 that specifically examined bioavailability of </w:t>
      </w:r>
      <w:proofErr w:type="spellStart"/>
      <w:r w:rsidRPr="0022071A">
        <w:rPr>
          <w:lang w:eastAsia="ja-JP"/>
        </w:rPr>
        <w:t>bimekizumab</w:t>
      </w:r>
      <w:proofErr w:type="spellEnd"/>
      <w:r w:rsidRPr="0022071A">
        <w:rPr>
          <w:lang w:eastAsia="ja-JP"/>
        </w:rPr>
        <w:t>.</w:t>
      </w:r>
    </w:p>
    <w:p w14:paraId="6004D655" w14:textId="46072E3A" w:rsidR="000709C7" w:rsidRPr="000709C7" w:rsidRDefault="003F210A" w:rsidP="000709C7">
      <w:pPr>
        <w:pStyle w:val="Heading6"/>
        <w:rPr>
          <w:lang w:eastAsia="ja-JP"/>
        </w:rPr>
      </w:pPr>
      <w:r>
        <w:rPr>
          <w:lang w:eastAsia="ja-JP"/>
        </w:rPr>
        <w:t xml:space="preserve">Analysis </w:t>
      </w:r>
      <w:r w:rsidR="000709C7">
        <w:rPr>
          <w:lang w:eastAsia="ja-JP"/>
        </w:rPr>
        <w:t>CL0446</w:t>
      </w:r>
    </w:p>
    <w:p w14:paraId="57338BF9" w14:textId="79EC39B0" w:rsidR="003F210A" w:rsidRDefault="003F210A" w:rsidP="000709C7">
      <w:pPr>
        <w:pStyle w:val="ListBullet"/>
        <w:numPr>
          <w:ilvl w:val="0"/>
          <w:numId w:val="0"/>
        </w:numPr>
        <w:rPr>
          <w:lang w:eastAsia="ja-JP"/>
        </w:rPr>
      </w:pPr>
      <w:r>
        <w:rPr>
          <w:lang w:eastAsia="ja-JP"/>
        </w:rPr>
        <w:t>Analysis</w:t>
      </w:r>
      <w:r w:rsidR="000709C7">
        <w:rPr>
          <w:lang w:eastAsia="ja-JP"/>
        </w:rPr>
        <w:t xml:space="preserve"> </w:t>
      </w:r>
      <w:r w:rsidR="006B5446" w:rsidRPr="000709C7">
        <w:rPr>
          <w:lang w:eastAsia="ja-JP"/>
        </w:rPr>
        <w:t xml:space="preserve">CL0446 </w:t>
      </w:r>
      <w:r w:rsidR="006B5446" w:rsidRPr="0022071A">
        <w:rPr>
          <w:lang w:eastAsia="ja-JP"/>
        </w:rPr>
        <w:t xml:space="preserve">used pooled data from </w:t>
      </w:r>
      <w:r w:rsidR="009F5C1C">
        <w:rPr>
          <w:lang w:eastAsia="ja-JP"/>
        </w:rPr>
        <w:t>S</w:t>
      </w:r>
      <w:r w:rsidR="006B5446" w:rsidRPr="0022071A">
        <w:rPr>
          <w:lang w:eastAsia="ja-JP"/>
        </w:rPr>
        <w:t xml:space="preserve">tudies PS0010 and </w:t>
      </w:r>
      <w:r w:rsidR="009F5C1C">
        <w:rPr>
          <w:lang w:eastAsia="ja-JP"/>
        </w:rPr>
        <w:t>PS00</w:t>
      </w:r>
      <w:r w:rsidR="006B5446" w:rsidRPr="0022071A">
        <w:rPr>
          <w:lang w:eastAsia="ja-JP"/>
        </w:rPr>
        <w:t xml:space="preserve">16 to develop a PK/PD model to establish a dose response relationship between </w:t>
      </w:r>
      <w:proofErr w:type="spellStart"/>
      <w:r w:rsidR="006B5446" w:rsidRPr="0022071A">
        <w:rPr>
          <w:lang w:eastAsia="ja-JP"/>
        </w:rPr>
        <w:t>bimekizumab</w:t>
      </w:r>
      <w:proofErr w:type="spellEnd"/>
      <w:r w:rsidR="006B5446" w:rsidRPr="0022071A">
        <w:rPr>
          <w:lang w:eastAsia="ja-JP"/>
        </w:rPr>
        <w:t xml:space="preserve"> and PASI in adult with moderate to severe plaque psoriasis.</w:t>
      </w:r>
    </w:p>
    <w:p w14:paraId="04CE3021" w14:textId="0DD2F652" w:rsidR="006B5446" w:rsidRPr="000709C7" w:rsidRDefault="006B5446" w:rsidP="000709C7">
      <w:pPr>
        <w:pStyle w:val="ListBullet"/>
        <w:numPr>
          <w:ilvl w:val="0"/>
          <w:numId w:val="0"/>
        </w:numPr>
        <w:rPr>
          <w:lang w:eastAsia="ja-JP"/>
        </w:rPr>
      </w:pPr>
      <w:r w:rsidRPr="0022071A">
        <w:rPr>
          <w:lang w:eastAsia="ja-JP"/>
        </w:rPr>
        <w:t xml:space="preserve">The PK results from this analysis demonstrated </w:t>
      </w:r>
      <w:r w:rsidR="003F210A">
        <w:rPr>
          <w:lang w:eastAsia="ja-JP"/>
        </w:rPr>
        <w:t>the following</w:t>
      </w:r>
      <w:r w:rsidRPr="0022071A">
        <w:rPr>
          <w:lang w:eastAsia="ja-JP"/>
        </w:rPr>
        <w:t>:</w:t>
      </w:r>
    </w:p>
    <w:p w14:paraId="60812F12" w14:textId="2AA62346" w:rsidR="006B5446" w:rsidRPr="0022071A" w:rsidRDefault="006B5446" w:rsidP="000709C7">
      <w:pPr>
        <w:pStyle w:val="ListBullet"/>
        <w:rPr>
          <w:lang w:eastAsia="ja-JP"/>
        </w:rPr>
      </w:pPr>
      <w:proofErr w:type="spellStart"/>
      <w:r w:rsidRPr="0022071A">
        <w:rPr>
          <w:lang w:eastAsia="ja-JP"/>
        </w:rPr>
        <w:t>Bimekizumab</w:t>
      </w:r>
      <w:proofErr w:type="spellEnd"/>
      <w:r w:rsidRPr="0022071A">
        <w:rPr>
          <w:lang w:eastAsia="ja-JP"/>
        </w:rPr>
        <w:t xml:space="preserve"> has linear PK following a one-compartment model with linear absorption and elimination</w:t>
      </w:r>
      <w:r w:rsidR="009F5C1C">
        <w:rPr>
          <w:lang w:eastAsia="ja-JP"/>
        </w:rPr>
        <w:t>.</w:t>
      </w:r>
    </w:p>
    <w:p w14:paraId="76C68598" w14:textId="4632FF90" w:rsidR="006B5446" w:rsidRPr="0022071A" w:rsidRDefault="006B5446" w:rsidP="000709C7">
      <w:pPr>
        <w:pStyle w:val="ListBullet"/>
        <w:rPr>
          <w:lang w:eastAsia="ja-JP"/>
        </w:rPr>
      </w:pPr>
      <w:r w:rsidRPr="0022071A">
        <w:rPr>
          <w:lang w:eastAsia="ja-JP"/>
        </w:rPr>
        <w:t xml:space="preserve">Bodyweight was a significant covariate on clearance and volume of distribution </w:t>
      </w:r>
      <w:r w:rsidR="003F210A">
        <w:rPr>
          <w:lang w:eastAsia="ja-JP"/>
        </w:rPr>
        <w:t>(</w:t>
      </w:r>
      <w:r w:rsidRPr="0022071A">
        <w:rPr>
          <w:lang w:eastAsia="ja-JP"/>
        </w:rPr>
        <w:t>[0.362 x (WT/87.8) 0.897] L/day and [11.5 x (WT/87.8)0.77] L</w:t>
      </w:r>
      <w:r w:rsidR="003F210A">
        <w:rPr>
          <w:lang w:eastAsia="ja-JP"/>
        </w:rPr>
        <w:t>)</w:t>
      </w:r>
      <w:r w:rsidRPr="0022071A">
        <w:rPr>
          <w:lang w:eastAsia="ja-JP"/>
        </w:rPr>
        <w:t xml:space="preserve"> indicating plasma concentrations decrease with increased bodyweight, at absorption rate constant of 1.7</w:t>
      </w:r>
      <w:r w:rsidR="003F210A">
        <w:rPr>
          <w:lang w:eastAsia="ja-JP"/>
        </w:rPr>
        <w:t> </w:t>
      </w:r>
      <w:r w:rsidR="009F5C1C">
        <w:rPr>
          <w:lang w:eastAsia="ja-JP"/>
        </w:rPr>
        <w:t>Day 1</w:t>
      </w:r>
      <w:r w:rsidRPr="0022071A">
        <w:rPr>
          <w:lang w:eastAsia="ja-JP"/>
        </w:rPr>
        <w:t>.</w:t>
      </w:r>
    </w:p>
    <w:p w14:paraId="528506B0" w14:textId="0F28B935" w:rsidR="006B5446" w:rsidRPr="0022071A" w:rsidRDefault="006B5446" w:rsidP="000709C7">
      <w:pPr>
        <w:pStyle w:val="ListBullet"/>
        <w:rPr>
          <w:lang w:eastAsia="ja-JP"/>
        </w:rPr>
      </w:pPr>
      <w:r w:rsidRPr="0022071A">
        <w:rPr>
          <w:lang w:eastAsia="ja-JP"/>
        </w:rPr>
        <w:t>No impact of the formation of anti-drug antibody was demonstrated.</w:t>
      </w:r>
    </w:p>
    <w:p w14:paraId="47F34A1B" w14:textId="5F56D4C9" w:rsidR="006B5446" w:rsidRPr="0024099A" w:rsidRDefault="006B5446" w:rsidP="000709C7">
      <w:pPr>
        <w:pStyle w:val="ListBullet"/>
        <w:tabs>
          <w:tab w:val="num" w:pos="1191"/>
        </w:tabs>
        <w:rPr>
          <w:lang w:eastAsia="ja-JP"/>
        </w:rPr>
      </w:pPr>
      <w:r w:rsidRPr="00430A9A">
        <w:rPr>
          <w:lang w:eastAsia="ja-JP"/>
        </w:rPr>
        <w:t>No difference in the PK between Japanese and Caucasian populations after accounting for body weight differences.</w:t>
      </w:r>
    </w:p>
    <w:p w14:paraId="7BD75AC3" w14:textId="07EAB61F" w:rsidR="000709C7" w:rsidRPr="000709C7" w:rsidRDefault="003F210A" w:rsidP="000709C7">
      <w:pPr>
        <w:pStyle w:val="Heading6"/>
        <w:rPr>
          <w:lang w:eastAsia="ja-JP"/>
        </w:rPr>
      </w:pPr>
      <w:r>
        <w:rPr>
          <w:lang w:eastAsia="ja-JP"/>
        </w:rPr>
        <w:lastRenderedPageBreak/>
        <w:t xml:space="preserve">Analysis </w:t>
      </w:r>
      <w:r w:rsidR="000709C7">
        <w:rPr>
          <w:lang w:eastAsia="ja-JP"/>
        </w:rPr>
        <w:t>CL0485</w:t>
      </w:r>
    </w:p>
    <w:p w14:paraId="39034BEC" w14:textId="1D06D7CD" w:rsidR="003F210A" w:rsidRDefault="003F210A" w:rsidP="000709C7">
      <w:pPr>
        <w:pStyle w:val="ListBullet"/>
        <w:numPr>
          <w:ilvl w:val="0"/>
          <w:numId w:val="0"/>
        </w:numPr>
        <w:rPr>
          <w:lang w:eastAsia="ja-JP"/>
        </w:rPr>
      </w:pPr>
      <w:r>
        <w:rPr>
          <w:lang w:eastAsia="ja-JP"/>
        </w:rPr>
        <w:t xml:space="preserve">Analysis </w:t>
      </w:r>
      <w:r w:rsidR="006B5446" w:rsidRPr="000709C7">
        <w:rPr>
          <w:lang w:eastAsia="ja-JP"/>
        </w:rPr>
        <w:t>CL0485</w:t>
      </w:r>
      <w:r w:rsidR="006B5446" w:rsidRPr="00430A9A">
        <w:rPr>
          <w:lang w:eastAsia="ja-JP"/>
        </w:rPr>
        <w:t xml:space="preserve"> used pooled data from the Phase </w:t>
      </w:r>
      <w:r w:rsidR="000709C7">
        <w:rPr>
          <w:lang w:eastAsia="ja-JP"/>
        </w:rPr>
        <w:t>II</w:t>
      </w:r>
      <w:r w:rsidR="006B5446" w:rsidRPr="00430A9A">
        <w:rPr>
          <w:lang w:eastAsia="ja-JP"/>
        </w:rPr>
        <w:t xml:space="preserve"> studies PS0010, 11 and 16 and the Phase</w:t>
      </w:r>
      <w:r w:rsidR="009A0BC0">
        <w:rPr>
          <w:lang w:eastAsia="ja-JP"/>
        </w:rPr>
        <w:t> </w:t>
      </w:r>
      <w:r w:rsidR="000709C7">
        <w:rPr>
          <w:lang w:eastAsia="ja-JP"/>
        </w:rPr>
        <w:t>III</w:t>
      </w:r>
      <w:r w:rsidR="006B5446" w:rsidRPr="00430A9A">
        <w:rPr>
          <w:lang w:eastAsia="ja-JP"/>
        </w:rPr>
        <w:t xml:space="preserve"> </w:t>
      </w:r>
      <w:r w:rsidR="009A0BC0">
        <w:rPr>
          <w:lang w:eastAsia="ja-JP"/>
        </w:rPr>
        <w:t>S</w:t>
      </w:r>
      <w:r w:rsidR="006B5446" w:rsidRPr="00430A9A">
        <w:rPr>
          <w:lang w:eastAsia="ja-JP"/>
        </w:rPr>
        <w:t xml:space="preserve">tudies PS0008 and </w:t>
      </w:r>
      <w:r w:rsidR="009A0BC0">
        <w:rPr>
          <w:lang w:eastAsia="ja-JP"/>
        </w:rPr>
        <w:t>PS000</w:t>
      </w:r>
      <w:r w:rsidR="006B5446" w:rsidRPr="00430A9A">
        <w:rPr>
          <w:lang w:eastAsia="ja-JP"/>
        </w:rPr>
        <w:t xml:space="preserve">9 to develop a PK/PD model to establish a dose response relationship between </w:t>
      </w:r>
      <w:proofErr w:type="spellStart"/>
      <w:r w:rsidR="006B5446" w:rsidRPr="00430A9A">
        <w:rPr>
          <w:lang w:eastAsia="ja-JP"/>
        </w:rPr>
        <w:t>bimekizumab</w:t>
      </w:r>
      <w:proofErr w:type="spellEnd"/>
      <w:r w:rsidR="006B5446" w:rsidRPr="00430A9A">
        <w:rPr>
          <w:lang w:eastAsia="ja-JP"/>
        </w:rPr>
        <w:t xml:space="preserve"> and PASI in adult with moderate to severe plaque psoriasis.</w:t>
      </w:r>
    </w:p>
    <w:p w14:paraId="5B6ED5F5" w14:textId="513B56F5" w:rsidR="006B5446" w:rsidRPr="00430A9A" w:rsidRDefault="003F210A" w:rsidP="000709C7">
      <w:pPr>
        <w:pStyle w:val="ListBullet"/>
        <w:numPr>
          <w:ilvl w:val="0"/>
          <w:numId w:val="0"/>
        </w:numPr>
        <w:rPr>
          <w:lang w:eastAsia="ja-JP"/>
        </w:rPr>
      </w:pPr>
      <w:r>
        <w:rPr>
          <w:lang w:eastAsia="ja-JP"/>
        </w:rPr>
        <w:t xml:space="preserve">Analysis CL0485 </w:t>
      </w:r>
      <w:proofErr w:type="gramStart"/>
      <w:r>
        <w:rPr>
          <w:lang w:eastAsia="ja-JP"/>
        </w:rPr>
        <w:t xml:space="preserve">found </w:t>
      </w:r>
      <w:r w:rsidR="006B5446" w:rsidRPr="00430A9A">
        <w:rPr>
          <w:lang w:eastAsia="ja-JP"/>
        </w:rPr>
        <w:t>:</w:t>
      </w:r>
      <w:proofErr w:type="gramEnd"/>
    </w:p>
    <w:p w14:paraId="6297DD53" w14:textId="77777777" w:rsidR="006B5446" w:rsidRPr="00430A9A" w:rsidRDefault="006B5446" w:rsidP="000709C7">
      <w:pPr>
        <w:pStyle w:val="ListBullet"/>
        <w:rPr>
          <w:lang w:eastAsia="ja-JP"/>
        </w:rPr>
      </w:pPr>
      <w:r w:rsidRPr="00430A9A">
        <w:rPr>
          <w:lang w:eastAsia="ja-JP"/>
        </w:rPr>
        <w:t>The final population PK model was a one-compartment model with first-order absorption, supported by CL/F and V/F estimates.</w:t>
      </w:r>
    </w:p>
    <w:p w14:paraId="3AA89CF7" w14:textId="3E38BA15" w:rsidR="006B5446" w:rsidRPr="00D929AA" w:rsidRDefault="000709C7" w:rsidP="000709C7">
      <w:pPr>
        <w:pStyle w:val="ListBullet"/>
        <w:rPr>
          <w:lang w:eastAsia="ja-JP"/>
        </w:rPr>
      </w:pPr>
      <w:r>
        <w:rPr>
          <w:lang w:eastAsia="ja-JP"/>
        </w:rPr>
        <w:t>A</w:t>
      </w:r>
      <w:r w:rsidR="006B5446" w:rsidRPr="00430A9A">
        <w:rPr>
          <w:lang w:eastAsia="ja-JP"/>
        </w:rPr>
        <w:t xml:space="preserve">mong the tested covariates (baseline body weight, </w:t>
      </w:r>
      <w:r w:rsidR="006B5446" w:rsidRPr="00D929AA">
        <w:rPr>
          <w:lang w:eastAsia="ja-JP"/>
        </w:rPr>
        <w:t xml:space="preserve">baseline age, baseline </w:t>
      </w:r>
      <w:r w:rsidR="009A0BC0">
        <w:rPr>
          <w:lang w:eastAsia="ja-JP"/>
        </w:rPr>
        <w:t>a</w:t>
      </w:r>
      <w:r w:rsidR="009A0BC0" w:rsidRPr="009A0BC0">
        <w:rPr>
          <w:lang w:eastAsia="ja-JP"/>
        </w:rPr>
        <w:t>lanine transaminase</w:t>
      </w:r>
      <w:r w:rsidR="006B5446" w:rsidRPr="00D929AA">
        <w:rPr>
          <w:lang w:eastAsia="ja-JP"/>
        </w:rPr>
        <w:t xml:space="preserve">, baseline bilirubin, race, sex, </w:t>
      </w:r>
      <w:r w:rsidR="004858E7">
        <w:rPr>
          <w:lang w:eastAsia="ja-JP"/>
        </w:rPr>
        <w:t xml:space="preserve">anti-drug antibodies </w:t>
      </w:r>
      <w:r w:rsidR="006B5446" w:rsidRPr="00D929AA">
        <w:rPr>
          <w:lang w:eastAsia="ja-JP"/>
        </w:rPr>
        <w:t xml:space="preserve">status, </w:t>
      </w:r>
      <w:r w:rsidR="004858E7">
        <w:rPr>
          <w:lang w:eastAsia="ja-JP"/>
        </w:rPr>
        <w:t xml:space="preserve">anti-drug antibodies </w:t>
      </w:r>
      <w:r w:rsidR="006B5446" w:rsidRPr="00D929AA">
        <w:rPr>
          <w:lang w:eastAsia="ja-JP"/>
        </w:rPr>
        <w:t xml:space="preserve">titre, prior biologics therapy and region), baseline body weight, gender, </w:t>
      </w:r>
      <w:proofErr w:type="gramStart"/>
      <w:r w:rsidR="006B5446" w:rsidRPr="00D929AA">
        <w:rPr>
          <w:lang w:eastAsia="ja-JP"/>
        </w:rPr>
        <w:t>race</w:t>
      </w:r>
      <w:proofErr w:type="gramEnd"/>
      <w:r w:rsidR="006B5446" w:rsidRPr="00D929AA">
        <w:rPr>
          <w:lang w:eastAsia="ja-JP"/>
        </w:rPr>
        <w:t xml:space="preserve"> and </w:t>
      </w:r>
      <w:r w:rsidR="004858E7">
        <w:rPr>
          <w:lang w:eastAsia="ja-JP"/>
        </w:rPr>
        <w:t>anti-drug antibodies</w:t>
      </w:r>
      <w:r w:rsidR="006B5446" w:rsidRPr="00D929AA">
        <w:rPr>
          <w:lang w:eastAsia="ja-JP"/>
        </w:rPr>
        <w:t xml:space="preserve"> status were statistically significant covariates on CL/F, and body weight was a statistically significant covariate on apparent volume of distribution (V/F </w:t>
      </w:r>
      <w:r w:rsidR="004858E7">
        <w:rPr>
          <w:lang w:eastAsia="ja-JP"/>
        </w:rPr>
        <w:t>that is</w:t>
      </w:r>
      <w:r w:rsidR="006B5446" w:rsidRPr="00D929AA">
        <w:rPr>
          <w:lang w:eastAsia="ja-JP"/>
        </w:rPr>
        <w:t xml:space="preserve"> volume of distribution/bioavailability).</w:t>
      </w:r>
    </w:p>
    <w:p w14:paraId="4FE1A01E" w14:textId="54F06419" w:rsidR="006B5446" w:rsidRPr="00752836" w:rsidRDefault="006B5446" w:rsidP="000709C7">
      <w:pPr>
        <w:pStyle w:val="ListBullet"/>
        <w:rPr>
          <w:lang w:eastAsia="ja-JP"/>
        </w:rPr>
      </w:pPr>
      <w:r w:rsidRPr="00752836">
        <w:rPr>
          <w:lang w:eastAsia="ja-JP"/>
        </w:rPr>
        <w:t xml:space="preserve">Several covariates were identified for CL/F including </w:t>
      </w:r>
      <w:r w:rsidR="004858E7">
        <w:rPr>
          <w:lang w:eastAsia="ja-JP"/>
        </w:rPr>
        <w:t>anti-drug antibodies</w:t>
      </w:r>
      <w:r w:rsidRPr="00752836">
        <w:rPr>
          <w:lang w:eastAsia="ja-JP"/>
        </w:rPr>
        <w:t xml:space="preserve"> positive at any time point, race (Asian/Japanese) and gender (female). These covariates were identified in addition to the covariate effect of body weight, included allometrically on CL/F and V/F in the base model.</w:t>
      </w:r>
    </w:p>
    <w:p w14:paraId="1DC877B1" w14:textId="18AA3812" w:rsidR="006B5446" w:rsidRPr="00752836" w:rsidRDefault="004858E7" w:rsidP="000709C7">
      <w:pPr>
        <w:pStyle w:val="ListBullet2"/>
        <w:rPr>
          <w:lang w:eastAsia="ja-JP"/>
        </w:rPr>
      </w:pPr>
      <w:r>
        <w:rPr>
          <w:lang w:eastAsia="ja-JP"/>
        </w:rPr>
        <w:t xml:space="preserve">anti-drug antibodies </w:t>
      </w:r>
      <w:r w:rsidR="006B5446" w:rsidRPr="00752836">
        <w:rPr>
          <w:lang w:eastAsia="ja-JP"/>
        </w:rPr>
        <w:t xml:space="preserve">positive study participants had an 8% higher CL/F than negative study participants. </w:t>
      </w:r>
    </w:p>
    <w:p w14:paraId="3B05DC74" w14:textId="06BDE1CC" w:rsidR="006B5446" w:rsidRPr="00752836" w:rsidRDefault="006B5446" w:rsidP="000709C7">
      <w:pPr>
        <w:pStyle w:val="ListBullet2"/>
        <w:rPr>
          <w:lang w:eastAsia="ja-JP"/>
        </w:rPr>
      </w:pPr>
      <w:r w:rsidRPr="00752836">
        <w:rPr>
          <w:lang w:eastAsia="ja-JP"/>
        </w:rPr>
        <w:t xml:space="preserve">Asian/Japanese study participants had higher CL/F than </w:t>
      </w:r>
      <w:proofErr w:type="spellStart"/>
      <w:r w:rsidRPr="00752836">
        <w:rPr>
          <w:lang w:eastAsia="ja-JP"/>
        </w:rPr>
        <w:t>non-Asian</w:t>
      </w:r>
      <w:proofErr w:type="spellEnd"/>
      <w:r w:rsidRPr="00752836">
        <w:rPr>
          <w:lang w:eastAsia="ja-JP"/>
        </w:rPr>
        <w:t xml:space="preserve">/Japanese study participants. </w:t>
      </w:r>
    </w:p>
    <w:p w14:paraId="6E1BB478" w14:textId="14DB12A8" w:rsidR="006B5446" w:rsidRPr="00752836" w:rsidRDefault="006B5446" w:rsidP="000709C7">
      <w:pPr>
        <w:pStyle w:val="ListBullet2"/>
        <w:rPr>
          <w:lang w:eastAsia="ja-JP"/>
        </w:rPr>
      </w:pPr>
      <w:r w:rsidRPr="00752836">
        <w:rPr>
          <w:lang w:eastAsia="ja-JP"/>
        </w:rPr>
        <w:t>Female study participants had a 10% higher CL/F than male study participants.</w:t>
      </w:r>
    </w:p>
    <w:p w14:paraId="406D1CCA" w14:textId="4B7D0482" w:rsidR="006B5446" w:rsidRPr="00752836" w:rsidRDefault="006B5446" w:rsidP="000709C7">
      <w:pPr>
        <w:pStyle w:val="ListBullet3"/>
        <w:rPr>
          <w:lang w:eastAsia="ja-JP"/>
        </w:rPr>
      </w:pPr>
      <w:r w:rsidRPr="00752836">
        <w:rPr>
          <w:lang w:eastAsia="ja-JP"/>
        </w:rPr>
        <w:t xml:space="preserve">As a note, Asian/Japanese study participants and female participants had a lower body weight compared to </w:t>
      </w:r>
      <w:proofErr w:type="spellStart"/>
      <w:r w:rsidRPr="00752836">
        <w:rPr>
          <w:lang w:eastAsia="ja-JP"/>
        </w:rPr>
        <w:t>non-Asian</w:t>
      </w:r>
      <w:proofErr w:type="spellEnd"/>
      <w:r w:rsidRPr="00752836">
        <w:rPr>
          <w:lang w:eastAsia="ja-JP"/>
        </w:rPr>
        <w:t>/Japanese male participants.</w:t>
      </w:r>
    </w:p>
    <w:p w14:paraId="34F63844" w14:textId="2F645EB5" w:rsidR="006B5446" w:rsidRPr="00752836" w:rsidRDefault="006B5446" w:rsidP="000709C7">
      <w:pPr>
        <w:pStyle w:val="ListBullet3"/>
        <w:rPr>
          <w:lang w:eastAsia="ja-JP"/>
        </w:rPr>
      </w:pPr>
      <w:r w:rsidRPr="00752836">
        <w:rPr>
          <w:lang w:eastAsia="ja-JP"/>
        </w:rPr>
        <w:t>Disregarding weight from the calculation, the largest and smallest median AUCSS in the subpopulations (assuming 320</w:t>
      </w:r>
      <w:r w:rsidR="000709C7">
        <w:rPr>
          <w:lang w:eastAsia="ja-JP"/>
        </w:rPr>
        <w:t xml:space="preserve"> </w:t>
      </w:r>
      <w:r w:rsidRPr="00752836">
        <w:rPr>
          <w:lang w:eastAsia="ja-JP"/>
        </w:rPr>
        <w:t xml:space="preserve">mg </w:t>
      </w:r>
      <w:r w:rsidR="000709C7">
        <w:rPr>
          <w:lang w:eastAsia="ja-JP"/>
        </w:rPr>
        <w:t>every 4</w:t>
      </w:r>
      <w:r w:rsidR="009A0BC0">
        <w:rPr>
          <w:lang w:eastAsia="ja-JP"/>
        </w:rPr>
        <w:t>-</w:t>
      </w:r>
      <w:r w:rsidR="000709C7">
        <w:rPr>
          <w:lang w:eastAsia="ja-JP"/>
        </w:rPr>
        <w:t>week</w:t>
      </w:r>
      <w:r w:rsidR="009A0BC0">
        <w:rPr>
          <w:lang w:eastAsia="ja-JP"/>
        </w:rPr>
        <w:t>ly</w:t>
      </w:r>
      <w:r w:rsidRPr="00752836">
        <w:rPr>
          <w:lang w:eastAsia="ja-JP"/>
        </w:rPr>
        <w:t xml:space="preserve"> dosing) were 1010 and 790, respectively.</w:t>
      </w:r>
    </w:p>
    <w:p w14:paraId="01AF0B4B" w14:textId="6CDD3685" w:rsidR="006B5446" w:rsidRPr="00752836" w:rsidRDefault="000709C7" w:rsidP="000709C7">
      <w:pPr>
        <w:pStyle w:val="ListBullet2"/>
        <w:rPr>
          <w:lang w:eastAsia="ja-JP"/>
        </w:rPr>
      </w:pPr>
      <w:r>
        <w:rPr>
          <w:lang w:eastAsia="ja-JP"/>
        </w:rPr>
        <w:t>P</w:t>
      </w:r>
      <w:r w:rsidR="006B5446" w:rsidRPr="00752836">
        <w:rPr>
          <w:lang w:eastAsia="ja-JP"/>
        </w:rPr>
        <w:t xml:space="preserve">lasma levels of </w:t>
      </w:r>
      <w:proofErr w:type="spellStart"/>
      <w:r w:rsidR="006B5446" w:rsidRPr="00752836">
        <w:rPr>
          <w:lang w:eastAsia="ja-JP"/>
        </w:rPr>
        <w:t>bimekizumab</w:t>
      </w:r>
      <w:proofErr w:type="spellEnd"/>
      <w:r w:rsidR="006B5446" w:rsidRPr="00752836">
        <w:rPr>
          <w:lang w:eastAsia="ja-JP"/>
        </w:rPr>
        <w:t xml:space="preserve"> </w:t>
      </w:r>
      <w:r>
        <w:rPr>
          <w:lang w:eastAsia="ja-JP"/>
        </w:rPr>
        <w:t>that is</w:t>
      </w:r>
      <w:r w:rsidR="006B5446" w:rsidRPr="00752836">
        <w:rPr>
          <w:lang w:eastAsia="ja-JP"/>
        </w:rPr>
        <w:t xml:space="preserve"> average observed plasma concentration over the dosing intervals, was mostly impacted by body weight, particularly evident for study participants with body weight </w:t>
      </w:r>
      <w:r w:rsidR="009A0BC0">
        <w:rPr>
          <w:lang w:eastAsia="ja-JP"/>
        </w:rPr>
        <w:t>greater than</w:t>
      </w:r>
      <w:r>
        <w:rPr>
          <w:lang w:eastAsia="ja-JP"/>
        </w:rPr>
        <w:t xml:space="preserve"> </w:t>
      </w:r>
      <w:r w:rsidR="006B5446" w:rsidRPr="00752836">
        <w:rPr>
          <w:lang w:eastAsia="ja-JP"/>
        </w:rPr>
        <w:t>120</w:t>
      </w:r>
      <w:r>
        <w:rPr>
          <w:lang w:eastAsia="ja-JP"/>
        </w:rPr>
        <w:t xml:space="preserve"> </w:t>
      </w:r>
      <w:r w:rsidR="006B5446" w:rsidRPr="00752836">
        <w:rPr>
          <w:lang w:eastAsia="ja-JP"/>
        </w:rPr>
        <w:t xml:space="preserve">kg, where </w:t>
      </w:r>
      <w:r>
        <w:rPr>
          <w:lang w:eastAsia="ja-JP"/>
        </w:rPr>
        <w:t>average concentration</w:t>
      </w:r>
      <w:r w:rsidR="006B5446" w:rsidRPr="00752836">
        <w:rPr>
          <w:lang w:eastAsia="ja-JP"/>
        </w:rPr>
        <w:t xml:space="preserve"> is 30% lower compared to the typical participants in the study.</w:t>
      </w:r>
    </w:p>
    <w:p w14:paraId="4456CEE1" w14:textId="74B6C57C" w:rsidR="006B5446" w:rsidRPr="00752836" w:rsidRDefault="000709C7" w:rsidP="000709C7">
      <w:pPr>
        <w:pStyle w:val="ListBullet2"/>
        <w:rPr>
          <w:lang w:eastAsia="ja-JP"/>
        </w:rPr>
      </w:pPr>
      <w:r>
        <w:rPr>
          <w:lang w:eastAsia="ja-JP"/>
        </w:rPr>
        <w:t>S</w:t>
      </w:r>
      <w:r w:rsidR="006B5446" w:rsidRPr="00752836">
        <w:rPr>
          <w:lang w:eastAsia="ja-JP"/>
        </w:rPr>
        <w:t>imilarly, study participants with body weight &lt;</w:t>
      </w:r>
      <w:r>
        <w:rPr>
          <w:lang w:eastAsia="ja-JP"/>
        </w:rPr>
        <w:t xml:space="preserve"> </w:t>
      </w:r>
      <w:r w:rsidR="006B5446" w:rsidRPr="00752836">
        <w:rPr>
          <w:lang w:eastAsia="ja-JP"/>
        </w:rPr>
        <w:t xml:space="preserve">60kg are predicted to have 50% higher </w:t>
      </w:r>
      <w:r>
        <w:rPr>
          <w:lang w:eastAsia="ja-JP"/>
        </w:rPr>
        <w:t>average concentration</w:t>
      </w:r>
      <w:r w:rsidR="006B5446" w:rsidRPr="00752836">
        <w:rPr>
          <w:lang w:eastAsia="ja-JP"/>
        </w:rPr>
        <w:t xml:space="preserve"> compared to the typical study participants in the study.</w:t>
      </w:r>
    </w:p>
    <w:p w14:paraId="558C4208" w14:textId="5E1E4367" w:rsidR="006B5446" w:rsidRPr="00430A9A" w:rsidRDefault="006B5446" w:rsidP="000709C7">
      <w:pPr>
        <w:pStyle w:val="ListBullet2"/>
        <w:rPr>
          <w:lang w:eastAsia="ja-JP"/>
        </w:rPr>
      </w:pPr>
      <w:r w:rsidRPr="00430A9A">
        <w:rPr>
          <w:lang w:eastAsia="ja-JP"/>
        </w:rPr>
        <w:t>The terminal</w:t>
      </w:r>
      <w:r w:rsidR="009A0BC0">
        <w:rPr>
          <w:lang w:eastAsia="ja-JP"/>
        </w:rPr>
        <w:t xml:space="preserve"> </w:t>
      </w:r>
      <w:proofErr w:type="spellStart"/>
      <w:r w:rsidR="009A0BC0">
        <w:rPr>
          <w:lang w:eastAsia="ja-JP"/>
        </w:rPr>
        <w:t>half life</w:t>
      </w:r>
      <w:proofErr w:type="spellEnd"/>
      <w:r w:rsidR="009A0BC0">
        <w:rPr>
          <w:lang w:eastAsia="ja-JP"/>
        </w:rPr>
        <w:t xml:space="preserve"> </w:t>
      </w:r>
      <w:r w:rsidRPr="00430A9A">
        <w:rPr>
          <w:lang w:eastAsia="ja-JP"/>
        </w:rPr>
        <w:t xml:space="preserve">of </w:t>
      </w:r>
      <w:proofErr w:type="spellStart"/>
      <w:r w:rsidRPr="00430A9A">
        <w:rPr>
          <w:lang w:eastAsia="ja-JP"/>
        </w:rPr>
        <w:t>bimekizumab</w:t>
      </w:r>
      <w:proofErr w:type="spellEnd"/>
      <w:r w:rsidRPr="00430A9A">
        <w:rPr>
          <w:lang w:eastAsia="ja-JP"/>
        </w:rPr>
        <w:t xml:space="preserve"> was estimated to be 23 days.</w:t>
      </w:r>
    </w:p>
    <w:p w14:paraId="7AEE3EAB" w14:textId="65A1552D" w:rsidR="006B5446" w:rsidRPr="00430A9A" w:rsidRDefault="006B5446" w:rsidP="000709C7">
      <w:pPr>
        <w:pStyle w:val="ListBullet2"/>
        <w:rPr>
          <w:lang w:eastAsia="ja-JP"/>
        </w:rPr>
      </w:pPr>
      <w:r w:rsidRPr="00430A9A">
        <w:rPr>
          <w:lang w:eastAsia="ja-JP"/>
        </w:rPr>
        <w:t xml:space="preserve">The </w:t>
      </w:r>
      <w:r w:rsidRPr="000D2B45">
        <w:rPr>
          <w:lang w:eastAsia="ja-JP"/>
        </w:rPr>
        <w:t>overall accumulation ratio for all simulated subpopulations receiving 320</w:t>
      </w:r>
      <w:r w:rsidR="009A0BC0">
        <w:rPr>
          <w:lang w:eastAsia="ja-JP"/>
        </w:rPr>
        <w:t> </w:t>
      </w:r>
      <w:r w:rsidRPr="000D2B45">
        <w:rPr>
          <w:lang w:eastAsia="ja-JP"/>
        </w:rPr>
        <w:t xml:space="preserve">mg </w:t>
      </w:r>
      <w:r w:rsidR="000709C7">
        <w:rPr>
          <w:lang w:eastAsia="ja-JP"/>
        </w:rPr>
        <w:t xml:space="preserve">every 4 weeks </w:t>
      </w:r>
      <w:r w:rsidRPr="000D2B45">
        <w:rPr>
          <w:lang w:eastAsia="ja-JP"/>
        </w:rPr>
        <w:t>was 1.67. Steady</w:t>
      </w:r>
      <w:r w:rsidR="000709C7">
        <w:rPr>
          <w:lang w:eastAsia="ja-JP"/>
        </w:rPr>
        <w:t xml:space="preserve"> </w:t>
      </w:r>
      <w:r w:rsidRPr="000D2B45">
        <w:rPr>
          <w:lang w:eastAsia="ja-JP"/>
        </w:rPr>
        <w:t xml:space="preserve">state was achieved by Week 16 on a </w:t>
      </w:r>
      <w:r w:rsidR="000709C7">
        <w:rPr>
          <w:lang w:eastAsia="ja-JP"/>
        </w:rPr>
        <w:t xml:space="preserve">every 4 weeks </w:t>
      </w:r>
      <w:r w:rsidRPr="000D2B45">
        <w:rPr>
          <w:lang w:eastAsia="ja-JP"/>
        </w:rPr>
        <w:t>regimen and subjects on 320</w:t>
      </w:r>
      <w:r w:rsidR="000709C7">
        <w:rPr>
          <w:lang w:eastAsia="ja-JP"/>
        </w:rPr>
        <w:t xml:space="preserve"> </w:t>
      </w:r>
      <w:r w:rsidRPr="000D2B45">
        <w:rPr>
          <w:lang w:eastAsia="ja-JP"/>
        </w:rPr>
        <w:t xml:space="preserve">mg </w:t>
      </w:r>
      <w:r w:rsidR="000709C7">
        <w:rPr>
          <w:lang w:eastAsia="ja-JP"/>
        </w:rPr>
        <w:t>every 4 weeks</w:t>
      </w:r>
      <w:r w:rsidRPr="000D2B45">
        <w:rPr>
          <w:lang w:eastAsia="ja-JP"/>
        </w:rPr>
        <w:t xml:space="preserve"> followed by a 320</w:t>
      </w:r>
      <w:r w:rsidR="000709C7">
        <w:rPr>
          <w:lang w:eastAsia="ja-JP"/>
        </w:rPr>
        <w:t xml:space="preserve"> </w:t>
      </w:r>
      <w:r w:rsidRPr="000D2B45">
        <w:rPr>
          <w:lang w:eastAsia="ja-JP"/>
        </w:rPr>
        <w:t xml:space="preserve">mg </w:t>
      </w:r>
      <w:r w:rsidR="000709C7">
        <w:rPr>
          <w:lang w:eastAsia="ja-JP"/>
        </w:rPr>
        <w:t>every 8 weeks</w:t>
      </w:r>
      <w:r w:rsidRPr="000D2B45">
        <w:rPr>
          <w:lang w:eastAsia="ja-JP"/>
        </w:rPr>
        <w:t xml:space="preserve"> regimen </w:t>
      </w:r>
      <w:r w:rsidRPr="00430A9A">
        <w:rPr>
          <w:lang w:eastAsia="ja-JP"/>
        </w:rPr>
        <w:t>achieved a new steady</w:t>
      </w:r>
      <w:r w:rsidR="000709C7">
        <w:rPr>
          <w:lang w:eastAsia="ja-JP"/>
        </w:rPr>
        <w:t xml:space="preserve"> </w:t>
      </w:r>
      <w:r w:rsidRPr="00430A9A">
        <w:rPr>
          <w:lang w:eastAsia="ja-JP"/>
        </w:rPr>
        <w:t xml:space="preserve">state 16 </w:t>
      </w:r>
      <w:r w:rsidR="000709C7">
        <w:rPr>
          <w:lang w:eastAsia="ja-JP"/>
        </w:rPr>
        <w:t>w</w:t>
      </w:r>
      <w:r w:rsidRPr="00430A9A">
        <w:rPr>
          <w:lang w:eastAsia="ja-JP"/>
        </w:rPr>
        <w:t>eeks after the change in dose.</w:t>
      </w:r>
    </w:p>
    <w:p w14:paraId="2A4D53CB" w14:textId="00B051B2" w:rsidR="006B5446" w:rsidRPr="002D30F7" w:rsidRDefault="003C757A" w:rsidP="003C757A">
      <w:pPr>
        <w:rPr>
          <w:lang w:eastAsia="ja-JP"/>
        </w:rPr>
      </w:pPr>
      <w:r w:rsidRPr="003C757A">
        <w:t xml:space="preserve">The Delegate commented that </w:t>
      </w:r>
      <w:r w:rsidR="006B5446">
        <w:rPr>
          <w:lang w:eastAsia="ja-JP"/>
        </w:rPr>
        <w:t>there is the p</w:t>
      </w:r>
      <w:r w:rsidR="006B5446" w:rsidRPr="002426BB">
        <w:rPr>
          <w:lang w:eastAsia="ja-JP"/>
        </w:rPr>
        <w:t xml:space="preserve">ossibility of drug accumulation should the dose frequency be maintained at </w:t>
      </w:r>
      <w:r w:rsidR="009A0BC0">
        <w:rPr>
          <w:lang w:eastAsia="ja-JP"/>
        </w:rPr>
        <w:t xml:space="preserve">every </w:t>
      </w:r>
      <w:r w:rsidR="006B5446" w:rsidRPr="002426BB">
        <w:rPr>
          <w:lang w:eastAsia="ja-JP"/>
        </w:rPr>
        <w:t>4 week</w:t>
      </w:r>
      <w:r w:rsidR="009A0BC0">
        <w:rPr>
          <w:lang w:eastAsia="ja-JP"/>
        </w:rPr>
        <w:t>s</w:t>
      </w:r>
      <w:r w:rsidR="006B5446" w:rsidRPr="002426BB">
        <w:rPr>
          <w:lang w:eastAsia="ja-JP"/>
        </w:rPr>
        <w:t xml:space="preserve"> instead of</w:t>
      </w:r>
      <w:r w:rsidR="009A0BC0">
        <w:rPr>
          <w:lang w:eastAsia="ja-JP"/>
        </w:rPr>
        <w:t xml:space="preserve"> every</w:t>
      </w:r>
      <w:r w:rsidR="006B5446" w:rsidRPr="002426BB">
        <w:rPr>
          <w:lang w:eastAsia="ja-JP"/>
        </w:rPr>
        <w:t xml:space="preserve"> 8 week</w:t>
      </w:r>
      <w:r w:rsidR="009A0BC0">
        <w:rPr>
          <w:lang w:eastAsia="ja-JP"/>
        </w:rPr>
        <w:t>s</w:t>
      </w:r>
      <w:r w:rsidR="006B5446" w:rsidRPr="002426BB">
        <w:rPr>
          <w:lang w:eastAsia="ja-JP"/>
        </w:rPr>
        <w:t xml:space="preserve">, post </w:t>
      </w:r>
      <w:r>
        <w:rPr>
          <w:lang w:eastAsia="ja-JP"/>
        </w:rPr>
        <w:t>four</w:t>
      </w:r>
      <w:r w:rsidR="006B5446" w:rsidRPr="002426BB">
        <w:rPr>
          <w:lang w:eastAsia="ja-JP"/>
        </w:rPr>
        <w:t xml:space="preserve"> months of treatment in those </w:t>
      </w:r>
      <w:r w:rsidR="009A0BC0">
        <w:rPr>
          <w:lang w:eastAsia="ja-JP"/>
        </w:rPr>
        <w:t>greater than</w:t>
      </w:r>
      <w:r w:rsidR="006B5446" w:rsidRPr="002426BB">
        <w:rPr>
          <w:lang w:eastAsia="ja-JP"/>
        </w:rPr>
        <w:t xml:space="preserve"> 120</w:t>
      </w:r>
      <w:r w:rsidR="009A0BC0">
        <w:rPr>
          <w:lang w:eastAsia="ja-JP"/>
        </w:rPr>
        <w:t xml:space="preserve"> </w:t>
      </w:r>
      <w:r w:rsidR="006B5446" w:rsidRPr="002426BB">
        <w:rPr>
          <w:lang w:eastAsia="ja-JP"/>
        </w:rPr>
        <w:t xml:space="preserve">kg to compensate for the </w:t>
      </w:r>
      <w:r w:rsidR="006B5446">
        <w:rPr>
          <w:lang w:eastAsia="ja-JP"/>
        </w:rPr>
        <w:t xml:space="preserve">perceived low </w:t>
      </w:r>
      <w:r>
        <w:rPr>
          <w:lang w:eastAsia="ja-JP"/>
        </w:rPr>
        <w:t xml:space="preserve">average concentration, </w:t>
      </w:r>
      <w:r w:rsidR="006B5446" w:rsidRPr="002426BB">
        <w:rPr>
          <w:lang w:eastAsia="ja-JP"/>
        </w:rPr>
        <w:t>due to larger volume of distribution</w:t>
      </w:r>
      <w:r w:rsidR="006B5446">
        <w:rPr>
          <w:lang w:eastAsia="ja-JP"/>
        </w:rPr>
        <w:t xml:space="preserve"> in the one compartmental model</w:t>
      </w:r>
      <w:r w:rsidR="006B5446" w:rsidRPr="002426BB">
        <w:rPr>
          <w:lang w:eastAsia="ja-JP"/>
        </w:rPr>
        <w:t xml:space="preserve">. The kinetic profile then moves towards </w:t>
      </w:r>
      <w:r w:rsidR="006B5446" w:rsidRPr="003C757A">
        <w:rPr>
          <w:lang w:eastAsia="ja-JP"/>
        </w:rPr>
        <w:t>zero kinetic</w:t>
      </w:r>
      <w:r>
        <w:rPr>
          <w:lang w:eastAsia="ja-JP"/>
        </w:rPr>
        <w:t>. T</w:t>
      </w:r>
      <w:r w:rsidR="006B5446">
        <w:rPr>
          <w:lang w:eastAsia="ja-JP"/>
        </w:rPr>
        <w:t>he race</w:t>
      </w:r>
      <w:r w:rsidR="009A0BC0">
        <w:rPr>
          <w:lang w:eastAsia="ja-JP"/>
        </w:rPr>
        <w:t xml:space="preserve"> </w:t>
      </w:r>
      <w:r>
        <w:rPr>
          <w:lang w:eastAsia="ja-JP"/>
        </w:rPr>
        <w:t>(</w:t>
      </w:r>
      <w:r w:rsidR="006B5446">
        <w:rPr>
          <w:lang w:eastAsia="ja-JP"/>
        </w:rPr>
        <w:t>Japanese</w:t>
      </w:r>
      <w:r>
        <w:rPr>
          <w:lang w:eastAsia="ja-JP"/>
        </w:rPr>
        <w:t>)</w:t>
      </w:r>
      <w:r w:rsidR="006B5446">
        <w:rPr>
          <w:lang w:eastAsia="ja-JP"/>
        </w:rPr>
        <w:t xml:space="preserve"> and gender (female) issues really relate to the noted weight differential.</w:t>
      </w:r>
      <w:bookmarkStart w:id="71" w:name="_Hlk88666418"/>
      <w:r>
        <w:rPr>
          <w:lang w:eastAsia="ja-JP"/>
        </w:rPr>
        <w:t xml:space="preserve"> In addition, </w:t>
      </w:r>
      <w:r w:rsidR="004858E7">
        <w:rPr>
          <w:lang w:eastAsia="ja-JP"/>
        </w:rPr>
        <w:t xml:space="preserve">anti-drug </w:t>
      </w:r>
      <w:r w:rsidR="003F210A">
        <w:rPr>
          <w:lang w:eastAsia="ja-JP"/>
        </w:rPr>
        <w:lastRenderedPageBreak/>
        <w:t xml:space="preserve">antibody </w:t>
      </w:r>
      <w:r w:rsidR="006B5446" w:rsidRPr="002D30F7">
        <w:rPr>
          <w:lang w:eastAsia="ja-JP"/>
        </w:rPr>
        <w:t xml:space="preserve">positivity tends to slightly increase CL/F, the implication on long term efficacy of </w:t>
      </w:r>
      <w:proofErr w:type="spellStart"/>
      <w:r w:rsidR="008B40FD">
        <w:rPr>
          <w:lang w:eastAsia="ja-JP"/>
        </w:rPr>
        <w:t>bimekizumab</w:t>
      </w:r>
      <w:proofErr w:type="spellEnd"/>
      <w:r w:rsidR="006B5446" w:rsidRPr="002D30F7">
        <w:rPr>
          <w:lang w:eastAsia="ja-JP"/>
        </w:rPr>
        <w:t xml:space="preserve"> needs to be considered.</w:t>
      </w:r>
    </w:p>
    <w:p w14:paraId="00FBE863" w14:textId="4FAE7B3C" w:rsidR="004E29EF" w:rsidRPr="004E29EF" w:rsidRDefault="004E29EF" w:rsidP="004E29EF">
      <w:pPr>
        <w:pStyle w:val="Heading5"/>
        <w:rPr>
          <w:lang w:eastAsia="ja-JP"/>
        </w:rPr>
      </w:pPr>
      <w:r w:rsidRPr="004E29EF">
        <w:rPr>
          <w:lang w:eastAsia="ja-JP"/>
        </w:rPr>
        <w:t>Pharmacokinetic interactions</w:t>
      </w:r>
    </w:p>
    <w:p w14:paraId="5B0ED7F5" w14:textId="71C5A9E1" w:rsidR="004E29EF" w:rsidRPr="004E29EF" w:rsidRDefault="004E29EF" w:rsidP="004E29EF">
      <w:pPr>
        <w:rPr>
          <w:lang w:eastAsia="ja-JP"/>
        </w:rPr>
      </w:pPr>
      <w:r w:rsidRPr="004E29EF">
        <w:rPr>
          <w:lang w:eastAsia="ja-JP"/>
        </w:rPr>
        <w:t xml:space="preserve">No studies examined the interaction of </w:t>
      </w:r>
      <w:proofErr w:type="spellStart"/>
      <w:r w:rsidRPr="004E29EF">
        <w:rPr>
          <w:lang w:eastAsia="ja-JP"/>
        </w:rPr>
        <w:t>bimekizumab</w:t>
      </w:r>
      <w:proofErr w:type="spellEnd"/>
      <w:r w:rsidRPr="004E29EF">
        <w:rPr>
          <w:lang w:eastAsia="ja-JP"/>
        </w:rPr>
        <w:t xml:space="preserve"> with other drugs in either healthy subjects or the target population. The </w:t>
      </w:r>
      <w:r>
        <w:rPr>
          <w:lang w:eastAsia="ja-JP"/>
        </w:rPr>
        <w:t xml:space="preserve">sponsor </w:t>
      </w:r>
      <w:r w:rsidRPr="004E29EF">
        <w:rPr>
          <w:lang w:eastAsia="ja-JP"/>
        </w:rPr>
        <w:t>states</w:t>
      </w:r>
    </w:p>
    <w:p w14:paraId="637FC278" w14:textId="24D58C14" w:rsidR="004E29EF" w:rsidRPr="003F210A" w:rsidRDefault="004E29EF" w:rsidP="006E7089">
      <w:pPr>
        <w:ind w:left="720"/>
        <w:rPr>
          <w:lang w:eastAsia="ja-JP"/>
        </w:rPr>
      </w:pPr>
      <w:r w:rsidRPr="003F210A">
        <w:rPr>
          <w:lang w:eastAsia="ja-JP"/>
        </w:rPr>
        <w:t>‘</w:t>
      </w:r>
      <w:r w:rsidRPr="006E7089">
        <w:rPr>
          <w:iCs/>
          <w:lang w:eastAsia="ja-JP"/>
        </w:rPr>
        <w:t xml:space="preserve">Given the mode of action of </w:t>
      </w:r>
      <w:proofErr w:type="spellStart"/>
      <w:r w:rsidRPr="006E7089">
        <w:rPr>
          <w:iCs/>
          <w:lang w:eastAsia="ja-JP"/>
        </w:rPr>
        <w:t>bimekizumab</w:t>
      </w:r>
      <w:proofErr w:type="spellEnd"/>
      <w:r w:rsidRPr="006E7089">
        <w:rPr>
          <w:iCs/>
          <w:lang w:eastAsia="ja-JP"/>
        </w:rPr>
        <w:t xml:space="preserve"> and results from studies conducted with other IL-17 and IL-23 inhibitors, minimal impact is expected on the exposure of drugs metabolized by the cytochrome P450 system indicating, that </w:t>
      </w:r>
      <w:proofErr w:type="spellStart"/>
      <w:r w:rsidRPr="006E7089">
        <w:rPr>
          <w:iCs/>
          <w:lang w:eastAsia="ja-JP"/>
        </w:rPr>
        <w:t>bimekizumab</w:t>
      </w:r>
      <w:proofErr w:type="spellEnd"/>
      <w:r w:rsidRPr="006E7089">
        <w:rPr>
          <w:iCs/>
          <w:lang w:eastAsia="ja-JP"/>
        </w:rPr>
        <w:t xml:space="preserve"> can be co-administered with other compounds metabolized with cytochrome P450, with continued therapeutic monitoring for narrow therapeutic window drugs.</w:t>
      </w:r>
      <w:r w:rsidRPr="003F210A">
        <w:rPr>
          <w:lang w:eastAsia="ja-JP"/>
        </w:rPr>
        <w:t>’</w:t>
      </w:r>
    </w:p>
    <w:p w14:paraId="2B0D8281" w14:textId="626C1AA3" w:rsidR="004E29EF" w:rsidRPr="004E29EF" w:rsidRDefault="004E29EF" w:rsidP="004E29EF">
      <w:pPr>
        <w:rPr>
          <w:lang w:eastAsia="ja-JP"/>
        </w:rPr>
      </w:pPr>
      <w:r>
        <w:rPr>
          <w:lang w:eastAsia="ja-JP"/>
        </w:rPr>
        <w:t>The Delegate commented that t</w:t>
      </w:r>
      <w:r w:rsidRPr="004E29EF">
        <w:rPr>
          <w:lang w:eastAsia="ja-JP"/>
        </w:rPr>
        <w:t>he PI should state:</w:t>
      </w:r>
    </w:p>
    <w:p w14:paraId="50930DAF" w14:textId="62D7FE90" w:rsidR="004E29EF" w:rsidRPr="003F210A" w:rsidRDefault="004E29EF" w:rsidP="006E7089">
      <w:pPr>
        <w:ind w:left="720"/>
        <w:rPr>
          <w:lang w:eastAsia="ja-JP"/>
        </w:rPr>
      </w:pPr>
      <w:r w:rsidRPr="003F210A">
        <w:rPr>
          <w:lang w:eastAsia="ja-JP"/>
        </w:rPr>
        <w:t>‘</w:t>
      </w:r>
      <w:r w:rsidRPr="006E7089">
        <w:rPr>
          <w:iCs/>
          <w:lang w:eastAsia="ja-JP"/>
        </w:rPr>
        <w:t xml:space="preserve">Given that the phagocytic cells of the immune system such as macrophages and monocytes are the major players in the elimination of </w:t>
      </w:r>
      <w:proofErr w:type="spellStart"/>
      <w:r w:rsidRPr="006E7089">
        <w:rPr>
          <w:iCs/>
          <w:lang w:eastAsia="ja-JP"/>
        </w:rPr>
        <w:t>bimekizumab</w:t>
      </w:r>
      <w:proofErr w:type="spellEnd"/>
      <w:r w:rsidRPr="006E7089">
        <w:rPr>
          <w:iCs/>
          <w:lang w:eastAsia="ja-JP"/>
        </w:rPr>
        <w:t xml:space="preserve"> and endogenous IgG, any proteolysis in the liver via P450 will be minimal. As such, drugs metabolized by the cytochrome P450 system may be co-administered with </w:t>
      </w:r>
      <w:proofErr w:type="spellStart"/>
      <w:r w:rsidRPr="006E7089">
        <w:rPr>
          <w:iCs/>
          <w:lang w:eastAsia="ja-JP"/>
        </w:rPr>
        <w:t>bimekizumab</w:t>
      </w:r>
      <w:proofErr w:type="spellEnd"/>
      <w:r w:rsidRPr="006E7089">
        <w:rPr>
          <w:iCs/>
          <w:lang w:eastAsia="ja-JP"/>
        </w:rPr>
        <w:t>. However, monitoring of therapeutic plasma level and effect of drugs with narrow therapeutic index, metabolised via cytochrome P450 system is recommended.</w:t>
      </w:r>
      <w:r w:rsidRPr="003F210A">
        <w:rPr>
          <w:lang w:eastAsia="ja-JP"/>
        </w:rPr>
        <w:t>’</w:t>
      </w:r>
    </w:p>
    <w:p w14:paraId="6EB1DC0F" w14:textId="5D2E4882" w:rsidR="004E29EF" w:rsidRDefault="004E29EF" w:rsidP="00055924">
      <w:pPr>
        <w:pStyle w:val="Heading6"/>
        <w:rPr>
          <w:lang w:eastAsia="ja-JP"/>
        </w:rPr>
      </w:pPr>
      <w:r>
        <w:rPr>
          <w:lang w:eastAsia="ja-JP"/>
        </w:rPr>
        <w:t xml:space="preserve">Co-administration of </w:t>
      </w:r>
      <w:proofErr w:type="spellStart"/>
      <w:r>
        <w:rPr>
          <w:lang w:eastAsia="ja-JP"/>
        </w:rPr>
        <w:t>bimekizumab</w:t>
      </w:r>
      <w:proofErr w:type="spellEnd"/>
      <w:r>
        <w:rPr>
          <w:lang w:eastAsia="ja-JP"/>
        </w:rPr>
        <w:t xml:space="preserve"> with the influenza vaccine</w:t>
      </w:r>
    </w:p>
    <w:p w14:paraId="53A09C03" w14:textId="62A0FA3D" w:rsidR="003F210A" w:rsidRPr="00EA20FE" w:rsidRDefault="003F210A" w:rsidP="006E7089">
      <w:pPr>
        <w:pStyle w:val="Heading7"/>
        <w:rPr>
          <w:lang w:eastAsia="ja-JP"/>
        </w:rPr>
      </w:pPr>
      <w:r w:rsidRPr="006E7089">
        <w:rPr>
          <w:sz w:val="22"/>
          <w:lang w:eastAsia="ja-JP"/>
        </w:rPr>
        <w:t>Study UP0034</w:t>
      </w:r>
    </w:p>
    <w:p w14:paraId="73946D2F" w14:textId="5B387F2B" w:rsidR="006B5446" w:rsidRDefault="004E29EF" w:rsidP="004E29EF">
      <w:pPr>
        <w:rPr>
          <w:lang w:eastAsia="ja-JP"/>
        </w:rPr>
      </w:pPr>
      <w:r>
        <w:rPr>
          <w:lang w:eastAsia="ja-JP"/>
        </w:rPr>
        <w:t>Study UP0034 was an open</w:t>
      </w:r>
      <w:r w:rsidR="009A0BC0">
        <w:rPr>
          <w:lang w:eastAsia="ja-JP"/>
        </w:rPr>
        <w:t xml:space="preserve"> </w:t>
      </w:r>
      <w:r>
        <w:rPr>
          <w:lang w:eastAsia="ja-JP"/>
        </w:rPr>
        <w:t>label, randomi</w:t>
      </w:r>
      <w:r w:rsidR="009A0BC0">
        <w:rPr>
          <w:lang w:eastAsia="ja-JP"/>
        </w:rPr>
        <w:t>s</w:t>
      </w:r>
      <w:r>
        <w:rPr>
          <w:lang w:eastAsia="ja-JP"/>
        </w:rPr>
        <w:t>ed, parallel</w:t>
      </w:r>
      <w:r w:rsidR="009A0BC0">
        <w:rPr>
          <w:lang w:eastAsia="ja-JP"/>
        </w:rPr>
        <w:t xml:space="preserve"> </w:t>
      </w:r>
      <w:r>
        <w:rPr>
          <w:lang w:eastAsia="ja-JP"/>
        </w:rPr>
        <w:t>group, single</w:t>
      </w:r>
      <w:r w:rsidR="009A0BC0">
        <w:rPr>
          <w:lang w:eastAsia="ja-JP"/>
        </w:rPr>
        <w:t xml:space="preserve"> </w:t>
      </w:r>
      <w:r>
        <w:rPr>
          <w:lang w:eastAsia="ja-JP"/>
        </w:rPr>
        <w:t xml:space="preserve">dose study to evaluate the effectiveness of influenza vaccination, following concomitant exposure to a single dose of </w:t>
      </w:r>
      <w:proofErr w:type="spellStart"/>
      <w:r>
        <w:rPr>
          <w:lang w:eastAsia="ja-JP"/>
        </w:rPr>
        <w:t>bimekizumab</w:t>
      </w:r>
      <w:proofErr w:type="spellEnd"/>
      <w:r>
        <w:rPr>
          <w:lang w:eastAsia="ja-JP"/>
        </w:rPr>
        <w:t xml:space="preserve"> 320 mg administered subcutaneously in healthy adult male and female study participants. The </w:t>
      </w:r>
      <w:r w:rsidR="003F210A">
        <w:rPr>
          <w:lang w:eastAsia="ja-JP"/>
        </w:rPr>
        <w:t xml:space="preserve">key findings from Study UP0034 are shown below in </w:t>
      </w:r>
      <w:r>
        <w:rPr>
          <w:lang w:eastAsia="ja-JP"/>
        </w:rPr>
        <w:fldChar w:fldCharType="begin"/>
      </w:r>
      <w:r>
        <w:rPr>
          <w:lang w:eastAsia="ja-JP"/>
        </w:rPr>
        <w:instrText xml:space="preserve"> REF _Ref128654940 \h </w:instrText>
      </w:r>
      <w:r>
        <w:rPr>
          <w:lang w:eastAsia="ja-JP"/>
        </w:rPr>
      </w:r>
      <w:r>
        <w:rPr>
          <w:lang w:eastAsia="ja-JP"/>
        </w:rPr>
        <w:fldChar w:fldCharType="separate"/>
      </w:r>
      <w:r w:rsidR="00B54079" w:rsidRPr="009A0BC0">
        <w:t xml:space="preserve">Table </w:t>
      </w:r>
      <w:r w:rsidR="00B54079">
        <w:rPr>
          <w:noProof/>
        </w:rPr>
        <w:t>9</w:t>
      </w:r>
      <w:r>
        <w:rPr>
          <w:lang w:eastAsia="ja-JP"/>
        </w:rPr>
        <w:fldChar w:fldCharType="end"/>
      </w:r>
      <w:r w:rsidR="003F210A">
        <w:rPr>
          <w:lang w:eastAsia="ja-JP"/>
        </w:rPr>
        <w:t>.</w:t>
      </w:r>
    </w:p>
    <w:p w14:paraId="1824E677" w14:textId="5AAA2C82" w:rsidR="00B57A0A" w:rsidRDefault="00B57A0A">
      <w:pPr>
        <w:spacing w:before="0" w:after="200" w:line="0" w:lineRule="auto"/>
        <w:rPr>
          <w:lang w:eastAsia="ja-JP"/>
        </w:rPr>
      </w:pPr>
      <w:r>
        <w:rPr>
          <w:lang w:eastAsia="ja-JP"/>
        </w:rPr>
        <w:br w:type="page"/>
      </w:r>
    </w:p>
    <w:p w14:paraId="161CF904" w14:textId="5F42775F" w:rsidR="004E29EF" w:rsidRDefault="004E29EF" w:rsidP="009A0BC0">
      <w:pPr>
        <w:pStyle w:val="TableTitle"/>
      </w:pPr>
      <w:bookmarkStart w:id="72" w:name="_Ref128654940"/>
      <w:r w:rsidRPr="009A0BC0">
        <w:lastRenderedPageBreak/>
        <w:t xml:space="preserve">Table </w:t>
      </w:r>
      <w:r w:rsidR="00172397">
        <w:fldChar w:fldCharType="begin"/>
      </w:r>
      <w:r w:rsidR="00172397">
        <w:instrText xml:space="preserve"> SEQ Table \* ARABIC </w:instrText>
      </w:r>
      <w:r w:rsidR="00172397">
        <w:fldChar w:fldCharType="separate"/>
      </w:r>
      <w:r w:rsidR="00B54079">
        <w:rPr>
          <w:noProof/>
        </w:rPr>
        <w:t>9</w:t>
      </w:r>
      <w:r w:rsidR="00172397">
        <w:rPr>
          <w:noProof/>
        </w:rPr>
        <w:fldChar w:fldCharType="end"/>
      </w:r>
      <w:bookmarkEnd w:id="72"/>
      <w:r>
        <w:t>:</w:t>
      </w:r>
      <w:r w:rsidR="009A0BC0">
        <w:t xml:space="preserve"> Study </w:t>
      </w:r>
      <w:r w:rsidR="009A0BC0" w:rsidRPr="00804666">
        <w:t>UP0034</w:t>
      </w:r>
      <w:r w:rsidR="009A0BC0">
        <w:t xml:space="preserve"> </w:t>
      </w:r>
      <w:r w:rsidR="009A0BC0" w:rsidRPr="00804666">
        <w:t xml:space="preserve">Summary of </w:t>
      </w:r>
      <w:proofErr w:type="spellStart"/>
      <w:r w:rsidR="009A0BC0" w:rsidRPr="00804666">
        <w:t>bimekizumab</w:t>
      </w:r>
      <w:proofErr w:type="spellEnd"/>
      <w:r w:rsidR="009A0BC0" w:rsidRPr="00804666">
        <w:t xml:space="preserve"> </w:t>
      </w:r>
      <w:r w:rsidR="009A0BC0">
        <w:t>pharmacokinetics</w:t>
      </w:r>
      <w:r w:rsidR="009A0BC0" w:rsidRPr="00804666">
        <w:t xml:space="preserve"> parameters</w:t>
      </w:r>
    </w:p>
    <w:p w14:paraId="2C49EBBA" w14:textId="38BAA0AB" w:rsidR="004E29EF" w:rsidRDefault="009A0BC0" w:rsidP="004E29EF">
      <w:r w:rsidRPr="009A0BC0">
        <w:rPr>
          <w:noProof/>
          <w:lang w:val="en-GB" w:eastAsia="en-GB"/>
        </w:rPr>
        <w:drawing>
          <wp:inline distT="0" distB="0" distL="0" distR="0" wp14:anchorId="0BE2B56E" wp14:editId="1B3D13E4">
            <wp:extent cx="5224007" cy="2048076"/>
            <wp:effectExtent l="0" t="0" r="0" b="9525"/>
            <wp:docPr id="19" name="Picture 19" descr="Study UP0034 Summary of bimekizumab pharmacokinetics para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tudy UP0034 Summary of bimekizumab pharmacokinetics parameters"/>
                    <pic:cNvPicPr/>
                  </pic:nvPicPr>
                  <pic:blipFill>
                    <a:blip r:embed="rId26"/>
                    <a:stretch>
                      <a:fillRect/>
                    </a:stretch>
                  </pic:blipFill>
                  <pic:spPr>
                    <a:xfrm>
                      <a:off x="0" y="0"/>
                      <a:ext cx="5234269" cy="2052099"/>
                    </a:xfrm>
                    <a:prstGeom prst="rect">
                      <a:avLst/>
                    </a:prstGeom>
                  </pic:spPr>
                </pic:pic>
              </a:graphicData>
            </a:graphic>
          </wp:inline>
        </w:drawing>
      </w:r>
    </w:p>
    <w:p w14:paraId="09A2CF25" w14:textId="683F0BCA" w:rsidR="009A0BC0" w:rsidRDefault="009A0BC0" w:rsidP="009A0BC0">
      <w:pPr>
        <w:pStyle w:val="TableDescription"/>
      </w:pPr>
      <w:r>
        <w:t xml:space="preserve">AUC = area under the plasma concentration-time curve from time 0 to infinity; BKZ = </w:t>
      </w:r>
      <w:proofErr w:type="spellStart"/>
      <w:r>
        <w:t>bimekizumab</w:t>
      </w:r>
      <w:proofErr w:type="spellEnd"/>
      <w:r>
        <w:t xml:space="preserve">; </w:t>
      </w:r>
      <w:proofErr w:type="spellStart"/>
      <w:r>
        <w:t>C</w:t>
      </w:r>
      <w:r w:rsidRPr="00757B36">
        <w:rPr>
          <w:vertAlign w:val="subscript"/>
        </w:rPr>
        <w:t>max</w:t>
      </w:r>
      <w:proofErr w:type="spellEnd"/>
      <w:r>
        <w:t xml:space="preserve"> = maximum plasma concentration; CSR = clinical study report; CV = coefficient of variation; </w:t>
      </w:r>
      <w:proofErr w:type="spellStart"/>
      <w:r>
        <w:t>GeoCV</w:t>
      </w:r>
      <w:proofErr w:type="spellEnd"/>
      <w:r>
        <w:t xml:space="preserve"> = geometric coefficient of variation; </w:t>
      </w:r>
      <w:proofErr w:type="spellStart"/>
      <w:r>
        <w:t>GeoMean</w:t>
      </w:r>
      <w:proofErr w:type="spellEnd"/>
      <w:r>
        <w:t xml:space="preserve"> = geometric mean; max = maximum; min = minimum;</w:t>
      </w:r>
      <w:r w:rsidR="00757B36">
        <w:t xml:space="preserve"> </w:t>
      </w:r>
      <w:proofErr w:type="spellStart"/>
      <w:r>
        <w:t>sc</w:t>
      </w:r>
      <w:proofErr w:type="spellEnd"/>
      <w:r w:rsidR="00757B36">
        <w:t xml:space="preserve"> </w:t>
      </w:r>
      <w:r>
        <w:t>=</w:t>
      </w:r>
      <w:r w:rsidR="00757B36">
        <w:t xml:space="preserve"> </w:t>
      </w:r>
      <w:r>
        <w:t>subcutaneous; SD</w:t>
      </w:r>
      <w:r w:rsidR="00757B36">
        <w:t xml:space="preserve"> </w:t>
      </w:r>
      <w:r>
        <w:t>=</w:t>
      </w:r>
      <w:r w:rsidR="00757B36">
        <w:t xml:space="preserve"> </w:t>
      </w:r>
      <w:r>
        <w:t>standard deviation; t½</w:t>
      </w:r>
      <w:r w:rsidR="00757B36">
        <w:t xml:space="preserve"> </w:t>
      </w:r>
      <w:r>
        <w:t>=</w:t>
      </w:r>
      <w:r w:rsidR="00757B36">
        <w:t xml:space="preserve"> </w:t>
      </w:r>
      <w:r>
        <w:t xml:space="preserve">apparent terminal half-life; </w:t>
      </w:r>
      <w:proofErr w:type="spellStart"/>
      <w:r>
        <w:t>t</w:t>
      </w:r>
      <w:r w:rsidRPr="00757B36">
        <w:rPr>
          <w:vertAlign w:val="subscript"/>
        </w:rPr>
        <w:t>max</w:t>
      </w:r>
      <w:proofErr w:type="spellEnd"/>
      <w:r w:rsidR="00757B36">
        <w:rPr>
          <w:vertAlign w:val="subscript"/>
        </w:rPr>
        <w:t xml:space="preserve"> </w:t>
      </w:r>
      <w:r>
        <w:t>=</w:t>
      </w:r>
      <w:r w:rsidR="00757B36">
        <w:t xml:space="preserve"> </w:t>
      </w:r>
      <w:r>
        <w:t xml:space="preserve">time of occurrence of </w:t>
      </w:r>
      <w:proofErr w:type="spellStart"/>
      <w:r>
        <w:t>C</w:t>
      </w:r>
      <w:r w:rsidRPr="00757B36">
        <w:rPr>
          <w:vertAlign w:val="subscript"/>
        </w:rPr>
        <w:t>max</w:t>
      </w:r>
      <w:proofErr w:type="spellEnd"/>
    </w:p>
    <w:p w14:paraId="5A335B79" w14:textId="7CBB6290" w:rsidR="009A0BC0" w:rsidRDefault="009A0BC0" w:rsidP="009A0BC0">
      <w:pPr>
        <w:pStyle w:val="TableDescription"/>
      </w:pPr>
      <w:r>
        <w:t>Note: If at least two-thirds of the participants had a PK parameter reported, then descriptive statistics were</w:t>
      </w:r>
      <w:r w:rsidR="00757B36">
        <w:t xml:space="preserve"> </w:t>
      </w:r>
      <w:r>
        <w:t>calculated, otherwise only minimum and maximum were reported for the PK parameter.</w:t>
      </w:r>
    </w:p>
    <w:p w14:paraId="330FE4AD" w14:textId="0C027598" w:rsidR="009A0BC0" w:rsidRDefault="009A0BC0" w:rsidP="009A0BC0">
      <w:pPr>
        <w:pStyle w:val="TableDescription"/>
      </w:pPr>
      <w:r>
        <w:t xml:space="preserve">Note: BKZ </w:t>
      </w:r>
      <w:r w:rsidR="001D2CFA">
        <w:t>320 mg</w:t>
      </w:r>
      <w:r>
        <w:t xml:space="preserve">: Single </w:t>
      </w:r>
      <w:proofErr w:type="spellStart"/>
      <w:r>
        <w:t>sc</w:t>
      </w:r>
      <w:proofErr w:type="spellEnd"/>
      <w:r>
        <w:t xml:space="preserve"> dose administered as a 2x1mL </w:t>
      </w:r>
      <w:r w:rsidR="001D2CFA">
        <w:t>160 mg</w:t>
      </w:r>
      <w:r>
        <w:t>/mL injection on Day 1 followed by single</w:t>
      </w:r>
      <w:r w:rsidR="00757B36">
        <w:t xml:space="preserve"> </w:t>
      </w:r>
      <w:r>
        <w:t>intramuscular dose of inactivated influenza vaccine on Day 15.</w:t>
      </w:r>
    </w:p>
    <w:p w14:paraId="6AB28A5F" w14:textId="7F9680CC" w:rsidR="009A0BC0" w:rsidRDefault="009A0BC0" w:rsidP="009A0BC0">
      <w:pPr>
        <w:pStyle w:val="TableDescription"/>
      </w:pPr>
      <w:proofErr w:type="spellStart"/>
      <w:r>
        <w:t>a</w:t>
      </w:r>
      <w:proofErr w:type="spellEnd"/>
      <w:r>
        <w:t xml:space="preserve"> </w:t>
      </w:r>
      <w:proofErr w:type="gramStart"/>
      <w:r>
        <w:t>The</w:t>
      </w:r>
      <w:proofErr w:type="gramEnd"/>
      <w:r>
        <w:t xml:space="preserve"> t½ was determined over a time interval equal to at least 2 x t½, using at least 3 data points. If the time interval</w:t>
      </w:r>
      <w:r w:rsidR="00757B36">
        <w:t xml:space="preserve"> </w:t>
      </w:r>
      <w:r>
        <w:t>was less than 2 x t½, the terminal half-life was flagged.</w:t>
      </w:r>
    </w:p>
    <w:p w14:paraId="1AAA69D2" w14:textId="7CE6A0B4" w:rsidR="004E29EF" w:rsidRDefault="004E29EF" w:rsidP="004E29EF">
      <w:r w:rsidRPr="004E29EF">
        <w:t xml:space="preserve">The results for PK parameters were </w:t>
      </w:r>
      <w:proofErr w:type="gramStart"/>
      <w:r w:rsidRPr="004E29EF">
        <w:t>similar to</w:t>
      </w:r>
      <w:proofErr w:type="gramEnd"/>
      <w:r w:rsidRPr="004E29EF">
        <w:t xml:space="preserve"> those seen in other PK studies, where subjects did not receive influenza vaccine.</w:t>
      </w:r>
    </w:p>
    <w:p w14:paraId="5F050570" w14:textId="265F5DFE" w:rsidR="003F210A" w:rsidRDefault="003F210A" w:rsidP="006E4137">
      <w:pPr>
        <w:pStyle w:val="Heading5"/>
      </w:pPr>
      <w:r>
        <w:t>Summary of pharmacokinetic findings</w:t>
      </w:r>
    </w:p>
    <w:p w14:paraId="6F2125BE" w14:textId="41E704F1" w:rsidR="00482102" w:rsidRDefault="00482102" w:rsidP="004E29EF">
      <w:r>
        <w:t>The clinical evaluat</w:t>
      </w:r>
      <w:r w:rsidR="003F210A">
        <w:t>ion</w:t>
      </w:r>
      <w:r>
        <w:t xml:space="preserve"> </w:t>
      </w:r>
      <w:r w:rsidR="003F210A">
        <w:t xml:space="preserve">noted </w:t>
      </w:r>
      <w:r>
        <w:t xml:space="preserve">that two different </w:t>
      </w:r>
      <w:r w:rsidR="005F3D7F">
        <w:t>formulations</w:t>
      </w:r>
      <w:r>
        <w:t xml:space="preserve"> were used during clinical development: </w:t>
      </w:r>
      <w:r w:rsidR="00B77426">
        <w:t>F</w:t>
      </w:r>
      <w:r w:rsidR="005F1657">
        <w:t xml:space="preserve">ormulation </w:t>
      </w:r>
      <w:r w:rsidR="00B77426">
        <w:t>A</w:t>
      </w:r>
      <w:r w:rsidR="005F1657">
        <w:t xml:space="preserve"> an</w:t>
      </w:r>
      <w:r w:rsidR="00B77426">
        <w:t>d</w:t>
      </w:r>
      <w:r w:rsidR="005F1657">
        <w:t xml:space="preserve"> </w:t>
      </w:r>
      <w:r w:rsidR="00B77426">
        <w:t>F</w:t>
      </w:r>
      <w:r w:rsidR="005F1657">
        <w:t xml:space="preserve">ormulation </w:t>
      </w:r>
      <w:r w:rsidR="00B77426">
        <w:t>B</w:t>
      </w:r>
      <w:r w:rsidR="003F210A">
        <w:t xml:space="preserve"> (with Formulation B being the formulation proposed for clinical use).</w:t>
      </w:r>
      <w:r>
        <w:t xml:space="preserve"> Study UP0031 investigate </w:t>
      </w:r>
      <w:r w:rsidRPr="00482102">
        <w:t xml:space="preserve">the PK of both formulations, the </w:t>
      </w:r>
      <w:r w:rsidR="00B77426">
        <w:t>F</w:t>
      </w:r>
      <w:r w:rsidRPr="00482102">
        <w:t>ormulation</w:t>
      </w:r>
      <w:r w:rsidR="005F1657">
        <w:t xml:space="preserve"> </w:t>
      </w:r>
      <w:r w:rsidR="00B77426">
        <w:t>B</w:t>
      </w:r>
      <w:r w:rsidRPr="00482102">
        <w:t xml:space="preserve"> is that proposed for commercialisation and was used in all Phase I to </w:t>
      </w:r>
      <w:r>
        <w:t>III</w:t>
      </w:r>
      <w:r w:rsidRPr="00482102">
        <w:t xml:space="preserve"> studies except for</w:t>
      </w:r>
      <w:r>
        <w:t xml:space="preserve"> Stud</w:t>
      </w:r>
      <w:r w:rsidR="00757B36">
        <w:t>ies</w:t>
      </w:r>
      <w:r w:rsidRPr="00482102">
        <w:t xml:space="preserve"> RA0124, UP0008 and PA0007</w:t>
      </w:r>
      <w:r>
        <w:t>.</w:t>
      </w:r>
    </w:p>
    <w:p w14:paraId="3A381C24" w14:textId="022CFA2C" w:rsidR="005F3D7F" w:rsidRDefault="005F3D7F" w:rsidP="005F3D7F">
      <w:r>
        <w:t xml:space="preserve">No estimation of confidence intervals for the ratio of the means for </w:t>
      </w:r>
      <w:proofErr w:type="spellStart"/>
      <w:r>
        <w:t>C</w:t>
      </w:r>
      <w:r w:rsidRPr="00757B36">
        <w:rPr>
          <w:vertAlign w:val="subscript"/>
        </w:rPr>
        <w:t>max</w:t>
      </w:r>
      <w:proofErr w:type="spellEnd"/>
      <w:r>
        <w:t xml:space="preserve"> has been undertaken. Any difference in bioequivalence is unlikely to be of clinical significance. Importantly, the formulation used in most PK studies and the pivotal Phase III studies is that intended for commercialisation. The pharmacokinetic program adequately characterises the PK parameters of </w:t>
      </w:r>
      <w:proofErr w:type="spellStart"/>
      <w:r>
        <w:t>bimekizumab</w:t>
      </w:r>
      <w:proofErr w:type="spellEnd"/>
      <w:r>
        <w:t>.</w:t>
      </w:r>
    </w:p>
    <w:p w14:paraId="2FBEAB0A" w14:textId="1134756E" w:rsidR="005F3D7F" w:rsidRDefault="005F3D7F" w:rsidP="005F3D7F">
      <w:r>
        <w:t xml:space="preserve">The PK of </w:t>
      </w:r>
      <w:proofErr w:type="spellStart"/>
      <w:r>
        <w:t>bimekizumab</w:t>
      </w:r>
      <w:proofErr w:type="spellEnd"/>
      <w:r>
        <w:t xml:space="preserve"> was similar between healthy participants and patients with moderate to severe psoriasis. </w:t>
      </w:r>
      <w:proofErr w:type="spellStart"/>
      <w:r>
        <w:t>Bimekizumab</w:t>
      </w:r>
      <w:proofErr w:type="spellEnd"/>
      <w:r>
        <w:t xml:space="preserve"> exhibited dose-dependent linear PK, in healthy participants after single SC doses in the range of 80 to 320</w:t>
      </w:r>
      <w:r w:rsidR="00757B36">
        <w:t xml:space="preserve"> </w:t>
      </w:r>
      <w:r>
        <w:t>mg and in patients with moderate to severe psoriasis after multiple SC doses in the range of 64 to 480</w:t>
      </w:r>
      <w:r w:rsidR="00757B36">
        <w:t xml:space="preserve"> </w:t>
      </w:r>
      <w:r>
        <w:t>mg.</w:t>
      </w:r>
    </w:p>
    <w:p w14:paraId="65259B25" w14:textId="09047841" w:rsidR="005F3D7F" w:rsidRDefault="005F3D7F" w:rsidP="005F3D7F">
      <w:r>
        <w:t>The data presented are adequate to develop a proposed dose regimen.</w:t>
      </w:r>
    </w:p>
    <w:p w14:paraId="7F45325F" w14:textId="160BE8D6" w:rsidR="005F3D7F" w:rsidRDefault="005F3D7F" w:rsidP="005F3D7F">
      <w:r>
        <w:t xml:space="preserve">Exposure of </w:t>
      </w:r>
      <w:proofErr w:type="spellStart"/>
      <w:r>
        <w:t>bimekizumab</w:t>
      </w:r>
      <w:proofErr w:type="spellEnd"/>
      <w:r>
        <w:t xml:space="preserve"> is inversely correlated with body weight and dose adjustment based on extremes of body weight may be necessary. This is adequately reflected in the proposed </w:t>
      </w:r>
      <w:r w:rsidR="00757B36">
        <w:t>PI</w:t>
      </w:r>
      <w:r>
        <w:t>.</w:t>
      </w:r>
    </w:p>
    <w:p w14:paraId="270D09A8" w14:textId="4B099A26" w:rsidR="00055924" w:rsidRDefault="00055924" w:rsidP="00055924">
      <w:r>
        <w:t xml:space="preserve">Based on the population PK analysis, </w:t>
      </w:r>
      <w:proofErr w:type="spellStart"/>
      <w:r>
        <w:t>bimekizumab</w:t>
      </w:r>
      <w:proofErr w:type="spellEnd"/>
      <w:r>
        <w:t xml:space="preserve"> CL/F or V/F was not impacted by age.</w:t>
      </w:r>
    </w:p>
    <w:p w14:paraId="10AF5347" w14:textId="6BA01F6A" w:rsidR="00055924" w:rsidRDefault="00055924" w:rsidP="005F3D7F">
      <w:proofErr w:type="spellStart"/>
      <w:r>
        <w:t>Bimekizumab</w:t>
      </w:r>
      <w:proofErr w:type="spellEnd"/>
      <w:r>
        <w:t xml:space="preserve"> is a humanised I</w:t>
      </w:r>
      <w:r w:rsidR="00757B36">
        <w:t>g</w:t>
      </w:r>
      <w:r>
        <w:t xml:space="preserve">G antibody, thus it is anticipated that the potential for interaction is low as it undergoes protein degradation and has no effect on important </w:t>
      </w:r>
      <w:r>
        <w:lastRenderedPageBreak/>
        <w:t xml:space="preserve">enzyme systems. In common with other </w:t>
      </w:r>
      <w:r w:rsidR="00757B36">
        <w:t>monoclonal antibodies</w:t>
      </w:r>
      <w:r>
        <w:t xml:space="preserve"> no specific interaction studies have been undertaken.</w:t>
      </w:r>
    </w:p>
    <w:p w14:paraId="651E104B" w14:textId="2027AF9C" w:rsidR="00055924" w:rsidRDefault="00055924" w:rsidP="00055924">
      <w:r>
        <w:t>The Delegate commented that it is more precise to state that after a certain weight limit (</w:t>
      </w:r>
      <w:r w:rsidR="00757B36">
        <w:t xml:space="preserve">greater than </w:t>
      </w:r>
      <w:r>
        <w:t xml:space="preserve">120 kg), </w:t>
      </w:r>
      <w:proofErr w:type="spellStart"/>
      <w:r>
        <w:t>Bimekizumab</w:t>
      </w:r>
      <w:proofErr w:type="spellEnd"/>
      <w:r>
        <w:t xml:space="preserve"> exposure may be inversely correlated with body weight. There is a possibility of drug accumulation should the dose frequency remain at </w:t>
      </w:r>
      <w:r w:rsidR="00757B36">
        <w:t xml:space="preserve">every </w:t>
      </w:r>
      <w:r>
        <w:t>4 week</w:t>
      </w:r>
      <w:r w:rsidR="00757B36">
        <w:t>s dosing</w:t>
      </w:r>
      <w:r>
        <w:t xml:space="preserve"> intervals, the induction treatment dosing in those </w:t>
      </w:r>
      <w:r w:rsidR="00757B36">
        <w:t>greater than</w:t>
      </w:r>
      <w:r>
        <w:t xml:space="preserve"> 120</w:t>
      </w:r>
      <w:r w:rsidR="00757B36">
        <w:t> </w:t>
      </w:r>
      <w:r>
        <w:t xml:space="preserve">kg, instead of shifting to the maintenance treatment </w:t>
      </w:r>
      <w:r w:rsidR="00757B36">
        <w:t xml:space="preserve">every </w:t>
      </w:r>
      <w:r>
        <w:t>8 week</w:t>
      </w:r>
      <w:r w:rsidR="00757B36">
        <w:t>s</w:t>
      </w:r>
      <w:r>
        <w:t xml:space="preserve"> </w:t>
      </w:r>
      <w:proofErr w:type="gramStart"/>
      <w:r>
        <w:t>dosing ,</w:t>
      </w:r>
      <w:proofErr w:type="gramEnd"/>
      <w:r>
        <w:t xml:space="preserve"> post </w:t>
      </w:r>
      <w:r w:rsidR="00757B36">
        <w:t>four</w:t>
      </w:r>
      <w:r>
        <w:t xml:space="preserve"> months of the induction treatment </w:t>
      </w:r>
      <w:r w:rsidR="00757B36">
        <w:t>every four</w:t>
      </w:r>
      <w:r>
        <w:t xml:space="preserve"> week</w:t>
      </w:r>
      <w:r w:rsidR="00757B36">
        <w:t>s</w:t>
      </w:r>
      <w:r>
        <w:t xml:space="preserve"> dosing . Remaining at </w:t>
      </w:r>
      <w:r w:rsidR="00757B36">
        <w:t xml:space="preserve">every </w:t>
      </w:r>
      <w:r>
        <w:t>4 week</w:t>
      </w:r>
      <w:r w:rsidR="00757B36">
        <w:t>s</w:t>
      </w:r>
      <w:r>
        <w:t xml:space="preserve"> dosing is probably aimed at compensating for the perceived low average concentration due to larger volume of distribution, in the one compartmental (overweight) model. The kinetic profile may then shift towards zero kinetic, which is undesirable. The Delegate commented that there may be need for a precautionary statement in the PI to warn against the possibility of drug dose accumulation.</w:t>
      </w:r>
    </w:p>
    <w:p w14:paraId="319E82EE" w14:textId="1CF82BDD" w:rsidR="00055924" w:rsidRPr="008D028A" w:rsidRDefault="00055924" w:rsidP="008D028A">
      <w:pPr>
        <w:pStyle w:val="Heading5"/>
      </w:pPr>
      <w:r w:rsidRPr="008D028A">
        <w:t>Pharmacodynamic</w:t>
      </w:r>
      <w:r w:rsidR="00E11C41">
        <w:t>s</w:t>
      </w:r>
    </w:p>
    <w:p w14:paraId="46DA26EE" w14:textId="5403205C" w:rsidR="00055924" w:rsidRDefault="00055924" w:rsidP="00055924">
      <w:r>
        <w:t>Submitted pharmacodynamic</w:t>
      </w:r>
      <w:r w:rsidR="00E11C41">
        <w:t xml:space="preserve"> </w:t>
      </w:r>
      <w:r>
        <w:t xml:space="preserve">studies are listed in </w:t>
      </w:r>
      <w:r w:rsidR="00E11C41">
        <w:fldChar w:fldCharType="begin"/>
      </w:r>
      <w:r w:rsidR="00E11C41">
        <w:instrText xml:space="preserve"> REF _Ref132288103 \h </w:instrText>
      </w:r>
      <w:r w:rsidR="00E11C41">
        <w:fldChar w:fldCharType="separate"/>
      </w:r>
      <w:r w:rsidR="00B54079" w:rsidRPr="00757B36">
        <w:t xml:space="preserve">Table </w:t>
      </w:r>
      <w:r w:rsidR="00B54079">
        <w:rPr>
          <w:noProof/>
        </w:rPr>
        <w:t>10</w:t>
      </w:r>
      <w:r w:rsidR="00E11C41">
        <w:fldChar w:fldCharType="end"/>
      </w:r>
      <w:r w:rsidR="00E11C41">
        <w:t>, shown below.</w:t>
      </w:r>
    </w:p>
    <w:p w14:paraId="17462136" w14:textId="4EAEB459" w:rsidR="00055924" w:rsidRDefault="00055924" w:rsidP="00757B36">
      <w:pPr>
        <w:pStyle w:val="TableTitle"/>
      </w:pPr>
      <w:bookmarkStart w:id="73" w:name="_Ref132288103"/>
      <w:r w:rsidRPr="00757B36">
        <w:t xml:space="preserve">Table </w:t>
      </w:r>
      <w:r w:rsidR="00172397">
        <w:fldChar w:fldCharType="begin"/>
      </w:r>
      <w:r w:rsidR="00172397">
        <w:instrText xml:space="preserve"> SEQ Table \* ARABIC </w:instrText>
      </w:r>
      <w:r w:rsidR="00172397">
        <w:fldChar w:fldCharType="separate"/>
      </w:r>
      <w:r w:rsidR="00B54079">
        <w:rPr>
          <w:noProof/>
        </w:rPr>
        <w:t>10</w:t>
      </w:r>
      <w:r w:rsidR="00172397">
        <w:rPr>
          <w:noProof/>
        </w:rPr>
        <w:fldChar w:fldCharType="end"/>
      </w:r>
      <w:bookmarkEnd w:id="73"/>
      <w:r>
        <w:t>:</w:t>
      </w:r>
      <w:r w:rsidR="00757B36">
        <w:t xml:space="preserve"> </w:t>
      </w:r>
      <w:r w:rsidR="00757B36" w:rsidRPr="00757B36">
        <w:t>Submitted pharmacodynamic studies.</w:t>
      </w:r>
    </w:p>
    <w:tbl>
      <w:tblPr>
        <w:tblStyle w:val="TableTGAblue"/>
        <w:tblW w:w="5000" w:type="pct"/>
        <w:jc w:val="center"/>
        <w:tblLook w:val="04A0" w:firstRow="1" w:lastRow="0" w:firstColumn="1" w:lastColumn="0" w:noHBand="0" w:noVBand="1"/>
      </w:tblPr>
      <w:tblGrid>
        <w:gridCol w:w="3591"/>
        <w:gridCol w:w="3239"/>
        <w:gridCol w:w="1654"/>
      </w:tblGrid>
      <w:tr w:rsidR="00055924" w:rsidRPr="00C37A1D" w14:paraId="20DE0EF5" w14:textId="77777777" w:rsidTr="006E7089">
        <w:trPr>
          <w:cnfStyle w:val="100000000000" w:firstRow="1" w:lastRow="0" w:firstColumn="0" w:lastColumn="0" w:oddVBand="0" w:evenVBand="0" w:oddHBand="0" w:evenHBand="0" w:firstRowFirstColumn="0" w:firstRowLastColumn="0" w:lastRowFirstColumn="0" w:lastRowLastColumn="0"/>
          <w:jc w:val="center"/>
        </w:trPr>
        <w:tc>
          <w:tcPr>
            <w:tcW w:w="2116" w:type="pct"/>
          </w:tcPr>
          <w:p w14:paraId="6DCBA7BF" w14:textId="77777777" w:rsidR="00055924" w:rsidRPr="006E7089" w:rsidRDefault="00055924" w:rsidP="006E7089">
            <w:pPr>
              <w:rPr>
                <w:sz w:val="20"/>
              </w:rPr>
            </w:pPr>
            <w:r w:rsidRPr="006E7089">
              <w:rPr>
                <w:sz w:val="20"/>
              </w:rPr>
              <w:t>PD Topic</w:t>
            </w:r>
          </w:p>
        </w:tc>
        <w:tc>
          <w:tcPr>
            <w:tcW w:w="1909" w:type="pct"/>
          </w:tcPr>
          <w:p w14:paraId="38EF2EA4" w14:textId="77777777" w:rsidR="00055924" w:rsidRPr="006E7089" w:rsidRDefault="00055924" w:rsidP="006E7089">
            <w:pPr>
              <w:rPr>
                <w:sz w:val="20"/>
              </w:rPr>
            </w:pPr>
            <w:r w:rsidRPr="006E7089">
              <w:rPr>
                <w:sz w:val="20"/>
              </w:rPr>
              <w:t>Subtopic</w:t>
            </w:r>
          </w:p>
        </w:tc>
        <w:tc>
          <w:tcPr>
            <w:tcW w:w="975" w:type="pct"/>
          </w:tcPr>
          <w:p w14:paraId="4ADD24EA" w14:textId="77777777" w:rsidR="00055924" w:rsidRPr="006E7089" w:rsidRDefault="00055924" w:rsidP="006E7089">
            <w:pPr>
              <w:rPr>
                <w:sz w:val="20"/>
              </w:rPr>
            </w:pPr>
            <w:r w:rsidRPr="006E7089">
              <w:rPr>
                <w:sz w:val="20"/>
              </w:rPr>
              <w:t>Study ID</w:t>
            </w:r>
          </w:p>
        </w:tc>
      </w:tr>
      <w:tr w:rsidR="00055924" w:rsidRPr="00C37A1D" w14:paraId="2262B7E5" w14:textId="77777777" w:rsidTr="006E7089">
        <w:trPr>
          <w:jc w:val="center"/>
        </w:trPr>
        <w:tc>
          <w:tcPr>
            <w:tcW w:w="2116" w:type="pct"/>
            <w:vMerge w:val="restart"/>
          </w:tcPr>
          <w:p w14:paraId="01F0A0B4" w14:textId="6043FF75" w:rsidR="00055924" w:rsidRPr="00C37A1D" w:rsidRDefault="00055924" w:rsidP="009B153D">
            <w:pPr>
              <w:pStyle w:val="Tabletext"/>
              <w:keepNext/>
              <w:rPr>
                <w:b/>
              </w:rPr>
            </w:pPr>
            <w:r w:rsidRPr="00C37A1D">
              <w:rPr>
                <w:b/>
              </w:rPr>
              <w:t xml:space="preserve">Primary </w:t>
            </w:r>
            <w:r w:rsidR="00E11C41">
              <w:rPr>
                <w:b/>
              </w:rPr>
              <w:t>p</w:t>
            </w:r>
            <w:r w:rsidRPr="00C37A1D">
              <w:rPr>
                <w:b/>
              </w:rPr>
              <w:t>harmacology</w:t>
            </w:r>
          </w:p>
          <w:p w14:paraId="0751C8C0" w14:textId="77777777" w:rsidR="00055924" w:rsidRPr="00C37A1D" w:rsidRDefault="00055924" w:rsidP="009B153D">
            <w:pPr>
              <w:pStyle w:val="Tabletext"/>
              <w:keepNext/>
              <w:rPr>
                <w:b/>
              </w:rPr>
            </w:pPr>
          </w:p>
        </w:tc>
        <w:tc>
          <w:tcPr>
            <w:tcW w:w="1909" w:type="pct"/>
          </w:tcPr>
          <w:p w14:paraId="678F196F" w14:textId="77777777" w:rsidR="00055924" w:rsidRPr="00C37A1D" w:rsidRDefault="00055924" w:rsidP="009B153D">
            <w:pPr>
              <w:pStyle w:val="Tabletext"/>
              <w:keepNext/>
            </w:pPr>
            <w:r w:rsidRPr="00C37A1D">
              <w:t xml:space="preserve">Effect on </w:t>
            </w:r>
            <w:r>
              <w:t>IL-17 levels</w:t>
            </w:r>
          </w:p>
        </w:tc>
        <w:tc>
          <w:tcPr>
            <w:tcW w:w="975" w:type="pct"/>
          </w:tcPr>
          <w:p w14:paraId="77CFA42F" w14:textId="77777777" w:rsidR="00055924" w:rsidRDefault="00055924" w:rsidP="009B153D">
            <w:pPr>
              <w:pStyle w:val="Tabletext"/>
              <w:keepNext/>
            </w:pPr>
            <w:r>
              <w:t>UP0008</w:t>
            </w:r>
          </w:p>
          <w:p w14:paraId="73DA8D11" w14:textId="77777777" w:rsidR="00055924" w:rsidRPr="00C37A1D" w:rsidRDefault="00055924" w:rsidP="009B153D">
            <w:pPr>
              <w:pStyle w:val="Tabletext"/>
              <w:keepNext/>
            </w:pPr>
            <w:r>
              <w:t>PS0010</w:t>
            </w:r>
          </w:p>
        </w:tc>
      </w:tr>
      <w:tr w:rsidR="00055924" w:rsidRPr="00C37A1D" w14:paraId="5D0B45D2" w14:textId="77777777" w:rsidTr="006E7089">
        <w:trPr>
          <w:jc w:val="center"/>
        </w:trPr>
        <w:tc>
          <w:tcPr>
            <w:tcW w:w="2116" w:type="pct"/>
            <w:vMerge/>
          </w:tcPr>
          <w:p w14:paraId="40358344" w14:textId="77777777" w:rsidR="00055924" w:rsidRPr="00C37A1D" w:rsidRDefault="00055924" w:rsidP="009B153D">
            <w:pPr>
              <w:pStyle w:val="Tabletext"/>
              <w:keepNext/>
              <w:rPr>
                <w:b/>
              </w:rPr>
            </w:pPr>
          </w:p>
        </w:tc>
        <w:tc>
          <w:tcPr>
            <w:tcW w:w="1909" w:type="pct"/>
          </w:tcPr>
          <w:p w14:paraId="5FF98E95" w14:textId="77777777" w:rsidR="00055924" w:rsidRPr="00C37A1D" w:rsidRDefault="00055924" w:rsidP="009B153D">
            <w:pPr>
              <w:pStyle w:val="Tabletext"/>
              <w:keepNext/>
            </w:pPr>
            <w:r w:rsidRPr="00C37A1D">
              <w:t>Effect on P</w:t>
            </w:r>
            <w:r>
              <w:t>ASI and PGA/IGA</w:t>
            </w:r>
          </w:p>
        </w:tc>
        <w:tc>
          <w:tcPr>
            <w:tcW w:w="975" w:type="pct"/>
          </w:tcPr>
          <w:p w14:paraId="03DFE3E4" w14:textId="77777777" w:rsidR="00055924" w:rsidRDefault="00055924" w:rsidP="009B153D">
            <w:pPr>
              <w:pStyle w:val="Tabletext"/>
              <w:keepNext/>
            </w:pPr>
            <w:r>
              <w:t>UP0008</w:t>
            </w:r>
          </w:p>
          <w:p w14:paraId="3F365BAC" w14:textId="77777777" w:rsidR="00055924" w:rsidRDefault="00055924" w:rsidP="009B153D">
            <w:pPr>
              <w:pStyle w:val="Tabletext"/>
              <w:keepNext/>
            </w:pPr>
            <w:r>
              <w:t>PS0016</w:t>
            </w:r>
          </w:p>
          <w:p w14:paraId="2367B804" w14:textId="77777777" w:rsidR="00055924" w:rsidRPr="00C37A1D" w:rsidRDefault="00055924" w:rsidP="009B153D">
            <w:pPr>
              <w:pStyle w:val="Tabletext"/>
              <w:keepNext/>
            </w:pPr>
            <w:r>
              <w:t>PS0010</w:t>
            </w:r>
          </w:p>
        </w:tc>
      </w:tr>
      <w:tr w:rsidR="00055924" w:rsidRPr="00C37A1D" w14:paraId="5EEF8923" w14:textId="77777777" w:rsidTr="006E7089">
        <w:trPr>
          <w:jc w:val="center"/>
        </w:trPr>
        <w:tc>
          <w:tcPr>
            <w:tcW w:w="2116" w:type="pct"/>
            <w:vMerge/>
          </w:tcPr>
          <w:p w14:paraId="1482775D" w14:textId="77777777" w:rsidR="00055924" w:rsidRPr="00C37A1D" w:rsidRDefault="00055924" w:rsidP="009B153D">
            <w:pPr>
              <w:pStyle w:val="Tabletext"/>
              <w:keepNext/>
              <w:rPr>
                <w:b/>
              </w:rPr>
            </w:pPr>
          </w:p>
        </w:tc>
        <w:tc>
          <w:tcPr>
            <w:tcW w:w="1909" w:type="pct"/>
          </w:tcPr>
          <w:p w14:paraId="6C29D7BD" w14:textId="77777777" w:rsidR="00055924" w:rsidRPr="00C37A1D" w:rsidRDefault="00055924" w:rsidP="009B153D">
            <w:pPr>
              <w:pStyle w:val="Tabletext"/>
              <w:keepNext/>
            </w:pPr>
            <w:r w:rsidRPr="00C37A1D">
              <w:t xml:space="preserve">Effect on </w:t>
            </w:r>
            <w:r>
              <w:t>biomarkers (exploratory objectives)</w:t>
            </w:r>
          </w:p>
        </w:tc>
        <w:tc>
          <w:tcPr>
            <w:tcW w:w="975" w:type="pct"/>
          </w:tcPr>
          <w:p w14:paraId="1C466D44" w14:textId="77777777" w:rsidR="00055924" w:rsidRDefault="00055924" w:rsidP="009B153D">
            <w:pPr>
              <w:pStyle w:val="Tabletext"/>
              <w:keepNext/>
            </w:pPr>
            <w:r>
              <w:t>UP0008</w:t>
            </w:r>
          </w:p>
          <w:p w14:paraId="54DA8A11" w14:textId="77777777" w:rsidR="00055924" w:rsidRPr="00C37A1D" w:rsidRDefault="00055924" w:rsidP="009B153D">
            <w:pPr>
              <w:pStyle w:val="Tabletext"/>
              <w:keepNext/>
            </w:pPr>
            <w:r>
              <w:t>PS0016</w:t>
            </w:r>
          </w:p>
        </w:tc>
      </w:tr>
      <w:tr w:rsidR="00055924" w:rsidRPr="00C37A1D" w14:paraId="47889480" w14:textId="77777777" w:rsidTr="006E7089">
        <w:trPr>
          <w:jc w:val="center"/>
        </w:trPr>
        <w:tc>
          <w:tcPr>
            <w:tcW w:w="2116" w:type="pct"/>
            <w:vMerge/>
          </w:tcPr>
          <w:p w14:paraId="266CF130" w14:textId="77777777" w:rsidR="00055924" w:rsidRPr="00C37A1D" w:rsidRDefault="00055924" w:rsidP="009B153D">
            <w:pPr>
              <w:pStyle w:val="Tabletext"/>
              <w:keepNext/>
              <w:rPr>
                <w:b/>
              </w:rPr>
            </w:pPr>
          </w:p>
        </w:tc>
        <w:tc>
          <w:tcPr>
            <w:tcW w:w="1909" w:type="pct"/>
          </w:tcPr>
          <w:p w14:paraId="3C6D8060" w14:textId="77777777" w:rsidR="00055924" w:rsidRPr="00C37A1D" w:rsidRDefault="00055924" w:rsidP="009B153D">
            <w:pPr>
              <w:pStyle w:val="Tabletext"/>
              <w:keepNext/>
            </w:pPr>
            <w:r w:rsidRPr="00C37A1D">
              <w:t xml:space="preserve">Effect on </w:t>
            </w:r>
            <w:r>
              <w:t>lesion severity</w:t>
            </w:r>
          </w:p>
        </w:tc>
        <w:tc>
          <w:tcPr>
            <w:tcW w:w="975" w:type="pct"/>
          </w:tcPr>
          <w:p w14:paraId="4FE2B6B8" w14:textId="77777777" w:rsidR="00055924" w:rsidRPr="00C37A1D" w:rsidRDefault="00055924" w:rsidP="009B153D">
            <w:pPr>
              <w:pStyle w:val="Tabletext"/>
              <w:keepNext/>
            </w:pPr>
            <w:r>
              <w:t>UP0008</w:t>
            </w:r>
          </w:p>
        </w:tc>
      </w:tr>
      <w:tr w:rsidR="00055924" w:rsidRPr="00C37A1D" w14:paraId="704825E8" w14:textId="77777777" w:rsidTr="006E7089">
        <w:trPr>
          <w:jc w:val="center"/>
        </w:trPr>
        <w:tc>
          <w:tcPr>
            <w:tcW w:w="2116" w:type="pct"/>
          </w:tcPr>
          <w:p w14:paraId="5DB5BC4E" w14:textId="49119280" w:rsidR="00055924" w:rsidRPr="00C37A1D" w:rsidRDefault="00E11C41" w:rsidP="009B153D">
            <w:pPr>
              <w:pStyle w:val="Tabletext"/>
              <w:keepNext/>
              <w:rPr>
                <w:b/>
              </w:rPr>
            </w:pPr>
            <w:r>
              <w:rPr>
                <w:b/>
              </w:rPr>
              <w:t>Pharmacodynamic</w:t>
            </w:r>
            <w:r w:rsidRPr="00C37A1D">
              <w:rPr>
                <w:b/>
              </w:rPr>
              <w:t xml:space="preserve"> </w:t>
            </w:r>
            <w:r>
              <w:rPr>
                <w:b/>
              </w:rPr>
              <w:t>i</w:t>
            </w:r>
            <w:r w:rsidR="00055924" w:rsidRPr="00C37A1D">
              <w:rPr>
                <w:b/>
              </w:rPr>
              <w:t>nteractions</w:t>
            </w:r>
          </w:p>
        </w:tc>
        <w:tc>
          <w:tcPr>
            <w:tcW w:w="1909" w:type="pct"/>
          </w:tcPr>
          <w:p w14:paraId="2005D2F5" w14:textId="77777777" w:rsidR="00055924" w:rsidRPr="00C37A1D" w:rsidRDefault="00055924" w:rsidP="009B153D">
            <w:pPr>
              <w:pStyle w:val="Tabletext"/>
              <w:keepNext/>
            </w:pPr>
            <w:r>
              <w:t xml:space="preserve">Influenza vaccine </w:t>
            </w:r>
          </w:p>
        </w:tc>
        <w:tc>
          <w:tcPr>
            <w:tcW w:w="975" w:type="pct"/>
          </w:tcPr>
          <w:p w14:paraId="1A7AB395" w14:textId="77777777" w:rsidR="00055924" w:rsidRPr="00C37A1D" w:rsidRDefault="00055924" w:rsidP="009B153D">
            <w:pPr>
              <w:pStyle w:val="Tabletext"/>
              <w:keepNext/>
            </w:pPr>
            <w:r>
              <w:t>UP0034</w:t>
            </w:r>
          </w:p>
        </w:tc>
      </w:tr>
      <w:tr w:rsidR="00055924" w:rsidRPr="00C37A1D" w14:paraId="7AACE69A" w14:textId="77777777" w:rsidTr="006E7089">
        <w:trPr>
          <w:jc w:val="center"/>
        </w:trPr>
        <w:tc>
          <w:tcPr>
            <w:tcW w:w="2116" w:type="pct"/>
          </w:tcPr>
          <w:p w14:paraId="1AE319C3" w14:textId="623A1619" w:rsidR="00055924" w:rsidRPr="00C37A1D" w:rsidRDefault="00055924">
            <w:pPr>
              <w:pStyle w:val="Tabletext"/>
              <w:keepNext/>
              <w:rPr>
                <w:b/>
              </w:rPr>
            </w:pPr>
            <w:r w:rsidRPr="00C37A1D">
              <w:rPr>
                <w:b/>
              </w:rPr>
              <w:t xml:space="preserve">Population </w:t>
            </w:r>
            <w:r w:rsidR="00E11C41">
              <w:rPr>
                <w:b/>
              </w:rPr>
              <w:t>pharmacodynamic</w:t>
            </w:r>
            <w:r w:rsidR="00E11C41" w:rsidRPr="00C37A1D">
              <w:rPr>
                <w:b/>
              </w:rPr>
              <w:t xml:space="preserve"> </w:t>
            </w:r>
            <w:r w:rsidRPr="00C37A1D">
              <w:rPr>
                <w:b/>
              </w:rPr>
              <w:t xml:space="preserve">and </w:t>
            </w:r>
            <w:r w:rsidR="00E11C41">
              <w:rPr>
                <w:b/>
              </w:rPr>
              <w:t>pharmacokinetic/ pharmacodynamic</w:t>
            </w:r>
            <w:r w:rsidRPr="00C37A1D">
              <w:rPr>
                <w:b/>
              </w:rPr>
              <w:t xml:space="preserve"> analyses</w:t>
            </w:r>
          </w:p>
        </w:tc>
        <w:tc>
          <w:tcPr>
            <w:tcW w:w="1909" w:type="pct"/>
          </w:tcPr>
          <w:p w14:paraId="156017A6" w14:textId="77777777" w:rsidR="00055924" w:rsidRPr="00C37A1D" w:rsidRDefault="00055924" w:rsidP="009B153D">
            <w:pPr>
              <w:pStyle w:val="Tabletext"/>
              <w:keepNext/>
            </w:pPr>
            <w:r w:rsidRPr="00C37A1D">
              <w:t>Target population</w:t>
            </w:r>
          </w:p>
        </w:tc>
        <w:tc>
          <w:tcPr>
            <w:tcW w:w="975" w:type="pct"/>
          </w:tcPr>
          <w:p w14:paraId="2277EB90" w14:textId="77777777" w:rsidR="00055924" w:rsidRDefault="00055924" w:rsidP="009B153D">
            <w:pPr>
              <w:pStyle w:val="Tabletext"/>
              <w:keepNext/>
            </w:pPr>
            <w:r>
              <w:t>CL0446</w:t>
            </w:r>
          </w:p>
          <w:p w14:paraId="6D94A5E3" w14:textId="77777777" w:rsidR="00055924" w:rsidRPr="00C37A1D" w:rsidRDefault="00055924" w:rsidP="009B153D">
            <w:pPr>
              <w:pStyle w:val="Tabletext"/>
              <w:keepNext/>
            </w:pPr>
            <w:r>
              <w:t>CL0485</w:t>
            </w:r>
          </w:p>
        </w:tc>
      </w:tr>
    </w:tbl>
    <w:p w14:paraId="18E00863" w14:textId="294C2FF1" w:rsidR="00055924" w:rsidRDefault="00E67F21" w:rsidP="00E67F21">
      <w:r>
        <w:t>The Delegate commente</w:t>
      </w:r>
      <w:r w:rsidR="00757B36">
        <w:t>d</w:t>
      </w:r>
      <w:r>
        <w:t xml:space="preserve"> that based on the definition of</w:t>
      </w:r>
      <w:r w:rsidR="00E11C41">
        <w:t xml:space="preserve"> pharmacodynamics (</w:t>
      </w:r>
      <w:r>
        <w:t>PD</w:t>
      </w:r>
      <w:r w:rsidR="00E11C41">
        <w:t>)</w:t>
      </w:r>
      <w:r>
        <w:t xml:space="preserve">, only the studies assessing the (a) effect of </w:t>
      </w:r>
      <w:proofErr w:type="spellStart"/>
      <w:r w:rsidR="00E11C41">
        <w:t>b</w:t>
      </w:r>
      <w:r>
        <w:t>imekizumab</w:t>
      </w:r>
      <w:proofErr w:type="spellEnd"/>
      <w:r>
        <w:t xml:space="preserve"> on IL-17 levels, (b) the interaction study with influenza vaccine in healthy individuals and (c) </w:t>
      </w:r>
      <w:r w:rsidR="00757B36">
        <w:t>p</w:t>
      </w:r>
      <w:r>
        <w:t>op</w:t>
      </w:r>
      <w:r w:rsidR="00E11C41">
        <w:t>ulation pharmacodynamics,</w:t>
      </w:r>
      <w:r>
        <w:t xml:space="preserve"> strictly met the requirement for PD studies. The rest of the PD listed studies falls into the realm of </w:t>
      </w:r>
      <w:proofErr w:type="spellStart"/>
      <w:r>
        <w:t>bimekizumab</w:t>
      </w:r>
      <w:proofErr w:type="spellEnd"/>
      <w:r>
        <w:t xml:space="preserve"> efficacy assessment in psoriasis, that is the condition being treated.</w:t>
      </w:r>
    </w:p>
    <w:p w14:paraId="11425304" w14:textId="6EF45E11" w:rsidR="00E67F21" w:rsidRPr="00E67F21" w:rsidRDefault="00E67F21" w:rsidP="00E67F21">
      <w:r>
        <w:t xml:space="preserve">The clinical </w:t>
      </w:r>
      <w:r w:rsidR="00E11C41">
        <w:t xml:space="preserve">evaluation noted </w:t>
      </w:r>
      <w:r>
        <w:t>that o</w:t>
      </w:r>
      <w:r w:rsidRPr="00E67F21">
        <w:t xml:space="preserve">n the mechanism of action, </w:t>
      </w:r>
      <w:proofErr w:type="spellStart"/>
      <w:r>
        <w:t>b</w:t>
      </w:r>
      <w:r w:rsidRPr="00E67F21">
        <w:t>imekizumab</w:t>
      </w:r>
      <w:proofErr w:type="spellEnd"/>
      <w:r w:rsidRPr="00E67F21">
        <w:t xml:space="preserve"> is an IgG monoclonal antibody that binds with high specificity and affinity to </w:t>
      </w:r>
      <w:r w:rsidR="00757B36">
        <w:t>IL</w:t>
      </w:r>
      <w:r w:rsidRPr="00E67F21">
        <w:t xml:space="preserve">-17A, and </w:t>
      </w:r>
      <w:r w:rsidR="00757B36">
        <w:t>IL</w:t>
      </w:r>
      <w:r w:rsidRPr="00E67F21">
        <w:t xml:space="preserve">-17F. </w:t>
      </w:r>
      <w:proofErr w:type="spellStart"/>
      <w:r w:rsidRPr="00E67F21">
        <w:t>Bimekizumab</w:t>
      </w:r>
      <w:proofErr w:type="spellEnd"/>
      <w:r w:rsidRPr="00E67F21">
        <w:t xml:space="preserve"> has no affinity for other members of the IL-17 family of cytokines. (</w:t>
      </w:r>
      <w:r w:rsidR="00757B36">
        <w:t>IL-</w:t>
      </w:r>
      <w:r w:rsidRPr="00E67F21">
        <w:t>17B, C, D, or E</w:t>
      </w:r>
      <w:r w:rsidR="00E11C41">
        <w:t xml:space="preserve"> </w:t>
      </w:r>
      <w:r w:rsidRPr="00E67F21">
        <w:t>(IL</w:t>
      </w:r>
      <w:r w:rsidR="00E11C41">
        <w:t>-</w:t>
      </w:r>
      <w:r w:rsidRPr="00E67F21">
        <w:t>25)).</w:t>
      </w:r>
      <w:r>
        <w:t xml:space="preserve"> The Delegate commented that by </w:t>
      </w:r>
      <w:r w:rsidRPr="00E67F21">
        <w:t xml:space="preserve">inference, there would less production of both </w:t>
      </w:r>
      <w:r w:rsidR="00757B36">
        <w:t>IL</w:t>
      </w:r>
      <w:r w:rsidRPr="00E67F21">
        <w:t xml:space="preserve">-17A, and </w:t>
      </w:r>
      <w:r w:rsidR="00757B36">
        <w:t>IL</w:t>
      </w:r>
      <w:r w:rsidRPr="00E67F21">
        <w:t>-17F.</w:t>
      </w:r>
    </w:p>
    <w:p w14:paraId="12AC703D" w14:textId="2DDD955A" w:rsidR="00E67F21" w:rsidRDefault="00757B36" w:rsidP="00035933">
      <w:r>
        <w:t>Interleukin 1</w:t>
      </w:r>
      <w:r w:rsidR="00E67F21">
        <w:t xml:space="preserve">7 levels were measured in Studies UP0008 and PS0010 in patients with plaque psoriasis. Dosing regimen in Study PS0008 was </w:t>
      </w:r>
      <w:proofErr w:type="spellStart"/>
      <w:r w:rsidR="00E67F21">
        <w:t>bimekizumab</w:t>
      </w:r>
      <w:proofErr w:type="spellEnd"/>
      <w:r w:rsidR="00E67F21">
        <w:t xml:space="preserve"> administered every 4</w:t>
      </w:r>
      <w:r w:rsidR="00E11C41">
        <w:t> </w:t>
      </w:r>
      <w:r w:rsidR="00E67F21">
        <w:t>week</w:t>
      </w:r>
      <w:r>
        <w:t>s</w:t>
      </w:r>
      <w:r w:rsidR="00E67F21">
        <w:t xml:space="preserve"> loading for 16 weeks followed by </w:t>
      </w:r>
      <w:proofErr w:type="gramStart"/>
      <w:r w:rsidR="00E67F21">
        <w:t>either every</w:t>
      </w:r>
      <w:proofErr w:type="gramEnd"/>
      <w:r w:rsidR="00E67F21">
        <w:t xml:space="preserve"> 4 week</w:t>
      </w:r>
      <w:r>
        <w:t>s</w:t>
      </w:r>
      <w:r w:rsidR="00E67F21">
        <w:t xml:space="preserve"> dosing of 320 mg </w:t>
      </w:r>
      <w:proofErr w:type="spellStart"/>
      <w:r w:rsidR="00E67F21">
        <w:lastRenderedPageBreak/>
        <w:t>bimekizumab</w:t>
      </w:r>
      <w:proofErr w:type="spellEnd"/>
      <w:r w:rsidR="00E67F21">
        <w:t xml:space="preserve"> versus every eight week</w:t>
      </w:r>
      <w:r>
        <w:t>s</w:t>
      </w:r>
      <w:r w:rsidR="00E67F21">
        <w:t xml:space="preserve"> dosing of 320 mg </w:t>
      </w:r>
      <w:proofErr w:type="spellStart"/>
      <w:r w:rsidR="00E67F21">
        <w:t>bimekizumab</w:t>
      </w:r>
      <w:proofErr w:type="spellEnd"/>
      <w:r w:rsidR="00E67F21">
        <w:t>. There were no differences in IL-17 levels observed between treatment groups and this is likely due to the small number of patients</w:t>
      </w:r>
      <w:r w:rsidR="00035933">
        <w:t xml:space="preserve"> or there was no significant difference between the dosing intervals and the binding of IL-17.</w:t>
      </w:r>
    </w:p>
    <w:p w14:paraId="72B98200" w14:textId="458368DE" w:rsidR="00035933" w:rsidRDefault="00035933" w:rsidP="00035933">
      <w:r>
        <w:t xml:space="preserve">On </w:t>
      </w:r>
      <w:r w:rsidR="00757B36">
        <w:t>PD</w:t>
      </w:r>
      <w:r>
        <w:t xml:space="preserve"> interactions, Study UP0034 evaluated the effectiveness of influenza vaccine following a single dose of 320 mg </w:t>
      </w:r>
      <w:proofErr w:type="spellStart"/>
      <w:r>
        <w:t>bimekizumab</w:t>
      </w:r>
      <w:proofErr w:type="spellEnd"/>
      <w:r>
        <w:t xml:space="preserve"> in heathy adult males and females. There was no significant difference in the seroconversion rate between subjects who received </w:t>
      </w:r>
      <w:proofErr w:type="spellStart"/>
      <w:r>
        <w:t>bimekizumab</w:t>
      </w:r>
      <w:proofErr w:type="spellEnd"/>
      <w:r>
        <w:t xml:space="preserve"> versus those who received no treatment prior to vaccination.</w:t>
      </w:r>
    </w:p>
    <w:p w14:paraId="1C9AAA46" w14:textId="3F0E3DAA" w:rsidR="00035933" w:rsidRDefault="00035933" w:rsidP="00035933">
      <w:r>
        <w:t>Overall, the PD results from the Phase II studies revealed what may be expected from IL</w:t>
      </w:r>
      <w:r w:rsidR="002F02E1">
        <w:noBreakHyphen/>
      </w:r>
      <w:r>
        <w:t xml:space="preserve">17A inhibition by </w:t>
      </w:r>
      <w:proofErr w:type="spellStart"/>
      <w:r>
        <w:t>bimekizumab</w:t>
      </w:r>
      <w:proofErr w:type="spellEnd"/>
      <w:r>
        <w:t xml:space="preserve"> and, which had also been demonstrated by the other </w:t>
      </w:r>
      <w:r w:rsidR="00757B36">
        <w:t xml:space="preserve">monoclonal antibodies </w:t>
      </w:r>
      <w:r>
        <w:t xml:space="preserve">inhibiting IL-17a, in relation to the treatment of psoriasis, </w:t>
      </w:r>
      <w:proofErr w:type="spellStart"/>
      <w:r>
        <w:t>Bimekizumab</w:t>
      </w:r>
      <w:proofErr w:type="spellEnd"/>
      <w:r>
        <w:t xml:space="preserve"> differs from other agents in that it also inhibits IL</w:t>
      </w:r>
      <w:r w:rsidR="00757B36">
        <w:t>-</w:t>
      </w:r>
      <w:r>
        <w:t xml:space="preserve">17F. </w:t>
      </w:r>
      <w:r w:rsidR="00757B36">
        <w:t>Pharmacokinetics</w:t>
      </w:r>
      <w:r>
        <w:t xml:space="preserve">/PD modelling predicts body weight as an important co-variate influencing the PD effect of </w:t>
      </w:r>
      <w:proofErr w:type="spellStart"/>
      <w:r>
        <w:t>bimekizumab</w:t>
      </w:r>
      <w:proofErr w:type="spellEnd"/>
      <w:r>
        <w:t xml:space="preserve"> and appropriate dose changes are included in the proposed prescribing information. </w:t>
      </w:r>
      <w:proofErr w:type="spellStart"/>
      <w:r>
        <w:t>Bimekizumab</w:t>
      </w:r>
      <w:proofErr w:type="spellEnd"/>
      <w:r>
        <w:t xml:space="preserve"> does not appear to influence the seroconversion rates following administration of inactivated influenza vaccine. No study has been undertaken to investigate effects on co-administration with live vaccine and this is appropriately reflected in the proposed prescribing information.</w:t>
      </w:r>
    </w:p>
    <w:p w14:paraId="6454B001" w14:textId="17F04280" w:rsidR="00035933" w:rsidRDefault="006E4759" w:rsidP="00035933">
      <w:pPr>
        <w:pStyle w:val="Heading5"/>
      </w:pPr>
      <w:r>
        <w:t>D</w:t>
      </w:r>
      <w:r w:rsidR="00035933" w:rsidRPr="00035933">
        <w:t>ose finding studies</w:t>
      </w:r>
    </w:p>
    <w:p w14:paraId="6928ADEC" w14:textId="3014725F" w:rsidR="001A2D89" w:rsidRPr="001A2D89" w:rsidRDefault="001A2D89" w:rsidP="001A2D89">
      <w:pPr>
        <w:pStyle w:val="Heading6"/>
      </w:pPr>
      <w:bookmarkStart w:id="74" w:name="_Ref132378660"/>
      <w:r>
        <w:t>Study PS0010</w:t>
      </w:r>
      <w:bookmarkEnd w:id="74"/>
    </w:p>
    <w:p w14:paraId="6A5F106A" w14:textId="2C2566CB" w:rsidR="001A2D89" w:rsidRDefault="00035933" w:rsidP="00035933">
      <w:r>
        <w:t xml:space="preserve">Study PS0010 evaluated the dose response of </w:t>
      </w:r>
      <w:proofErr w:type="spellStart"/>
      <w:r>
        <w:t>bimekizumab</w:t>
      </w:r>
      <w:proofErr w:type="spellEnd"/>
      <w:r>
        <w:t xml:space="preserve"> administered subcutaneously every 4 weeks for 12 weeks in the treatment of subjects with moderate-to-severe chronic plaque psoriasis.</w:t>
      </w:r>
    </w:p>
    <w:p w14:paraId="6C410309" w14:textId="7E683933" w:rsidR="00035933" w:rsidRDefault="002F02E1" w:rsidP="006E7089">
      <w:r>
        <w:t>O</w:t>
      </w:r>
      <w:r w:rsidR="00035933">
        <w:t>ne group</w:t>
      </w:r>
      <w:r>
        <w:t xml:space="preserve"> was randomised to </w:t>
      </w:r>
      <w:proofErr w:type="spellStart"/>
      <w:r w:rsidR="006E7089">
        <w:t>b</w:t>
      </w:r>
      <w:r w:rsidR="00035933">
        <w:t>imekizumab</w:t>
      </w:r>
      <w:proofErr w:type="spellEnd"/>
      <w:r w:rsidR="00035933">
        <w:t xml:space="preserve"> or </w:t>
      </w:r>
      <w:r w:rsidR="001A2D89">
        <w:t>p</w:t>
      </w:r>
      <w:r w:rsidR="00035933">
        <w:t>lacebo</w:t>
      </w:r>
      <w:r>
        <w:t xml:space="preserve">, with randomised treatment </w:t>
      </w:r>
      <w:r w:rsidR="00035933">
        <w:t xml:space="preserve">administered </w:t>
      </w:r>
      <w:r w:rsidR="001A2D89">
        <w:t xml:space="preserve">subcutaneously </w:t>
      </w:r>
      <w:r w:rsidR="00035933">
        <w:t xml:space="preserve">at Baseline, Week 4, Week 8, and Week 12. Like those on </w:t>
      </w:r>
      <w:r w:rsidR="001A2D89">
        <w:t>p</w:t>
      </w:r>
      <w:r w:rsidR="00035933">
        <w:t xml:space="preserve">lacebo, subjects on active </w:t>
      </w:r>
      <w:proofErr w:type="spellStart"/>
      <w:r w:rsidR="001A2D89">
        <w:t>bimekizumab</w:t>
      </w:r>
      <w:proofErr w:type="spellEnd"/>
      <w:r w:rsidR="00035933">
        <w:t xml:space="preserve"> treatment received either 64</w:t>
      </w:r>
      <w:r w:rsidR="001A2D89">
        <w:t xml:space="preserve"> </w:t>
      </w:r>
      <w:r w:rsidR="00035933">
        <w:t>mg, 160 mg, 320</w:t>
      </w:r>
      <w:r>
        <w:t> </w:t>
      </w:r>
      <w:r w:rsidR="00035933">
        <w:t>mg, or 480 mg</w:t>
      </w:r>
      <w:r w:rsidR="001A2D89">
        <w:t xml:space="preserve"> </w:t>
      </w:r>
      <w:r w:rsidR="00757B36">
        <w:t>e</w:t>
      </w:r>
      <w:r w:rsidR="001A2D89">
        <w:t>very 4 weeks</w:t>
      </w:r>
      <w:r w:rsidR="00035933">
        <w:t xml:space="preserve"> from </w:t>
      </w:r>
      <w:r w:rsidR="001A2D89">
        <w:t>B</w:t>
      </w:r>
      <w:r w:rsidR="00035933">
        <w:t>aseline.</w:t>
      </w:r>
    </w:p>
    <w:p w14:paraId="4C437E53" w14:textId="6A4CA8AA" w:rsidR="00035933" w:rsidRDefault="00035933" w:rsidP="006E7089">
      <w:r>
        <w:t xml:space="preserve">In another group, 320 mg </w:t>
      </w:r>
      <w:proofErr w:type="spellStart"/>
      <w:r w:rsidR="001A2D89">
        <w:t>bimekizumab</w:t>
      </w:r>
      <w:proofErr w:type="spellEnd"/>
      <w:r>
        <w:t xml:space="preserve"> loading dose was administered </w:t>
      </w:r>
      <w:r w:rsidR="001A2D89">
        <w:t>subcutaneously</w:t>
      </w:r>
      <w:r>
        <w:t xml:space="preserve"> at </w:t>
      </w:r>
      <w:r w:rsidR="001A2D89">
        <w:t>B</w:t>
      </w:r>
      <w:r>
        <w:t>aseline, followed by 160 mg</w:t>
      </w:r>
      <w:r w:rsidR="001A2D89">
        <w:t xml:space="preserve"> every 4 weeks.</w:t>
      </w:r>
    </w:p>
    <w:p w14:paraId="085E1A66" w14:textId="3136E022" w:rsidR="00035933" w:rsidRDefault="00035933" w:rsidP="00035933">
      <w:r>
        <w:t xml:space="preserve">The primary efficacy variable was </w:t>
      </w:r>
      <w:r w:rsidR="005960C5">
        <w:t>PASI 90</w:t>
      </w:r>
      <w:r>
        <w:t xml:space="preserve"> response</w:t>
      </w:r>
      <w:r w:rsidR="00575E89">
        <w:t xml:space="preserve"> (see section, </w:t>
      </w:r>
      <w:r w:rsidR="00575E89">
        <w:fldChar w:fldCharType="begin"/>
      </w:r>
      <w:r w:rsidR="00575E89">
        <w:instrText xml:space="preserve"> REF _Ref129871953 \h </w:instrText>
      </w:r>
      <w:r w:rsidR="00575E89">
        <w:fldChar w:fldCharType="separate"/>
      </w:r>
      <w:r w:rsidR="00B54079">
        <w:rPr>
          <w:b/>
          <w:bCs/>
          <w:lang w:val="en-US"/>
        </w:rPr>
        <w:t>Error! Reference source not found.</w:t>
      </w:r>
      <w:r w:rsidR="00575E89">
        <w:fldChar w:fldCharType="end"/>
      </w:r>
      <w:r w:rsidR="00575E89">
        <w:t>);</w:t>
      </w:r>
      <w:r w:rsidR="00575E89">
        <w:rPr>
          <w:rStyle w:val="FootnoteReference"/>
        </w:rPr>
        <w:footnoteReference w:id="33"/>
      </w:r>
      <w:r>
        <w:t xml:space="preserve"> at Week 12. The secondary objective was IGA</w:t>
      </w:r>
      <w:r w:rsidR="00575E89">
        <w:t xml:space="preserve"> (see section, </w:t>
      </w:r>
      <w:r w:rsidR="00575E89">
        <w:fldChar w:fldCharType="begin"/>
      </w:r>
      <w:r w:rsidR="00575E89">
        <w:instrText xml:space="preserve"> REF _Ref129871835 \h </w:instrText>
      </w:r>
      <w:r w:rsidR="00575E89">
        <w:fldChar w:fldCharType="separate"/>
      </w:r>
      <w:r w:rsidR="00B54079">
        <w:rPr>
          <w:b/>
          <w:bCs/>
          <w:lang w:val="en-US"/>
        </w:rPr>
        <w:t>Error! Reference source not found.</w:t>
      </w:r>
      <w:r w:rsidR="00575E89">
        <w:fldChar w:fldCharType="end"/>
      </w:r>
      <w:r w:rsidR="00575E89">
        <w:t>)</w:t>
      </w:r>
      <w:r>
        <w:t xml:space="preserve"> at Week 12. A linear dose response relationship was established with the </w:t>
      </w:r>
      <w:r w:rsidR="005960C5">
        <w:t>PASI 90</w:t>
      </w:r>
      <w:r>
        <w:t xml:space="preserve"> response, lowest for the 64</w:t>
      </w:r>
      <w:r w:rsidR="001A2D89">
        <w:t xml:space="preserve"> </w:t>
      </w:r>
      <w:r>
        <w:t>mg</w:t>
      </w:r>
      <w:r w:rsidR="00684BAA">
        <w:t xml:space="preserve"> </w:t>
      </w:r>
      <w:r w:rsidR="001A2D89">
        <w:t>every 4 weeks</w:t>
      </w:r>
      <w:r>
        <w:t xml:space="preserve"> dosing and maximal response at the 320 mg</w:t>
      </w:r>
      <w:r w:rsidR="001A2D89">
        <w:t xml:space="preserve"> every 4 weeks</w:t>
      </w:r>
      <w:r>
        <w:t xml:space="preserve"> dosing. The 480 mg </w:t>
      </w:r>
      <w:r w:rsidR="001A2D89">
        <w:t>every 4 weeks</w:t>
      </w:r>
      <w:r>
        <w:t xml:space="preserve"> dosing and the 320</w:t>
      </w:r>
      <w:r w:rsidR="00757B36">
        <w:t> </w:t>
      </w:r>
      <w:r>
        <w:t>mg baseline loading dose followed by 160</w:t>
      </w:r>
      <w:r w:rsidR="001A2D89">
        <w:t xml:space="preserve"> </w:t>
      </w:r>
      <w:r>
        <w:t>mg</w:t>
      </w:r>
      <w:r w:rsidR="00684BAA">
        <w:t xml:space="preserve"> every </w:t>
      </w:r>
      <w:r w:rsidR="001A2D89">
        <w:t>4 weeks</w:t>
      </w:r>
      <w:r>
        <w:t xml:space="preserve"> did not demonstrate a clinically meaningful difference from the 320 mg</w:t>
      </w:r>
      <w:r w:rsidR="001A2D89">
        <w:t xml:space="preserve"> every 4 weeks</w:t>
      </w:r>
      <w:r>
        <w:t xml:space="preserve"> dosing group.</w:t>
      </w:r>
    </w:p>
    <w:p w14:paraId="3148A8AC" w14:textId="36C5690C" w:rsidR="00035933" w:rsidRDefault="001A2D89" w:rsidP="00035933">
      <w:r>
        <w:t>The Delegate commented that g</w:t>
      </w:r>
      <w:r w:rsidR="00035933">
        <w:t xml:space="preserve">iven the above, the possibility of </w:t>
      </w:r>
      <w:proofErr w:type="spellStart"/>
      <w:r>
        <w:t>bimekizumab</w:t>
      </w:r>
      <w:proofErr w:type="spellEnd"/>
      <w:r w:rsidR="00035933">
        <w:t xml:space="preserve"> 320</w:t>
      </w:r>
      <w:r w:rsidR="00757B36">
        <w:t> </w:t>
      </w:r>
      <w:r w:rsidR="00035933">
        <w:t xml:space="preserve">mg </w:t>
      </w:r>
      <w:r>
        <w:t>every 4 weeks</w:t>
      </w:r>
      <w:r w:rsidR="00035933">
        <w:t xml:space="preserve"> baseline loading dose, followed by 160</w:t>
      </w:r>
      <w:r w:rsidR="00757B36">
        <w:t> </w:t>
      </w:r>
      <w:r w:rsidR="00035933">
        <w:t xml:space="preserve">mg </w:t>
      </w:r>
      <w:r>
        <w:t>every 4 weeks</w:t>
      </w:r>
      <w:r w:rsidR="00035933">
        <w:t xml:space="preserve"> dosing, as opposed to 320</w:t>
      </w:r>
      <w:r>
        <w:t xml:space="preserve"> </w:t>
      </w:r>
      <w:r w:rsidR="00035933">
        <w:t>mg</w:t>
      </w:r>
      <w:r>
        <w:t xml:space="preserve"> every 4 weeks</w:t>
      </w:r>
      <w:r w:rsidR="00035933">
        <w:t xml:space="preserve"> dosing in the first 16 weeks of treatment deserves a consideration as an alternative regimen during the induction (initial) treatment phase, for the sake of side effects, especially infections, infestations &amp; </w:t>
      </w:r>
      <w:r w:rsidR="00684BAA">
        <w:t>neutropenia</w:t>
      </w:r>
      <w:r w:rsidR="00035933">
        <w:t>.</w:t>
      </w:r>
    </w:p>
    <w:p w14:paraId="5EC615DE" w14:textId="59CB23FA" w:rsidR="001A2D89" w:rsidRDefault="001A2D89" w:rsidP="001A2D89">
      <w:pPr>
        <w:pStyle w:val="Heading6"/>
      </w:pPr>
      <w:r>
        <w:t>Study PS0016</w:t>
      </w:r>
    </w:p>
    <w:p w14:paraId="16EBC674" w14:textId="58C654C0" w:rsidR="00035933" w:rsidRDefault="00035933" w:rsidP="00035933">
      <w:r>
        <w:t>Study PS0016 evaluated the time</w:t>
      </w:r>
      <w:r w:rsidR="00757B36">
        <w:t xml:space="preserve"> </w:t>
      </w:r>
      <w:r>
        <w:t xml:space="preserve">course of PASI </w:t>
      </w:r>
      <w:r w:rsidR="002F02E1">
        <w:t xml:space="preserve">responses </w:t>
      </w:r>
      <w:r>
        <w:t>over a 28</w:t>
      </w:r>
      <w:r w:rsidR="00757B36">
        <w:t>-</w:t>
      </w:r>
      <w:r>
        <w:t>week</w:t>
      </w:r>
      <w:r w:rsidR="00757B36">
        <w:t>s</w:t>
      </w:r>
      <w:r>
        <w:t xml:space="preserve"> period, following the administration of </w:t>
      </w:r>
      <w:proofErr w:type="spellStart"/>
      <w:r>
        <w:t>bimekizumab</w:t>
      </w:r>
      <w:proofErr w:type="spellEnd"/>
      <w:r>
        <w:t xml:space="preserve"> given at Baseline and Week 4, to subjects with moderate</w:t>
      </w:r>
      <w:r w:rsidR="00757B36">
        <w:t xml:space="preserve"> </w:t>
      </w:r>
      <w:r>
        <w:t>to</w:t>
      </w:r>
      <w:r w:rsidR="00757B36">
        <w:t xml:space="preserve"> </w:t>
      </w:r>
      <w:r>
        <w:t>severe chronic plaque psoriasis.</w:t>
      </w:r>
    </w:p>
    <w:p w14:paraId="6E28FCB8" w14:textId="6C160B34" w:rsidR="00035933" w:rsidRDefault="00035933" w:rsidP="00035933">
      <w:r>
        <w:lastRenderedPageBreak/>
        <w:t>Subjects received</w:t>
      </w:r>
      <w:r w:rsidR="002F02E1">
        <w:t xml:space="preserve"> either</w:t>
      </w:r>
      <w:r>
        <w:t>:</w:t>
      </w:r>
    </w:p>
    <w:p w14:paraId="3BA0AAC6" w14:textId="61A792FD" w:rsidR="00035933" w:rsidRDefault="002F02E1" w:rsidP="00035933">
      <w:pPr>
        <w:pStyle w:val="ListBullet"/>
      </w:pPr>
      <w:proofErr w:type="spellStart"/>
      <w:r>
        <w:t>b</w:t>
      </w:r>
      <w:r w:rsidR="001A2D89">
        <w:t>imekizumab</w:t>
      </w:r>
      <w:proofErr w:type="spellEnd"/>
      <w:r w:rsidR="001A2D89">
        <w:t xml:space="preserve"> </w:t>
      </w:r>
      <w:r w:rsidR="00035933">
        <w:t>320</w:t>
      </w:r>
      <w:r w:rsidR="00757B36">
        <w:t> </w:t>
      </w:r>
      <w:r w:rsidR="00035933">
        <w:t xml:space="preserve">mg administered </w:t>
      </w:r>
      <w:r w:rsidR="001A2D89">
        <w:t xml:space="preserve">subcutaneously </w:t>
      </w:r>
      <w:r w:rsidR="00035933">
        <w:t xml:space="preserve">at Baseline and Week 4, followed by </w:t>
      </w:r>
      <w:r w:rsidR="001A2D89">
        <w:t>p</w:t>
      </w:r>
      <w:r w:rsidR="00035933">
        <w:t>lacebo</w:t>
      </w:r>
      <w:r w:rsidR="001A2D89">
        <w:t xml:space="preserve"> </w:t>
      </w:r>
      <w:r w:rsidR="00035933">
        <w:t xml:space="preserve">administered at Week </w:t>
      </w:r>
      <w:proofErr w:type="gramStart"/>
      <w:r w:rsidR="00035933">
        <w:t>16</w:t>
      </w:r>
      <w:r>
        <w:t>;</w:t>
      </w:r>
      <w:proofErr w:type="gramEnd"/>
      <w:r>
        <w:t xml:space="preserve"> or</w:t>
      </w:r>
    </w:p>
    <w:p w14:paraId="1DC44287" w14:textId="1027CE08" w:rsidR="00035933" w:rsidRDefault="001A2D89" w:rsidP="001A2D89">
      <w:pPr>
        <w:pStyle w:val="ListBullet"/>
      </w:pPr>
      <w:proofErr w:type="spellStart"/>
      <w:r>
        <w:t>bimekizumab</w:t>
      </w:r>
      <w:proofErr w:type="spellEnd"/>
      <w:r w:rsidR="00035933">
        <w:t xml:space="preserve"> 320</w:t>
      </w:r>
      <w:r w:rsidR="00757B36">
        <w:t> </w:t>
      </w:r>
      <w:r w:rsidR="00035933">
        <w:t xml:space="preserve">mg administered </w:t>
      </w:r>
      <w:r>
        <w:t>subcutaneously</w:t>
      </w:r>
      <w:r w:rsidR="00035933">
        <w:t xml:space="preserve"> at Baseline and Weeks 4 and 16.</w:t>
      </w:r>
    </w:p>
    <w:p w14:paraId="5BA76334" w14:textId="5BAFBC21" w:rsidR="00035933" w:rsidRDefault="002F02E1" w:rsidP="00035933">
      <w:r>
        <w:t>M</w:t>
      </w:r>
      <w:r w:rsidR="00035933">
        <w:t>ean changes from Baseline were observed for both treatment groups in PASI score at Week 28</w:t>
      </w:r>
      <w:r>
        <w:t>. The results showed</w:t>
      </w:r>
      <w:r w:rsidR="00035933">
        <w:t>:</w:t>
      </w:r>
    </w:p>
    <w:p w14:paraId="3F959C41" w14:textId="111A5076" w:rsidR="00035933" w:rsidRDefault="00035933" w:rsidP="001A2D89">
      <w:pPr>
        <w:pStyle w:val="ListBullet"/>
      </w:pPr>
      <w:r>
        <w:t xml:space="preserve">mean changes and mean percentage changes from Baseline in PASI score were larger for the </w:t>
      </w:r>
      <w:r w:rsidR="001A2D89">
        <w:t>g</w:t>
      </w:r>
      <w:r>
        <w:t xml:space="preserve">roup administered </w:t>
      </w:r>
      <w:proofErr w:type="spellStart"/>
      <w:r>
        <w:t>bimekizumab</w:t>
      </w:r>
      <w:proofErr w:type="spellEnd"/>
      <w:r>
        <w:t xml:space="preserve"> 320</w:t>
      </w:r>
      <w:r w:rsidR="00757B36">
        <w:t> </w:t>
      </w:r>
      <w:r>
        <w:t>mg at Weeks 4 and 16</w:t>
      </w:r>
      <w:r w:rsidR="00757B36">
        <w:t xml:space="preserve"> </w:t>
      </w:r>
      <w:r>
        <w:t xml:space="preserve">without placebo (-19.74 points and -86.68%, respectively) compared with the </w:t>
      </w:r>
      <w:r w:rsidR="001A2D89">
        <w:t>g</w:t>
      </w:r>
      <w:r>
        <w:t xml:space="preserve">roup administered </w:t>
      </w:r>
      <w:proofErr w:type="spellStart"/>
      <w:r>
        <w:t>bimekizumab</w:t>
      </w:r>
      <w:proofErr w:type="spellEnd"/>
      <w:r>
        <w:t xml:space="preserve"> 320</w:t>
      </w:r>
      <w:r w:rsidR="00757B36">
        <w:t> </w:t>
      </w:r>
      <w:r>
        <w:t xml:space="preserve">mg at Week 4, followed by placebo at Week 16 (-10.76 points and </w:t>
      </w:r>
      <w:r w:rsidR="002F02E1">
        <w:noBreakHyphen/>
      </w:r>
      <w:r>
        <w:t>62.07%, respectively).</w:t>
      </w:r>
    </w:p>
    <w:p w14:paraId="2BFA8FAC" w14:textId="33DE8231" w:rsidR="00035933" w:rsidRDefault="001A2D89" w:rsidP="00035933">
      <w:r>
        <w:t>The Delegate commented that t</w:t>
      </w:r>
      <w:r w:rsidR="00035933">
        <w:t xml:space="preserve">he above outcome indicates the tendency of </w:t>
      </w:r>
      <w:proofErr w:type="spellStart"/>
      <w:r>
        <w:t>bimekizumab’</w:t>
      </w:r>
      <w:r w:rsidR="00035933">
        <w:t>s</w:t>
      </w:r>
      <w:proofErr w:type="spellEnd"/>
      <w:r w:rsidR="00035933">
        <w:t xml:space="preserve"> effect to wear out with time if doses are missed.</w:t>
      </w:r>
    </w:p>
    <w:p w14:paraId="39AF6E97" w14:textId="006146B8" w:rsidR="00035933" w:rsidRDefault="00035933" w:rsidP="00035933">
      <w:r>
        <w:t xml:space="preserve">The PK/PD model also provided information on the dose selection for the </w:t>
      </w:r>
      <w:r w:rsidR="00757B36">
        <w:t>P</w:t>
      </w:r>
      <w:r>
        <w:t xml:space="preserve">hase </w:t>
      </w:r>
      <w:r w:rsidR="001A2D89">
        <w:t>III</w:t>
      </w:r>
      <w:r>
        <w:t xml:space="preserve"> studies.</w:t>
      </w:r>
      <w:r w:rsidR="001A2D89">
        <w:t xml:space="preserve"> </w:t>
      </w:r>
      <w:r>
        <w:t xml:space="preserve">No dose related treatment emergent adverse events were identified in the Phase </w:t>
      </w:r>
      <w:r w:rsidR="001A2D89">
        <w:t>II</w:t>
      </w:r>
      <w:r>
        <w:t xml:space="preserve"> </w:t>
      </w:r>
      <w:r w:rsidR="001A2D89">
        <w:t>studies. The Phase</w:t>
      </w:r>
      <w:r>
        <w:t xml:space="preserve"> III pivotal studies investigating more than one dose regimen</w:t>
      </w:r>
    </w:p>
    <w:p w14:paraId="1A326336" w14:textId="2200C03B" w:rsidR="00035933" w:rsidRDefault="001A2D89" w:rsidP="001A2D89">
      <w:pPr>
        <w:pStyle w:val="Heading6"/>
      </w:pPr>
      <w:r>
        <w:t>Study PS</w:t>
      </w:r>
      <w:r w:rsidR="002F02E1">
        <w:t>0</w:t>
      </w:r>
      <w:r>
        <w:t>008</w:t>
      </w:r>
    </w:p>
    <w:p w14:paraId="1DD1BBDF" w14:textId="62086402" w:rsidR="00035933" w:rsidRDefault="00035933" w:rsidP="00035933">
      <w:r>
        <w:t>Study PS</w:t>
      </w:r>
      <w:r w:rsidR="002F02E1">
        <w:t>0</w:t>
      </w:r>
      <w:r>
        <w:t xml:space="preserve">008 is a Phase </w:t>
      </w:r>
      <w:r w:rsidR="00F20680">
        <w:t>III</w:t>
      </w:r>
      <w:r>
        <w:t xml:space="preserve"> pivotal study with an active comparator, that investigated</w:t>
      </w:r>
      <w:r w:rsidR="00F20680">
        <w:t xml:space="preserve"> </w:t>
      </w:r>
      <w:proofErr w:type="spellStart"/>
      <w:r>
        <w:t>bimekizumab</w:t>
      </w:r>
      <w:proofErr w:type="spellEnd"/>
      <w:r>
        <w:t xml:space="preserve"> 320</w:t>
      </w:r>
      <w:r w:rsidR="00F20680">
        <w:t xml:space="preserve"> </w:t>
      </w:r>
      <w:r>
        <w:t xml:space="preserve">mg loading, administered </w:t>
      </w:r>
      <w:r w:rsidR="00F20680">
        <w:t>every 4 weeks</w:t>
      </w:r>
      <w:r>
        <w:t xml:space="preserve"> for 16 weeks, followed by either</w:t>
      </w:r>
      <w:r w:rsidR="00F20680">
        <w:t xml:space="preserve"> </w:t>
      </w:r>
      <w:r w:rsidR="00757B36">
        <w:t>e</w:t>
      </w:r>
      <w:r w:rsidR="00F20680">
        <w:t>very 4 weeks</w:t>
      </w:r>
      <w:r>
        <w:t xml:space="preserve"> dosing of </w:t>
      </w:r>
      <w:proofErr w:type="spellStart"/>
      <w:r>
        <w:t>bimekizumab</w:t>
      </w:r>
      <w:proofErr w:type="spellEnd"/>
      <w:r>
        <w:t xml:space="preserve"> 320 mg or </w:t>
      </w:r>
      <w:r w:rsidR="00757B36">
        <w:t>e</w:t>
      </w:r>
      <w:r w:rsidR="00F20680">
        <w:t>very 8 weeks</w:t>
      </w:r>
      <w:r>
        <w:t xml:space="preserve"> dosing of </w:t>
      </w:r>
      <w:proofErr w:type="spellStart"/>
      <w:r>
        <w:t>bimekizumab</w:t>
      </w:r>
      <w:proofErr w:type="spellEnd"/>
      <w:r>
        <w:t xml:space="preserve"> 320 mg, as </w:t>
      </w:r>
      <w:r w:rsidR="002F02E1">
        <w:t xml:space="preserve">shown in </w:t>
      </w:r>
      <w:r w:rsidR="00F20680">
        <w:fldChar w:fldCharType="begin"/>
      </w:r>
      <w:r w:rsidR="00F20680">
        <w:instrText xml:space="preserve"> REF _Ref128742661 \h </w:instrText>
      </w:r>
      <w:r w:rsidR="00F20680">
        <w:fldChar w:fldCharType="separate"/>
      </w:r>
      <w:r w:rsidR="00B54079" w:rsidRPr="00757B36">
        <w:t xml:space="preserve">Figure </w:t>
      </w:r>
      <w:r w:rsidR="00B54079">
        <w:rPr>
          <w:noProof/>
        </w:rPr>
        <w:t>9</w:t>
      </w:r>
      <w:r w:rsidR="00F20680">
        <w:fldChar w:fldCharType="end"/>
      </w:r>
      <w:r w:rsidR="002F02E1">
        <w:t xml:space="preserve"> below</w:t>
      </w:r>
      <w:r w:rsidR="00F20680">
        <w:t>.</w:t>
      </w:r>
    </w:p>
    <w:p w14:paraId="349112FB" w14:textId="2719F937" w:rsidR="00F20680" w:rsidRDefault="00F20680" w:rsidP="00757B36">
      <w:pPr>
        <w:pStyle w:val="FigureTitle"/>
      </w:pPr>
      <w:bookmarkStart w:id="75" w:name="_Ref128742661"/>
      <w:r w:rsidRPr="00757B36">
        <w:t xml:space="preserve">Figure </w:t>
      </w:r>
      <w:r w:rsidR="00172397">
        <w:fldChar w:fldCharType="begin"/>
      </w:r>
      <w:r w:rsidR="00172397">
        <w:instrText xml:space="preserve"> SEQ Figure \* ARABIC </w:instrText>
      </w:r>
      <w:r w:rsidR="00172397">
        <w:fldChar w:fldCharType="separate"/>
      </w:r>
      <w:r w:rsidR="00B54079">
        <w:rPr>
          <w:noProof/>
        </w:rPr>
        <w:t>9</w:t>
      </w:r>
      <w:r w:rsidR="00172397">
        <w:rPr>
          <w:noProof/>
        </w:rPr>
        <w:fldChar w:fldCharType="end"/>
      </w:r>
      <w:bookmarkEnd w:id="75"/>
      <w:r w:rsidRPr="00757B36">
        <w:t>:</w:t>
      </w:r>
      <w:r w:rsidR="00757B36">
        <w:t xml:space="preserve"> Study</w:t>
      </w:r>
      <w:r w:rsidR="00757B36" w:rsidRPr="0091197F">
        <w:t xml:space="preserve"> PS0008</w:t>
      </w:r>
      <w:r w:rsidR="002F02E1">
        <w:t xml:space="preserve"> </w:t>
      </w:r>
      <w:r w:rsidR="00ED5CFC">
        <w:t>Schematic diagram of study design and flow</w:t>
      </w:r>
    </w:p>
    <w:p w14:paraId="5DE2C002" w14:textId="719E6D9D" w:rsidR="00F20680" w:rsidRDefault="00F20680" w:rsidP="00F20680">
      <w:r w:rsidRPr="00F20680">
        <w:rPr>
          <w:noProof/>
          <w:lang w:val="en-GB" w:eastAsia="en-GB"/>
        </w:rPr>
        <w:drawing>
          <wp:inline distT="0" distB="0" distL="0" distR="0" wp14:anchorId="5235A61A" wp14:editId="02B26242">
            <wp:extent cx="5400040" cy="2564130"/>
            <wp:effectExtent l="0" t="0" r="0" b="7620"/>
            <wp:docPr id="8" name="Picture 8" descr="Study PS0008 is a Phase III, multicentere study consisting of a 16-week, randomised, double-blind, parallelgroup, active comparator-controlled Initial Treatment Period followed by a 40-week Maintenance &#10;Treatment Period to evaluate the efficacy and safety of bimekizumab in adult subjects with moderate &#10;to severe chronic plaque psoriasis. The active comparator was adalimu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hematic diagram of Study PS0008"/>
                    <pic:cNvPicPr/>
                  </pic:nvPicPr>
                  <pic:blipFill>
                    <a:blip r:embed="rId27"/>
                    <a:stretch>
                      <a:fillRect/>
                    </a:stretch>
                  </pic:blipFill>
                  <pic:spPr>
                    <a:xfrm>
                      <a:off x="0" y="0"/>
                      <a:ext cx="5400040" cy="2564130"/>
                    </a:xfrm>
                    <a:prstGeom prst="rect">
                      <a:avLst/>
                    </a:prstGeom>
                  </pic:spPr>
                </pic:pic>
              </a:graphicData>
            </a:graphic>
          </wp:inline>
        </w:drawing>
      </w:r>
    </w:p>
    <w:p w14:paraId="65E02315" w14:textId="69B44B92" w:rsidR="00F31DE1" w:rsidRDefault="00F31DE1" w:rsidP="00F31DE1">
      <w:pPr>
        <w:pStyle w:val="FigureDescription"/>
      </w:pPr>
      <w:r>
        <w:t xml:space="preserve">Abbreviation: </w:t>
      </w:r>
      <w:r w:rsidR="00F23C97">
        <w:t>every 4 weeks</w:t>
      </w:r>
      <w:r>
        <w:t xml:space="preserve"> = every 4 weeks, </w:t>
      </w:r>
      <w:r w:rsidR="00F23C97">
        <w:t>every 8 weeks</w:t>
      </w:r>
      <w:r>
        <w:t xml:space="preserve"> = every 8 weeks; SFU = safety follow up</w:t>
      </w:r>
    </w:p>
    <w:p w14:paraId="0F1B2479" w14:textId="77777777" w:rsidR="00F20680" w:rsidRDefault="00F20680" w:rsidP="00F20680">
      <w:r>
        <w:t xml:space="preserve">Findings indicate that </w:t>
      </w:r>
    </w:p>
    <w:p w14:paraId="1F52E730" w14:textId="30896F3E" w:rsidR="00F20680" w:rsidRDefault="00F20680" w:rsidP="00BA5B14">
      <w:pPr>
        <w:pStyle w:val="ListBullet"/>
      </w:pPr>
      <w:r>
        <w:t xml:space="preserve">The </w:t>
      </w:r>
      <w:r w:rsidR="005960C5">
        <w:t>PASI 90</w:t>
      </w:r>
      <w:r>
        <w:t xml:space="preserve"> response rate was similar for the </w:t>
      </w:r>
      <w:proofErr w:type="spellStart"/>
      <w:r>
        <w:t>bimekizumab</w:t>
      </w:r>
      <w:proofErr w:type="spellEnd"/>
      <w:r>
        <w:t xml:space="preserve"> 320</w:t>
      </w:r>
      <w:r w:rsidR="00BA5B14">
        <w:t xml:space="preserve"> </w:t>
      </w:r>
      <w:r>
        <w:t xml:space="preserve">mg </w:t>
      </w:r>
      <w:r w:rsidR="00BA5B14">
        <w:t xml:space="preserve">every 4 weeks </w:t>
      </w:r>
      <w:r>
        <w:t xml:space="preserve">and the </w:t>
      </w:r>
      <w:proofErr w:type="spellStart"/>
      <w:r>
        <w:t>bimekizumab</w:t>
      </w:r>
      <w:proofErr w:type="spellEnd"/>
      <w:r>
        <w:t xml:space="preserve"> 320</w:t>
      </w:r>
      <w:r w:rsidR="00575E89">
        <w:t xml:space="preserve"> </w:t>
      </w:r>
      <w:r>
        <w:t xml:space="preserve">mg </w:t>
      </w:r>
      <w:r w:rsidR="00BA5B14">
        <w:t>every 4 weeks/every 8 weeks</w:t>
      </w:r>
      <w:r>
        <w:t xml:space="preserve"> groups (84.8% and 82.6%, respectively).</w:t>
      </w:r>
    </w:p>
    <w:p w14:paraId="4A7BDCE0" w14:textId="5A89C233" w:rsidR="00F20680" w:rsidRDefault="00F20680" w:rsidP="00BA5B14">
      <w:pPr>
        <w:pStyle w:val="ListBullet"/>
      </w:pPr>
      <w:r>
        <w:t>The IGA 0/1</w:t>
      </w:r>
      <w:r w:rsidR="005960C5">
        <w:t xml:space="preserve"> (see section,</w:t>
      </w:r>
      <w:r w:rsidR="001D2CFA">
        <w:t xml:space="preserve"> </w:t>
      </w:r>
      <w:r w:rsidR="001D2CFA">
        <w:fldChar w:fldCharType="begin"/>
      </w:r>
      <w:r w:rsidR="001D2CFA">
        <w:instrText xml:space="preserve"> REF _Ref130196355 \h </w:instrText>
      </w:r>
      <w:r w:rsidR="001D2CFA">
        <w:fldChar w:fldCharType="separate"/>
      </w:r>
      <w:r w:rsidR="00B54079">
        <w:rPr>
          <w:lang w:eastAsia="ja-JP"/>
        </w:rPr>
        <w:t>I</w:t>
      </w:r>
      <w:r w:rsidR="00B54079" w:rsidRPr="0064278B">
        <w:rPr>
          <w:lang w:eastAsia="ja-JP"/>
        </w:rPr>
        <w:t>nvestigator’s Global Assessment</w:t>
      </w:r>
      <w:r w:rsidR="001D2CFA">
        <w:fldChar w:fldCharType="end"/>
      </w:r>
      <w:r w:rsidR="001D2CFA">
        <w:t xml:space="preserve">) </w:t>
      </w:r>
      <w:r>
        <w:t xml:space="preserve">response rate was similar between the </w:t>
      </w:r>
      <w:proofErr w:type="spellStart"/>
      <w:r>
        <w:t>bimekizumab</w:t>
      </w:r>
      <w:proofErr w:type="spellEnd"/>
      <w:r>
        <w:t xml:space="preserve"> 320</w:t>
      </w:r>
      <w:r w:rsidR="00BA5B14">
        <w:t xml:space="preserve"> </w:t>
      </w:r>
      <w:r>
        <w:t xml:space="preserve">mg </w:t>
      </w:r>
      <w:r w:rsidR="00BA5B14">
        <w:t>once every 4 weeks</w:t>
      </w:r>
      <w:r>
        <w:t xml:space="preserve"> group and the </w:t>
      </w:r>
      <w:proofErr w:type="spellStart"/>
      <w:r>
        <w:t>bimekizumab</w:t>
      </w:r>
      <w:proofErr w:type="spellEnd"/>
      <w:r>
        <w:t xml:space="preserve"> </w:t>
      </w:r>
      <w:r w:rsidR="001D2CFA">
        <w:t>320 mg</w:t>
      </w:r>
      <w:r>
        <w:t xml:space="preserve"> </w:t>
      </w:r>
      <w:r w:rsidR="00BA5B14">
        <w:t xml:space="preserve">every 4 weeks/every 8 weeks </w:t>
      </w:r>
      <w:r>
        <w:t>group (82.3% and 83.2%, respectively).</w:t>
      </w:r>
    </w:p>
    <w:p w14:paraId="2AB1933F" w14:textId="0273A518" w:rsidR="00F20680" w:rsidRDefault="00BA5B14" w:rsidP="00F20680">
      <w:r>
        <w:lastRenderedPageBreak/>
        <w:t xml:space="preserve">The </w:t>
      </w:r>
      <w:r w:rsidR="00F20680">
        <w:t>Delegate</w:t>
      </w:r>
      <w:r>
        <w:t xml:space="preserve"> c</w:t>
      </w:r>
      <w:r w:rsidR="00F20680">
        <w:t>omment</w:t>
      </w:r>
      <w:r>
        <w:t>ed that g</w:t>
      </w:r>
      <w:r w:rsidR="00F20680">
        <w:t xml:space="preserve">iven that the efficacy outcomes between the </w:t>
      </w:r>
      <w:proofErr w:type="spellStart"/>
      <w:r>
        <w:t>bimekizumab</w:t>
      </w:r>
      <w:r w:rsidR="00F20680">
        <w:t>’s</w:t>
      </w:r>
      <w:proofErr w:type="spellEnd"/>
      <w:r w:rsidR="00F20680">
        <w:t xml:space="preserve"> dosing at</w:t>
      </w:r>
      <w:r>
        <w:t xml:space="preserve"> every 4 weeks and every 8 weeks</w:t>
      </w:r>
      <w:r w:rsidR="00F20680">
        <w:t xml:space="preserve"> is very similar, there is no substantive rationale to maintain patients on </w:t>
      </w:r>
      <w:r>
        <w:t>every 4 weeks</w:t>
      </w:r>
      <w:r w:rsidR="00F20680">
        <w:t xml:space="preserve"> induction dosing, considering the possibility of the earlier mentioned</w:t>
      </w:r>
      <w:r>
        <w:t xml:space="preserve"> </w:t>
      </w:r>
      <w:r w:rsidR="00F20680">
        <w:t>drug accumulation, leading to undesirable zero order kinetics.</w:t>
      </w:r>
      <w:r w:rsidR="0006085F">
        <w:t xml:space="preserve"> The Delegate commented that i</w:t>
      </w:r>
      <w:r w:rsidR="00F20680">
        <w:t>f</w:t>
      </w:r>
      <w:r>
        <w:t xml:space="preserve"> every 4 weeks</w:t>
      </w:r>
      <w:r w:rsidR="00F20680">
        <w:t xml:space="preserve"> maintenance dosing is indeed contemplated in </w:t>
      </w:r>
      <w:r w:rsidR="005960C5">
        <w:t>greater than</w:t>
      </w:r>
      <w:r>
        <w:t xml:space="preserve"> </w:t>
      </w:r>
      <w:r w:rsidR="00F20680">
        <w:t>120</w:t>
      </w:r>
      <w:r w:rsidR="005960C5">
        <w:t xml:space="preserve"> </w:t>
      </w:r>
      <w:r w:rsidR="00F20680">
        <w:t>kg as</w:t>
      </w:r>
      <w:r>
        <w:t xml:space="preserve"> </w:t>
      </w:r>
      <w:r w:rsidR="00F20680">
        <w:t xml:space="preserve">proposed in the draft PI, then there could be consideration for a precautionary statement in the </w:t>
      </w:r>
      <w:r>
        <w:t>‘</w:t>
      </w:r>
      <w:r w:rsidR="00F20680" w:rsidRPr="0006085F">
        <w:rPr>
          <w:i/>
          <w:iCs/>
        </w:rPr>
        <w:t>D</w:t>
      </w:r>
      <w:r w:rsidRPr="0006085F">
        <w:rPr>
          <w:i/>
          <w:iCs/>
        </w:rPr>
        <w:t>ose</w:t>
      </w:r>
      <w:r w:rsidR="00F20680" w:rsidRPr="0006085F">
        <w:rPr>
          <w:i/>
          <w:iCs/>
        </w:rPr>
        <w:t xml:space="preserve"> </w:t>
      </w:r>
      <w:r w:rsidRPr="0006085F">
        <w:rPr>
          <w:i/>
          <w:iCs/>
        </w:rPr>
        <w:t>and Administration</w:t>
      </w:r>
      <w:r>
        <w:t>’</w:t>
      </w:r>
      <w:r w:rsidR="00F20680">
        <w:t xml:space="preserve"> </w:t>
      </w:r>
      <w:r>
        <w:t xml:space="preserve">section </w:t>
      </w:r>
      <w:r w:rsidR="00F20680">
        <w:t>of the PI.</w:t>
      </w:r>
    </w:p>
    <w:p w14:paraId="3A550C3D" w14:textId="29914091" w:rsidR="0006085F" w:rsidRDefault="0006085F" w:rsidP="0006085F">
      <w:r>
        <w:t>The</w:t>
      </w:r>
      <w:r w:rsidR="00ED5CFC">
        <w:t xml:space="preserve"> TGA’s clinical evaluation noted </w:t>
      </w:r>
      <w:r>
        <w:t xml:space="preserve">that the dose selection strategy was based on results of </w:t>
      </w:r>
      <w:proofErr w:type="gramStart"/>
      <w:r>
        <w:t>two Phase II</w:t>
      </w:r>
      <w:proofErr w:type="gramEnd"/>
      <w:r>
        <w:t xml:space="preserve"> studies plus PK modelling across the Phase I and II studies. A dose response was seen between the different doses tested with a maximal response at 320</w:t>
      </w:r>
      <w:r w:rsidR="00684BAA">
        <w:t> </w:t>
      </w:r>
      <w:r>
        <w:t xml:space="preserve">mg </w:t>
      </w:r>
      <w:proofErr w:type="spellStart"/>
      <w:r>
        <w:t>bimekizumab</w:t>
      </w:r>
      <w:proofErr w:type="spellEnd"/>
      <w:r>
        <w:t xml:space="preserve"> administered </w:t>
      </w:r>
      <w:r w:rsidR="005960C5">
        <w:t>subcutaneously every 4 weeks</w:t>
      </w:r>
      <w:r>
        <w:t>. The dose response was linear across the dose range 64</w:t>
      </w:r>
      <w:r w:rsidR="005960C5">
        <w:t> </w:t>
      </w:r>
      <w:r>
        <w:t>mg to 320</w:t>
      </w:r>
      <w:r w:rsidR="005960C5">
        <w:t> </w:t>
      </w:r>
      <w:r>
        <w:t>mg.</w:t>
      </w:r>
    </w:p>
    <w:p w14:paraId="31C3230C" w14:textId="7F831FB4" w:rsidR="00991AA5" w:rsidRPr="00EA20FE" w:rsidRDefault="002E7010" w:rsidP="006E7089">
      <w:pPr>
        <w:pStyle w:val="Heading4"/>
      </w:pPr>
      <w:bookmarkStart w:id="76" w:name="_Ref132625377"/>
      <w:r>
        <w:t>Assessment of clinical responses</w:t>
      </w:r>
      <w:bookmarkEnd w:id="76"/>
    </w:p>
    <w:p w14:paraId="3B69393F" w14:textId="6EFEA3B7" w:rsidR="0006085F" w:rsidRDefault="0006085F" w:rsidP="0006085F">
      <w:pPr>
        <w:pStyle w:val="Heading5"/>
      </w:pPr>
      <w:bookmarkStart w:id="77" w:name="_Ref129871896"/>
      <w:r>
        <w:t>Psoriasis Area and Severity Index</w:t>
      </w:r>
      <w:bookmarkEnd w:id="77"/>
      <w:r w:rsidR="002E7010">
        <w:t xml:space="preserve"> (PASI)</w:t>
      </w:r>
    </w:p>
    <w:p w14:paraId="3058E348" w14:textId="086F941D" w:rsidR="00DB0EAA" w:rsidRDefault="002C041E" w:rsidP="0006085F">
      <w:r>
        <w:t xml:space="preserve">The </w:t>
      </w:r>
      <w:r w:rsidR="001D4BC6">
        <w:t>Psoriasis Area and Severity Index (</w:t>
      </w:r>
      <w:r>
        <w:t>PASI</w:t>
      </w:r>
      <w:r w:rsidR="001D4BC6">
        <w:t>)</w:t>
      </w:r>
      <w:r>
        <w:t xml:space="preserve"> originated in 1978;</w:t>
      </w:r>
      <w:r>
        <w:rPr>
          <w:rStyle w:val="FootnoteReference"/>
        </w:rPr>
        <w:footnoteReference w:id="34"/>
      </w:r>
      <w:r>
        <w:t xml:space="preserve"> and</w:t>
      </w:r>
      <w:r w:rsidR="00DB0EAA">
        <w:t xml:space="preserve"> use of PASI score as a primary endpoint in the evaluation of efficacy in psoriasis</w:t>
      </w:r>
      <w:r w:rsidR="003949E2">
        <w:t xml:space="preserve"> (in conjunction with others)</w:t>
      </w:r>
      <w:r w:rsidR="00DB0EAA">
        <w:t xml:space="preserve"> is well established</w:t>
      </w:r>
      <w:r w:rsidR="001D4BC6">
        <w:t>;</w:t>
      </w:r>
      <w:r w:rsidR="003949E2">
        <w:rPr>
          <w:rStyle w:val="FootnoteReference"/>
        </w:rPr>
        <w:footnoteReference w:id="35"/>
      </w:r>
      <w:r w:rsidR="00DB0EAA">
        <w:t xml:space="preserve"> </w:t>
      </w:r>
      <w:r w:rsidR="001D4BC6">
        <w:t>validated;</w:t>
      </w:r>
      <w:r w:rsidR="001D4BC6">
        <w:rPr>
          <w:rStyle w:val="FootnoteReference"/>
        </w:rPr>
        <w:footnoteReference w:id="36"/>
      </w:r>
      <w:r w:rsidR="001D4BC6">
        <w:t xml:space="preserve"> </w:t>
      </w:r>
      <w:r w:rsidR="00DB0EAA">
        <w:t>and discussed in relevant TGA-adopted guidance.</w:t>
      </w:r>
      <w:bookmarkStart w:id="78" w:name="_Ref132368946"/>
      <w:r w:rsidR="00DB0EAA">
        <w:rPr>
          <w:rStyle w:val="FootnoteReference"/>
        </w:rPr>
        <w:footnoteReference w:id="37"/>
      </w:r>
      <w:bookmarkEnd w:id="78"/>
      <w:r>
        <w:t xml:space="preserve"> It’s use is also well established in Australasian College of Dermatologists (ACD) guidelines.</w:t>
      </w:r>
      <w:r w:rsidRPr="006E7089">
        <w:rPr>
          <w:vertAlign w:val="superscript"/>
        </w:rPr>
        <w:fldChar w:fldCharType="begin"/>
      </w:r>
      <w:r w:rsidRPr="006E7089">
        <w:rPr>
          <w:vertAlign w:val="superscript"/>
        </w:rPr>
        <w:instrText xml:space="preserve"> NOTEREF _Ref132204153 \h </w:instrText>
      </w:r>
      <w:r>
        <w:rPr>
          <w:vertAlign w:val="superscript"/>
        </w:rPr>
        <w:instrText xml:space="preserve"> \* MERGEFORMAT </w:instrText>
      </w:r>
      <w:r w:rsidRPr="006E7089">
        <w:rPr>
          <w:vertAlign w:val="superscript"/>
        </w:rPr>
      </w:r>
      <w:r w:rsidRPr="006E7089">
        <w:rPr>
          <w:vertAlign w:val="superscript"/>
        </w:rPr>
        <w:fldChar w:fldCharType="separate"/>
      </w:r>
      <w:r w:rsidR="00B54079">
        <w:rPr>
          <w:vertAlign w:val="superscript"/>
        </w:rPr>
        <w:t>13</w:t>
      </w:r>
      <w:r w:rsidRPr="006E7089">
        <w:rPr>
          <w:vertAlign w:val="superscript"/>
        </w:rPr>
        <w:fldChar w:fldCharType="end"/>
      </w:r>
    </w:p>
    <w:p w14:paraId="2447E153" w14:textId="37EF5A91" w:rsidR="003949E2" w:rsidRDefault="003949E2" w:rsidP="0006085F">
      <w:r>
        <w:t xml:space="preserve">Copies of the Department </w:t>
      </w:r>
      <w:r w:rsidR="002C041E">
        <w:t xml:space="preserve">of Health </w:t>
      </w:r>
      <w:r>
        <w:t>forms used in Australia for PASI calculation (with</w:t>
      </w:r>
      <w:r w:rsidRPr="003949E2">
        <w:t xml:space="preserve"> body diagram</w:t>
      </w:r>
      <w:r>
        <w:t>) for</w:t>
      </w:r>
      <w:r w:rsidRPr="003949E2">
        <w:t xml:space="preserve"> face, hand and foot (</w:t>
      </w:r>
      <w:hyperlink r:id="rId28" w:history="1">
        <w:r w:rsidRPr="003949E2">
          <w:rPr>
            <w:rStyle w:val="Hyperlink"/>
          </w:rPr>
          <w:t>PB114</w:t>
        </w:r>
      </w:hyperlink>
      <w:r w:rsidRPr="003949E2">
        <w:t>)</w:t>
      </w:r>
      <w:r>
        <w:t xml:space="preserve"> and for the whole body (</w:t>
      </w:r>
      <w:hyperlink r:id="rId29" w:history="1">
        <w:r w:rsidRPr="002C041E">
          <w:rPr>
            <w:rStyle w:val="Hyperlink"/>
          </w:rPr>
          <w:t>PB115</w:t>
        </w:r>
      </w:hyperlink>
      <w:r>
        <w:t>) can be found online.</w:t>
      </w:r>
      <w:r w:rsidR="002556AE">
        <w:t xml:space="preserve"> A blank </w:t>
      </w:r>
      <w:r w:rsidR="0094022A">
        <w:t>excerpt</w:t>
      </w:r>
      <w:r w:rsidR="002556AE">
        <w:t xml:space="preserve"> taken from Form PB115 is shown </w:t>
      </w:r>
      <w:r w:rsidR="0094022A">
        <w:t xml:space="preserve">below in </w:t>
      </w:r>
      <w:r w:rsidR="0094022A">
        <w:fldChar w:fldCharType="begin"/>
      </w:r>
      <w:r w:rsidR="0094022A">
        <w:instrText xml:space="preserve"> REF _Ref132362219 \h </w:instrText>
      </w:r>
      <w:r w:rsidR="0094022A">
        <w:fldChar w:fldCharType="separate"/>
      </w:r>
      <w:r w:rsidR="00B54079">
        <w:t xml:space="preserve">Figure </w:t>
      </w:r>
      <w:r w:rsidR="00B54079">
        <w:rPr>
          <w:noProof/>
        </w:rPr>
        <w:t>10</w:t>
      </w:r>
      <w:r w:rsidR="0094022A">
        <w:fldChar w:fldCharType="end"/>
      </w:r>
      <w:r w:rsidR="0094022A">
        <w:t>.</w:t>
      </w:r>
    </w:p>
    <w:p w14:paraId="2A09FEEC" w14:textId="5BA2DF20" w:rsidR="0094022A" w:rsidRDefault="0094022A" w:rsidP="006E7089">
      <w:pPr>
        <w:pStyle w:val="FigureTitle"/>
      </w:pPr>
      <w:bookmarkStart w:id="79" w:name="_Ref132362219"/>
      <w:r>
        <w:lastRenderedPageBreak/>
        <w:t xml:space="preserve">Figure </w:t>
      </w:r>
      <w:r w:rsidR="00172397">
        <w:fldChar w:fldCharType="begin"/>
      </w:r>
      <w:r w:rsidR="00172397">
        <w:instrText xml:space="preserve"> SEQ Figure \* ARABIC </w:instrText>
      </w:r>
      <w:r w:rsidR="00172397">
        <w:fldChar w:fldCharType="separate"/>
      </w:r>
      <w:r w:rsidR="00B54079">
        <w:rPr>
          <w:noProof/>
        </w:rPr>
        <w:t>10</w:t>
      </w:r>
      <w:r w:rsidR="00172397">
        <w:rPr>
          <w:noProof/>
        </w:rPr>
        <w:fldChar w:fldCharType="end"/>
      </w:r>
      <w:bookmarkEnd w:id="79"/>
      <w:r>
        <w:t xml:space="preserve">: Example of a form used for documenting a </w:t>
      </w:r>
      <w:r w:rsidR="00AC5D38" w:rsidRPr="00332039">
        <w:t>Psoriasis Area and Severity Index</w:t>
      </w:r>
      <w:r w:rsidR="00AC5D38" w:rsidRPr="005960C5">
        <w:t xml:space="preserve"> </w:t>
      </w:r>
      <w:r w:rsidR="00AC5D38">
        <w:t xml:space="preserve">(PASI) </w:t>
      </w:r>
      <w:r>
        <w:t>score</w:t>
      </w:r>
    </w:p>
    <w:p w14:paraId="4C230103" w14:textId="53CCF2C9" w:rsidR="0094022A" w:rsidRDefault="0094022A" w:rsidP="0006085F">
      <w:r>
        <w:rPr>
          <w:noProof/>
          <w:lang w:val="en-GB" w:eastAsia="en-GB"/>
        </w:rPr>
        <w:drawing>
          <wp:inline distT="0" distB="0" distL="0" distR="0" wp14:anchorId="788AE6AE" wp14:editId="0775A2DD">
            <wp:extent cx="5400040" cy="3009900"/>
            <wp:effectExtent l="0" t="0" r="0" b="0"/>
            <wp:docPr id="7" name="Picture 7" descr="Example of a form used for documenting a Psoriasis Area and Severity Index (PASI)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xample of a form used for documenting a Psoriasis Area and Severity Index (PASI) score"/>
                    <pic:cNvPicPr/>
                  </pic:nvPicPr>
                  <pic:blipFill>
                    <a:blip r:embed="rId30"/>
                    <a:stretch>
                      <a:fillRect/>
                    </a:stretch>
                  </pic:blipFill>
                  <pic:spPr>
                    <a:xfrm>
                      <a:off x="0" y="0"/>
                      <a:ext cx="5400040" cy="3009900"/>
                    </a:xfrm>
                    <a:prstGeom prst="rect">
                      <a:avLst/>
                    </a:prstGeom>
                  </pic:spPr>
                </pic:pic>
              </a:graphicData>
            </a:graphic>
          </wp:inline>
        </w:drawing>
      </w:r>
    </w:p>
    <w:p w14:paraId="0F093A92" w14:textId="77777777" w:rsidR="00E75EEF" w:rsidRDefault="00E75EEF" w:rsidP="0006085F"/>
    <w:p w14:paraId="648DBFEE" w14:textId="616105F5" w:rsidR="00E75EEF" w:rsidRDefault="00E75EEF" w:rsidP="006E7089">
      <w:pPr>
        <w:pStyle w:val="Heading6"/>
      </w:pPr>
      <w:r>
        <w:t>Calculation</w:t>
      </w:r>
    </w:p>
    <w:p w14:paraId="4413AE51" w14:textId="2BDAD8FA" w:rsidR="00A56860" w:rsidRDefault="001D4BC6" w:rsidP="0006085F">
      <w:r>
        <w:t xml:space="preserve">For the assessment of PASI score, </w:t>
      </w:r>
      <w:r w:rsidR="00482EFB">
        <w:t>t</w:t>
      </w:r>
      <w:r>
        <w:t>he body is divided in 4 regions: head and neck, upper limbs, trunk (including front, back and groin areas), and the lower limbs</w:t>
      </w:r>
      <w:r w:rsidR="00A56860">
        <w:t xml:space="preserve"> (as </w:t>
      </w:r>
      <w:r w:rsidR="00482EFB">
        <w:t xml:space="preserve">described </w:t>
      </w:r>
      <w:r w:rsidR="00A56860">
        <w:t xml:space="preserve">in </w:t>
      </w:r>
      <w:r w:rsidR="00482EFB">
        <w:fldChar w:fldCharType="begin"/>
      </w:r>
      <w:r w:rsidR="00482EFB">
        <w:instrText xml:space="preserve"> REF _Ref132359180 \h </w:instrText>
      </w:r>
      <w:r w:rsidR="00482EFB">
        <w:fldChar w:fldCharType="separate"/>
      </w:r>
      <w:r w:rsidR="00B54079">
        <w:t xml:space="preserve">Table </w:t>
      </w:r>
      <w:r w:rsidR="00B54079">
        <w:rPr>
          <w:noProof/>
        </w:rPr>
        <w:t>11</w:t>
      </w:r>
      <w:r w:rsidR="00482EFB">
        <w:fldChar w:fldCharType="end"/>
      </w:r>
      <w:r w:rsidR="00482EFB">
        <w:t xml:space="preserve"> </w:t>
      </w:r>
      <w:r w:rsidR="00A56860">
        <w:t>below).</w:t>
      </w:r>
    </w:p>
    <w:p w14:paraId="44051255" w14:textId="0356C8A5" w:rsidR="00482EFB" w:rsidRDefault="00482EFB" w:rsidP="006E7089">
      <w:pPr>
        <w:pStyle w:val="TableTitle"/>
      </w:pPr>
      <w:bookmarkStart w:id="80" w:name="_Ref132359180"/>
      <w:r>
        <w:t xml:space="preserve">Table </w:t>
      </w:r>
      <w:r w:rsidR="00172397">
        <w:fldChar w:fldCharType="begin"/>
      </w:r>
      <w:r w:rsidR="00172397">
        <w:instrText xml:space="preserve"> SEQ Table \* ARABIC </w:instrText>
      </w:r>
      <w:r w:rsidR="00172397">
        <w:fldChar w:fldCharType="separate"/>
      </w:r>
      <w:r w:rsidR="00B54079">
        <w:rPr>
          <w:noProof/>
        </w:rPr>
        <w:t>11</w:t>
      </w:r>
      <w:r w:rsidR="00172397">
        <w:rPr>
          <w:noProof/>
        </w:rPr>
        <w:fldChar w:fldCharType="end"/>
      </w:r>
      <w:bookmarkEnd w:id="80"/>
      <w:r>
        <w:t xml:space="preserve">: </w:t>
      </w:r>
      <w:r w:rsidR="00AC5D38">
        <w:t xml:space="preserve">Definition of </w:t>
      </w:r>
      <w:r w:rsidR="00AC5D38" w:rsidRPr="00332039">
        <w:t>Psoriasis Area and Severity Index</w:t>
      </w:r>
      <w:r w:rsidR="00AC5D38" w:rsidRPr="005960C5">
        <w:t xml:space="preserve"> </w:t>
      </w:r>
      <w:r w:rsidR="00AC5D38">
        <w:t>(PASI) body regions</w:t>
      </w:r>
    </w:p>
    <w:tbl>
      <w:tblPr>
        <w:tblStyle w:val="TableTGAblue"/>
        <w:tblW w:w="5000" w:type="pct"/>
        <w:tblLook w:val="0020" w:firstRow="1" w:lastRow="0" w:firstColumn="0" w:lastColumn="0" w:noHBand="0" w:noVBand="0"/>
      </w:tblPr>
      <w:tblGrid>
        <w:gridCol w:w="1700"/>
        <w:gridCol w:w="1980"/>
        <w:gridCol w:w="4804"/>
      </w:tblGrid>
      <w:tr w:rsidR="006C61D1" w:rsidRPr="00482EFB" w14:paraId="43DE48DD" w14:textId="77777777" w:rsidTr="006E7089">
        <w:trPr>
          <w:cnfStyle w:val="100000000000" w:firstRow="1" w:lastRow="0" w:firstColumn="0" w:lastColumn="0" w:oddVBand="0" w:evenVBand="0" w:oddHBand="0" w:evenHBand="0" w:firstRowFirstColumn="0" w:firstRowLastColumn="0" w:lastRowFirstColumn="0" w:lastRowLastColumn="0"/>
          <w:trHeight w:val="576"/>
        </w:trPr>
        <w:tc>
          <w:tcPr>
            <w:tcW w:w="1002" w:type="pct"/>
          </w:tcPr>
          <w:p w14:paraId="5C78A59B" w14:textId="56198BEC" w:rsidR="006C61D1" w:rsidRPr="00482EFB" w:rsidRDefault="006C61D1" w:rsidP="00482EFB">
            <w:pPr>
              <w:rPr>
                <w:sz w:val="20"/>
              </w:rPr>
            </w:pPr>
            <w:r>
              <w:rPr>
                <w:sz w:val="20"/>
              </w:rPr>
              <w:t>Body region</w:t>
            </w:r>
          </w:p>
        </w:tc>
        <w:tc>
          <w:tcPr>
            <w:tcW w:w="1167" w:type="pct"/>
          </w:tcPr>
          <w:p w14:paraId="796E2F4A" w14:textId="6E55610A" w:rsidR="006C61D1" w:rsidRPr="006E7089" w:rsidRDefault="006C61D1" w:rsidP="006E7089">
            <w:pPr>
              <w:rPr>
                <w:sz w:val="20"/>
              </w:rPr>
            </w:pPr>
            <w:r w:rsidRPr="006E7089">
              <w:rPr>
                <w:sz w:val="20"/>
              </w:rPr>
              <w:t>Body area</w:t>
            </w:r>
          </w:p>
        </w:tc>
        <w:tc>
          <w:tcPr>
            <w:tcW w:w="2831" w:type="pct"/>
          </w:tcPr>
          <w:p w14:paraId="13191243" w14:textId="77777777" w:rsidR="006C61D1" w:rsidRPr="006E7089" w:rsidRDefault="006C61D1" w:rsidP="006E7089">
            <w:pPr>
              <w:rPr>
                <w:sz w:val="20"/>
              </w:rPr>
            </w:pPr>
            <w:r w:rsidRPr="006E7089">
              <w:rPr>
                <w:sz w:val="20"/>
              </w:rPr>
              <w:t>Details of area</w:t>
            </w:r>
          </w:p>
        </w:tc>
      </w:tr>
      <w:tr w:rsidR="006C61D1" w:rsidRPr="00482EFB" w14:paraId="7D0F4D84" w14:textId="77777777" w:rsidTr="006E7089">
        <w:trPr>
          <w:trHeight w:val="576"/>
        </w:trPr>
        <w:tc>
          <w:tcPr>
            <w:tcW w:w="1002" w:type="pct"/>
          </w:tcPr>
          <w:p w14:paraId="1C7374AA" w14:textId="31F21A01" w:rsidR="006C61D1" w:rsidRPr="00482EFB" w:rsidRDefault="006C61D1" w:rsidP="006E7089">
            <w:pPr>
              <w:jc w:val="center"/>
              <w:rPr>
                <w:sz w:val="20"/>
              </w:rPr>
            </w:pPr>
            <w:r>
              <w:rPr>
                <w:sz w:val="20"/>
              </w:rPr>
              <w:t>1</w:t>
            </w:r>
          </w:p>
        </w:tc>
        <w:tc>
          <w:tcPr>
            <w:tcW w:w="1167" w:type="pct"/>
          </w:tcPr>
          <w:p w14:paraId="419E2CCA" w14:textId="1B761795" w:rsidR="006C61D1" w:rsidRPr="006E7089" w:rsidRDefault="006C61D1" w:rsidP="006E7089">
            <w:pPr>
              <w:rPr>
                <w:sz w:val="20"/>
              </w:rPr>
            </w:pPr>
            <w:r w:rsidRPr="006E7089">
              <w:rPr>
                <w:sz w:val="20"/>
              </w:rPr>
              <w:t xml:space="preserve">Head </w:t>
            </w:r>
          </w:p>
        </w:tc>
        <w:tc>
          <w:tcPr>
            <w:tcW w:w="2831" w:type="pct"/>
          </w:tcPr>
          <w:p w14:paraId="6C290770" w14:textId="77777777" w:rsidR="006C61D1" w:rsidRPr="006E7089" w:rsidRDefault="006C61D1" w:rsidP="006E7089">
            <w:pPr>
              <w:rPr>
                <w:sz w:val="20"/>
              </w:rPr>
            </w:pPr>
            <w:r w:rsidRPr="006E7089">
              <w:rPr>
                <w:sz w:val="20"/>
              </w:rPr>
              <w:t xml:space="preserve">Face, back of head </w:t>
            </w:r>
          </w:p>
        </w:tc>
      </w:tr>
      <w:tr w:rsidR="006C61D1" w:rsidRPr="00482EFB" w14:paraId="5A291178" w14:textId="77777777" w:rsidTr="006E7089">
        <w:trPr>
          <w:trHeight w:val="576"/>
        </w:trPr>
        <w:tc>
          <w:tcPr>
            <w:tcW w:w="1002" w:type="pct"/>
          </w:tcPr>
          <w:p w14:paraId="45281739" w14:textId="0B044238" w:rsidR="006C61D1" w:rsidRPr="00482EFB" w:rsidRDefault="006C61D1" w:rsidP="006E7089">
            <w:pPr>
              <w:jc w:val="center"/>
              <w:rPr>
                <w:sz w:val="20"/>
              </w:rPr>
            </w:pPr>
            <w:r>
              <w:rPr>
                <w:sz w:val="20"/>
              </w:rPr>
              <w:t>2</w:t>
            </w:r>
          </w:p>
        </w:tc>
        <w:tc>
          <w:tcPr>
            <w:tcW w:w="1167" w:type="pct"/>
          </w:tcPr>
          <w:p w14:paraId="4F1DCEA4" w14:textId="144F66D1" w:rsidR="006C61D1" w:rsidRPr="006E7089" w:rsidRDefault="006C61D1">
            <w:pPr>
              <w:rPr>
                <w:sz w:val="20"/>
              </w:rPr>
            </w:pPr>
            <w:r w:rsidRPr="006E7089">
              <w:rPr>
                <w:sz w:val="20"/>
              </w:rPr>
              <w:t xml:space="preserve">Upper limbs </w:t>
            </w:r>
          </w:p>
        </w:tc>
        <w:tc>
          <w:tcPr>
            <w:tcW w:w="2831" w:type="pct"/>
          </w:tcPr>
          <w:p w14:paraId="458D5600" w14:textId="77777777" w:rsidR="006C61D1" w:rsidRPr="006E7089" w:rsidRDefault="006C61D1" w:rsidP="006E7089">
            <w:pPr>
              <w:rPr>
                <w:sz w:val="20"/>
              </w:rPr>
            </w:pPr>
            <w:r w:rsidRPr="006E7089">
              <w:rPr>
                <w:sz w:val="20"/>
              </w:rPr>
              <w:t xml:space="preserve">Left, right, upper lower, flexor surface, extensor surface </w:t>
            </w:r>
          </w:p>
        </w:tc>
      </w:tr>
      <w:tr w:rsidR="006C61D1" w:rsidRPr="00482EFB" w14:paraId="55790990" w14:textId="77777777" w:rsidTr="006E7089">
        <w:trPr>
          <w:trHeight w:val="576"/>
        </w:trPr>
        <w:tc>
          <w:tcPr>
            <w:tcW w:w="1002" w:type="pct"/>
          </w:tcPr>
          <w:p w14:paraId="2D7EEC2C" w14:textId="69A3601D" w:rsidR="006C61D1" w:rsidRPr="00482EFB" w:rsidRDefault="006C61D1" w:rsidP="006E7089">
            <w:pPr>
              <w:jc w:val="center"/>
              <w:rPr>
                <w:sz w:val="20"/>
              </w:rPr>
            </w:pPr>
            <w:r>
              <w:rPr>
                <w:sz w:val="20"/>
              </w:rPr>
              <w:t>3</w:t>
            </w:r>
          </w:p>
        </w:tc>
        <w:tc>
          <w:tcPr>
            <w:tcW w:w="1167" w:type="pct"/>
          </w:tcPr>
          <w:p w14:paraId="74900FC4" w14:textId="2E0FC17F" w:rsidR="006C61D1" w:rsidRPr="006E7089" w:rsidRDefault="006C61D1" w:rsidP="006E7089">
            <w:pPr>
              <w:rPr>
                <w:sz w:val="20"/>
              </w:rPr>
            </w:pPr>
            <w:r w:rsidRPr="006E7089">
              <w:rPr>
                <w:sz w:val="20"/>
              </w:rPr>
              <w:t xml:space="preserve">Trunk </w:t>
            </w:r>
          </w:p>
        </w:tc>
        <w:tc>
          <w:tcPr>
            <w:tcW w:w="2831" w:type="pct"/>
          </w:tcPr>
          <w:p w14:paraId="55B9D6FA" w14:textId="77777777" w:rsidR="006C61D1" w:rsidRPr="006E7089" w:rsidRDefault="006C61D1" w:rsidP="006E7089">
            <w:pPr>
              <w:rPr>
                <w:sz w:val="20"/>
              </w:rPr>
            </w:pPr>
            <w:r w:rsidRPr="006E7089">
              <w:rPr>
                <w:sz w:val="20"/>
              </w:rPr>
              <w:t xml:space="preserve">Front, back, groin </w:t>
            </w:r>
          </w:p>
        </w:tc>
      </w:tr>
      <w:tr w:rsidR="006C61D1" w:rsidRPr="00482EFB" w14:paraId="36043F1D" w14:textId="77777777" w:rsidTr="006E7089">
        <w:trPr>
          <w:trHeight w:val="576"/>
        </w:trPr>
        <w:tc>
          <w:tcPr>
            <w:tcW w:w="1002" w:type="pct"/>
          </w:tcPr>
          <w:p w14:paraId="50457E9B" w14:textId="3F7A6218" w:rsidR="006C61D1" w:rsidRPr="00482EFB" w:rsidRDefault="006C61D1" w:rsidP="006E7089">
            <w:pPr>
              <w:jc w:val="center"/>
              <w:rPr>
                <w:sz w:val="20"/>
              </w:rPr>
            </w:pPr>
            <w:r>
              <w:rPr>
                <w:sz w:val="20"/>
              </w:rPr>
              <w:t>4</w:t>
            </w:r>
          </w:p>
        </w:tc>
        <w:tc>
          <w:tcPr>
            <w:tcW w:w="1167" w:type="pct"/>
          </w:tcPr>
          <w:p w14:paraId="1F70C3DD" w14:textId="79370EF3" w:rsidR="006C61D1" w:rsidRPr="006E7089" w:rsidRDefault="006C61D1">
            <w:pPr>
              <w:rPr>
                <w:sz w:val="20"/>
              </w:rPr>
            </w:pPr>
            <w:r w:rsidRPr="006E7089">
              <w:rPr>
                <w:sz w:val="20"/>
              </w:rPr>
              <w:t xml:space="preserve">Lower limbs </w:t>
            </w:r>
          </w:p>
        </w:tc>
        <w:tc>
          <w:tcPr>
            <w:tcW w:w="2831" w:type="pct"/>
          </w:tcPr>
          <w:p w14:paraId="4416B400" w14:textId="77777777" w:rsidR="006C61D1" w:rsidRPr="006E7089" w:rsidRDefault="006C61D1" w:rsidP="006E7089">
            <w:pPr>
              <w:rPr>
                <w:sz w:val="20"/>
              </w:rPr>
            </w:pPr>
            <w:r w:rsidRPr="006E7089">
              <w:rPr>
                <w:sz w:val="20"/>
              </w:rPr>
              <w:t xml:space="preserve">Left, right, upper lower, flexor surface, extensor surface, including buttocks </w:t>
            </w:r>
          </w:p>
        </w:tc>
      </w:tr>
    </w:tbl>
    <w:p w14:paraId="4D287D9F" w14:textId="219DEFA9" w:rsidR="00A81B00" w:rsidRDefault="00A81B00" w:rsidP="006E7089">
      <w:r>
        <w:t>The intensity of psoriasis is assessed separately for each of the 4 body regions.</w:t>
      </w:r>
    </w:p>
    <w:p w14:paraId="73FDB806" w14:textId="78018057" w:rsidR="006C61D1" w:rsidRDefault="00A81B00" w:rsidP="006E7089">
      <w:r>
        <w:t xml:space="preserve">First, a representative area of psoriasis within that body region is selected. Within that area, an assessment is made for each of the following 3 characteristics of psoriasis: redness (erythema); thickness (induration) and scaling </w:t>
      </w:r>
      <w:r w:rsidR="002556AE">
        <w:t>(desquamation). Each of these 3 </w:t>
      </w:r>
      <w:r>
        <w:t xml:space="preserve">characteristics is assigned </w:t>
      </w:r>
      <w:proofErr w:type="gramStart"/>
      <w:r>
        <w:t>an</w:t>
      </w:r>
      <w:proofErr w:type="gramEnd"/>
      <w:r>
        <w:t xml:space="preserve"> score of zero (absent), 1 (mild), 2 (moderate), 3 (severe) or 4 (very severe). Then t</w:t>
      </w:r>
      <w:r w:rsidR="006C61D1">
        <w:t xml:space="preserve">he 3 scores of each characteristic </w:t>
      </w:r>
      <w:proofErr w:type="gramStart"/>
      <w:r w:rsidR="006C61D1">
        <w:t>is</w:t>
      </w:r>
      <w:proofErr w:type="gramEnd"/>
      <w:r w:rsidR="006C61D1">
        <w:t xml:space="preserve"> added for that body region, creating four body region </w:t>
      </w:r>
      <w:r w:rsidR="00651FED">
        <w:t xml:space="preserve">intensity </w:t>
      </w:r>
      <w:r w:rsidR="006C61D1">
        <w:t>subtotals (A1, A2, A3, and A4).</w:t>
      </w:r>
    </w:p>
    <w:p w14:paraId="6CA57400" w14:textId="602119F9" w:rsidR="00AC5D38" w:rsidRDefault="00AC5D38" w:rsidP="006E7089">
      <w:r>
        <w:lastRenderedPageBreak/>
        <w:t>Visual guides assessing each of these 3 psoriasis characteristics can be found online.</w:t>
      </w:r>
      <w:r>
        <w:rPr>
          <w:rStyle w:val="FootnoteReference"/>
        </w:rPr>
        <w:footnoteReference w:id="38"/>
      </w:r>
    </w:p>
    <w:p w14:paraId="60E41C32" w14:textId="28B55E45" w:rsidR="00651FED" w:rsidRDefault="00651FED" w:rsidP="00651FED">
      <w:r>
        <w:t>As the amount of skin covering each body region is different, the subtotals are multiplied by the body surface area represented by that region:</w:t>
      </w:r>
    </w:p>
    <w:p w14:paraId="563E4C6C" w14:textId="361EFFCE" w:rsidR="00651FED" w:rsidRDefault="00651FED" w:rsidP="006E7089">
      <w:pPr>
        <w:pStyle w:val="ListBullet"/>
      </w:pPr>
      <w:r>
        <w:t>A1 (head and neck) x 0.1 = B1</w:t>
      </w:r>
    </w:p>
    <w:p w14:paraId="2F06B0FD" w14:textId="4D5D45B2" w:rsidR="00651FED" w:rsidRDefault="00651FED" w:rsidP="006E7089">
      <w:pPr>
        <w:pStyle w:val="ListBullet"/>
      </w:pPr>
      <w:r>
        <w:t>A2 (upper limbs) x 0.2 = B2</w:t>
      </w:r>
    </w:p>
    <w:p w14:paraId="2EC0A703" w14:textId="6CE9097C" w:rsidR="00651FED" w:rsidRDefault="00651FED" w:rsidP="006E7089">
      <w:pPr>
        <w:pStyle w:val="ListBullet"/>
      </w:pPr>
      <w:r>
        <w:t>A3 (trunk) x 0.3 = B3</w:t>
      </w:r>
    </w:p>
    <w:p w14:paraId="6A3BBBFE" w14:textId="4D32F9AF" w:rsidR="006C61D1" w:rsidRDefault="00651FED" w:rsidP="006E7089">
      <w:pPr>
        <w:pStyle w:val="ListBullet"/>
      </w:pPr>
      <w:r>
        <w:t>A4 (lower limbs) x 0.4 = B4.</w:t>
      </w:r>
    </w:p>
    <w:p w14:paraId="677847CA" w14:textId="314DD342" w:rsidR="006C61D1" w:rsidRDefault="00651FED" w:rsidP="00651FED">
      <w:r>
        <w:t>Separately, each of the 4 body regions are assessed for the proportion of skin within that body region estimated to be affected by psoriasis.</w:t>
      </w:r>
    </w:p>
    <w:p w14:paraId="211AA878" w14:textId="2EC3D165" w:rsidR="00170923" w:rsidRDefault="00651FED" w:rsidP="00651FED">
      <w:r>
        <w:t>A</w:t>
      </w:r>
      <w:r w:rsidR="00A56860">
        <w:t xml:space="preserve"> score of between zero and 6</w:t>
      </w:r>
      <w:r w:rsidR="00170923">
        <w:t xml:space="preserve"> according to the score categories shown in </w:t>
      </w:r>
      <w:r w:rsidR="00170923">
        <w:fldChar w:fldCharType="begin"/>
      </w:r>
      <w:r w:rsidR="00170923">
        <w:instrText xml:space="preserve"> REF _Ref132358681 \h </w:instrText>
      </w:r>
      <w:r w:rsidR="00170923">
        <w:fldChar w:fldCharType="separate"/>
      </w:r>
      <w:r w:rsidR="00B54079">
        <w:t xml:space="preserve">Table </w:t>
      </w:r>
      <w:r w:rsidR="00B54079">
        <w:rPr>
          <w:noProof/>
        </w:rPr>
        <w:t>12</w:t>
      </w:r>
      <w:r w:rsidR="00170923">
        <w:fldChar w:fldCharType="end"/>
      </w:r>
      <w:r w:rsidR="00170923">
        <w:t>.</w:t>
      </w:r>
    </w:p>
    <w:p w14:paraId="0BE65850" w14:textId="4249748B" w:rsidR="00170923" w:rsidRDefault="00170923" w:rsidP="00651FED">
      <w:pPr>
        <w:pStyle w:val="TableTitle"/>
      </w:pPr>
      <w:bookmarkStart w:id="81" w:name="_Ref132358681"/>
      <w:r>
        <w:t xml:space="preserve">Table </w:t>
      </w:r>
      <w:r w:rsidR="00172397">
        <w:fldChar w:fldCharType="begin"/>
      </w:r>
      <w:r w:rsidR="00172397">
        <w:instrText xml:space="preserve"> SEQ Table \* ARABIC </w:instrText>
      </w:r>
      <w:r w:rsidR="00172397">
        <w:fldChar w:fldCharType="separate"/>
      </w:r>
      <w:r w:rsidR="00B54079">
        <w:rPr>
          <w:noProof/>
        </w:rPr>
        <w:t>12</w:t>
      </w:r>
      <w:r w:rsidR="00172397">
        <w:rPr>
          <w:noProof/>
        </w:rPr>
        <w:fldChar w:fldCharType="end"/>
      </w:r>
      <w:bookmarkEnd w:id="81"/>
      <w:r>
        <w:t xml:space="preserve">: </w:t>
      </w:r>
      <w:r w:rsidR="00AC5D38" w:rsidRPr="00332039">
        <w:t>Psoriasis Area and Severity Index</w:t>
      </w:r>
      <w:r w:rsidR="00AC5D38" w:rsidRPr="005960C5">
        <w:t xml:space="preserve"> </w:t>
      </w:r>
      <w:r w:rsidR="00AC5D38">
        <w:t>(PASI</w:t>
      </w:r>
      <w:r w:rsidR="00E75EEF">
        <w:t xml:space="preserve">) </w:t>
      </w:r>
      <w:r>
        <w:t>body region area scores</w:t>
      </w:r>
    </w:p>
    <w:tbl>
      <w:tblPr>
        <w:tblStyle w:val="TableTGAblue"/>
        <w:tblW w:w="0" w:type="auto"/>
        <w:tblLook w:val="04A0" w:firstRow="1" w:lastRow="0" w:firstColumn="1" w:lastColumn="0" w:noHBand="0" w:noVBand="1"/>
      </w:tblPr>
      <w:tblGrid>
        <w:gridCol w:w="1345"/>
        <w:gridCol w:w="5035"/>
      </w:tblGrid>
      <w:tr w:rsidR="00170923" w:rsidRPr="00170923" w14:paraId="70EB6867" w14:textId="77777777" w:rsidTr="00170923">
        <w:trPr>
          <w:cnfStyle w:val="100000000000" w:firstRow="1" w:lastRow="0" w:firstColumn="0" w:lastColumn="0" w:oddVBand="0" w:evenVBand="0" w:oddHBand="0" w:evenHBand="0" w:firstRowFirstColumn="0" w:firstRowLastColumn="0" w:lastRowFirstColumn="0" w:lastRowLastColumn="0"/>
        </w:trPr>
        <w:tc>
          <w:tcPr>
            <w:tcW w:w="1345" w:type="dxa"/>
          </w:tcPr>
          <w:p w14:paraId="52FEA81A" w14:textId="203D7D11" w:rsidR="00170923" w:rsidRPr="00170923" w:rsidRDefault="00170923" w:rsidP="00651FED">
            <w:pPr>
              <w:jc w:val="center"/>
              <w:rPr>
                <w:sz w:val="20"/>
              </w:rPr>
            </w:pPr>
            <w:r w:rsidRPr="00170923">
              <w:rPr>
                <w:sz w:val="20"/>
              </w:rPr>
              <w:t>Score</w:t>
            </w:r>
          </w:p>
        </w:tc>
        <w:tc>
          <w:tcPr>
            <w:tcW w:w="5035" w:type="dxa"/>
          </w:tcPr>
          <w:p w14:paraId="0E83CA0F" w14:textId="025EA211" w:rsidR="00170923" w:rsidRPr="00170923" w:rsidRDefault="00170923" w:rsidP="00651FED">
            <w:pPr>
              <w:rPr>
                <w:sz w:val="20"/>
              </w:rPr>
            </w:pPr>
            <w:r w:rsidRPr="00170923">
              <w:rPr>
                <w:sz w:val="20"/>
              </w:rPr>
              <w:t>Area of skin in body region affected by psoriasis</w:t>
            </w:r>
          </w:p>
        </w:tc>
      </w:tr>
      <w:tr w:rsidR="00170923" w:rsidRPr="00170923" w14:paraId="3C632EC0" w14:textId="77777777" w:rsidTr="00170923">
        <w:tc>
          <w:tcPr>
            <w:tcW w:w="1345" w:type="dxa"/>
          </w:tcPr>
          <w:p w14:paraId="6A1D739D" w14:textId="76D27352" w:rsidR="00170923" w:rsidRPr="00170923" w:rsidRDefault="00170923" w:rsidP="006E7089">
            <w:pPr>
              <w:keepNext/>
              <w:jc w:val="center"/>
            </w:pPr>
            <w:r w:rsidRPr="00170923">
              <w:t>0</w:t>
            </w:r>
          </w:p>
        </w:tc>
        <w:tc>
          <w:tcPr>
            <w:tcW w:w="5035" w:type="dxa"/>
          </w:tcPr>
          <w:p w14:paraId="06E93A03" w14:textId="74FCA989" w:rsidR="00170923" w:rsidRPr="00170923" w:rsidRDefault="00170923" w:rsidP="006E7089">
            <w:pPr>
              <w:keepNext/>
              <w:rPr>
                <w:sz w:val="20"/>
              </w:rPr>
            </w:pPr>
            <w:r w:rsidRPr="00170923">
              <w:rPr>
                <w:sz w:val="20"/>
              </w:rPr>
              <w:t>No skin affected</w:t>
            </w:r>
          </w:p>
        </w:tc>
      </w:tr>
      <w:tr w:rsidR="00170923" w:rsidRPr="00170923" w14:paraId="43C493DF" w14:textId="77777777" w:rsidTr="00170923">
        <w:tc>
          <w:tcPr>
            <w:tcW w:w="1345" w:type="dxa"/>
          </w:tcPr>
          <w:p w14:paraId="4405554A" w14:textId="029EF592" w:rsidR="00170923" w:rsidRPr="00170923" w:rsidRDefault="00170923" w:rsidP="006E7089">
            <w:pPr>
              <w:keepNext/>
              <w:jc w:val="center"/>
            </w:pPr>
            <w:r w:rsidRPr="00170923">
              <w:t>1</w:t>
            </w:r>
          </w:p>
        </w:tc>
        <w:tc>
          <w:tcPr>
            <w:tcW w:w="5035" w:type="dxa"/>
          </w:tcPr>
          <w:p w14:paraId="1BA5D40C" w14:textId="77D51E47" w:rsidR="00170923" w:rsidRPr="00170923" w:rsidRDefault="00170923" w:rsidP="006E7089">
            <w:pPr>
              <w:keepNext/>
              <w:rPr>
                <w:sz w:val="20"/>
              </w:rPr>
            </w:pPr>
            <w:r w:rsidRPr="00170923">
              <w:rPr>
                <w:sz w:val="20"/>
              </w:rPr>
              <w:t>1% to &lt; 10% affected</w:t>
            </w:r>
          </w:p>
        </w:tc>
      </w:tr>
      <w:tr w:rsidR="00170923" w:rsidRPr="00170923" w14:paraId="23300A2D" w14:textId="77777777" w:rsidTr="00170923">
        <w:tc>
          <w:tcPr>
            <w:tcW w:w="1345" w:type="dxa"/>
          </w:tcPr>
          <w:p w14:paraId="67699EBC" w14:textId="273FA15B" w:rsidR="00170923" w:rsidRPr="00170923" w:rsidRDefault="00170923" w:rsidP="006E7089">
            <w:pPr>
              <w:keepNext/>
              <w:jc w:val="center"/>
            </w:pPr>
            <w:r w:rsidRPr="00170923">
              <w:t>2</w:t>
            </w:r>
          </w:p>
        </w:tc>
        <w:tc>
          <w:tcPr>
            <w:tcW w:w="5035" w:type="dxa"/>
          </w:tcPr>
          <w:p w14:paraId="59FB927F" w14:textId="6A1833A0" w:rsidR="00170923" w:rsidRPr="00170923" w:rsidRDefault="00170923" w:rsidP="006E7089">
            <w:pPr>
              <w:keepNext/>
              <w:rPr>
                <w:sz w:val="20"/>
              </w:rPr>
            </w:pPr>
            <w:r w:rsidRPr="00170923">
              <w:rPr>
                <w:sz w:val="20"/>
              </w:rPr>
              <w:t>10% to &lt; 30% affected</w:t>
            </w:r>
          </w:p>
        </w:tc>
      </w:tr>
      <w:tr w:rsidR="00170923" w:rsidRPr="00170923" w14:paraId="5EA86932" w14:textId="77777777" w:rsidTr="00170923">
        <w:tc>
          <w:tcPr>
            <w:tcW w:w="1345" w:type="dxa"/>
          </w:tcPr>
          <w:p w14:paraId="05031361" w14:textId="4F1DE631" w:rsidR="00170923" w:rsidRPr="00170923" w:rsidRDefault="00170923" w:rsidP="006E7089">
            <w:pPr>
              <w:keepNext/>
              <w:jc w:val="center"/>
            </w:pPr>
            <w:r w:rsidRPr="00170923">
              <w:t>3</w:t>
            </w:r>
          </w:p>
        </w:tc>
        <w:tc>
          <w:tcPr>
            <w:tcW w:w="5035" w:type="dxa"/>
          </w:tcPr>
          <w:p w14:paraId="620B1819" w14:textId="1048319B" w:rsidR="00170923" w:rsidRPr="00170923" w:rsidRDefault="00170923" w:rsidP="006E7089">
            <w:pPr>
              <w:keepNext/>
              <w:rPr>
                <w:sz w:val="20"/>
              </w:rPr>
            </w:pPr>
            <w:r w:rsidRPr="00170923">
              <w:rPr>
                <w:sz w:val="20"/>
              </w:rPr>
              <w:t>30% to &lt; 50% affected</w:t>
            </w:r>
          </w:p>
        </w:tc>
      </w:tr>
      <w:tr w:rsidR="00170923" w:rsidRPr="00170923" w14:paraId="1DC8B1FC" w14:textId="77777777" w:rsidTr="00170923">
        <w:tc>
          <w:tcPr>
            <w:tcW w:w="1345" w:type="dxa"/>
          </w:tcPr>
          <w:p w14:paraId="7DD89580" w14:textId="4914D73E" w:rsidR="00170923" w:rsidRPr="00170923" w:rsidRDefault="00170923" w:rsidP="006E7089">
            <w:pPr>
              <w:keepNext/>
              <w:jc w:val="center"/>
            </w:pPr>
            <w:r w:rsidRPr="00170923">
              <w:t>4</w:t>
            </w:r>
          </w:p>
        </w:tc>
        <w:tc>
          <w:tcPr>
            <w:tcW w:w="5035" w:type="dxa"/>
          </w:tcPr>
          <w:p w14:paraId="78EC56BE" w14:textId="2D8FBBA4" w:rsidR="00170923" w:rsidRPr="00170923" w:rsidRDefault="00170923" w:rsidP="006E7089">
            <w:pPr>
              <w:keepNext/>
              <w:rPr>
                <w:sz w:val="20"/>
              </w:rPr>
            </w:pPr>
            <w:r w:rsidRPr="00170923">
              <w:rPr>
                <w:sz w:val="20"/>
              </w:rPr>
              <w:t>50% to &lt; 70% affected</w:t>
            </w:r>
          </w:p>
        </w:tc>
      </w:tr>
      <w:tr w:rsidR="00170923" w:rsidRPr="00170923" w14:paraId="7E749B6D" w14:textId="77777777" w:rsidTr="00170923">
        <w:tc>
          <w:tcPr>
            <w:tcW w:w="1345" w:type="dxa"/>
          </w:tcPr>
          <w:p w14:paraId="3760C6DF" w14:textId="3F923F83" w:rsidR="00170923" w:rsidRPr="00170923" w:rsidRDefault="00170923" w:rsidP="006E7089">
            <w:pPr>
              <w:keepNext/>
              <w:jc w:val="center"/>
            </w:pPr>
            <w:r w:rsidRPr="00170923">
              <w:t>5</w:t>
            </w:r>
          </w:p>
        </w:tc>
        <w:tc>
          <w:tcPr>
            <w:tcW w:w="5035" w:type="dxa"/>
          </w:tcPr>
          <w:p w14:paraId="16BA26F1" w14:textId="6785456F" w:rsidR="00170923" w:rsidRPr="00170923" w:rsidRDefault="00170923" w:rsidP="006E7089">
            <w:pPr>
              <w:keepNext/>
              <w:rPr>
                <w:sz w:val="20"/>
              </w:rPr>
            </w:pPr>
            <w:r w:rsidRPr="00170923">
              <w:rPr>
                <w:sz w:val="20"/>
              </w:rPr>
              <w:t>70% to &lt; 90% affected</w:t>
            </w:r>
          </w:p>
        </w:tc>
      </w:tr>
      <w:tr w:rsidR="00170923" w:rsidRPr="00170923" w14:paraId="332D84BF" w14:textId="77777777" w:rsidTr="00170923">
        <w:tc>
          <w:tcPr>
            <w:tcW w:w="1345" w:type="dxa"/>
          </w:tcPr>
          <w:p w14:paraId="5A7BA76C" w14:textId="689B6432" w:rsidR="00170923" w:rsidRPr="00170923" w:rsidRDefault="00170923" w:rsidP="006E7089">
            <w:pPr>
              <w:keepNext/>
              <w:jc w:val="center"/>
            </w:pPr>
            <w:r w:rsidRPr="00170923">
              <w:t>6</w:t>
            </w:r>
          </w:p>
        </w:tc>
        <w:tc>
          <w:tcPr>
            <w:tcW w:w="5035" w:type="dxa"/>
          </w:tcPr>
          <w:p w14:paraId="54D2B9C4" w14:textId="65DE199E" w:rsidR="00170923" w:rsidRPr="00170923" w:rsidRDefault="00170923" w:rsidP="006E7089">
            <w:pPr>
              <w:keepNext/>
              <w:rPr>
                <w:sz w:val="20"/>
              </w:rPr>
            </w:pPr>
            <w:r w:rsidRPr="00170923">
              <w:rPr>
                <w:sz w:val="20"/>
              </w:rPr>
              <w:t>90% to 100% affected</w:t>
            </w:r>
          </w:p>
        </w:tc>
      </w:tr>
    </w:tbl>
    <w:p w14:paraId="791707D2" w14:textId="6C76ADDB" w:rsidR="00170923" w:rsidRDefault="00651FED" w:rsidP="006E7089">
      <w:r>
        <w:t xml:space="preserve">Finally, </w:t>
      </w:r>
      <w:r w:rsidR="002556AE">
        <w:t>each</w:t>
      </w:r>
      <w:r>
        <w:t xml:space="preserve"> </w:t>
      </w:r>
      <w:r w:rsidR="002556AE">
        <w:t>regional intensity totals (B1, B2, B3, and B4) is multiplied by the body region area score for that region (between 0 to 6, as shown in the table above) to produce a total score for each of the 4 body regions (known as C1, C2, C3 and C4).</w:t>
      </w:r>
    </w:p>
    <w:p w14:paraId="4651FCE5" w14:textId="01C1AC6C" w:rsidR="0094022A" w:rsidRDefault="0094022A" w:rsidP="006E7089">
      <w:r>
        <w:t>The final (total)</w:t>
      </w:r>
      <w:r w:rsidR="002556AE">
        <w:t xml:space="preserve"> PASI score is calculated by adding all 4 scores (C1 + C2 + C3 + C4).</w:t>
      </w:r>
      <w:r w:rsidR="00315CE7">
        <w:t xml:space="preserve"> </w:t>
      </w:r>
      <w:r>
        <w:t>An example of the calculation of the final PASI is shown below.</w:t>
      </w:r>
    </w:p>
    <w:p w14:paraId="32E56789" w14:textId="01E6C722" w:rsidR="00485284" w:rsidRDefault="00485284" w:rsidP="005960C5">
      <w:pPr>
        <w:pStyle w:val="FigureTitle"/>
      </w:pPr>
      <w:r w:rsidRPr="005960C5">
        <w:t xml:space="preserve">Figure </w:t>
      </w:r>
      <w:r w:rsidR="00172397">
        <w:fldChar w:fldCharType="begin"/>
      </w:r>
      <w:r w:rsidR="00172397">
        <w:instrText xml:space="preserve"> SEQ Figure \* ARABIC </w:instrText>
      </w:r>
      <w:r w:rsidR="00172397">
        <w:fldChar w:fldCharType="separate"/>
      </w:r>
      <w:r w:rsidR="00B54079">
        <w:rPr>
          <w:noProof/>
        </w:rPr>
        <w:t>11</w:t>
      </w:r>
      <w:r w:rsidR="00172397">
        <w:rPr>
          <w:noProof/>
        </w:rPr>
        <w:fldChar w:fldCharType="end"/>
      </w:r>
      <w:r>
        <w:t>:</w:t>
      </w:r>
      <w:r w:rsidR="005960C5">
        <w:t xml:space="preserve"> </w:t>
      </w:r>
      <w:r w:rsidR="0094022A">
        <w:t xml:space="preserve">Example of </w:t>
      </w:r>
      <w:r w:rsidR="00332039" w:rsidRPr="00332039">
        <w:t>Psoriasis Area and Severity Index</w:t>
      </w:r>
      <w:r w:rsidR="005960C5" w:rsidRPr="005960C5">
        <w:t xml:space="preserve"> </w:t>
      </w:r>
      <w:r w:rsidR="0094022A">
        <w:t>(PASI) calculation</w:t>
      </w:r>
    </w:p>
    <w:p w14:paraId="33DC8EBD" w14:textId="2EF5D42C" w:rsidR="00485284" w:rsidRDefault="00485284" w:rsidP="00485284">
      <w:r>
        <w:rPr>
          <w:noProof/>
          <w:lang w:val="en-GB" w:eastAsia="en-GB"/>
        </w:rPr>
        <w:drawing>
          <wp:inline distT="0" distB="0" distL="0" distR="0" wp14:anchorId="6894E211" wp14:editId="6AFC1289">
            <wp:extent cx="5532446" cy="1542553"/>
            <wp:effectExtent l="0" t="0" r="0" b="635"/>
            <wp:docPr id="243" name="Picture 243" descr="Psoriasis Area and Severity Index Scoring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Picture 243" descr="Psoriasis Area and Severity Index Scoring Summary"/>
                    <pic:cNvPicPr/>
                  </pic:nvPicPr>
                  <pic:blipFill rotWithShape="1">
                    <a:blip r:embed="rId31"/>
                    <a:srcRect l="13223" t="71430"/>
                    <a:stretch/>
                  </pic:blipFill>
                  <pic:spPr bwMode="auto">
                    <a:xfrm>
                      <a:off x="0" y="0"/>
                      <a:ext cx="5545477" cy="1546186"/>
                    </a:xfrm>
                    <a:prstGeom prst="rect">
                      <a:avLst/>
                    </a:prstGeom>
                    <a:ln>
                      <a:noFill/>
                    </a:ln>
                    <a:extLst>
                      <a:ext uri="{53640926-AAD7-44D8-BBD7-CCE9431645EC}">
                        <a14:shadowObscured xmlns:a14="http://schemas.microsoft.com/office/drawing/2010/main"/>
                      </a:ext>
                    </a:extLst>
                  </pic:spPr>
                </pic:pic>
              </a:graphicData>
            </a:graphic>
          </wp:inline>
        </w:drawing>
      </w:r>
    </w:p>
    <w:p w14:paraId="27D971B4" w14:textId="7CBCA574" w:rsidR="0094022A" w:rsidRDefault="0094022A" w:rsidP="006E7089">
      <w:pPr>
        <w:pStyle w:val="FigureDescription"/>
      </w:pPr>
      <w:r>
        <w:lastRenderedPageBreak/>
        <w:t xml:space="preserve">In the above example, this individual has a moderate intensity (score of 2) for the 3 psoriasis characteristics (erythema, induration and scale) in </w:t>
      </w:r>
      <w:r w:rsidR="00AC5D38">
        <w:t xml:space="preserve">all </w:t>
      </w:r>
      <w:proofErr w:type="gramStart"/>
      <w:r w:rsidR="00AC5D38">
        <w:t>4</w:t>
      </w:r>
      <w:r>
        <w:t xml:space="preserve"> body</w:t>
      </w:r>
      <w:proofErr w:type="gramEnd"/>
      <w:r>
        <w:t xml:space="preserve"> region, and an area score of 2 (between 10% to &lt; 30% of skin affected) in all 4 body regions,</w:t>
      </w:r>
      <w:r w:rsidR="00AC5D38">
        <w:t xml:space="preserve"> producing a final PASI score of 12.</w:t>
      </w:r>
    </w:p>
    <w:p w14:paraId="0FA17EAA" w14:textId="46ECF2E7" w:rsidR="00B17E2D" w:rsidRDefault="00B17E2D" w:rsidP="006E7089">
      <w:pPr>
        <w:pStyle w:val="Heading6"/>
        <w:rPr>
          <w:lang w:eastAsia="ja-JP"/>
        </w:rPr>
      </w:pPr>
      <w:r>
        <w:rPr>
          <w:lang w:eastAsia="ja-JP"/>
        </w:rPr>
        <w:t>Interpretation</w:t>
      </w:r>
    </w:p>
    <w:p w14:paraId="59B15317" w14:textId="3DE0D35F" w:rsidR="00485284" w:rsidRDefault="00485284" w:rsidP="00485284">
      <w:pPr>
        <w:rPr>
          <w:lang w:eastAsia="ja-JP"/>
        </w:rPr>
      </w:pPr>
      <w:r w:rsidRPr="003A1DA1">
        <w:rPr>
          <w:lang w:eastAsia="ja-JP"/>
        </w:rPr>
        <w:t>The highest</w:t>
      </w:r>
      <w:r>
        <w:rPr>
          <w:lang w:eastAsia="ja-JP"/>
        </w:rPr>
        <w:t xml:space="preserve"> final </w:t>
      </w:r>
      <w:r w:rsidRPr="003A1DA1">
        <w:rPr>
          <w:lang w:eastAsia="ja-JP"/>
        </w:rPr>
        <w:t xml:space="preserve">score </w:t>
      </w:r>
      <w:r>
        <w:rPr>
          <w:lang w:eastAsia="ja-JP"/>
        </w:rPr>
        <w:t xml:space="preserve">possible </w:t>
      </w:r>
      <w:r w:rsidRPr="003A1DA1">
        <w:rPr>
          <w:lang w:eastAsia="ja-JP"/>
        </w:rPr>
        <w:t>is 72</w:t>
      </w:r>
      <w:r w:rsidR="00B17E2D">
        <w:rPr>
          <w:lang w:eastAsia="ja-JP"/>
        </w:rPr>
        <w:t xml:space="preserve"> and t</w:t>
      </w:r>
      <w:r w:rsidRPr="00E23BB5">
        <w:rPr>
          <w:lang w:eastAsia="ja-JP"/>
        </w:rPr>
        <w:t>he higher the final score, the more severe is the psoriasis.</w:t>
      </w:r>
    </w:p>
    <w:p w14:paraId="3AA24EAC" w14:textId="45938D8D" w:rsidR="00F230D7" w:rsidRDefault="00B17E2D" w:rsidP="00485284">
      <w:pPr>
        <w:rPr>
          <w:lang w:eastAsia="ja-JP"/>
        </w:rPr>
      </w:pPr>
      <w:r>
        <w:rPr>
          <w:lang w:eastAsia="ja-JP"/>
        </w:rPr>
        <w:t>Definitions of mild, moderate and severe psoriasis vary, but a final (absolute) PASI score of more than 10 points is frequently used to define severe disease;</w:t>
      </w:r>
      <w:r w:rsidRPr="006E7089">
        <w:rPr>
          <w:vertAlign w:val="superscript"/>
          <w:lang w:eastAsia="ja-JP"/>
        </w:rPr>
        <w:fldChar w:fldCharType="begin"/>
      </w:r>
      <w:r w:rsidRPr="006E7089">
        <w:rPr>
          <w:vertAlign w:val="superscript"/>
          <w:lang w:eastAsia="ja-JP"/>
        </w:rPr>
        <w:instrText xml:space="preserve"> NOTEREF _Ref132204153 \h </w:instrText>
      </w:r>
      <w:r>
        <w:rPr>
          <w:vertAlign w:val="superscript"/>
          <w:lang w:eastAsia="ja-JP"/>
        </w:rPr>
        <w:instrText xml:space="preserve"> \* MERGEFORMAT </w:instrText>
      </w:r>
      <w:r w:rsidRPr="006E7089">
        <w:rPr>
          <w:vertAlign w:val="superscript"/>
          <w:lang w:eastAsia="ja-JP"/>
        </w:rPr>
      </w:r>
      <w:r w:rsidRPr="006E7089">
        <w:rPr>
          <w:vertAlign w:val="superscript"/>
          <w:lang w:eastAsia="ja-JP"/>
        </w:rPr>
        <w:fldChar w:fldCharType="separate"/>
      </w:r>
      <w:r w:rsidR="00B54079">
        <w:rPr>
          <w:vertAlign w:val="superscript"/>
          <w:lang w:eastAsia="ja-JP"/>
        </w:rPr>
        <w:t>13</w:t>
      </w:r>
      <w:r w:rsidRPr="006E7089">
        <w:rPr>
          <w:vertAlign w:val="superscript"/>
          <w:lang w:eastAsia="ja-JP"/>
        </w:rPr>
        <w:fldChar w:fldCharType="end"/>
      </w:r>
      <w:r>
        <w:rPr>
          <w:vertAlign w:val="superscript"/>
          <w:lang w:eastAsia="ja-JP"/>
        </w:rPr>
        <w:t xml:space="preserve"> </w:t>
      </w:r>
      <w:r>
        <w:rPr>
          <w:lang w:eastAsia="ja-JP"/>
        </w:rPr>
        <w:t xml:space="preserve">(see also </w:t>
      </w:r>
      <w:r>
        <w:rPr>
          <w:lang w:eastAsia="ja-JP"/>
        </w:rPr>
        <w:fldChar w:fldCharType="begin"/>
      </w:r>
      <w:r>
        <w:rPr>
          <w:lang w:eastAsia="ja-JP"/>
        </w:rPr>
        <w:instrText xml:space="preserve"> REF _Ref132203330 \h </w:instrText>
      </w:r>
      <w:r>
        <w:rPr>
          <w:lang w:eastAsia="ja-JP"/>
        </w:rPr>
      </w:r>
      <w:r>
        <w:rPr>
          <w:lang w:eastAsia="ja-JP"/>
        </w:rPr>
        <w:fldChar w:fldCharType="separate"/>
      </w:r>
      <w:r w:rsidR="00B54079">
        <w:t xml:space="preserve">Table </w:t>
      </w:r>
      <w:r w:rsidR="00B54079">
        <w:rPr>
          <w:noProof/>
        </w:rPr>
        <w:t>1</w:t>
      </w:r>
      <w:r>
        <w:rPr>
          <w:lang w:eastAsia="ja-JP"/>
        </w:rPr>
        <w:fldChar w:fldCharType="end"/>
      </w:r>
      <w:r>
        <w:rPr>
          <w:lang w:eastAsia="ja-JP"/>
        </w:rPr>
        <w:t>).</w:t>
      </w:r>
    </w:p>
    <w:p w14:paraId="7DE0E991" w14:textId="16D3BF08" w:rsidR="00B17E2D" w:rsidRDefault="00B17E2D" w:rsidP="00485284">
      <w:pPr>
        <w:rPr>
          <w:lang w:eastAsia="ja-JP"/>
        </w:rPr>
      </w:pPr>
      <w:r>
        <w:rPr>
          <w:lang w:eastAsia="ja-JP"/>
        </w:rPr>
        <w:t>Beyond final (or absolute) PASI scores, other scores derived from PASI scores, notably PASI responses.</w:t>
      </w:r>
    </w:p>
    <w:p w14:paraId="545440B0" w14:textId="5D4FBFFD" w:rsidR="00B17E2D" w:rsidRDefault="00B17E2D" w:rsidP="00485284">
      <w:pPr>
        <w:rPr>
          <w:lang w:eastAsia="ja-JP"/>
        </w:rPr>
      </w:pPr>
      <w:r>
        <w:rPr>
          <w:lang w:eastAsia="ja-JP"/>
        </w:rPr>
        <w:t>A patient achieving a PASI 75 response is a patient who achieves a 75% or more reduction in their PASI score compared to their final (or absolute) PASI score at Baseline.</w:t>
      </w:r>
    </w:p>
    <w:p w14:paraId="7591140C" w14:textId="2F9EFE7E" w:rsidR="001D0D58" w:rsidRDefault="001D0D58" w:rsidP="00F230D7">
      <w:pPr>
        <w:rPr>
          <w:lang w:eastAsia="ja-JP"/>
        </w:rPr>
      </w:pPr>
      <w:r>
        <w:rPr>
          <w:lang w:eastAsia="ja-JP"/>
        </w:rPr>
        <w:t xml:space="preserve">The PASI is widely used in clinical trials of therapies to treat psoriasis. Although absolute PASI score is often used to define entry into a trial, it is response to treatment that is important to measure efficacy and outcomes. This is usually presented as a percentage response rate; for example, </w:t>
      </w:r>
      <w:r w:rsidR="00B17E2D">
        <w:rPr>
          <w:lang w:eastAsia="ja-JP"/>
        </w:rPr>
        <w:t xml:space="preserve">PASI 75 </w:t>
      </w:r>
      <w:r>
        <w:rPr>
          <w:lang w:eastAsia="ja-JP"/>
        </w:rPr>
        <w:t>responses can be presented as</w:t>
      </w:r>
      <w:r w:rsidR="00B17E2D">
        <w:rPr>
          <w:lang w:eastAsia="ja-JP"/>
        </w:rPr>
        <w:t xml:space="preserve"> the percentage (or number) of patients who have achieved a 75% or more reduction in their </w:t>
      </w:r>
      <w:r>
        <w:rPr>
          <w:lang w:eastAsia="ja-JP"/>
        </w:rPr>
        <w:t xml:space="preserve">final (or absolute) </w:t>
      </w:r>
      <w:r w:rsidR="00B17E2D">
        <w:rPr>
          <w:lang w:eastAsia="ja-JP"/>
        </w:rPr>
        <w:t>PASI score</w:t>
      </w:r>
      <w:r>
        <w:rPr>
          <w:lang w:eastAsia="ja-JP"/>
        </w:rPr>
        <w:t>s</w:t>
      </w:r>
      <w:r w:rsidR="00B17E2D">
        <w:rPr>
          <w:lang w:eastAsia="ja-JP"/>
        </w:rPr>
        <w:t xml:space="preserve"> </w:t>
      </w:r>
      <w:r>
        <w:rPr>
          <w:lang w:eastAsia="ja-JP"/>
        </w:rPr>
        <w:t>recorded at Baseline.</w:t>
      </w:r>
    </w:p>
    <w:p w14:paraId="7AB01314" w14:textId="7F760736" w:rsidR="001D0D58" w:rsidRDefault="001D0D58" w:rsidP="00F230D7">
      <w:pPr>
        <w:rPr>
          <w:lang w:eastAsia="ja-JP"/>
        </w:rPr>
      </w:pPr>
      <w:r>
        <w:rPr>
          <w:lang w:eastAsia="ja-JP"/>
        </w:rPr>
        <w:t xml:space="preserve">Other </w:t>
      </w:r>
      <w:r w:rsidR="00F230D7">
        <w:rPr>
          <w:lang w:eastAsia="ja-JP"/>
        </w:rPr>
        <w:t xml:space="preserve">PASI </w:t>
      </w:r>
      <w:r>
        <w:rPr>
          <w:lang w:eastAsia="ja-JP"/>
        </w:rPr>
        <w:t xml:space="preserve">responses exist, for example PASI 50, PASI 90 and PASI 100 responses represent either an </w:t>
      </w:r>
      <w:proofErr w:type="spellStart"/>
      <w:proofErr w:type="gramStart"/>
      <w:r>
        <w:rPr>
          <w:lang w:eastAsia="ja-JP"/>
        </w:rPr>
        <w:t>individuals</w:t>
      </w:r>
      <w:proofErr w:type="spellEnd"/>
      <w:proofErr w:type="gramEnd"/>
      <w:r>
        <w:rPr>
          <w:lang w:eastAsia="ja-JP"/>
        </w:rPr>
        <w:t xml:space="preserve"> response of 50, 90, and 100% response rate compared to absolute PASI score at Baseline. </w:t>
      </w:r>
    </w:p>
    <w:p w14:paraId="4D1245A8" w14:textId="77777777" w:rsidR="001D0D58" w:rsidRDefault="001D0D58" w:rsidP="00F230D7">
      <w:pPr>
        <w:rPr>
          <w:lang w:eastAsia="ja-JP"/>
        </w:rPr>
      </w:pPr>
      <w:r>
        <w:rPr>
          <w:lang w:eastAsia="ja-JP"/>
        </w:rPr>
        <w:t>This can also be represented in clinical trials as</w:t>
      </w:r>
      <w:r w:rsidR="00F230D7">
        <w:rPr>
          <w:lang w:eastAsia="ja-JP"/>
        </w:rPr>
        <w:t xml:space="preserve"> the percentage (or number) of</w:t>
      </w:r>
      <w:r>
        <w:rPr>
          <w:lang w:eastAsia="ja-JP"/>
        </w:rPr>
        <w:t xml:space="preserve"> patients who have achieved a 50, 90, or 100% </w:t>
      </w:r>
      <w:r w:rsidR="00F230D7">
        <w:rPr>
          <w:lang w:eastAsia="ja-JP"/>
        </w:rPr>
        <w:t>reduction in their</w:t>
      </w:r>
      <w:r>
        <w:rPr>
          <w:lang w:eastAsia="ja-JP"/>
        </w:rPr>
        <w:t xml:space="preserve"> absolute</w:t>
      </w:r>
      <w:r w:rsidR="00F230D7">
        <w:rPr>
          <w:lang w:eastAsia="ja-JP"/>
        </w:rPr>
        <w:t xml:space="preserve"> PASI score </w:t>
      </w:r>
      <w:r>
        <w:rPr>
          <w:lang w:eastAsia="ja-JP"/>
        </w:rPr>
        <w:t>at Baseline.</w:t>
      </w:r>
    </w:p>
    <w:p w14:paraId="574DA06D" w14:textId="77777777" w:rsidR="001D0D58" w:rsidRDefault="00F230D7" w:rsidP="00F230D7">
      <w:pPr>
        <w:rPr>
          <w:lang w:eastAsia="ja-JP"/>
        </w:rPr>
      </w:pPr>
      <w:r>
        <w:rPr>
          <w:lang w:eastAsia="ja-JP"/>
        </w:rPr>
        <w:t>PASI 100 indicates patients who have achieved a comp</w:t>
      </w:r>
      <w:r w:rsidR="001D0D58">
        <w:rPr>
          <w:lang w:eastAsia="ja-JP"/>
        </w:rPr>
        <w:t>lete resolution of all disease.</w:t>
      </w:r>
    </w:p>
    <w:p w14:paraId="367258C8" w14:textId="683AE0F1" w:rsidR="00485284" w:rsidRDefault="00F230D7">
      <w:pPr>
        <w:rPr>
          <w:lang w:eastAsia="ja-JP"/>
        </w:rPr>
      </w:pPr>
      <w:proofErr w:type="gramStart"/>
      <w:r>
        <w:rPr>
          <w:lang w:eastAsia="ja-JP"/>
        </w:rPr>
        <w:t>By definition a</w:t>
      </w:r>
      <w:proofErr w:type="gramEnd"/>
      <w:r>
        <w:rPr>
          <w:lang w:eastAsia="ja-JP"/>
        </w:rPr>
        <w:t xml:space="preserve"> patient who has achieved PASI 75 has also achieved PASI 50. There is a gradual tendency, as therapies become more effective to report higher efficacy rates in clinical trials</w:t>
      </w:r>
      <w:r w:rsidR="001D0D58">
        <w:rPr>
          <w:lang w:eastAsia="ja-JP"/>
        </w:rPr>
        <w:t>.</w:t>
      </w:r>
    </w:p>
    <w:p w14:paraId="4DF67F3E" w14:textId="4AF19069" w:rsidR="0064278B" w:rsidRDefault="005960C5" w:rsidP="006E7089">
      <w:pPr>
        <w:pStyle w:val="Heading5"/>
        <w:rPr>
          <w:lang w:eastAsia="ja-JP"/>
        </w:rPr>
      </w:pPr>
      <w:bookmarkStart w:id="82" w:name="_Ref130196355"/>
      <w:r>
        <w:rPr>
          <w:lang w:eastAsia="ja-JP"/>
        </w:rPr>
        <w:t>I</w:t>
      </w:r>
      <w:r w:rsidRPr="0064278B">
        <w:rPr>
          <w:lang w:eastAsia="ja-JP"/>
        </w:rPr>
        <w:t>nvestigator’s Global Assessment</w:t>
      </w:r>
      <w:bookmarkEnd w:id="82"/>
      <w:r w:rsidR="00544B9F">
        <w:rPr>
          <w:lang w:eastAsia="ja-JP"/>
        </w:rPr>
        <w:t xml:space="preserve"> (IGA)</w:t>
      </w:r>
    </w:p>
    <w:p w14:paraId="10D36899" w14:textId="5AE90407" w:rsidR="0064278B" w:rsidRDefault="0064278B" w:rsidP="0064278B">
      <w:pPr>
        <w:rPr>
          <w:lang w:eastAsia="ja-JP"/>
        </w:rPr>
      </w:pPr>
      <w:r w:rsidRPr="0064278B">
        <w:rPr>
          <w:lang w:eastAsia="ja-JP"/>
        </w:rPr>
        <w:t>Investigator’s Global Assessment Scale</w:t>
      </w:r>
      <w:r w:rsidR="005960C5">
        <w:rPr>
          <w:lang w:eastAsia="ja-JP"/>
        </w:rPr>
        <w:t xml:space="preserve"> or </w:t>
      </w:r>
      <w:r w:rsidR="005960C5" w:rsidRPr="0064278B">
        <w:rPr>
          <w:lang w:eastAsia="ja-JP"/>
        </w:rPr>
        <w:t xml:space="preserve">Physician’s Global Assessment </w:t>
      </w:r>
      <w:r w:rsidR="005960C5">
        <w:rPr>
          <w:lang w:eastAsia="ja-JP"/>
        </w:rPr>
        <w:t>(</w:t>
      </w:r>
      <w:r w:rsidR="005960C5" w:rsidRPr="0064278B">
        <w:rPr>
          <w:lang w:eastAsia="ja-JP"/>
        </w:rPr>
        <w:t>PGA</w:t>
      </w:r>
      <w:r w:rsidR="005960C5">
        <w:rPr>
          <w:lang w:eastAsia="ja-JP"/>
        </w:rPr>
        <w:t>)</w:t>
      </w:r>
      <w:r w:rsidRPr="0064278B">
        <w:rPr>
          <w:lang w:eastAsia="ja-JP"/>
        </w:rPr>
        <w:t xml:space="preserve"> </w:t>
      </w:r>
      <w:r>
        <w:rPr>
          <w:lang w:eastAsia="ja-JP"/>
        </w:rPr>
        <w:t>that is</w:t>
      </w:r>
      <w:r w:rsidRPr="0064278B">
        <w:rPr>
          <w:lang w:eastAsia="ja-JP"/>
        </w:rPr>
        <w:t xml:space="preserve"> PGA-IGA Scale is a global assessment tool for psoriasis.</w:t>
      </w:r>
      <w:r>
        <w:rPr>
          <w:lang w:eastAsia="ja-JP"/>
        </w:rPr>
        <w:t xml:space="preserve"> </w:t>
      </w:r>
      <w:r w:rsidRPr="0064278B">
        <w:rPr>
          <w:lang w:eastAsia="ja-JP"/>
        </w:rPr>
        <w:t xml:space="preserve">The </w:t>
      </w:r>
      <w:r w:rsidR="00544B9F">
        <w:rPr>
          <w:lang w:eastAsia="ja-JP"/>
        </w:rPr>
        <w:t>sponsor</w:t>
      </w:r>
      <w:r w:rsidR="00544B9F" w:rsidRPr="0064278B">
        <w:rPr>
          <w:lang w:eastAsia="ja-JP"/>
        </w:rPr>
        <w:t xml:space="preserve"> </w:t>
      </w:r>
      <w:r w:rsidRPr="0064278B">
        <w:rPr>
          <w:lang w:eastAsia="ja-JP"/>
        </w:rPr>
        <w:t>used a five-point static scale in the developmental programme</w:t>
      </w:r>
      <w:r w:rsidR="005960C5">
        <w:rPr>
          <w:lang w:eastAsia="ja-JP"/>
        </w:rPr>
        <w:t xml:space="preserve"> (see </w:t>
      </w:r>
      <w:r w:rsidR="005960C5">
        <w:rPr>
          <w:lang w:eastAsia="ja-JP"/>
        </w:rPr>
        <w:fldChar w:fldCharType="begin"/>
      </w:r>
      <w:r w:rsidR="005960C5">
        <w:rPr>
          <w:lang w:eastAsia="ja-JP"/>
        </w:rPr>
        <w:instrText xml:space="preserve"> REF _Ref129872536 \h </w:instrText>
      </w:r>
      <w:r w:rsidR="005960C5">
        <w:rPr>
          <w:lang w:eastAsia="ja-JP"/>
        </w:rPr>
      </w:r>
      <w:r w:rsidR="005960C5">
        <w:rPr>
          <w:lang w:eastAsia="ja-JP"/>
        </w:rPr>
        <w:fldChar w:fldCharType="separate"/>
      </w:r>
      <w:r w:rsidR="00B54079" w:rsidRPr="005960C5">
        <w:t xml:space="preserve">Table </w:t>
      </w:r>
      <w:r w:rsidR="00B54079">
        <w:rPr>
          <w:noProof/>
        </w:rPr>
        <w:t>13</w:t>
      </w:r>
      <w:r w:rsidR="005960C5">
        <w:rPr>
          <w:lang w:eastAsia="ja-JP"/>
        </w:rPr>
        <w:fldChar w:fldCharType="end"/>
      </w:r>
      <w:r w:rsidR="00544B9F">
        <w:rPr>
          <w:lang w:eastAsia="ja-JP"/>
        </w:rPr>
        <w:t>, below</w:t>
      </w:r>
      <w:r w:rsidR="005960C5">
        <w:rPr>
          <w:lang w:eastAsia="ja-JP"/>
        </w:rPr>
        <w:t>)</w:t>
      </w:r>
      <w:r w:rsidR="00544B9F">
        <w:rPr>
          <w:lang w:eastAsia="ja-JP"/>
        </w:rPr>
        <w:t>.</w:t>
      </w:r>
    </w:p>
    <w:p w14:paraId="3235B387" w14:textId="2FACF3D2" w:rsidR="005960C5" w:rsidRDefault="005960C5" w:rsidP="005960C5">
      <w:pPr>
        <w:pStyle w:val="TableTitle"/>
        <w:rPr>
          <w:lang w:eastAsia="ja-JP"/>
        </w:rPr>
      </w:pPr>
      <w:bookmarkStart w:id="83" w:name="_Ref129872536"/>
      <w:r w:rsidRPr="005960C5">
        <w:t xml:space="preserve">Table </w:t>
      </w:r>
      <w:r w:rsidR="00172397">
        <w:fldChar w:fldCharType="begin"/>
      </w:r>
      <w:r w:rsidR="00172397">
        <w:instrText xml:space="preserve"> SEQ Table \* ARABIC </w:instrText>
      </w:r>
      <w:r w:rsidR="00172397">
        <w:fldChar w:fldCharType="separate"/>
      </w:r>
      <w:r w:rsidR="00B54079">
        <w:rPr>
          <w:noProof/>
        </w:rPr>
        <w:t>13</w:t>
      </w:r>
      <w:r w:rsidR="00172397">
        <w:rPr>
          <w:noProof/>
        </w:rPr>
        <w:fldChar w:fldCharType="end"/>
      </w:r>
      <w:bookmarkEnd w:id="83"/>
      <w:r>
        <w:t xml:space="preserve">: </w:t>
      </w:r>
      <w:r w:rsidRPr="0064278B">
        <w:rPr>
          <w:lang w:eastAsia="ja-JP"/>
        </w:rPr>
        <w:t>Investigator’s Global Assessment</w:t>
      </w:r>
      <w:r>
        <w:rPr>
          <w:lang w:eastAsia="ja-JP"/>
        </w:rPr>
        <w:t xml:space="preserve"> </w:t>
      </w:r>
      <w:r w:rsidR="00332039">
        <w:rPr>
          <w:lang w:eastAsia="ja-JP"/>
        </w:rPr>
        <w:t>s</w:t>
      </w:r>
      <w:r>
        <w:rPr>
          <w:lang w:eastAsia="ja-JP"/>
        </w:rPr>
        <w:t>cale</w:t>
      </w:r>
    </w:p>
    <w:tbl>
      <w:tblPr>
        <w:tblStyle w:val="TableTGAblack"/>
        <w:tblW w:w="5000" w:type="pct"/>
        <w:tblLook w:val="0000" w:firstRow="0" w:lastRow="0" w:firstColumn="0" w:lastColumn="0" w:noHBand="0" w:noVBand="0"/>
      </w:tblPr>
      <w:tblGrid>
        <w:gridCol w:w="2246"/>
        <w:gridCol w:w="2747"/>
        <w:gridCol w:w="3501"/>
      </w:tblGrid>
      <w:tr w:rsidR="0064278B" w14:paraId="5FA309A3" w14:textId="77777777" w:rsidTr="006E7089">
        <w:trPr>
          <w:trHeight w:hRule="exact" w:val="697"/>
        </w:trPr>
        <w:tc>
          <w:tcPr>
            <w:tcW w:w="0" w:type="pct"/>
            <w:vAlign w:val="bottom"/>
          </w:tcPr>
          <w:p w14:paraId="708F5C1B" w14:textId="74F628F9" w:rsidR="0064278B" w:rsidRPr="006E7089" w:rsidRDefault="0064278B" w:rsidP="006E7089">
            <w:pPr>
              <w:rPr>
                <w:b/>
              </w:rPr>
            </w:pPr>
            <w:r w:rsidRPr="006E7089">
              <w:rPr>
                <w:b/>
                <w:szCs w:val="22"/>
                <w:lang w:eastAsia="en-US"/>
              </w:rPr>
              <w:t>Score</w:t>
            </w:r>
          </w:p>
        </w:tc>
        <w:tc>
          <w:tcPr>
            <w:tcW w:w="0" w:type="pct"/>
            <w:vAlign w:val="bottom"/>
          </w:tcPr>
          <w:p w14:paraId="46CD6EA5" w14:textId="183CD547" w:rsidR="0064278B" w:rsidRPr="006E7089" w:rsidRDefault="0064278B" w:rsidP="006E7089">
            <w:pPr>
              <w:rPr>
                <w:b/>
              </w:rPr>
            </w:pPr>
            <w:r w:rsidRPr="006E7089">
              <w:rPr>
                <w:b/>
                <w:szCs w:val="22"/>
                <w:lang w:eastAsia="en-US"/>
              </w:rPr>
              <w:t xml:space="preserve">Short </w:t>
            </w:r>
            <w:r w:rsidR="00544B9F" w:rsidRPr="006E7089">
              <w:rPr>
                <w:b/>
                <w:szCs w:val="22"/>
                <w:lang w:eastAsia="en-US"/>
              </w:rPr>
              <w:t>d</w:t>
            </w:r>
            <w:r w:rsidRPr="006E7089">
              <w:rPr>
                <w:b/>
                <w:szCs w:val="22"/>
                <w:lang w:eastAsia="en-US"/>
              </w:rPr>
              <w:t xml:space="preserve">escriptor </w:t>
            </w:r>
          </w:p>
        </w:tc>
        <w:tc>
          <w:tcPr>
            <w:tcW w:w="0" w:type="pct"/>
            <w:vAlign w:val="bottom"/>
          </w:tcPr>
          <w:p w14:paraId="521A8D14" w14:textId="70CEC2FB" w:rsidR="0064278B" w:rsidRPr="006E7089" w:rsidRDefault="0064278B" w:rsidP="006E7089">
            <w:pPr>
              <w:rPr>
                <w:b/>
              </w:rPr>
            </w:pPr>
            <w:r w:rsidRPr="006E7089">
              <w:rPr>
                <w:b/>
                <w:szCs w:val="22"/>
                <w:lang w:eastAsia="en-US"/>
              </w:rPr>
              <w:t xml:space="preserve">Detailed </w:t>
            </w:r>
            <w:r w:rsidR="00544B9F" w:rsidRPr="006E7089">
              <w:rPr>
                <w:b/>
                <w:szCs w:val="22"/>
                <w:lang w:eastAsia="en-US"/>
              </w:rPr>
              <w:t>d</w:t>
            </w:r>
            <w:r w:rsidRPr="006E7089">
              <w:rPr>
                <w:b/>
                <w:szCs w:val="22"/>
                <w:lang w:eastAsia="en-US"/>
              </w:rPr>
              <w:t xml:space="preserve">escriptor </w:t>
            </w:r>
          </w:p>
        </w:tc>
      </w:tr>
      <w:tr w:rsidR="0064278B" w14:paraId="3C9FE30B" w14:textId="77777777" w:rsidTr="006E7089">
        <w:trPr>
          <w:trHeight w:val="684"/>
        </w:trPr>
        <w:tc>
          <w:tcPr>
            <w:tcW w:w="0" w:type="pct"/>
          </w:tcPr>
          <w:p w14:paraId="0CB59619" w14:textId="228ECDF2" w:rsidR="0064278B" w:rsidRPr="006E7089" w:rsidRDefault="0064278B" w:rsidP="006E7089">
            <w:pPr>
              <w:jc w:val="center"/>
            </w:pPr>
            <w:r w:rsidRPr="006E7089">
              <w:rPr>
                <w:szCs w:val="22"/>
                <w:lang w:eastAsia="en-US"/>
              </w:rPr>
              <w:t>0</w:t>
            </w:r>
          </w:p>
        </w:tc>
        <w:tc>
          <w:tcPr>
            <w:tcW w:w="0" w:type="pct"/>
          </w:tcPr>
          <w:p w14:paraId="2D4BF56E" w14:textId="77777777" w:rsidR="0064278B" w:rsidRPr="006E7089" w:rsidRDefault="0064278B" w:rsidP="006E7089">
            <w:r w:rsidRPr="006E7089">
              <w:rPr>
                <w:szCs w:val="22"/>
                <w:lang w:eastAsia="en-US"/>
              </w:rPr>
              <w:t xml:space="preserve">Clear </w:t>
            </w:r>
          </w:p>
        </w:tc>
        <w:tc>
          <w:tcPr>
            <w:tcW w:w="0" w:type="pct"/>
          </w:tcPr>
          <w:p w14:paraId="56134737" w14:textId="36D92F12" w:rsidR="0064278B" w:rsidRPr="006E7089" w:rsidRDefault="0064278B" w:rsidP="006E7089">
            <w:r w:rsidRPr="006E7089">
              <w:rPr>
                <w:szCs w:val="22"/>
                <w:lang w:eastAsia="en-US"/>
              </w:rPr>
              <w:t xml:space="preserve">No signs of Psoriasis; post inflammatory hyperpigmentation may have been present </w:t>
            </w:r>
          </w:p>
        </w:tc>
      </w:tr>
      <w:tr w:rsidR="0064278B" w14:paraId="456F8B82" w14:textId="77777777" w:rsidTr="006E7089">
        <w:trPr>
          <w:trHeight w:val="633"/>
        </w:trPr>
        <w:tc>
          <w:tcPr>
            <w:tcW w:w="0" w:type="pct"/>
          </w:tcPr>
          <w:p w14:paraId="163E7D46" w14:textId="5B7F8F8F" w:rsidR="0064278B" w:rsidRPr="006E7089" w:rsidRDefault="0064278B" w:rsidP="006E7089">
            <w:pPr>
              <w:jc w:val="center"/>
            </w:pPr>
            <w:r w:rsidRPr="006E7089">
              <w:rPr>
                <w:szCs w:val="22"/>
                <w:lang w:eastAsia="en-US"/>
              </w:rPr>
              <w:t>1</w:t>
            </w:r>
          </w:p>
        </w:tc>
        <w:tc>
          <w:tcPr>
            <w:tcW w:w="0" w:type="pct"/>
          </w:tcPr>
          <w:p w14:paraId="7658B5C7" w14:textId="77777777" w:rsidR="0064278B" w:rsidRPr="006E7089" w:rsidRDefault="0064278B" w:rsidP="006E7089">
            <w:r w:rsidRPr="006E7089">
              <w:rPr>
                <w:szCs w:val="22"/>
                <w:lang w:eastAsia="en-US"/>
              </w:rPr>
              <w:t xml:space="preserve">Almost clear </w:t>
            </w:r>
          </w:p>
        </w:tc>
        <w:tc>
          <w:tcPr>
            <w:tcW w:w="0" w:type="pct"/>
          </w:tcPr>
          <w:p w14:paraId="44427AD8" w14:textId="03DB910F" w:rsidR="0064278B" w:rsidRPr="006E7089" w:rsidRDefault="0064278B" w:rsidP="006E7089">
            <w:r w:rsidRPr="006E7089">
              <w:rPr>
                <w:szCs w:val="22"/>
                <w:lang w:eastAsia="en-US"/>
              </w:rPr>
              <w:t xml:space="preserve">No thickening; normal to pink coloration; no to minimal focal scaling </w:t>
            </w:r>
          </w:p>
        </w:tc>
      </w:tr>
      <w:tr w:rsidR="0064278B" w14:paraId="500E20F2" w14:textId="77777777" w:rsidTr="006E7089">
        <w:trPr>
          <w:trHeight w:val="643"/>
        </w:trPr>
        <w:tc>
          <w:tcPr>
            <w:tcW w:w="0" w:type="pct"/>
          </w:tcPr>
          <w:p w14:paraId="77457565" w14:textId="47B34833" w:rsidR="0064278B" w:rsidRPr="006E7089" w:rsidRDefault="0064278B" w:rsidP="006E7089">
            <w:pPr>
              <w:jc w:val="center"/>
            </w:pPr>
            <w:r w:rsidRPr="006E7089">
              <w:rPr>
                <w:szCs w:val="22"/>
                <w:lang w:eastAsia="en-US"/>
              </w:rPr>
              <w:t>2</w:t>
            </w:r>
          </w:p>
        </w:tc>
        <w:tc>
          <w:tcPr>
            <w:tcW w:w="0" w:type="pct"/>
          </w:tcPr>
          <w:p w14:paraId="3EB598A8" w14:textId="77777777" w:rsidR="0064278B" w:rsidRPr="006E7089" w:rsidRDefault="0064278B" w:rsidP="006E7089">
            <w:r w:rsidRPr="006E7089">
              <w:rPr>
                <w:szCs w:val="22"/>
                <w:lang w:eastAsia="en-US"/>
              </w:rPr>
              <w:t xml:space="preserve">Mild </w:t>
            </w:r>
          </w:p>
        </w:tc>
        <w:tc>
          <w:tcPr>
            <w:tcW w:w="0" w:type="pct"/>
          </w:tcPr>
          <w:p w14:paraId="57AE2D56" w14:textId="51404FB4" w:rsidR="0064278B" w:rsidRPr="006E7089" w:rsidRDefault="0064278B" w:rsidP="006E7089">
            <w:r w:rsidRPr="006E7089">
              <w:rPr>
                <w:szCs w:val="22"/>
                <w:lang w:eastAsia="en-US"/>
              </w:rPr>
              <w:t xml:space="preserve">Just detectable to mild thickening; pink to light red </w:t>
            </w:r>
            <w:r w:rsidRPr="006E7089">
              <w:rPr>
                <w:szCs w:val="22"/>
                <w:lang w:eastAsia="en-US"/>
              </w:rPr>
              <w:lastRenderedPageBreak/>
              <w:t xml:space="preserve">coloration; predominately fine scaling </w:t>
            </w:r>
          </w:p>
        </w:tc>
      </w:tr>
      <w:tr w:rsidR="0064278B" w14:paraId="2868B567" w14:textId="77777777" w:rsidTr="006E7089">
        <w:trPr>
          <w:trHeight w:val="634"/>
        </w:trPr>
        <w:tc>
          <w:tcPr>
            <w:tcW w:w="0" w:type="pct"/>
          </w:tcPr>
          <w:p w14:paraId="20DC2413" w14:textId="43E5B1E8" w:rsidR="0064278B" w:rsidRPr="006E7089" w:rsidRDefault="0064278B" w:rsidP="006E7089">
            <w:pPr>
              <w:jc w:val="center"/>
            </w:pPr>
            <w:r w:rsidRPr="006E7089">
              <w:rPr>
                <w:szCs w:val="22"/>
                <w:lang w:eastAsia="en-US"/>
              </w:rPr>
              <w:lastRenderedPageBreak/>
              <w:t>3</w:t>
            </w:r>
          </w:p>
        </w:tc>
        <w:tc>
          <w:tcPr>
            <w:tcW w:w="0" w:type="pct"/>
          </w:tcPr>
          <w:p w14:paraId="3860AFE4" w14:textId="77777777" w:rsidR="0064278B" w:rsidRPr="006E7089" w:rsidRDefault="0064278B" w:rsidP="006E7089">
            <w:r w:rsidRPr="006E7089">
              <w:rPr>
                <w:szCs w:val="22"/>
                <w:lang w:eastAsia="en-US"/>
              </w:rPr>
              <w:t xml:space="preserve">Moderate </w:t>
            </w:r>
          </w:p>
        </w:tc>
        <w:tc>
          <w:tcPr>
            <w:tcW w:w="0" w:type="pct"/>
          </w:tcPr>
          <w:p w14:paraId="70488023" w14:textId="24FEA76C" w:rsidR="0064278B" w:rsidRPr="006E7089" w:rsidRDefault="0064278B" w:rsidP="006E7089">
            <w:r w:rsidRPr="006E7089">
              <w:rPr>
                <w:szCs w:val="22"/>
                <w:lang w:eastAsia="en-US"/>
              </w:rPr>
              <w:t xml:space="preserve">Clearly distinguishable to moderate thickening; dull to bright red; moderate scaling </w:t>
            </w:r>
          </w:p>
        </w:tc>
      </w:tr>
      <w:tr w:rsidR="0064278B" w14:paraId="42E18285" w14:textId="77777777" w:rsidTr="006E7089">
        <w:trPr>
          <w:trHeight w:val="629"/>
        </w:trPr>
        <w:tc>
          <w:tcPr>
            <w:tcW w:w="0" w:type="pct"/>
          </w:tcPr>
          <w:p w14:paraId="592B9273" w14:textId="5DE6E1E7" w:rsidR="0064278B" w:rsidRPr="006E7089" w:rsidRDefault="0064278B" w:rsidP="006E7089">
            <w:pPr>
              <w:jc w:val="center"/>
            </w:pPr>
            <w:r w:rsidRPr="006E7089">
              <w:rPr>
                <w:szCs w:val="22"/>
                <w:lang w:eastAsia="en-US"/>
              </w:rPr>
              <w:t>4</w:t>
            </w:r>
          </w:p>
        </w:tc>
        <w:tc>
          <w:tcPr>
            <w:tcW w:w="0" w:type="pct"/>
          </w:tcPr>
          <w:p w14:paraId="779E1DE4" w14:textId="77777777" w:rsidR="0064278B" w:rsidRPr="006E7089" w:rsidRDefault="0064278B" w:rsidP="006E7089">
            <w:r w:rsidRPr="006E7089">
              <w:rPr>
                <w:szCs w:val="22"/>
                <w:lang w:eastAsia="en-US"/>
              </w:rPr>
              <w:t xml:space="preserve">Severe </w:t>
            </w:r>
          </w:p>
        </w:tc>
        <w:tc>
          <w:tcPr>
            <w:tcW w:w="0" w:type="pct"/>
          </w:tcPr>
          <w:p w14:paraId="07EDA50C" w14:textId="471B0E3F" w:rsidR="0064278B" w:rsidRPr="006E7089" w:rsidRDefault="0064278B" w:rsidP="006E7089">
            <w:r w:rsidRPr="006E7089">
              <w:rPr>
                <w:szCs w:val="22"/>
                <w:lang w:eastAsia="en-US"/>
              </w:rPr>
              <w:t xml:space="preserve">Severe thickening with hard edges; bright to deep dark red coloration; severe/coarse scaling covering almost all or all lesions </w:t>
            </w:r>
          </w:p>
        </w:tc>
      </w:tr>
    </w:tbl>
    <w:p w14:paraId="2B622E1A" w14:textId="4D096E7E" w:rsidR="0064278B" w:rsidRDefault="0064278B" w:rsidP="0064278B">
      <w:r w:rsidRPr="0064278B">
        <w:t xml:space="preserve">A static IGA for scalp </w:t>
      </w:r>
      <w:r>
        <w:t>p</w:t>
      </w:r>
      <w:r w:rsidRPr="0064278B">
        <w:t>soriasis (scalp IGA) was used to assess disease severity on the scalp. Only study participants with scalp involvement at Baseline completed the scalp IGA.</w:t>
      </w:r>
    </w:p>
    <w:p w14:paraId="7DE0B668" w14:textId="04C5C548" w:rsidR="0064278B" w:rsidRDefault="0064278B" w:rsidP="0064278B">
      <w:r w:rsidRPr="0064278B">
        <w:t>Scalp lesions were assessed in terms of clinical signs of redness, thickness, and scaliness using a 5-point scale</w:t>
      </w:r>
      <w:r w:rsidR="005960C5">
        <w:t xml:space="preserve"> (see </w:t>
      </w:r>
      <w:r w:rsidR="005960C5">
        <w:fldChar w:fldCharType="begin"/>
      </w:r>
      <w:r w:rsidR="005960C5">
        <w:instrText xml:space="preserve"> REF _Ref129872583 \h </w:instrText>
      </w:r>
      <w:r w:rsidR="005960C5">
        <w:fldChar w:fldCharType="separate"/>
      </w:r>
      <w:r w:rsidR="00B54079" w:rsidRPr="005960C5">
        <w:t xml:space="preserve">Table </w:t>
      </w:r>
      <w:r w:rsidR="00B54079">
        <w:rPr>
          <w:noProof/>
        </w:rPr>
        <w:t>14</w:t>
      </w:r>
      <w:r w:rsidR="005960C5">
        <w:fldChar w:fldCharType="end"/>
      </w:r>
      <w:r w:rsidR="005960C5">
        <w:t>)</w:t>
      </w:r>
      <w:r w:rsidRPr="0064278B">
        <w:t>.</w:t>
      </w:r>
    </w:p>
    <w:p w14:paraId="6B55011D" w14:textId="0DC7DC8D" w:rsidR="0064278B" w:rsidRDefault="0064278B">
      <w:pPr>
        <w:pStyle w:val="TableTitle"/>
      </w:pPr>
      <w:bookmarkStart w:id="84" w:name="_Ref129872583"/>
      <w:r w:rsidRPr="005960C5">
        <w:t xml:space="preserve">Table </w:t>
      </w:r>
      <w:r w:rsidR="00172397">
        <w:fldChar w:fldCharType="begin"/>
      </w:r>
      <w:r w:rsidR="00172397">
        <w:instrText xml:space="preserve"> SEQ Table \* ARABIC </w:instrText>
      </w:r>
      <w:r w:rsidR="00172397">
        <w:fldChar w:fldCharType="separate"/>
      </w:r>
      <w:r w:rsidR="00B54079">
        <w:rPr>
          <w:noProof/>
        </w:rPr>
        <w:t>14</w:t>
      </w:r>
      <w:r w:rsidR="00172397">
        <w:rPr>
          <w:noProof/>
        </w:rPr>
        <w:fldChar w:fldCharType="end"/>
      </w:r>
      <w:bookmarkEnd w:id="84"/>
      <w:r>
        <w:t>:</w:t>
      </w:r>
      <w:r w:rsidR="005960C5">
        <w:t xml:space="preserve"> </w:t>
      </w:r>
      <w:r w:rsidR="005960C5" w:rsidRPr="0064278B">
        <w:rPr>
          <w:lang w:eastAsia="ja-JP"/>
        </w:rPr>
        <w:t>Investigator’s Global Assessment</w:t>
      </w:r>
      <w:r w:rsidR="005960C5">
        <w:rPr>
          <w:lang w:eastAsia="ja-JP"/>
        </w:rPr>
        <w:t xml:space="preserve"> </w:t>
      </w:r>
      <w:r w:rsidR="005960C5" w:rsidRPr="0064278B">
        <w:t xml:space="preserve">for scalp </w:t>
      </w:r>
      <w:r w:rsidR="005960C5">
        <w:t>p</w:t>
      </w:r>
      <w:r w:rsidR="005960C5" w:rsidRPr="0064278B">
        <w:t>soriasis</w:t>
      </w:r>
    </w:p>
    <w:tbl>
      <w:tblPr>
        <w:tblStyle w:val="TableTGAblack"/>
        <w:tblW w:w="5000" w:type="pct"/>
        <w:tblLook w:val="0000" w:firstRow="0" w:lastRow="0" w:firstColumn="0" w:lastColumn="0" w:noHBand="0" w:noVBand="0"/>
      </w:tblPr>
      <w:tblGrid>
        <w:gridCol w:w="1116"/>
        <w:gridCol w:w="1618"/>
        <w:gridCol w:w="5760"/>
      </w:tblGrid>
      <w:tr w:rsidR="00544B9F" w:rsidRPr="00544B9F" w14:paraId="47347222" w14:textId="77777777" w:rsidTr="006E7089">
        <w:trPr>
          <w:trHeight w:hRule="exact" w:val="724"/>
        </w:trPr>
        <w:tc>
          <w:tcPr>
            <w:tcW w:w="0" w:type="pct"/>
            <w:vAlign w:val="bottom"/>
          </w:tcPr>
          <w:p w14:paraId="79BECD87" w14:textId="0125C6AA" w:rsidR="0064278B" w:rsidRPr="006E7089" w:rsidRDefault="0064278B" w:rsidP="006E7089">
            <w:pPr>
              <w:keepNext/>
              <w:rPr>
                <w:b/>
              </w:rPr>
            </w:pPr>
            <w:r w:rsidRPr="006E7089">
              <w:rPr>
                <w:b/>
                <w:szCs w:val="22"/>
                <w:lang w:eastAsia="en-US"/>
              </w:rPr>
              <w:t>Score</w:t>
            </w:r>
          </w:p>
        </w:tc>
        <w:tc>
          <w:tcPr>
            <w:tcW w:w="0" w:type="pct"/>
            <w:vAlign w:val="bottom"/>
          </w:tcPr>
          <w:p w14:paraId="27DFBFDC" w14:textId="316A61B0" w:rsidR="0064278B" w:rsidRPr="006E7089" w:rsidRDefault="0064278B" w:rsidP="006E7089">
            <w:pPr>
              <w:keepNext/>
              <w:rPr>
                <w:b/>
              </w:rPr>
            </w:pPr>
            <w:r w:rsidRPr="006E7089">
              <w:rPr>
                <w:b/>
                <w:szCs w:val="22"/>
                <w:lang w:eastAsia="en-US"/>
              </w:rPr>
              <w:t>Short</w:t>
            </w:r>
            <w:r w:rsidR="00544B9F">
              <w:rPr>
                <w:b/>
              </w:rPr>
              <w:t xml:space="preserve"> d</w:t>
            </w:r>
            <w:r w:rsidRPr="006E7089">
              <w:rPr>
                <w:b/>
                <w:szCs w:val="22"/>
                <w:lang w:eastAsia="en-US"/>
              </w:rPr>
              <w:t xml:space="preserve">escriptor </w:t>
            </w:r>
          </w:p>
        </w:tc>
        <w:tc>
          <w:tcPr>
            <w:tcW w:w="0" w:type="pct"/>
            <w:vAlign w:val="bottom"/>
          </w:tcPr>
          <w:p w14:paraId="4DD032AA" w14:textId="59327C2C" w:rsidR="0064278B" w:rsidRPr="006E7089" w:rsidRDefault="0064278B" w:rsidP="006E7089">
            <w:pPr>
              <w:keepNext/>
              <w:rPr>
                <w:b/>
              </w:rPr>
            </w:pPr>
            <w:r w:rsidRPr="006E7089">
              <w:rPr>
                <w:b/>
                <w:szCs w:val="22"/>
                <w:lang w:eastAsia="en-US"/>
              </w:rPr>
              <w:t xml:space="preserve">Detailed </w:t>
            </w:r>
            <w:r w:rsidR="00544B9F">
              <w:rPr>
                <w:b/>
              </w:rPr>
              <w:t>d</w:t>
            </w:r>
            <w:r w:rsidRPr="006E7089">
              <w:rPr>
                <w:b/>
                <w:szCs w:val="22"/>
                <w:lang w:eastAsia="en-US"/>
              </w:rPr>
              <w:t xml:space="preserve">escriptor </w:t>
            </w:r>
          </w:p>
        </w:tc>
      </w:tr>
      <w:tr w:rsidR="00544B9F" w:rsidRPr="00544B9F" w14:paraId="4236B027" w14:textId="77777777" w:rsidTr="00544B9F">
        <w:trPr>
          <w:trHeight w:val="866"/>
        </w:trPr>
        <w:tc>
          <w:tcPr>
            <w:tcW w:w="441" w:type="pct"/>
          </w:tcPr>
          <w:p w14:paraId="420B5C0A" w14:textId="7D53538F" w:rsidR="0064278B" w:rsidRPr="006E7089" w:rsidRDefault="0064278B" w:rsidP="006E7089">
            <w:pPr>
              <w:keepNext/>
              <w:jc w:val="center"/>
            </w:pPr>
            <w:r w:rsidRPr="006E7089">
              <w:rPr>
                <w:szCs w:val="22"/>
                <w:lang w:eastAsia="en-US"/>
              </w:rPr>
              <w:t>0</w:t>
            </w:r>
          </w:p>
        </w:tc>
        <w:tc>
          <w:tcPr>
            <w:tcW w:w="1042" w:type="pct"/>
          </w:tcPr>
          <w:p w14:paraId="48D6D5BB" w14:textId="7CFC7F61" w:rsidR="0064278B" w:rsidRPr="006E7089" w:rsidRDefault="0064278B" w:rsidP="006E7089">
            <w:pPr>
              <w:keepNext/>
            </w:pPr>
            <w:r w:rsidRPr="006E7089">
              <w:rPr>
                <w:szCs w:val="22"/>
                <w:lang w:eastAsia="en-US"/>
              </w:rPr>
              <w:t>Clear</w:t>
            </w:r>
          </w:p>
        </w:tc>
        <w:tc>
          <w:tcPr>
            <w:tcW w:w="3517" w:type="pct"/>
          </w:tcPr>
          <w:p w14:paraId="74D24890" w14:textId="00B98E56" w:rsidR="0064278B" w:rsidRPr="006E7089" w:rsidRDefault="0064278B" w:rsidP="006E7089">
            <w:pPr>
              <w:keepNext/>
            </w:pPr>
            <w:r w:rsidRPr="006E7089">
              <w:rPr>
                <w:szCs w:val="22"/>
                <w:lang w:eastAsia="en-US"/>
              </w:rPr>
              <w:t xml:space="preserve">Scalp had no signs of Psoriasis; post inflammatory hyperpigmentation may have been present </w:t>
            </w:r>
          </w:p>
        </w:tc>
      </w:tr>
      <w:tr w:rsidR="00544B9F" w:rsidRPr="00544B9F" w14:paraId="29A9F0B9" w14:textId="77777777" w:rsidTr="00544B9F">
        <w:trPr>
          <w:trHeight w:val="734"/>
        </w:trPr>
        <w:tc>
          <w:tcPr>
            <w:tcW w:w="441" w:type="pct"/>
          </w:tcPr>
          <w:p w14:paraId="6589FA62" w14:textId="3E99CBD7" w:rsidR="0064278B" w:rsidRPr="006E7089" w:rsidRDefault="0064278B" w:rsidP="006E7089">
            <w:pPr>
              <w:keepNext/>
              <w:jc w:val="center"/>
            </w:pPr>
            <w:r w:rsidRPr="006E7089">
              <w:rPr>
                <w:szCs w:val="22"/>
                <w:lang w:eastAsia="en-US"/>
              </w:rPr>
              <w:t>1</w:t>
            </w:r>
          </w:p>
        </w:tc>
        <w:tc>
          <w:tcPr>
            <w:tcW w:w="1042" w:type="pct"/>
          </w:tcPr>
          <w:p w14:paraId="79575D76" w14:textId="1BA18BEC" w:rsidR="0064278B" w:rsidRPr="006E7089" w:rsidRDefault="0064278B" w:rsidP="006E7089">
            <w:pPr>
              <w:keepNext/>
            </w:pPr>
            <w:r w:rsidRPr="006E7089">
              <w:rPr>
                <w:szCs w:val="22"/>
                <w:lang w:eastAsia="en-US"/>
              </w:rPr>
              <w:t>Almost clear</w:t>
            </w:r>
          </w:p>
        </w:tc>
        <w:tc>
          <w:tcPr>
            <w:tcW w:w="3517" w:type="pct"/>
          </w:tcPr>
          <w:p w14:paraId="27A96C3C" w14:textId="128CF890" w:rsidR="0064278B" w:rsidRPr="006E7089" w:rsidRDefault="0064278B" w:rsidP="006E7089">
            <w:pPr>
              <w:keepNext/>
            </w:pPr>
            <w:r w:rsidRPr="006E7089">
              <w:rPr>
                <w:szCs w:val="22"/>
                <w:lang w:eastAsia="en-US"/>
              </w:rPr>
              <w:t xml:space="preserve">Scalp had no thickening; normal to pink coloration; no to minimal focal scaling </w:t>
            </w:r>
          </w:p>
        </w:tc>
      </w:tr>
      <w:tr w:rsidR="00544B9F" w:rsidRPr="00544B9F" w14:paraId="22899B22" w14:textId="77777777" w:rsidTr="00544B9F">
        <w:trPr>
          <w:trHeight w:val="643"/>
        </w:trPr>
        <w:tc>
          <w:tcPr>
            <w:tcW w:w="441" w:type="pct"/>
          </w:tcPr>
          <w:p w14:paraId="36267666" w14:textId="38B37522" w:rsidR="0064278B" w:rsidRPr="006E7089" w:rsidRDefault="0064278B" w:rsidP="006E7089">
            <w:pPr>
              <w:keepNext/>
              <w:jc w:val="center"/>
            </w:pPr>
            <w:r w:rsidRPr="006E7089">
              <w:rPr>
                <w:szCs w:val="22"/>
                <w:lang w:eastAsia="en-US"/>
              </w:rPr>
              <w:t>2</w:t>
            </w:r>
          </w:p>
        </w:tc>
        <w:tc>
          <w:tcPr>
            <w:tcW w:w="1042" w:type="pct"/>
          </w:tcPr>
          <w:p w14:paraId="7C98EB63" w14:textId="37B109F2" w:rsidR="0064278B" w:rsidRPr="006E7089" w:rsidRDefault="0064278B" w:rsidP="006E7089">
            <w:pPr>
              <w:keepNext/>
            </w:pPr>
            <w:r w:rsidRPr="006E7089">
              <w:rPr>
                <w:szCs w:val="22"/>
                <w:lang w:eastAsia="en-US"/>
              </w:rPr>
              <w:t>Mild</w:t>
            </w:r>
          </w:p>
        </w:tc>
        <w:tc>
          <w:tcPr>
            <w:tcW w:w="3517" w:type="pct"/>
          </w:tcPr>
          <w:p w14:paraId="6FD521F8" w14:textId="77777777" w:rsidR="0064278B" w:rsidRPr="006E7089" w:rsidRDefault="0064278B" w:rsidP="006E7089">
            <w:pPr>
              <w:keepNext/>
            </w:pPr>
            <w:r w:rsidRPr="006E7089">
              <w:rPr>
                <w:szCs w:val="22"/>
                <w:lang w:eastAsia="en-US"/>
              </w:rPr>
              <w:t xml:space="preserve">Scalp had just detectable to mild thickening; pink to light red </w:t>
            </w:r>
          </w:p>
          <w:p w14:paraId="118B27FC" w14:textId="5E8515B0" w:rsidR="0064278B" w:rsidRPr="006E7089" w:rsidRDefault="0064278B" w:rsidP="006E7089">
            <w:pPr>
              <w:keepNext/>
            </w:pPr>
            <w:r w:rsidRPr="006E7089">
              <w:rPr>
                <w:szCs w:val="22"/>
                <w:lang w:eastAsia="en-US"/>
              </w:rPr>
              <w:t xml:space="preserve">coloration; predominately fine scaling </w:t>
            </w:r>
          </w:p>
        </w:tc>
      </w:tr>
      <w:tr w:rsidR="00544B9F" w:rsidRPr="00544B9F" w14:paraId="140224CD" w14:textId="77777777" w:rsidTr="00544B9F">
        <w:trPr>
          <w:trHeight w:val="643"/>
        </w:trPr>
        <w:tc>
          <w:tcPr>
            <w:tcW w:w="441" w:type="pct"/>
          </w:tcPr>
          <w:p w14:paraId="0B17512C" w14:textId="0A4AFD4D" w:rsidR="0064278B" w:rsidRPr="006E7089" w:rsidRDefault="0064278B" w:rsidP="006E7089">
            <w:pPr>
              <w:jc w:val="center"/>
            </w:pPr>
            <w:r w:rsidRPr="006E7089">
              <w:rPr>
                <w:szCs w:val="22"/>
                <w:lang w:eastAsia="en-US"/>
              </w:rPr>
              <w:t>3</w:t>
            </w:r>
          </w:p>
        </w:tc>
        <w:tc>
          <w:tcPr>
            <w:tcW w:w="1042" w:type="pct"/>
          </w:tcPr>
          <w:p w14:paraId="1891ACA0" w14:textId="62F0F901" w:rsidR="0064278B" w:rsidRPr="006E7089" w:rsidRDefault="0064278B" w:rsidP="006E7089">
            <w:r w:rsidRPr="006E7089">
              <w:rPr>
                <w:szCs w:val="22"/>
                <w:lang w:eastAsia="en-US"/>
              </w:rPr>
              <w:t>Moderate</w:t>
            </w:r>
          </w:p>
        </w:tc>
        <w:tc>
          <w:tcPr>
            <w:tcW w:w="3517" w:type="pct"/>
          </w:tcPr>
          <w:p w14:paraId="27982CF9" w14:textId="20EB1E6C" w:rsidR="0064278B" w:rsidRPr="006E7089" w:rsidRDefault="0064278B" w:rsidP="006E7089">
            <w:r w:rsidRPr="006E7089">
              <w:rPr>
                <w:szCs w:val="22"/>
                <w:lang w:eastAsia="en-US"/>
              </w:rPr>
              <w:t xml:space="preserve">Scalp had clearly distinguishable to moderate thickening; dull to bright red, moderate scaling </w:t>
            </w:r>
          </w:p>
        </w:tc>
      </w:tr>
      <w:tr w:rsidR="00544B9F" w:rsidRPr="00544B9F" w14:paraId="70DF0643" w14:textId="77777777" w:rsidTr="00544B9F">
        <w:trPr>
          <w:trHeight w:val="813"/>
        </w:trPr>
        <w:tc>
          <w:tcPr>
            <w:tcW w:w="441" w:type="pct"/>
          </w:tcPr>
          <w:p w14:paraId="2323FF3D" w14:textId="620777F0" w:rsidR="0064278B" w:rsidRPr="006E7089" w:rsidRDefault="0064278B" w:rsidP="006E7089">
            <w:pPr>
              <w:jc w:val="center"/>
            </w:pPr>
            <w:r w:rsidRPr="006E7089">
              <w:rPr>
                <w:szCs w:val="22"/>
                <w:lang w:eastAsia="en-US"/>
              </w:rPr>
              <w:t>4</w:t>
            </w:r>
          </w:p>
        </w:tc>
        <w:tc>
          <w:tcPr>
            <w:tcW w:w="1042" w:type="pct"/>
          </w:tcPr>
          <w:p w14:paraId="37038294" w14:textId="1DD4DFC9" w:rsidR="0064278B" w:rsidRPr="006E7089" w:rsidRDefault="0064278B" w:rsidP="006E7089">
            <w:r w:rsidRPr="006E7089">
              <w:rPr>
                <w:szCs w:val="22"/>
                <w:lang w:eastAsia="en-US"/>
              </w:rPr>
              <w:t>Severe</w:t>
            </w:r>
          </w:p>
        </w:tc>
        <w:tc>
          <w:tcPr>
            <w:tcW w:w="3517" w:type="pct"/>
          </w:tcPr>
          <w:p w14:paraId="1CB5432E" w14:textId="706EB08F" w:rsidR="0064278B" w:rsidRPr="006E7089" w:rsidRDefault="0064278B" w:rsidP="006E7089">
            <w:r w:rsidRPr="006E7089">
              <w:rPr>
                <w:szCs w:val="22"/>
                <w:lang w:eastAsia="en-US"/>
              </w:rPr>
              <w:t xml:space="preserve">Scalp had severe thickening with hard edges; bright to deep dark red coloration; severe/coarse scaling covering almost all or all lesions </w:t>
            </w:r>
          </w:p>
        </w:tc>
      </w:tr>
    </w:tbl>
    <w:p w14:paraId="1FDC26ED" w14:textId="77777777" w:rsidR="00E03707" w:rsidRDefault="00E03707" w:rsidP="0064278B"/>
    <w:p w14:paraId="0B005B56" w14:textId="77777777" w:rsidR="00E03707" w:rsidRDefault="00E03707">
      <w:pPr>
        <w:spacing w:before="0" w:after="200" w:line="0" w:lineRule="auto"/>
      </w:pPr>
      <w:r>
        <w:br w:type="page"/>
      </w:r>
    </w:p>
    <w:p w14:paraId="588DBB5F" w14:textId="464918D3" w:rsidR="00544B9F" w:rsidRDefault="00544B9F" w:rsidP="006E4137">
      <w:pPr>
        <w:pStyle w:val="Heading5"/>
      </w:pPr>
      <w:r>
        <w:lastRenderedPageBreak/>
        <w:t>Patient symptom diary</w:t>
      </w:r>
    </w:p>
    <w:p w14:paraId="4AA9454B" w14:textId="4E36FDED" w:rsidR="0064278B" w:rsidRDefault="0064278B" w:rsidP="0064278B">
      <w:r>
        <w:t xml:space="preserve">Patient </w:t>
      </w:r>
      <w:r w:rsidR="00542ED6">
        <w:t>s</w:t>
      </w:r>
      <w:r>
        <w:t xml:space="preserve">ymptom </w:t>
      </w:r>
      <w:r w:rsidR="00542ED6">
        <w:t>d</w:t>
      </w:r>
      <w:r>
        <w:t>iar</w:t>
      </w:r>
      <w:r w:rsidR="00544B9F">
        <w:t>ies</w:t>
      </w:r>
      <w:r>
        <w:t xml:space="preserve"> (PSD) was </w:t>
      </w:r>
      <w:r w:rsidR="00544B9F">
        <w:t>used for a</w:t>
      </w:r>
      <w:r>
        <w:t xml:space="preserve"> secondary endpoint in some </w:t>
      </w:r>
      <w:proofErr w:type="gramStart"/>
      <w:r>
        <w:t>studies</w:t>
      </w:r>
      <w:proofErr w:type="gramEnd"/>
      <w:r>
        <w:t xml:space="preserve"> and it is a patient outcome measure developed by the applicant.</w:t>
      </w:r>
    </w:p>
    <w:p w14:paraId="5AD42EAD" w14:textId="30C5C7D7" w:rsidR="0064278B" w:rsidRDefault="0064278B" w:rsidP="0064278B">
      <w:r>
        <w:t xml:space="preserve">The PSD consists of 14 items, measuring the following </w:t>
      </w:r>
      <w:r w:rsidR="008B40FD">
        <w:t>p</w:t>
      </w:r>
      <w:r>
        <w:t>soriasis related signs, symptoms, and functional impacts:</w:t>
      </w:r>
    </w:p>
    <w:p w14:paraId="190F9A49" w14:textId="2E832C63" w:rsidR="0064278B" w:rsidRDefault="0064278B" w:rsidP="0064278B">
      <w:pPr>
        <w:pStyle w:val="Numberbullet0"/>
      </w:pPr>
      <w:r>
        <w:t>redness,</w:t>
      </w:r>
    </w:p>
    <w:p w14:paraId="069EAA88" w14:textId="39593641" w:rsidR="0064278B" w:rsidRDefault="0064278B" w:rsidP="0064278B">
      <w:pPr>
        <w:pStyle w:val="Numberbullet0"/>
      </w:pPr>
      <w:r>
        <w:t>scaling,</w:t>
      </w:r>
    </w:p>
    <w:p w14:paraId="1000C5E0" w14:textId="2DEC448D" w:rsidR="0064278B" w:rsidRDefault="0064278B" w:rsidP="0064278B">
      <w:pPr>
        <w:pStyle w:val="Numberbullet0"/>
      </w:pPr>
      <w:r>
        <w:t>cracking,</w:t>
      </w:r>
    </w:p>
    <w:p w14:paraId="08B3EB22" w14:textId="389286F5" w:rsidR="0064278B" w:rsidRDefault="0064278B" w:rsidP="0064278B">
      <w:pPr>
        <w:pStyle w:val="Numberbullet0"/>
      </w:pPr>
      <w:r>
        <w:t>lesions,</w:t>
      </w:r>
    </w:p>
    <w:p w14:paraId="79503923" w14:textId="023AFFD8" w:rsidR="0064278B" w:rsidRDefault="0064278B" w:rsidP="0064278B">
      <w:pPr>
        <w:pStyle w:val="Numberbullet0"/>
      </w:pPr>
      <w:r>
        <w:t>thickening,</w:t>
      </w:r>
    </w:p>
    <w:p w14:paraId="15ACDFFD" w14:textId="2C75BDCA" w:rsidR="0064278B" w:rsidRDefault="0064278B" w:rsidP="0064278B">
      <w:pPr>
        <w:pStyle w:val="Numberbullet0"/>
      </w:pPr>
      <w:r>
        <w:t>itch,</w:t>
      </w:r>
    </w:p>
    <w:p w14:paraId="2419B285" w14:textId="3BFEAA54" w:rsidR="0064278B" w:rsidRDefault="0064278B" w:rsidP="0064278B">
      <w:pPr>
        <w:pStyle w:val="Numberbullet0"/>
      </w:pPr>
      <w:r>
        <w:t>pain,</w:t>
      </w:r>
    </w:p>
    <w:p w14:paraId="08E26858" w14:textId="1EA7E5D6" w:rsidR="0064278B" w:rsidRDefault="0064278B" w:rsidP="0064278B">
      <w:pPr>
        <w:pStyle w:val="Numberbullet0"/>
      </w:pPr>
      <w:r>
        <w:t>burning,</w:t>
      </w:r>
    </w:p>
    <w:p w14:paraId="70C9AB24" w14:textId="743B3688" w:rsidR="0064278B" w:rsidRDefault="0064278B" w:rsidP="0064278B">
      <w:pPr>
        <w:pStyle w:val="Numberbullet0"/>
      </w:pPr>
      <w:r>
        <w:t>dryness,</w:t>
      </w:r>
    </w:p>
    <w:p w14:paraId="03B7869B" w14:textId="11827E3F" w:rsidR="0064278B" w:rsidRDefault="0064278B" w:rsidP="0064278B">
      <w:pPr>
        <w:pStyle w:val="Numberbullet0"/>
      </w:pPr>
      <w:r>
        <w:t>irritation,</w:t>
      </w:r>
    </w:p>
    <w:p w14:paraId="32B3ABF8" w14:textId="2A2901E9" w:rsidR="0064278B" w:rsidRDefault="0064278B" w:rsidP="0064278B">
      <w:pPr>
        <w:pStyle w:val="Numberbullet0"/>
      </w:pPr>
      <w:r>
        <w:t>sensitivity,</w:t>
      </w:r>
    </w:p>
    <w:p w14:paraId="31D923C2" w14:textId="33D92EFC" w:rsidR="0064278B" w:rsidRDefault="0064278B" w:rsidP="0064278B">
      <w:pPr>
        <w:pStyle w:val="Numberbullet0"/>
      </w:pPr>
      <w:r>
        <w:t>fatigue,</w:t>
      </w:r>
    </w:p>
    <w:p w14:paraId="723D9B12" w14:textId="39A3C564" w:rsidR="0064278B" w:rsidRDefault="0064278B" w:rsidP="0064278B">
      <w:pPr>
        <w:pStyle w:val="Numberbullet0"/>
      </w:pPr>
      <w:r>
        <w:t>embarrassment,</w:t>
      </w:r>
    </w:p>
    <w:p w14:paraId="15FA1480" w14:textId="0E85AF53" w:rsidR="0064278B" w:rsidRDefault="0064278B" w:rsidP="0064278B">
      <w:pPr>
        <w:pStyle w:val="Numberbullet0"/>
      </w:pPr>
      <w:r>
        <w:t>choice of clothing.</w:t>
      </w:r>
    </w:p>
    <w:p w14:paraId="147F7BD8" w14:textId="4D25C7D0" w:rsidR="0064278B" w:rsidRDefault="0064278B" w:rsidP="0064278B">
      <w:r>
        <w:t>Each item has a recall period of the past 24 hours. All items are scored on a 0</w:t>
      </w:r>
      <w:r w:rsidR="00032FEF">
        <w:t xml:space="preserve"> to </w:t>
      </w:r>
      <w:r>
        <w:t>10 scale, with a higher score meaning greater severity or impact and, with verbal anchors at the extreme responses (0 and 10)</w:t>
      </w:r>
      <w:r w:rsidR="00E03707">
        <w:t>.</w:t>
      </w:r>
    </w:p>
    <w:p w14:paraId="2F44E8C7" w14:textId="36CA7070" w:rsidR="00E03707" w:rsidRDefault="00E03707" w:rsidP="0064278B">
      <w:r>
        <w:t xml:space="preserve">The </w:t>
      </w:r>
      <w:r w:rsidR="00544B9F">
        <w:t xml:space="preserve">TGA’s </w:t>
      </w:r>
      <w:r>
        <w:t>clinical evaluat</w:t>
      </w:r>
      <w:r w:rsidR="00544B9F">
        <w:t>ion</w:t>
      </w:r>
      <w:r>
        <w:t xml:space="preserve"> </w:t>
      </w:r>
      <w:r w:rsidR="00544B9F">
        <w:t xml:space="preserve">noted </w:t>
      </w:r>
      <w:r>
        <w:t>that:</w:t>
      </w:r>
    </w:p>
    <w:p w14:paraId="1DB53A29" w14:textId="2B1363A1" w:rsidR="00090A6E" w:rsidRPr="005827CB" w:rsidRDefault="00090A6E" w:rsidP="00E03707">
      <w:pPr>
        <w:pStyle w:val="ListBullet"/>
      </w:pPr>
      <w:r w:rsidRPr="005827CB">
        <w:t xml:space="preserve">Standard efficacy variables were used to assess the efficacy of </w:t>
      </w:r>
      <w:proofErr w:type="spellStart"/>
      <w:r w:rsidRPr="005827CB">
        <w:t>bimekizumab</w:t>
      </w:r>
      <w:proofErr w:type="spellEnd"/>
      <w:r w:rsidRPr="005827CB">
        <w:t xml:space="preserve"> in both the </w:t>
      </w:r>
      <w:r w:rsidR="00E03707">
        <w:t>p</w:t>
      </w:r>
      <w:r w:rsidRPr="005827CB">
        <w:t xml:space="preserve">ivotal </w:t>
      </w:r>
      <w:r w:rsidR="00E03707">
        <w:t>P</w:t>
      </w:r>
      <w:r w:rsidRPr="005827CB">
        <w:t xml:space="preserve">hase </w:t>
      </w:r>
      <w:r w:rsidR="00E03707">
        <w:t>III</w:t>
      </w:r>
      <w:r w:rsidRPr="005827CB">
        <w:t xml:space="preserve"> studies and the Phase </w:t>
      </w:r>
      <w:r w:rsidR="00E03707">
        <w:t>II</w:t>
      </w:r>
      <w:r w:rsidRPr="005827CB">
        <w:t xml:space="preserve"> developmental programme.</w:t>
      </w:r>
    </w:p>
    <w:p w14:paraId="4C84E98C" w14:textId="2CC8E4F4" w:rsidR="00090A6E" w:rsidRPr="005827CB" w:rsidRDefault="00090A6E" w:rsidP="00E03707">
      <w:pPr>
        <w:pStyle w:val="ListBullet"/>
      </w:pPr>
      <w:r w:rsidRPr="005827CB">
        <w:t xml:space="preserve">In the </w:t>
      </w:r>
      <w:r w:rsidR="00544B9F">
        <w:t xml:space="preserve">TGA-adopted </w:t>
      </w:r>
      <w:r w:rsidR="00032FEF">
        <w:t>G</w:t>
      </w:r>
      <w:r w:rsidRPr="005827CB">
        <w:t>uideline on Psoriasis</w:t>
      </w:r>
      <w:r w:rsidR="00544B9F">
        <w:t>;</w:t>
      </w:r>
      <w:r w:rsidR="00544B9F" w:rsidRPr="006E7089">
        <w:rPr>
          <w:vertAlign w:val="superscript"/>
        </w:rPr>
        <w:fldChar w:fldCharType="begin"/>
      </w:r>
      <w:r w:rsidR="00544B9F" w:rsidRPr="006E7089">
        <w:rPr>
          <w:vertAlign w:val="superscript"/>
        </w:rPr>
        <w:instrText xml:space="preserve"> NOTEREF _Ref132368946 \h </w:instrText>
      </w:r>
      <w:r w:rsidR="00544B9F">
        <w:rPr>
          <w:vertAlign w:val="superscript"/>
        </w:rPr>
        <w:instrText xml:space="preserve"> \* MERGEFORMAT </w:instrText>
      </w:r>
      <w:r w:rsidR="00544B9F" w:rsidRPr="006E7089">
        <w:rPr>
          <w:vertAlign w:val="superscript"/>
        </w:rPr>
      </w:r>
      <w:r w:rsidR="00544B9F" w:rsidRPr="006E7089">
        <w:rPr>
          <w:vertAlign w:val="superscript"/>
        </w:rPr>
        <w:fldChar w:fldCharType="separate"/>
      </w:r>
      <w:r w:rsidR="00B54079">
        <w:rPr>
          <w:vertAlign w:val="superscript"/>
        </w:rPr>
        <w:t>37</w:t>
      </w:r>
      <w:r w:rsidR="00544B9F" w:rsidRPr="006E7089">
        <w:rPr>
          <w:vertAlign w:val="superscript"/>
        </w:rPr>
        <w:fldChar w:fldCharType="end"/>
      </w:r>
      <w:r w:rsidRPr="005827CB">
        <w:t xml:space="preserve"> a global assessment scale is recommended as a co</w:t>
      </w:r>
      <w:r w:rsidR="003F1DAD">
        <w:noBreakHyphen/>
      </w:r>
      <w:r w:rsidRPr="005827CB">
        <w:t>primary endpoint in addition to PASI.</w:t>
      </w:r>
      <w:r w:rsidR="00E03707">
        <w:t xml:space="preserve"> </w:t>
      </w:r>
      <w:r w:rsidRPr="005827CB">
        <w:t xml:space="preserve">The </w:t>
      </w:r>
      <w:r w:rsidR="00E03707">
        <w:t>sponsor</w:t>
      </w:r>
      <w:r w:rsidRPr="005827CB">
        <w:t xml:space="preserve"> has followed this guideline.</w:t>
      </w:r>
    </w:p>
    <w:p w14:paraId="2200719C" w14:textId="69BC25E6" w:rsidR="00090A6E" w:rsidRPr="005827CB" w:rsidRDefault="00090A6E" w:rsidP="00E03707">
      <w:pPr>
        <w:pStyle w:val="ListBullet"/>
      </w:pPr>
      <w:r w:rsidRPr="005827CB">
        <w:t xml:space="preserve">All the Phase </w:t>
      </w:r>
      <w:r w:rsidR="00E03707">
        <w:t>III</w:t>
      </w:r>
      <w:r w:rsidRPr="005827CB">
        <w:t xml:space="preserve"> studies had the same co-primary efficacy variables, the endpoints used </w:t>
      </w:r>
      <w:proofErr w:type="gramStart"/>
      <w:r w:rsidRPr="005827CB">
        <w:t>following</w:t>
      </w:r>
      <w:proofErr w:type="gramEnd"/>
      <w:r w:rsidRPr="005827CB">
        <w:t xml:space="preserve"> scientific advice from the EMA and a </w:t>
      </w:r>
      <w:r w:rsidR="00E03707">
        <w:rPr>
          <w:lang w:val="en-US"/>
        </w:rPr>
        <w:t>p</w:t>
      </w:r>
      <w:r w:rsidR="00E03707" w:rsidRPr="00AB20A6">
        <w:rPr>
          <w:lang w:val="en-US"/>
        </w:rPr>
        <w:t>re-</w:t>
      </w:r>
      <w:r w:rsidR="00E03707">
        <w:rPr>
          <w:lang w:val="en-US"/>
        </w:rPr>
        <w:t>i</w:t>
      </w:r>
      <w:r w:rsidR="00E03707" w:rsidRPr="00AB20A6">
        <w:rPr>
          <w:lang w:val="en-US"/>
        </w:rPr>
        <w:t xml:space="preserve">nvestigational </w:t>
      </w:r>
      <w:r w:rsidR="00E03707">
        <w:rPr>
          <w:lang w:val="en-US"/>
        </w:rPr>
        <w:t>n</w:t>
      </w:r>
      <w:r w:rsidR="00E03707" w:rsidRPr="00AB20A6">
        <w:rPr>
          <w:lang w:val="en-US"/>
        </w:rPr>
        <w:t xml:space="preserve">ew </w:t>
      </w:r>
      <w:r w:rsidR="00E03707">
        <w:rPr>
          <w:lang w:val="en-US"/>
        </w:rPr>
        <w:t>d</w:t>
      </w:r>
      <w:r w:rsidR="00E03707" w:rsidRPr="00AB20A6">
        <w:rPr>
          <w:lang w:val="en-US"/>
        </w:rPr>
        <w:t xml:space="preserve">rug </w:t>
      </w:r>
      <w:r w:rsidRPr="005827CB">
        <w:t>meeting with the FDA. The endpoint is consistent with accepted guidelines and registration studies for other products approved for the treatment of psoriasis.</w:t>
      </w:r>
    </w:p>
    <w:p w14:paraId="1B2287F5" w14:textId="77777777" w:rsidR="00E03707" w:rsidRDefault="00090A6E" w:rsidP="00090A6E">
      <w:pPr>
        <w:pStyle w:val="ListBullet"/>
      </w:pPr>
      <w:r w:rsidRPr="005827CB">
        <w:t>The PSD is an unvalidated tool developed by the applicant, it was used as a secondary outcome measure in selected geographies in selected studies. The significance of this outcome measure is unknown.</w:t>
      </w:r>
    </w:p>
    <w:p w14:paraId="623FD989" w14:textId="4B52B295" w:rsidR="00090A6E" w:rsidRDefault="00090A6E" w:rsidP="00090A6E">
      <w:pPr>
        <w:pStyle w:val="ListBullet"/>
      </w:pPr>
      <w:r w:rsidRPr="005827CB">
        <w:t xml:space="preserve">The </w:t>
      </w:r>
      <w:r w:rsidR="00E03707">
        <w:t>s</w:t>
      </w:r>
      <w:r w:rsidRPr="005827CB">
        <w:t xml:space="preserve">calp IGA has been used in registration studies for other medications used for the treatment of psoriasis, such as </w:t>
      </w:r>
      <w:proofErr w:type="spellStart"/>
      <w:r w:rsidRPr="005827CB">
        <w:t>guselkumab</w:t>
      </w:r>
      <w:proofErr w:type="spellEnd"/>
      <w:r w:rsidR="00E03707">
        <w:t>.</w:t>
      </w:r>
    </w:p>
    <w:p w14:paraId="3E99DF29" w14:textId="4336E3F3" w:rsidR="002E7010" w:rsidRPr="00EA20FE" w:rsidRDefault="00DB0EAA" w:rsidP="006E7089">
      <w:pPr>
        <w:pStyle w:val="Heading4"/>
      </w:pPr>
      <w:r>
        <w:lastRenderedPageBreak/>
        <w:t>Efficacy</w:t>
      </w:r>
    </w:p>
    <w:p w14:paraId="0B07D28C" w14:textId="58C688CC" w:rsidR="005B5CA7" w:rsidRDefault="005B5CA7" w:rsidP="005B5CA7">
      <w:pPr>
        <w:pStyle w:val="Heading5"/>
      </w:pPr>
      <w:bookmarkStart w:id="85" w:name="_Ref132625143"/>
      <w:r>
        <w:t>Study PS0008</w:t>
      </w:r>
      <w:bookmarkEnd w:id="85"/>
    </w:p>
    <w:p w14:paraId="459BD680" w14:textId="5F78A501" w:rsidR="00BA5B14" w:rsidRDefault="00BA5B14" w:rsidP="00BA5B14">
      <w:r>
        <w:t>Study PS0008 is a Phase III, randomi</w:t>
      </w:r>
      <w:r w:rsidR="00893D32">
        <w:t>s</w:t>
      </w:r>
      <w:r>
        <w:t>ed, double</w:t>
      </w:r>
      <w:r w:rsidR="00893D32">
        <w:t xml:space="preserve"> </w:t>
      </w:r>
      <w:r>
        <w:t>blind, parallel</w:t>
      </w:r>
      <w:r w:rsidR="00893D32">
        <w:t xml:space="preserve"> </w:t>
      </w:r>
      <w:r>
        <w:t xml:space="preserve">group, active comparator controlled multicentre study, to evaluate the efficacy and safety of </w:t>
      </w:r>
      <w:proofErr w:type="spellStart"/>
      <w:r>
        <w:t>bimekizumab</w:t>
      </w:r>
      <w:proofErr w:type="spellEnd"/>
      <w:r>
        <w:t xml:space="preserve"> in adults with moderate to severe plaque psoriasis.</w:t>
      </w:r>
    </w:p>
    <w:p w14:paraId="325F0F66" w14:textId="46106A09" w:rsidR="00764B75" w:rsidRDefault="00764B75" w:rsidP="006E7089">
      <w:pPr>
        <w:pStyle w:val="Heading6"/>
      </w:pPr>
      <w:r>
        <w:t>Study design</w:t>
      </w:r>
    </w:p>
    <w:p w14:paraId="648D2255" w14:textId="5AFED83E" w:rsidR="00BA5B14" w:rsidRDefault="00BA5B14" w:rsidP="00BA5B14">
      <w:r>
        <w:t>The study design, as depicted schematically below</w:t>
      </w:r>
      <w:r w:rsidR="00764B75">
        <w:t xml:space="preserve"> in </w:t>
      </w:r>
      <w:r w:rsidR="00764B75">
        <w:fldChar w:fldCharType="begin"/>
      </w:r>
      <w:r w:rsidR="00764B75">
        <w:instrText xml:space="preserve"> REF _Ref132369037 \h </w:instrText>
      </w:r>
      <w:r w:rsidR="00764B75">
        <w:fldChar w:fldCharType="separate"/>
      </w:r>
      <w:r w:rsidR="00B54079" w:rsidRPr="00394D22">
        <w:t xml:space="preserve">Figure </w:t>
      </w:r>
      <w:r w:rsidR="00B54079">
        <w:rPr>
          <w:noProof/>
        </w:rPr>
        <w:t>12</w:t>
      </w:r>
      <w:r w:rsidR="00764B75">
        <w:fldChar w:fldCharType="end"/>
      </w:r>
      <w:r>
        <w:t>, consisted of four periods:</w:t>
      </w:r>
    </w:p>
    <w:p w14:paraId="156AF272" w14:textId="7A498193" w:rsidR="00BA5B14" w:rsidRDefault="00544B9F" w:rsidP="00BA5B14">
      <w:pPr>
        <w:pStyle w:val="ListBullet"/>
      </w:pPr>
      <w:r>
        <w:t xml:space="preserve">A </w:t>
      </w:r>
      <w:proofErr w:type="gramStart"/>
      <w:r>
        <w:t xml:space="preserve">one </w:t>
      </w:r>
      <w:r w:rsidR="00BA5B14">
        <w:t>week</w:t>
      </w:r>
      <w:proofErr w:type="gramEnd"/>
      <w:r w:rsidR="00BA5B14">
        <w:t xml:space="preserve"> screening period, </w:t>
      </w:r>
    </w:p>
    <w:p w14:paraId="42E3B18B" w14:textId="7D87633C" w:rsidR="00BA5B14" w:rsidRDefault="00BA5B14" w:rsidP="00BA5B14">
      <w:pPr>
        <w:pStyle w:val="ListBullet"/>
      </w:pPr>
      <w:r>
        <w:t>16</w:t>
      </w:r>
      <w:r w:rsidR="00544B9F">
        <w:t xml:space="preserve"> </w:t>
      </w:r>
      <w:r>
        <w:t>weeks initial treatment period,</w:t>
      </w:r>
    </w:p>
    <w:p w14:paraId="341EE8D4" w14:textId="1A6BA475" w:rsidR="00BA5B14" w:rsidRDefault="00BA5B14" w:rsidP="00BA5B14">
      <w:pPr>
        <w:pStyle w:val="ListBullet"/>
      </w:pPr>
      <w:r>
        <w:t>40</w:t>
      </w:r>
      <w:r w:rsidR="00544B9F">
        <w:t xml:space="preserve"> </w:t>
      </w:r>
      <w:r>
        <w:t>weeks maintenance treatment period,</w:t>
      </w:r>
    </w:p>
    <w:p w14:paraId="326EF93A" w14:textId="2D6C188E" w:rsidR="00BA5B14" w:rsidRDefault="00BA5B14" w:rsidP="00BA5B14">
      <w:pPr>
        <w:pStyle w:val="ListBullet"/>
      </w:pPr>
      <w:r>
        <w:t>20 weeks follow up period.</w:t>
      </w:r>
    </w:p>
    <w:p w14:paraId="2D2710A0" w14:textId="2669D00F" w:rsidR="00BA5B14" w:rsidRDefault="00BA5B14" w:rsidP="00394D22">
      <w:pPr>
        <w:pStyle w:val="FigureTitle"/>
      </w:pPr>
      <w:bookmarkStart w:id="86" w:name="_Ref132369037"/>
      <w:r w:rsidRPr="00394D22">
        <w:t xml:space="preserve">Figure </w:t>
      </w:r>
      <w:r w:rsidR="00172397">
        <w:fldChar w:fldCharType="begin"/>
      </w:r>
      <w:r w:rsidR="00172397">
        <w:instrText xml:space="preserve"> SEQ Figure \* ARABIC </w:instrText>
      </w:r>
      <w:r w:rsidR="00172397">
        <w:fldChar w:fldCharType="separate"/>
      </w:r>
      <w:r w:rsidR="00B54079">
        <w:rPr>
          <w:noProof/>
        </w:rPr>
        <w:t>12</w:t>
      </w:r>
      <w:r w:rsidR="00172397">
        <w:rPr>
          <w:noProof/>
        </w:rPr>
        <w:fldChar w:fldCharType="end"/>
      </w:r>
      <w:bookmarkEnd w:id="86"/>
      <w:r>
        <w:t xml:space="preserve">: </w:t>
      </w:r>
      <w:r w:rsidR="00394D22">
        <w:t xml:space="preserve">Study </w:t>
      </w:r>
      <w:r w:rsidR="00394D22" w:rsidRPr="00394D22">
        <w:t>PS0008</w:t>
      </w:r>
      <w:r w:rsidR="00394D22">
        <w:t xml:space="preserve"> </w:t>
      </w:r>
      <w:r w:rsidR="00394D22" w:rsidRPr="00394D22">
        <w:t>Schematic diagram</w:t>
      </w:r>
    </w:p>
    <w:p w14:paraId="7455ECC2" w14:textId="48690270" w:rsidR="00BA5B14" w:rsidRDefault="00BA5B14" w:rsidP="00BA5B14">
      <w:r w:rsidRPr="00BA5B14">
        <w:rPr>
          <w:noProof/>
          <w:lang w:val="en-GB" w:eastAsia="en-GB"/>
        </w:rPr>
        <w:drawing>
          <wp:inline distT="0" distB="0" distL="0" distR="0" wp14:anchorId="5EC6A03E" wp14:editId="342450DA">
            <wp:extent cx="5087616" cy="2670810"/>
            <wp:effectExtent l="0" t="0" r="0" b="0"/>
            <wp:docPr id="9" name="Picture 9" descr="Study PS0008 Schematic diagram&#10;Study PS0008 is a Phase III, randomised, double blind, parallel group, active comparator controlled multicentre study, to evaluate the efficacy and safety of bimekizumab in adults with moderate to severe plaque psoriasis.&#10;&#10;A total of 450 patients were randomised to 3 groups, namely, BKZ 320 mg Q4W, BKZ 320 mg Q4W then at Week 16 switch over to BKZ 320 mg Q8W and lastly Adalimumab then at Week 24 switch over to BKZ 320 mg Q4W. There is a safety follow up 20 weeks post last dose for subjects not enrolling in the extension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tudy PS0008 Schematic diagram&#10;Study PS0008 is a Phase III, randomised, double blind, parallel group, active comparator controlled multicentre study, to evaluate the efficacy and safety of bimekizumab in adults with moderate to severe plaque psoriasis.&#10;&#10;A total of 450 patients were randomised to 3 groups, namely, BKZ 320 mg Q4W, BKZ 320 mg Q4W then at Week 16 switch over to BKZ 320 mg Q8W and lastly Adalimumab then at Week 24 switch over to BKZ 320 mg Q4W. There is a safety follow up 20 weeks post last dose for subjects not enrolling in the extension study."/>
                    <pic:cNvPicPr/>
                  </pic:nvPicPr>
                  <pic:blipFill rotWithShape="1">
                    <a:blip r:embed="rId32"/>
                    <a:srcRect l="2062" r="3691" b="14185"/>
                    <a:stretch/>
                  </pic:blipFill>
                  <pic:spPr bwMode="auto">
                    <a:xfrm>
                      <a:off x="0" y="0"/>
                      <a:ext cx="5089407" cy="2671750"/>
                    </a:xfrm>
                    <a:prstGeom prst="rect">
                      <a:avLst/>
                    </a:prstGeom>
                    <a:ln>
                      <a:noFill/>
                    </a:ln>
                    <a:extLst>
                      <a:ext uri="{53640926-AAD7-44D8-BBD7-CCE9431645EC}">
                        <a14:shadowObscured xmlns:a14="http://schemas.microsoft.com/office/drawing/2010/main"/>
                      </a:ext>
                    </a:extLst>
                  </pic:spPr>
                </pic:pic>
              </a:graphicData>
            </a:graphic>
          </wp:inline>
        </w:drawing>
      </w:r>
    </w:p>
    <w:p w14:paraId="7F8F5D46" w14:textId="07690F92" w:rsidR="00394D22" w:rsidRDefault="00764B75" w:rsidP="00394D22">
      <w:pPr>
        <w:pStyle w:val="FigureDescription"/>
      </w:pPr>
      <w:r>
        <w:t xml:space="preserve">Abbreviations: </w:t>
      </w:r>
      <w:r w:rsidR="00394D22">
        <w:t xml:space="preserve">IGA = Investigator’s Global Assessment; N = number; PASI = Psoriasis Area and Severity Index; </w:t>
      </w:r>
      <w:r w:rsidR="00FE69B5">
        <w:t>Q4W</w:t>
      </w:r>
      <w:r w:rsidR="00394D22">
        <w:t xml:space="preserve"> = every 4 weeks; </w:t>
      </w:r>
      <w:r w:rsidR="00FE69B5">
        <w:t>Q8W</w:t>
      </w:r>
      <w:r w:rsidR="00394D22">
        <w:t xml:space="preserve"> = every 8 weeks; SFU = Safety follow up.</w:t>
      </w:r>
    </w:p>
    <w:p w14:paraId="23BE9ED1" w14:textId="01F37B46" w:rsidR="00BA5B14" w:rsidRPr="001B7A26" w:rsidRDefault="00BA5B14" w:rsidP="005B5CA7">
      <w:r w:rsidRPr="005B5CA7">
        <w:t>The primary objective</w:t>
      </w:r>
      <w:r w:rsidR="005B5CA7" w:rsidRPr="005B5CA7">
        <w:t xml:space="preserve"> is</w:t>
      </w:r>
      <w:r w:rsidR="005B5CA7">
        <w:t xml:space="preserve"> t</w:t>
      </w:r>
      <w:r w:rsidRPr="001B7A26">
        <w:rPr>
          <w:lang w:eastAsia="ja-JP"/>
        </w:rPr>
        <w:t xml:space="preserve">o evaluate the efficacy and safety of </w:t>
      </w:r>
      <w:proofErr w:type="spellStart"/>
      <w:r w:rsidRPr="001B7A26">
        <w:rPr>
          <w:lang w:eastAsia="ja-JP"/>
        </w:rPr>
        <w:t>bimekizumab</w:t>
      </w:r>
      <w:proofErr w:type="spellEnd"/>
      <w:r>
        <w:rPr>
          <w:lang w:eastAsia="ja-JP"/>
        </w:rPr>
        <w:t xml:space="preserve"> </w:t>
      </w:r>
      <w:r w:rsidRPr="001B7A26">
        <w:rPr>
          <w:lang w:eastAsia="ja-JP"/>
        </w:rPr>
        <w:t>in adults with moderate to severe plaque psoriasis.</w:t>
      </w:r>
    </w:p>
    <w:p w14:paraId="44BCE37F" w14:textId="1AD6E0DD" w:rsidR="00BA5B14" w:rsidRPr="00BE09B9" w:rsidRDefault="00BA5B14" w:rsidP="005B5CA7">
      <w:pPr>
        <w:rPr>
          <w:lang w:eastAsia="ja-JP"/>
        </w:rPr>
      </w:pPr>
      <w:r w:rsidRPr="005B5CA7">
        <w:t xml:space="preserve">Main </w:t>
      </w:r>
      <w:r w:rsidR="005B5CA7">
        <w:t>i</w:t>
      </w:r>
      <w:r w:rsidRPr="005B5CA7">
        <w:t>nclusion criteria</w:t>
      </w:r>
      <w:r w:rsidR="005B5CA7">
        <w:rPr>
          <w:lang w:eastAsia="ja-JP"/>
        </w:rPr>
        <w:t xml:space="preserve"> </w:t>
      </w:r>
      <w:proofErr w:type="gramStart"/>
      <w:r w:rsidR="005B5CA7">
        <w:rPr>
          <w:lang w:eastAsia="ja-JP"/>
        </w:rPr>
        <w:t>is</w:t>
      </w:r>
      <w:proofErr w:type="gramEnd"/>
      <w:r w:rsidR="005B5CA7">
        <w:rPr>
          <w:lang w:eastAsia="ja-JP"/>
        </w:rPr>
        <w:t xml:space="preserve"> that the s</w:t>
      </w:r>
      <w:r w:rsidRPr="00BE09B9">
        <w:rPr>
          <w:lang w:eastAsia="ja-JP"/>
        </w:rPr>
        <w:t>tudy participants must have been adults with a diagnosis of moderate to severe psoriasis (Baseline PASI</w:t>
      </w:r>
      <w:r w:rsidR="0058032A">
        <w:rPr>
          <w:lang w:eastAsia="ja-JP"/>
        </w:rPr>
        <w:t xml:space="preserve"> score</w:t>
      </w:r>
      <w:r w:rsidRPr="00BE09B9">
        <w:rPr>
          <w:lang w:eastAsia="ja-JP"/>
        </w:rPr>
        <w:t xml:space="preserve"> </w:t>
      </w:r>
      <w:r w:rsidR="00394D22">
        <w:rPr>
          <w:lang w:eastAsia="ja-JP"/>
        </w:rPr>
        <w:t>greater than</w:t>
      </w:r>
      <w:r w:rsidR="005B5CA7">
        <w:rPr>
          <w:lang w:eastAsia="ja-JP"/>
        </w:rPr>
        <w:t xml:space="preserve"> </w:t>
      </w:r>
      <w:r w:rsidRPr="00BE09B9">
        <w:rPr>
          <w:lang w:eastAsia="ja-JP"/>
        </w:rPr>
        <w:t xml:space="preserve">12, body surface area affected by psoriasis </w:t>
      </w:r>
      <w:r w:rsidR="00394D22">
        <w:rPr>
          <w:lang w:eastAsia="ja-JP"/>
        </w:rPr>
        <w:t>greater or equal to</w:t>
      </w:r>
      <w:r w:rsidR="005B5CA7">
        <w:rPr>
          <w:lang w:eastAsia="ja-JP"/>
        </w:rPr>
        <w:t xml:space="preserve"> </w:t>
      </w:r>
      <w:r w:rsidRPr="00BE09B9">
        <w:rPr>
          <w:lang w:eastAsia="ja-JP"/>
        </w:rPr>
        <w:t xml:space="preserve">10% and IGA score </w:t>
      </w:r>
      <w:r w:rsidR="00394D22">
        <w:rPr>
          <w:lang w:eastAsia="ja-JP"/>
        </w:rPr>
        <w:t>greater or equal to</w:t>
      </w:r>
      <w:r w:rsidR="005B5CA7">
        <w:rPr>
          <w:lang w:eastAsia="ja-JP"/>
        </w:rPr>
        <w:t xml:space="preserve"> </w:t>
      </w:r>
      <w:r w:rsidRPr="00BE09B9">
        <w:rPr>
          <w:lang w:eastAsia="ja-JP"/>
        </w:rPr>
        <w:t>3), who were candidates for systemic psoriasis therapy and/or phototherapy.</w:t>
      </w:r>
    </w:p>
    <w:p w14:paraId="1D705262" w14:textId="3EFEF9A4" w:rsidR="00BA5B14" w:rsidRPr="00BE09B9" w:rsidRDefault="00BA5B14" w:rsidP="005B5CA7">
      <w:pPr>
        <w:rPr>
          <w:lang w:eastAsia="ja-JP"/>
        </w:rPr>
      </w:pPr>
      <w:r w:rsidRPr="00BE09B9">
        <w:rPr>
          <w:lang w:eastAsia="ja-JP"/>
        </w:rPr>
        <w:t xml:space="preserve">Exclusion </w:t>
      </w:r>
      <w:r w:rsidR="00797E57">
        <w:rPr>
          <w:lang w:eastAsia="ja-JP"/>
        </w:rPr>
        <w:t>c</w:t>
      </w:r>
      <w:r w:rsidRPr="00BE09B9">
        <w:rPr>
          <w:lang w:eastAsia="ja-JP"/>
        </w:rPr>
        <w:t>riteria</w:t>
      </w:r>
      <w:r w:rsidR="005B5CA7">
        <w:rPr>
          <w:lang w:eastAsia="ja-JP"/>
        </w:rPr>
        <w:t xml:space="preserve"> includes:</w:t>
      </w:r>
    </w:p>
    <w:p w14:paraId="79154BDF" w14:textId="5D70E5BA" w:rsidR="00BA5B14" w:rsidRPr="00BE09B9" w:rsidRDefault="00BA5B14" w:rsidP="00797E57">
      <w:pPr>
        <w:pStyle w:val="ListBullet"/>
        <w:rPr>
          <w:lang w:eastAsia="ja-JP"/>
        </w:rPr>
      </w:pPr>
      <w:r w:rsidRPr="00BE09B9">
        <w:rPr>
          <w:lang w:eastAsia="ja-JP"/>
        </w:rPr>
        <w:t xml:space="preserve">Female study participant who was breastfeeding, pregnant, or planned to become pregnant during the study or within 20 weeks following the final dose of </w:t>
      </w:r>
      <w:r w:rsidR="003F1DAD">
        <w:rPr>
          <w:lang w:eastAsia="ja-JP"/>
        </w:rPr>
        <w:t>i</w:t>
      </w:r>
      <w:r w:rsidR="003F1DAD" w:rsidRPr="003F1DAD">
        <w:rPr>
          <w:lang w:eastAsia="ja-JP"/>
        </w:rPr>
        <w:t xml:space="preserve">nvestigational </w:t>
      </w:r>
      <w:r w:rsidR="003F1DAD">
        <w:rPr>
          <w:lang w:eastAsia="ja-JP"/>
        </w:rPr>
        <w:t>m</w:t>
      </w:r>
      <w:r w:rsidR="003F1DAD" w:rsidRPr="003F1DAD">
        <w:rPr>
          <w:lang w:eastAsia="ja-JP"/>
        </w:rPr>
        <w:t xml:space="preserve">edicinal </w:t>
      </w:r>
      <w:r w:rsidR="003F1DAD">
        <w:rPr>
          <w:lang w:eastAsia="ja-JP"/>
        </w:rPr>
        <w:t>p</w:t>
      </w:r>
      <w:r w:rsidR="003F1DAD" w:rsidRPr="003F1DAD">
        <w:rPr>
          <w:lang w:eastAsia="ja-JP"/>
        </w:rPr>
        <w:t>roduc</w:t>
      </w:r>
      <w:r w:rsidR="003F1DAD">
        <w:rPr>
          <w:lang w:eastAsia="ja-JP"/>
        </w:rPr>
        <w:t>t (IMP)</w:t>
      </w:r>
      <w:r w:rsidRPr="00BE09B9">
        <w:rPr>
          <w:lang w:eastAsia="ja-JP"/>
        </w:rPr>
        <w:t>.</w:t>
      </w:r>
    </w:p>
    <w:p w14:paraId="410C94C9" w14:textId="2EF92443" w:rsidR="00BA5B14" w:rsidRPr="00BE09B9" w:rsidRDefault="00BA5B14" w:rsidP="00797E57">
      <w:pPr>
        <w:pStyle w:val="ListBullet"/>
        <w:rPr>
          <w:lang w:eastAsia="ja-JP"/>
        </w:rPr>
      </w:pPr>
      <w:r w:rsidRPr="00BE09B9">
        <w:rPr>
          <w:lang w:eastAsia="ja-JP"/>
        </w:rPr>
        <w:t xml:space="preserve">Study participant had previously participated in a </w:t>
      </w:r>
      <w:proofErr w:type="spellStart"/>
      <w:r w:rsidRPr="00BE09B9">
        <w:rPr>
          <w:lang w:eastAsia="ja-JP"/>
        </w:rPr>
        <w:t>bimekizumab</w:t>
      </w:r>
      <w:proofErr w:type="spellEnd"/>
      <w:r w:rsidRPr="00BE09B9">
        <w:rPr>
          <w:lang w:eastAsia="ja-JP"/>
        </w:rPr>
        <w:t xml:space="preserve"> clinical study who received at least </w:t>
      </w:r>
      <w:r w:rsidR="003F1DAD">
        <w:rPr>
          <w:lang w:eastAsia="ja-JP"/>
        </w:rPr>
        <w:t>one</w:t>
      </w:r>
      <w:r w:rsidRPr="00BE09B9">
        <w:rPr>
          <w:lang w:eastAsia="ja-JP"/>
        </w:rPr>
        <w:t xml:space="preserve"> dose of the IMP (including placebo).</w:t>
      </w:r>
    </w:p>
    <w:p w14:paraId="1AB4B6B8" w14:textId="55C5B87C" w:rsidR="00BA5B14" w:rsidRPr="00BE09B9" w:rsidRDefault="00BA5B14" w:rsidP="00797E57">
      <w:pPr>
        <w:pStyle w:val="ListBullet"/>
        <w:rPr>
          <w:lang w:eastAsia="ja-JP"/>
        </w:rPr>
      </w:pPr>
      <w:r w:rsidRPr="00BE09B9">
        <w:rPr>
          <w:lang w:eastAsia="ja-JP"/>
        </w:rPr>
        <w:t xml:space="preserve">Study participant was currently participating in another study of a medication (systemic) under investigation. Study participant must have been washed out of the medication for 12 weeks or at least </w:t>
      </w:r>
      <w:r w:rsidR="009A79C6">
        <w:rPr>
          <w:lang w:eastAsia="ja-JP"/>
        </w:rPr>
        <w:t>five</w:t>
      </w:r>
      <w:r w:rsidRPr="00BE09B9">
        <w:rPr>
          <w:lang w:eastAsia="ja-JP"/>
        </w:rPr>
        <w:t xml:space="preserve"> </w:t>
      </w:r>
      <w:proofErr w:type="spellStart"/>
      <w:r w:rsidRPr="00BE09B9">
        <w:rPr>
          <w:lang w:eastAsia="ja-JP"/>
        </w:rPr>
        <w:t>half</w:t>
      </w:r>
      <w:r w:rsidR="009A79C6">
        <w:rPr>
          <w:lang w:eastAsia="ja-JP"/>
        </w:rPr>
        <w:t xml:space="preserve"> </w:t>
      </w:r>
      <w:r w:rsidRPr="00BE09B9">
        <w:rPr>
          <w:lang w:eastAsia="ja-JP"/>
        </w:rPr>
        <w:t>lives</w:t>
      </w:r>
      <w:proofErr w:type="spellEnd"/>
      <w:r w:rsidRPr="00BE09B9">
        <w:rPr>
          <w:lang w:eastAsia="ja-JP"/>
        </w:rPr>
        <w:t xml:space="preserve"> prior to the Baseline </w:t>
      </w:r>
      <w:r w:rsidR="009A79C6">
        <w:rPr>
          <w:lang w:eastAsia="ja-JP"/>
        </w:rPr>
        <w:t>v</w:t>
      </w:r>
      <w:r w:rsidRPr="00BE09B9">
        <w:rPr>
          <w:lang w:eastAsia="ja-JP"/>
        </w:rPr>
        <w:t>isit, whichever was greater.</w:t>
      </w:r>
    </w:p>
    <w:p w14:paraId="21D26033" w14:textId="55085D26" w:rsidR="00BA5B14" w:rsidRPr="00BE09B9" w:rsidRDefault="00BA5B14" w:rsidP="00797E57">
      <w:pPr>
        <w:pStyle w:val="ListBullet"/>
        <w:rPr>
          <w:lang w:eastAsia="ja-JP"/>
        </w:rPr>
      </w:pPr>
      <w:r w:rsidRPr="00BE09B9">
        <w:rPr>
          <w:lang w:eastAsia="ja-JP"/>
        </w:rPr>
        <w:lastRenderedPageBreak/>
        <w:t xml:space="preserve">Study participant was currently participating in another study of a topical medication under investigation. Study participant must have been washed out of the medication for </w:t>
      </w:r>
      <w:r w:rsidR="009A79C6">
        <w:rPr>
          <w:lang w:eastAsia="ja-JP"/>
        </w:rPr>
        <w:t>four</w:t>
      </w:r>
      <w:r w:rsidRPr="00BE09B9">
        <w:rPr>
          <w:lang w:eastAsia="ja-JP"/>
        </w:rPr>
        <w:t xml:space="preserve"> weeks prior to the Baseline </w:t>
      </w:r>
      <w:r w:rsidR="009A79C6">
        <w:rPr>
          <w:lang w:eastAsia="ja-JP"/>
        </w:rPr>
        <w:t>v</w:t>
      </w:r>
      <w:r w:rsidRPr="00BE09B9">
        <w:rPr>
          <w:lang w:eastAsia="ja-JP"/>
        </w:rPr>
        <w:t xml:space="preserve">isit. </w:t>
      </w:r>
    </w:p>
    <w:p w14:paraId="1EC15694" w14:textId="5519D712" w:rsidR="00BA5B14" w:rsidRPr="00BE09B9" w:rsidRDefault="00BA5B14" w:rsidP="00797E57">
      <w:pPr>
        <w:pStyle w:val="ListBullet"/>
        <w:rPr>
          <w:lang w:eastAsia="ja-JP"/>
        </w:rPr>
      </w:pPr>
      <w:r w:rsidRPr="00BE09B9">
        <w:rPr>
          <w:lang w:eastAsia="ja-JP"/>
        </w:rPr>
        <w:t xml:space="preserve">Study participant was currently or was within the </w:t>
      </w:r>
      <w:r w:rsidR="009A79C6">
        <w:rPr>
          <w:lang w:eastAsia="ja-JP"/>
        </w:rPr>
        <w:t>four</w:t>
      </w:r>
      <w:r w:rsidRPr="00BE09B9">
        <w:rPr>
          <w:lang w:eastAsia="ja-JP"/>
        </w:rPr>
        <w:t xml:space="preserve"> weeks prior to the Baseline </w:t>
      </w:r>
      <w:r w:rsidR="009A79C6">
        <w:rPr>
          <w:lang w:eastAsia="ja-JP"/>
        </w:rPr>
        <w:t>v</w:t>
      </w:r>
      <w:r w:rsidRPr="00BE09B9">
        <w:rPr>
          <w:lang w:eastAsia="ja-JP"/>
        </w:rPr>
        <w:t>isit, participating in another study of a medical device under investigation.</w:t>
      </w:r>
    </w:p>
    <w:p w14:paraId="7A231B44" w14:textId="5B5CA714" w:rsidR="00BA5B14" w:rsidRPr="00BE09B9" w:rsidRDefault="00BA5B14" w:rsidP="00797E57">
      <w:pPr>
        <w:pStyle w:val="ListBullet"/>
        <w:rPr>
          <w:lang w:eastAsia="ja-JP"/>
        </w:rPr>
      </w:pPr>
      <w:r w:rsidRPr="00BE09B9">
        <w:rPr>
          <w:lang w:eastAsia="ja-JP"/>
        </w:rPr>
        <w:t xml:space="preserve">Study participant had a known hypersensitivity to any excipients of </w:t>
      </w:r>
      <w:proofErr w:type="spellStart"/>
      <w:r w:rsidRPr="00BE09B9">
        <w:rPr>
          <w:lang w:eastAsia="ja-JP"/>
        </w:rPr>
        <w:t>bimekizumab</w:t>
      </w:r>
      <w:proofErr w:type="spellEnd"/>
      <w:r w:rsidRPr="00BE09B9">
        <w:rPr>
          <w:lang w:eastAsia="ja-JP"/>
        </w:rPr>
        <w:t xml:space="preserve"> or adalimumab.</w:t>
      </w:r>
    </w:p>
    <w:p w14:paraId="2FDA060D" w14:textId="66D76635" w:rsidR="00BA5B14" w:rsidRPr="00BE09B9" w:rsidRDefault="00BA5B14" w:rsidP="00797E57">
      <w:pPr>
        <w:pStyle w:val="ListBullet"/>
        <w:rPr>
          <w:lang w:eastAsia="ja-JP"/>
        </w:rPr>
      </w:pPr>
      <w:r w:rsidRPr="00BE09B9">
        <w:rPr>
          <w:lang w:eastAsia="ja-JP"/>
        </w:rPr>
        <w:t xml:space="preserve">Study participant had a form of </w:t>
      </w:r>
      <w:r w:rsidR="008B40FD">
        <w:rPr>
          <w:lang w:eastAsia="ja-JP"/>
        </w:rPr>
        <w:t>psoriasis</w:t>
      </w:r>
      <w:r w:rsidRPr="00BE09B9">
        <w:rPr>
          <w:lang w:eastAsia="ja-JP"/>
        </w:rPr>
        <w:t xml:space="preserve"> other than chronic plaque</w:t>
      </w:r>
      <w:r w:rsidR="009A79C6">
        <w:rPr>
          <w:lang w:eastAsia="ja-JP"/>
        </w:rPr>
        <w:t xml:space="preserve"> </w:t>
      </w:r>
      <w:r w:rsidRPr="00BE09B9">
        <w:rPr>
          <w:lang w:eastAsia="ja-JP"/>
        </w:rPr>
        <w:t>type (</w:t>
      </w:r>
      <w:r w:rsidR="009A79C6">
        <w:rPr>
          <w:lang w:eastAsia="ja-JP"/>
        </w:rPr>
        <w:t>for example</w:t>
      </w:r>
      <w:r w:rsidRPr="00BE09B9">
        <w:rPr>
          <w:lang w:eastAsia="ja-JP"/>
        </w:rPr>
        <w:t xml:space="preserve">, pustular, erythrodermic and guttate </w:t>
      </w:r>
      <w:r w:rsidR="008B40FD">
        <w:rPr>
          <w:lang w:eastAsia="ja-JP"/>
        </w:rPr>
        <w:t>psoriasis</w:t>
      </w:r>
      <w:r w:rsidRPr="00BE09B9">
        <w:rPr>
          <w:lang w:eastAsia="ja-JP"/>
        </w:rPr>
        <w:t>, or drug</w:t>
      </w:r>
      <w:r w:rsidR="009A79C6">
        <w:rPr>
          <w:lang w:eastAsia="ja-JP"/>
        </w:rPr>
        <w:t xml:space="preserve"> </w:t>
      </w:r>
      <w:r w:rsidRPr="00BE09B9">
        <w:rPr>
          <w:lang w:eastAsia="ja-JP"/>
        </w:rPr>
        <w:t xml:space="preserve">induced </w:t>
      </w:r>
      <w:r w:rsidR="008B40FD">
        <w:rPr>
          <w:lang w:eastAsia="ja-JP"/>
        </w:rPr>
        <w:t>psoriasis</w:t>
      </w:r>
      <w:r w:rsidRPr="00BE09B9">
        <w:rPr>
          <w:lang w:eastAsia="ja-JP"/>
        </w:rPr>
        <w:t>).</w:t>
      </w:r>
    </w:p>
    <w:p w14:paraId="5A26EE6C" w14:textId="77777777" w:rsidR="00BA5B14" w:rsidRPr="00BE09B9" w:rsidRDefault="00BA5B14" w:rsidP="00797E57">
      <w:pPr>
        <w:pStyle w:val="ListBullet"/>
        <w:rPr>
          <w:lang w:eastAsia="ja-JP"/>
        </w:rPr>
      </w:pPr>
      <w:r w:rsidRPr="00BE09B9">
        <w:rPr>
          <w:lang w:eastAsia="ja-JP"/>
        </w:rPr>
        <w:t xml:space="preserve">Study participant had an active infection or history of infection(s) as follows: </w:t>
      </w:r>
    </w:p>
    <w:p w14:paraId="22958CF0" w14:textId="77777777" w:rsidR="00BA5B14" w:rsidRPr="00BE09B9" w:rsidRDefault="00BA5B14" w:rsidP="00797E57">
      <w:pPr>
        <w:pStyle w:val="ListBullet2"/>
        <w:rPr>
          <w:lang w:eastAsia="ja-JP"/>
        </w:rPr>
      </w:pPr>
      <w:r w:rsidRPr="00BE09B9">
        <w:rPr>
          <w:lang w:eastAsia="ja-JP"/>
        </w:rPr>
        <w:t xml:space="preserve">Any active infection (except common cold) within 14 days prior to Baseline. </w:t>
      </w:r>
    </w:p>
    <w:p w14:paraId="3B15DF91" w14:textId="57BA729F" w:rsidR="00BA5B14" w:rsidRPr="00797E57" w:rsidRDefault="00BA5B14" w:rsidP="00797E57">
      <w:pPr>
        <w:pStyle w:val="ListBullet2"/>
        <w:rPr>
          <w:lang w:eastAsia="ja-JP"/>
        </w:rPr>
      </w:pPr>
      <w:r w:rsidRPr="00BE09B9">
        <w:rPr>
          <w:lang w:eastAsia="ja-JP"/>
        </w:rPr>
        <w:t xml:space="preserve">A serious infection, defined as requiring hospitalization or iv anti-infective(s) within </w:t>
      </w:r>
      <w:r w:rsidR="009A79C6">
        <w:rPr>
          <w:lang w:eastAsia="ja-JP"/>
        </w:rPr>
        <w:t>two</w:t>
      </w:r>
      <w:r w:rsidRPr="00BE09B9">
        <w:rPr>
          <w:lang w:eastAsia="ja-JP"/>
        </w:rPr>
        <w:t xml:space="preserve"> months </w:t>
      </w:r>
      <w:r w:rsidRPr="00797E57">
        <w:rPr>
          <w:lang w:eastAsia="ja-JP"/>
        </w:rPr>
        <w:t xml:space="preserve">prior to the Baseline </w:t>
      </w:r>
      <w:r w:rsidR="009A79C6">
        <w:rPr>
          <w:lang w:eastAsia="ja-JP"/>
        </w:rPr>
        <w:t>v</w:t>
      </w:r>
      <w:r w:rsidRPr="00797E57">
        <w:rPr>
          <w:lang w:eastAsia="ja-JP"/>
        </w:rPr>
        <w:t>isit.</w:t>
      </w:r>
    </w:p>
    <w:p w14:paraId="1E89BDAE" w14:textId="7E9AE435" w:rsidR="00BA5B14" w:rsidRPr="00797E57" w:rsidRDefault="00BA5B14" w:rsidP="00797E57">
      <w:pPr>
        <w:pStyle w:val="ListBullet2"/>
        <w:rPr>
          <w:lang w:eastAsia="ja-JP"/>
        </w:rPr>
      </w:pPr>
      <w:r w:rsidRPr="00BE09B9">
        <w:rPr>
          <w:lang w:eastAsia="ja-JP"/>
        </w:rPr>
        <w:t xml:space="preserve">A history of opportunistic, recurrent, or chronic infections that, in the opinion of the Investigator, </w:t>
      </w:r>
      <w:r w:rsidRPr="00797E57">
        <w:rPr>
          <w:lang w:eastAsia="ja-JP"/>
        </w:rPr>
        <w:t>might have caused this study to be detrimental to the study participant. Opportunistic infections were infections caused by uncommon pathogens (</w:t>
      </w:r>
      <w:r w:rsidR="009A79C6">
        <w:rPr>
          <w:lang w:eastAsia="ja-JP"/>
        </w:rPr>
        <w:t>for example</w:t>
      </w:r>
      <w:r w:rsidRPr="00797E57">
        <w:rPr>
          <w:lang w:eastAsia="ja-JP"/>
        </w:rPr>
        <w:t xml:space="preserve">, pneumocystis </w:t>
      </w:r>
      <w:proofErr w:type="spellStart"/>
      <w:r w:rsidRPr="00797E57">
        <w:rPr>
          <w:lang w:eastAsia="ja-JP"/>
        </w:rPr>
        <w:t>jirovicii</w:t>
      </w:r>
      <w:proofErr w:type="spellEnd"/>
      <w:r w:rsidRPr="00797E57">
        <w:rPr>
          <w:lang w:eastAsia="ja-JP"/>
        </w:rPr>
        <w:t>, cryptococcosis) or unusually severe infections caused by common pathogens (</w:t>
      </w:r>
      <w:r w:rsidR="009A79C6">
        <w:rPr>
          <w:lang w:eastAsia="ja-JP"/>
        </w:rPr>
        <w:t>for example</w:t>
      </w:r>
      <w:r w:rsidRPr="00797E57">
        <w:rPr>
          <w:lang w:eastAsia="ja-JP"/>
        </w:rPr>
        <w:t>, cytomegalovirus, herpes zoster).</w:t>
      </w:r>
    </w:p>
    <w:p w14:paraId="253E793E" w14:textId="1BD22965" w:rsidR="00BA5B14" w:rsidRPr="00BE09B9" w:rsidRDefault="00BA5B14" w:rsidP="00797E57">
      <w:pPr>
        <w:pStyle w:val="ListBullet"/>
      </w:pPr>
      <w:r w:rsidRPr="00BE09B9">
        <w:rPr>
          <w:lang w:eastAsia="ja-JP"/>
        </w:rPr>
        <w:t xml:space="preserve">Study participant had concurrent acute or chronic viral hepatitis B or C or human immunodeficiency virus (HIV) infection. Study participants who had evidence of or tested positive for hepatitis B or hepatitis C were excluded. A positive test for the hepatitis B virus was defined as: 1) positive for hepatitis B surface antigen (HBsAg+) or 2) positive for </w:t>
      </w:r>
      <w:r w:rsidRPr="00BE09B9">
        <w:t>anti-hepatitis B core antibody (</w:t>
      </w:r>
      <w:proofErr w:type="spellStart"/>
      <w:r w:rsidRPr="00BE09B9">
        <w:t>HBcAb</w:t>
      </w:r>
      <w:proofErr w:type="spellEnd"/>
      <w:r w:rsidRPr="00BE09B9">
        <w:t>+). A positive test for the hepatitis C virus (HCV) was defined as: 1) positive for hepatitis C antibody (anti-HCV Ab) and 2) positive via a confirmatory test for HCV (for example, HCV polymerase chain reaction).</w:t>
      </w:r>
    </w:p>
    <w:p w14:paraId="68BE041E" w14:textId="2654BC8D" w:rsidR="00BA5B14" w:rsidRPr="00BE09B9" w:rsidRDefault="00BA5B14" w:rsidP="00797E57">
      <w:pPr>
        <w:pStyle w:val="ListBullet"/>
      </w:pPr>
      <w:r w:rsidRPr="00BE09B9">
        <w:t>Study participant had received any live (includes attenuated) vaccination within the 8 weeks prior to the Baseline visit (</w:t>
      </w:r>
      <w:r w:rsidR="009A79C6">
        <w:t>for example</w:t>
      </w:r>
      <w:r w:rsidRPr="00BE09B9">
        <w:t xml:space="preserve">, inactivated influenza and pneumococcal vaccines were allowed but nasal influenza vaccination was not permitted). </w:t>
      </w:r>
    </w:p>
    <w:p w14:paraId="5CB0EB1F" w14:textId="044FBBA6" w:rsidR="00BA5B14" w:rsidRPr="00BE09B9" w:rsidRDefault="00BA5B14" w:rsidP="00797E57">
      <w:pPr>
        <w:pStyle w:val="ListBullet"/>
      </w:pPr>
      <w:r w:rsidRPr="00BE09B9">
        <w:t xml:space="preserve">Study participant had received Bacillus Calmette-Guerin vaccinations within </w:t>
      </w:r>
      <w:r w:rsidR="009A79C6">
        <w:t>one</w:t>
      </w:r>
      <w:r w:rsidRPr="00BE09B9">
        <w:t xml:space="preserve"> year prior to the Baseline </w:t>
      </w:r>
      <w:r w:rsidR="009A79C6">
        <w:t>v</w:t>
      </w:r>
      <w:r w:rsidRPr="00BE09B9">
        <w:t xml:space="preserve">isit. </w:t>
      </w:r>
    </w:p>
    <w:p w14:paraId="0A38DBEE" w14:textId="7040DBB7" w:rsidR="00BA5B14" w:rsidRPr="00B00EEA" w:rsidRDefault="00BA5B14" w:rsidP="00797E57">
      <w:pPr>
        <w:pStyle w:val="ListBullet"/>
      </w:pPr>
      <w:r w:rsidRPr="00B00EEA">
        <w:t xml:space="preserve">Study participant had known tuberculosis infection, was at high risk of acquiring </w:t>
      </w:r>
      <w:r w:rsidR="009A79C6" w:rsidRPr="00B00EEA">
        <w:t>tuberculosis</w:t>
      </w:r>
      <w:r w:rsidRPr="00B00EEA">
        <w:t xml:space="preserve"> infection, or had current or history of nontuberculous mycobacterium infection. A study participant with </w:t>
      </w:r>
      <w:r w:rsidR="009A79C6">
        <w:t xml:space="preserve">latent </w:t>
      </w:r>
      <w:r w:rsidR="009A79C6" w:rsidRPr="00B00EEA">
        <w:t xml:space="preserve">tuberculosis </w:t>
      </w:r>
      <w:r w:rsidRPr="00B00EEA">
        <w:t xml:space="preserve">(a positive interferon-gamma release assay and diagnosis confirmed by </w:t>
      </w:r>
      <w:r w:rsidR="009A79C6" w:rsidRPr="00B00EEA">
        <w:t>tuberculosis</w:t>
      </w:r>
      <w:r w:rsidRPr="00B00EEA">
        <w:t xml:space="preserve"> specialist) may have been rescreened once and enrolled after receiving at least 8 weeks of appropriate </w:t>
      </w:r>
      <w:r w:rsidR="009A79C6">
        <w:t xml:space="preserve">latent </w:t>
      </w:r>
      <w:r w:rsidR="009A79C6" w:rsidRPr="00B00EEA">
        <w:t>tuberculosis</w:t>
      </w:r>
      <w:r w:rsidRPr="00B00EEA">
        <w:t xml:space="preserve"> infection therapy and if no evidence of therapy-related hepatotoxicity had occurred prior to the first injection (alanine aminotransferase/aspartate aminotransferase remain </w:t>
      </w:r>
      <w:r w:rsidR="009A79C6">
        <w:t>three</w:t>
      </w:r>
      <w:r w:rsidRPr="00B00EEA">
        <w:t xml:space="preserve"> times upper limit of normal [ULN]).</w:t>
      </w:r>
    </w:p>
    <w:p w14:paraId="425A00DE" w14:textId="1713E456" w:rsidR="00BA5B14" w:rsidRPr="00B00EEA" w:rsidRDefault="00BA5B14" w:rsidP="00797E57">
      <w:pPr>
        <w:pStyle w:val="ListBullet"/>
      </w:pPr>
      <w:r w:rsidRPr="00B00EEA">
        <w:t xml:space="preserve">Study participant had </w:t>
      </w:r>
      <w:proofErr w:type="gramStart"/>
      <w:r w:rsidRPr="00B00EEA">
        <w:t>a past history</w:t>
      </w:r>
      <w:proofErr w:type="gramEnd"/>
      <w:r w:rsidRPr="00B00EEA">
        <w:t xml:space="preserve"> of active </w:t>
      </w:r>
      <w:r w:rsidR="009A79C6" w:rsidRPr="00B00EEA">
        <w:t>tuberculosis</w:t>
      </w:r>
      <w:r w:rsidRPr="00B00EEA">
        <w:t xml:space="preserve"> involving any organ system unless adequately treated according to World Health Organization/</w:t>
      </w:r>
      <w:proofErr w:type="spellStart"/>
      <w:r w:rsidRPr="00B00EEA">
        <w:t>Centers</w:t>
      </w:r>
      <w:proofErr w:type="spellEnd"/>
      <w:r w:rsidRPr="00B00EEA">
        <w:t xml:space="preserve"> for Disease Control therapeutic guidance and proven to be fully recovered upon consult with a </w:t>
      </w:r>
      <w:r w:rsidR="009A79C6" w:rsidRPr="00B00EEA">
        <w:t xml:space="preserve">tuberculosis </w:t>
      </w:r>
      <w:r w:rsidRPr="00B00EEA">
        <w:t>specialist.</w:t>
      </w:r>
    </w:p>
    <w:p w14:paraId="11E02276" w14:textId="712B7B20" w:rsidR="00BA5B14" w:rsidRPr="00B00EEA" w:rsidRDefault="00BA5B14" w:rsidP="00797E57">
      <w:pPr>
        <w:pStyle w:val="ListBullet"/>
      </w:pPr>
      <w:r w:rsidRPr="00B00EEA">
        <w:t>Study participant had a history of a lymphoproliferative disorder including lymphoma or current signs and symptoms suggestive of lymphoproliferative disease.</w:t>
      </w:r>
    </w:p>
    <w:p w14:paraId="5E96CC3A" w14:textId="2940F4E8" w:rsidR="00BA5B14" w:rsidRPr="00B00EEA" w:rsidRDefault="00BA5B14" w:rsidP="00797E57">
      <w:pPr>
        <w:pStyle w:val="ListBullet"/>
      </w:pPr>
      <w:r w:rsidRPr="00B00EEA">
        <w:lastRenderedPageBreak/>
        <w:t xml:space="preserve">Study participant had any active malignancy or history of malignancy within </w:t>
      </w:r>
      <w:r w:rsidR="009A79C6">
        <w:t>five</w:t>
      </w:r>
      <w:r w:rsidRPr="00B00EEA">
        <w:t xml:space="preserve"> years prior to the </w:t>
      </w:r>
      <w:r w:rsidR="009A79C6">
        <w:t>s</w:t>
      </w:r>
      <w:r w:rsidRPr="00B00EEA">
        <w:t xml:space="preserve">creening </w:t>
      </w:r>
      <w:r w:rsidR="009A79C6">
        <w:t>v</w:t>
      </w:r>
      <w:r w:rsidRPr="00B00EEA">
        <w:t xml:space="preserve">isit </w:t>
      </w:r>
      <w:r w:rsidR="009A79C6">
        <w:t>except</w:t>
      </w:r>
      <w:r w:rsidRPr="00B00EEA">
        <w:t xml:space="preserve"> treated and considered cured cutaneous squamous or basal cell carcinoma, or </w:t>
      </w:r>
      <w:r w:rsidRPr="009A79C6">
        <w:rPr>
          <w:i/>
          <w:iCs/>
        </w:rPr>
        <w:t>in situ</w:t>
      </w:r>
      <w:r w:rsidRPr="00B00EEA">
        <w:t xml:space="preserve"> cervical cancer. </w:t>
      </w:r>
    </w:p>
    <w:p w14:paraId="5A25B239" w14:textId="566AF092" w:rsidR="00BA5B14" w:rsidRPr="00B00EEA" w:rsidRDefault="00BA5B14" w:rsidP="00797E57">
      <w:pPr>
        <w:pStyle w:val="ListBullet"/>
      </w:pPr>
      <w:r w:rsidRPr="00B00EEA">
        <w:t xml:space="preserve">Study participant had a diagnosis of inflammatory conditions other than </w:t>
      </w:r>
      <w:r w:rsidR="008B40FD">
        <w:t>psoriasis</w:t>
      </w:r>
      <w:r w:rsidRPr="00B00EEA">
        <w:t xml:space="preserve"> or </w:t>
      </w:r>
      <w:r w:rsidR="009A79C6">
        <w:t>p</w:t>
      </w:r>
      <w:r w:rsidR="009A79C6" w:rsidRPr="009A79C6">
        <w:t>soriatic arthritis</w:t>
      </w:r>
      <w:r w:rsidRPr="00B00EEA">
        <w:t xml:space="preserve">, including but not limited to rheumatoid arthritis, sarcoidosis, or systemic lupus erythematosus. Study participants with a diagnosis of Crohn's disease or ulcerative colitis were allowed </w:t>
      </w:r>
      <w:proofErr w:type="gramStart"/>
      <w:r w:rsidRPr="00B00EEA">
        <w:t>as long as</w:t>
      </w:r>
      <w:proofErr w:type="gramEnd"/>
      <w:r w:rsidRPr="00B00EEA">
        <w:t xml:space="preserve"> they had no active symptomatic disease at Screening or Baseline. </w:t>
      </w:r>
    </w:p>
    <w:p w14:paraId="733316C9" w14:textId="71C2495D" w:rsidR="00BA5B14" w:rsidRPr="00B00EEA" w:rsidRDefault="00BA5B14" w:rsidP="00797E57">
      <w:pPr>
        <w:pStyle w:val="ListBullet"/>
      </w:pPr>
      <w:r w:rsidRPr="00B00EEA">
        <w:t xml:space="preserve">Study participant had major surgery (including joint surgery) within the </w:t>
      </w:r>
      <w:r w:rsidR="009A79C6">
        <w:t>three</w:t>
      </w:r>
      <w:r w:rsidRPr="00B00EEA">
        <w:t xml:space="preserve"> months prior to the Baseline </w:t>
      </w:r>
      <w:r w:rsidR="009A79C6">
        <w:t>v</w:t>
      </w:r>
      <w:r w:rsidRPr="00B00EEA">
        <w:t xml:space="preserve">isit or planned major surgery within </w:t>
      </w:r>
      <w:r w:rsidR="009A79C6">
        <w:t>six</w:t>
      </w:r>
      <w:r w:rsidRPr="00B00EEA">
        <w:t xml:space="preserve"> months after entering the study.</w:t>
      </w:r>
    </w:p>
    <w:p w14:paraId="09FE144F" w14:textId="489A1C13" w:rsidR="00BA5B14" w:rsidRPr="00B00EEA" w:rsidRDefault="00BA5B14" w:rsidP="00797E57">
      <w:pPr>
        <w:pStyle w:val="ListBullet"/>
      </w:pPr>
      <w:r w:rsidRPr="00B00EEA">
        <w:t>Study participant had any systemic disease (</w:t>
      </w:r>
      <w:r w:rsidR="009A79C6">
        <w:t>that is</w:t>
      </w:r>
      <w:r w:rsidRPr="00B00EEA">
        <w:t xml:space="preserve"> cardiovascular</w:t>
      </w:r>
      <w:r w:rsidR="009A79C6">
        <w:t>,</w:t>
      </w:r>
      <w:r w:rsidRPr="00B00EEA">
        <w:t xml:space="preserve"> neurological, renal, liver, metabolic, gastrointestinal, </w:t>
      </w:r>
      <w:r w:rsidR="00764B75" w:rsidRPr="00B00EEA">
        <w:t>haematological</w:t>
      </w:r>
      <w:r w:rsidRPr="00B00EEA">
        <w:t xml:space="preserve">, </w:t>
      </w:r>
      <w:proofErr w:type="gramStart"/>
      <w:r w:rsidRPr="00B00EEA">
        <w:t>immunological</w:t>
      </w:r>
      <w:proofErr w:type="gramEnd"/>
      <w:r w:rsidR="009A79C6">
        <w:t xml:space="preserve"> and more</w:t>
      </w:r>
      <w:r w:rsidRPr="00B00EEA">
        <w:t xml:space="preserve">) considered by the </w:t>
      </w:r>
      <w:r w:rsidR="009A79C6">
        <w:t>i</w:t>
      </w:r>
      <w:r w:rsidRPr="00B00EEA">
        <w:t>nvestigator to be uncontrolled, unstable, or likely to progress to a clinically significant degree during the course of the study.</w:t>
      </w:r>
    </w:p>
    <w:p w14:paraId="735DD4C4" w14:textId="78BB7FF7" w:rsidR="00BA5B14" w:rsidRPr="00B00EEA" w:rsidRDefault="00BA5B14" w:rsidP="00797E57">
      <w:pPr>
        <w:pStyle w:val="ListBullet"/>
      </w:pPr>
      <w:r w:rsidRPr="00B00EEA">
        <w:t xml:space="preserve">Study participant had a myocardial infarction or stroke within the </w:t>
      </w:r>
      <w:r w:rsidR="009A79C6">
        <w:t>six</w:t>
      </w:r>
      <w:r w:rsidRPr="00B00EEA">
        <w:t xml:space="preserve"> months prior to the </w:t>
      </w:r>
      <w:r w:rsidR="009A79C6">
        <w:t>s</w:t>
      </w:r>
      <w:r w:rsidRPr="00B00EEA">
        <w:t xml:space="preserve">creening </w:t>
      </w:r>
      <w:r w:rsidR="009A79C6">
        <w:t>v</w:t>
      </w:r>
      <w:r w:rsidRPr="00B00EEA">
        <w:t xml:space="preserve">isit. </w:t>
      </w:r>
    </w:p>
    <w:p w14:paraId="71B85AA3" w14:textId="5EA99D9D" w:rsidR="00BA5B14" w:rsidRPr="00B00EEA" w:rsidRDefault="00BA5B14" w:rsidP="00797E57">
      <w:pPr>
        <w:pStyle w:val="ListBullet"/>
      </w:pPr>
      <w:r w:rsidRPr="00B00EEA">
        <w:t xml:space="preserve">Study participant had laboratory abnormalities at </w:t>
      </w:r>
      <w:r w:rsidR="009A79C6">
        <w:t>s</w:t>
      </w:r>
      <w:r w:rsidRPr="00B00EEA">
        <w:t>creening, including any of the following:</w:t>
      </w:r>
    </w:p>
    <w:p w14:paraId="487A0DBC" w14:textId="3FABFDFE" w:rsidR="00BA5B14" w:rsidRPr="00B00EEA" w:rsidRDefault="009A79C6" w:rsidP="00797E57">
      <w:pPr>
        <w:pStyle w:val="ListBullet2"/>
      </w:pPr>
      <w:r>
        <w:t>Greater than</w:t>
      </w:r>
      <w:r w:rsidR="00797E57">
        <w:t xml:space="preserve"> </w:t>
      </w:r>
      <w:r>
        <w:t>three times the</w:t>
      </w:r>
      <w:r w:rsidR="00BA5B14" w:rsidRPr="00B00EEA">
        <w:t xml:space="preserve"> ULN of any of the following: </w:t>
      </w:r>
      <w:r w:rsidRPr="00B00EEA">
        <w:t>alanine aminotransferase</w:t>
      </w:r>
      <w:r w:rsidR="00BA5B14" w:rsidRPr="00B00EEA">
        <w:t xml:space="preserve">, </w:t>
      </w:r>
      <w:r w:rsidRPr="00B00EEA">
        <w:t>aspartate aminotransferase</w:t>
      </w:r>
      <w:r w:rsidR="00BA5B14" w:rsidRPr="00B00EEA">
        <w:t>, alkaline phosphatase; or</w:t>
      </w:r>
      <w:r>
        <w:t xml:space="preserve"> greater than </w:t>
      </w:r>
      <w:r w:rsidR="00BA5B14" w:rsidRPr="00B00EEA">
        <w:t>ULN total bilirubin (</w:t>
      </w:r>
      <w:proofErr w:type="gramStart"/>
      <w:r w:rsidR="00BA5B14" w:rsidRPr="00B00EEA">
        <w:t>2:l.</w:t>
      </w:r>
      <w:proofErr w:type="gramEnd"/>
      <w:r w:rsidR="00BA5B14" w:rsidRPr="00B00EEA">
        <w:t>5</w:t>
      </w:r>
      <w:r>
        <w:t xml:space="preserve"> </w:t>
      </w:r>
      <w:r w:rsidR="00BA5B14" w:rsidRPr="00B00EEA">
        <w:t>x</w:t>
      </w:r>
      <w:r>
        <w:t xml:space="preserve"> </w:t>
      </w:r>
      <w:r w:rsidR="00BA5B14" w:rsidRPr="00B00EEA">
        <w:t>ULN total bilirubin if known Gilbert's syndrome)</w:t>
      </w:r>
      <w:r>
        <w:t>.</w:t>
      </w:r>
    </w:p>
    <w:p w14:paraId="0D6DBC24" w14:textId="77136F91" w:rsidR="00BA5B14" w:rsidRPr="00B00EEA" w:rsidRDefault="00BA5B14" w:rsidP="00797E57">
      <w:pPr>
        <w:pStyle w:val="ListBullet2"/>
      </w:pPr>
      <w:r w:rsidRPr="00B00EEA">
        <w:t xml:space="preserve">White blood cell </w:t>
      </w:r>
      <w:r w:rsidR="009A79C6" w:rsidRPr="00B00EEA">
        <w:t>counts</w:t>
      </w:r>
      <w:r w:rsidRPr="00B00EEA">
        <w:t xml:space="preserve"> </w:t>
      </w:r>
      <w:r w:rsidR="009A79C6">
        <w:t>less than</w:t>
      </w:r>
      <w:r w:rsidR="00797E57">
        <w:t xml:space="preserve"> </w:t>
      </w:r>
      <w:r w:rsidRPr="00B00EEA">
        <w:t>3</w:t>
      </w:r>
      <w:r w:rsidR="009A79C6">
        <w:t xml:space="preserve"> </w:t>
      </w:r>
      <w:r w:rsidRPr="00B00EEA">
        <w:t>x</w:t>
      </w:r>
      <w:r w:rsidR="009A79C6">
        <w:t xml:space="preserve"> </w:t>
      </w:r>
      <w:r w:rsidRPr="00B00EEA">
        <w:t>10/L</w:t>
      </w:r>
      <w:r w:rsidR="009A79C6">
        <w:t>.</w:t>
      </w:r>
    </w:p>
    <w:p w14:paraId="45D7788F" w14:textId="560ACAD0" w:rsidR="00BA5B14" w:rsidRPr="00B00EEA" w:rsidRDefault="00BA5B14" w:rsidP="00797E57">
      <w:pPr>
        <w:pStyle w:val="ListBullet2"/>
      </w:pPr>
      <w:r w:rsidRPr="00B00EEA">
        <w:t>Absolute neutrophil count</w:t>
      </w:r>
      <w:r w:rsidR="009A79C6">
        <w:t>s</w:t>
      </w:r>
      <w:r w:rsidRPr="00B00EEA">
        <w:t xml:space="preserve"> </w:t>
      </w:r>
      <w:r w:rsidR="009A79C6">
        <w:t>less than</w:t>
      </w:r>
      <w:r w:rsidR="00797E57">
        <w:t xml:space="preserve"> </w:t>
      </w:r>
      <w:r w:rsidRPr="00B00EEA">
        <w:t>1.5</w:t>
      </w:r>
      <w:r w:rsidR="009A79C6">
        <w:t xml:space="preserve"> </w:t>
      </w:r>
      <w:r w:rsidRPr="00B00EEA">
        <w:t>x</w:t>
      </w:r>
      <w:r w:rsidR="009A79C6">
        <w:t xml:space="preserve"> </w:t>
      </w:r>
      <w:r w:rsidRPr="00B00EEA">
        <w:t>10%/L</w:t>
      </w:r>
      <w:r w:rsidR="009A79C6">
        <w:t>.</w:t>
      </w:r>
    </w:p>
    <w:p w14:paraId="7638EABA" w14:textId="259EBECF" w:rsidR="00BA5B14" w:rsidRPr="00B00EEA" w:rsidRDefault="00BA5B14" w:rsidP="00797E57">
      <w:pPr>
        <w:pStyle w:val="ListBullet2"/>
      </w:pPr>
      <w:r w:rsidRPr="00B00EEA">
        <w:t>Lymphocyte count</w:t>
      </w:r>
      <w:r w:rsidR="009A79C6">
        <w:t>s</w:t>
      </w:r>
      <w:r w:rsidRPr="00B00EEA">
        <w:t xml:space="preserve"> </w:t>
      </w:r>
      <w:r w:rsidR="009A79C6">
        <w:t>less than</w:t>
      </w:r>
      <w:r w:rsidR="00797E57">
        <w:t xml:space="preserve"> </w:t>
      </w:r>
      <w:r w:rsidRPr="00B00EEA">
        <w:t>500 cells/µL</w:t>
      </w:r>
      <w:r w:rsidR="009A79C6">
        <w:t>.</w:t>
      </w:r>
    </w:p>
    <w:p w14:paraId="0091C72D" w14:textId="78F805C3" w:rsidR="00BA5B14" w:rsidRPr="00B00EEA" w:rsidRDefault="00764B75" w:rsidP="00797E57">
      <w:pPr>
        <w:pStyle w:val="ListBullet2"/>
      </w:pPr>
      <w:r w:rsidRPr="00B00EEA">
        <w:t>Haemoglobin</w:t>
      </w:r>
      <w:r w:rsidR="00BA5B14" w:rsidRPr="00B00EEA">
        <w:t xml:space="preserve"> </w:t>
      </w:r>
      <w:r w:rsidR="009A79C6">
        <w:t>less than</w:t>
      </w:r>
      <w:r w:rsidR="00797E57">
        <w:t xml:space="preserve"> </w:t>
      </w:r>
      <w:r w:rsidR="00BA5B14" w:rsidRPr="00B00EEA">
        <w:t>8.5</w:t>
      </w:r>
      <w:r w:rsidR="009A79C6">
        <w:t xml:space="preserve"> </w:t>
      </w:r>
      <w:r w:rsidR="00BA5B14" w:rsidRPr="00B00EEA">
        <w:t>g/dL</w:t>
      </w:r>
      <w:r w:rsidR="009A79C6">
        <w:t>.</w:t>
      </w:r>
    </w:p>
    <w:p w14:paraId="7392C882" w14:textId="640B2CE6" w:rsidR="00BA5B14" w:rsidRPr="00B00EEA" w:rsidRDefault="00BA5B14" w:rsidP="00797E57">
      <w:pPr>
        <w:pStyle w:val="ListBullet2"/>
      </w:pPr>
      <w:r w:rsidRPr="00B00EEA">
        <w:t xml:space="preserve">Any other laboratory abnormality, which, in the opinion of the </w:t>
      </w:r>
      <w:r w:rsidR="009A79C6">
        <w:t>i</w:t>
      </w:r>
      <w:r w:rsidRPr="00B00EEA">
        <w:t>nvestigator, would have prevented the study participant from completing the study or would have interfered with the interpretation of the study results</w:t>
      </w:r>
      <w:r w:rsidR="009A79C6">
        <w:t>.</w:t>
      </w:r>
    </w:p>
    <w:p w14:paraId="61232826" w14:textId="6BCAF44D" w:rsidR="00BA5B14" w:rsidRPr="00B00EEA" w:rsidRDefault="00BA5B14" w:rsidP="00797E57">
      <w:pPr>
        <w:pStyle w:val="ListBullet2"/>
      </w:pPr>
      <w:r w:rsidRPr="00B00EEA">
        <w:t xml:space="preserve">Individual screening tests for which the results were in error, borderline, or indeterminate for inclusion in the study could have been repeated once for confirmation during the </w:t>
      </w:r>
      <w:r w:rsidR="009A79C6">
        <w:t>s</w:t>
      </w:r>
      <w:r w:rsidRPr="00B00EEA">
        <w:t xml:space="preserve">creening </w:t>
      </w:r>
      <w:r w:rsidR="009A79C6">
        <w:t>p</w:t>
      </w:r>
      <w:r w:rsidRPr="00B00EEA">
        <w:t>eriod. Upon retesting, study participants whose results remained outside this threshold should not have been randomi</w:t>
      </w:r>
      <w:r w:rsidR="009A79C6">
        <w:t>s</w:t>
      </w:r>
      <w:r w:rsidRPr="00B00EEA">
        <w:t>ed</w:t>
      </w:r>
      <w:r w:rsidR="009A79C6">
        <w:t>.</w:t>
      </w:r>
    </w:p>
    <w:p w14:paraId="1CC82807" w14:textId="47BCBE95" w:rsidR="00BA5B14" w:rsidRPr="00B00EEA" w:rsidRDefault="00BA5B14" w:rsidP="00797E57">
      <w:pPr>
        <w:pStyle w:val="ListBullet"/>
      </w:pPr>
      <w:r w:rsidRPr="00B00EEA">
        <w:t xml:space="preserve">Study participant had any other condition, including medical or psychiatric, which, in the </w:t>
      </w:r>
      <w:r w:rsidR="009A79C6">
        <w:t>i</w:t>
      </w:r>
      <w:r w:rsidRPr="00B00EEA">
        <w:t>nvestigator’s judgment made the study participant unsuitable for inclusion in the study.</w:t>
      </w:r>
    </w:p>
    <w:p w14:paraId="45B44F70" w14:textId="2EE847E6" w:rsidR="00BA5B14" w:rsidRPr="00B00EEA" w:rsidRDefault="00BA5B14" w:rsidP="00797E57">
      <w:pPr>
        <w:pStyle w:val="ListBullet"/>
      </w:pPr>
      <w:r w:rsidRPr="00B00EEA">
        <w:t>Study participant had previous exposure to adalimumab.</w:t>
      </w:r>
    </w:p>
    <w:p w14:paraId="31584CB0" w14:textId="31E5B0FA" w:rsidR="00BA5B14" w:rsidRPr="00B00EEA" w:rsidRDefault="00BA5B14" w:rsidP="00797E57">
      <w:pPr>
        <w:pStyle w:val="ListBullet"/>
      </w:pPr>
      <w:r w:rsidRPr="00B00EEA">
        <w:t xml:space="preserve">Study participant had experienced primary failure (no response within 12 </w:t>
      </w:r>
      <w:r w:rsidRPr="00764B75">
        <w:t xml:space="preserve">weeks) to </w:t>
      </w:r>
      <w:r w:rsidR="00764B75" w:rsidRPr="006E7089">
        <w:t>one</w:t>
      </w:r>
      <w:r w:rsidRPr="006E7089">
        <w:t xml:space="preserve"> </w:t>
      </w:r>
      <w:r w:rsidRPr="00B00EEA">
        <w:t>or more IL-17 biologic response modifier (</w:t>
      </w:r>
      <w:r w:rsidR="009A79C6">
        <w:t>for example</w:t>
      </w:r>
      <w:r w:rsidRPr="00B00EEA">
        <w:t xml:space="preserve">, </w:t>
      </w:r>
      <w:proofErr w:type="spellStart"/>
      <w:r w:rsidRPr="00B00EEA">
        <w:t>brodalumab</w:t>
      </w:r>
      <w:proofErr w:type="spellEnd"/>
      <w:r w:rsidRPr="00B00EEA">
        <w:t xml:space="preserve">, </w:t>
      </w:r>
      <w:proofErr w:type="spellStart"/>
      <w:r w:rsidRPr="00B00EEA">
        <w:t>ixekizumab</w:t>
      </w:r>
      <w:proofErr w:type="spellEnd"/>
      <w:r w:rsidRPr="00B00EEA">
        <w:t xml:space="preserve">, </w:t>
      </w:r>
      <w:proofErr w:type="spellStart"/>
      <w:r w:rsidRPr="00B00EEA">
        <w:t>secukinumab</w:t>
      </w:r>
      <w:proofErr w:type="spellEnd"/>
      <w:r w:rsidRPr="00B00EEA">
        <w:t xml:space="preserve">) </w:t>
      </w:r>
      <w:r w:rsidR="009A79C6">
        <w:t>or</w:t>
      </w:r>
      <w:r w:rsidRPr="00B00EEA">
        <w:t xml:space="preserve"> more than </w:t>
      </w:r>
      <w:r w:rsidRPr="009A79C6">
        <w:rPr>
          <w:rFonts w:eastAsia="Arial" w:cs="Arial"/>
          <w:bCs/>
          <w:w w:val="87"/>
        </w:rPr>
        <w:t>1</w:t>
      </w:r>
      <w:r w:rsidRPr="00B00EEA">
        <w:rPr>
          <w:rFonts w:eastAsia="Arial" w:cs="Arial"/>
          <w:b/>
          <w:w w:val="87"/>
        </w:rPr>
        <w:t xml:space="preserve"> </w:t>
      </w:r>
      <w:r w:rsidRPr="00B00EEA">
        <w:t>biologic response modifier other than an IL-17.</w:t>
      </w:r>
    </w:p>
    <w:p w14:paraId="2382BCFA" w14:textId="131731A1" w:rsidR="00BA5B14" w:rsidRPr="00B00EEA" w:rsidRDefault="00BA5B14" w:rsidP="00797E57">
      <w:pPr>
        <w:pStyle w:val="ListBullet"/>
      </w:pPr>
      <w:r w:rsidRPr="00B00EEA">
        <w:t>Study participant was taking psoriasis medications other than stable doses (</w:t>
      </w:r>
      <w:r w:rsidR="004858E7">
        <w:t>that is</w:t>
      </w:r>
      <w:r w:rsidRPr="00B00EEA">
        <w:t>, stable for at least</w:t>
      </w:r>
      <w:r w:rsidRPr="009A79C6">
        <w:rPr>
          <w:bCs/>
        </w:rPr>
        <w:t xml:space="preserve"> </w:t>
      </w:r>
      <w:r w:rsidR="003151B9" w:rsidRPr="003151B9">
        <w:t>one</w:t>
      </w:r>
      <w:r w:rsidRPr="003151B9">
        <w:t xml:space="preserve"> </w:t>
      </w:r>
      <w:r w:rsidRPr="00B00EEA">
        <w:t xml:space="preserve">week prior to the </w:t>
      </w:r>
      <w:r w:rsidR="003151B9">
        <w:t>s</w:t>
      </w:r>
      <w:r w:rsidRPr="00B00EEA">
        <w:t xml:space="preserve">creening </w:t>
      </w:r>
      <w:r w:rsidR="003151B9">
        <w:t>v</w:t>
      </w:r>
      <w:r w:rsidRPr="00B00EEA">
        <w:t>isit) of nonsteroidal anti</w:t>
      </w:r>
      <w:r w:rsidR="003151B9">
        <w:noBreakHyphen/>
      </w:r>
      <w:r w:rsidRPr="00B00EEA">
        <w:t>inflammatory drugs or analgesics</w:t>
      </w:r>
      <w:r w:rsidR="003151B9">
        <w:t>.</w:t>
      </w:r>
    </w:p>
    <w:p w14:paraId="69988FC5" w14:textId="77777777" w:rsidR="00BA5B14" w:rsidRPr="00B00EEA" w:rsidRDefault="00BA5B14" w:rsidP="00797E57">
      <w:pPr>
        <w:pStyle w:val="ListBullet"/>
      </w:pPr>
      <w:r w:rsidRPr="00B00EEA">
        <w:t xml:space="preserve">Study participant had a history of chronic alcohol or drug abuse within 6 months prior to Screening as evaluated by the Investigator based on medical history, site interview, and/or results of the specified urine drug screen. </w:t>
      </w:r>
    </w:p>
    <w:p w14:paraId="1CD06750" w14:textId="18947C99" w:rsidR="00BA5B14" w:rsidRPr="00B00EEA" w:rsidRDefault="00BA5B14" w:rsidP="00797E57">
      <w:pPr>
        <w:pStyle w:val="ListBullet"/>
      </w:pPr>
      <w:r w:rsidRPr="00B00EEA">
        <w:lastRenderedPageBreak/>
        <w:t xml:space="preserve">Presence of active suicidal ideation, or positive suicide </w:t>
      </w:r>
      <w:proofErr w:type="spellStart"/>
      <w:r w:rsidRPr="00B00EEA">
        <w:t>behavior</w:t>
      </w:r>
      <w:proofErr w:type="spellEnd"/>
      <w:r w:rsidRPr="00B00EEA">
        <w:t xml:space="preserve"> using the </w:t>
      </w:r>
      <w:r w:rsidR="003151B9">
        <w:t>‘s</w:t>
      </w:r>
      <w:r w:rsidRPr="00B00EEA">
        <w:t>creening</w:t>
      </w:r>
      <w:r w:rsidR="003151B9">
        <w:t xml:space="preserve">’ </w:t>
      </w:r>
      <w:r w:rsidRPr="00B00EEA">
        <w:t>version of the electronic Columbia Suicide Severity Rating Scale</w:t>
      </w:r>
      <w:r w:rsidR="003151B9">
        <w:t xml:space="preserve"> </w:t>
      </w:r>
      <w:r w:rsidRPr="00B00EEA">
        <w:t>and with either of the following criteria:</w:t>
      </w:r>
    </w:p>
    <w:p w14:paraId="02182D60" w14:textId="6EAE2C5B" w:rsidR="00BA5B14" w:rsidRPr="00B00EEA" w:rsidRDefault="00BA5B14" w:rsidP="003151B9">
      <w:pPr>
        <w:pStyle w:val="ListBullet2"/>
      </w:pPr>
      <w:r w:rsidRPr="00B00EEA">
        <w:t xml:space="preserve">History of a suicide attempt within the </w:t>
      </w:r>
      <w:r w:rsidR="003151B9">
        <w:t>five</w:t>
      </w:r>
      <w:r w:rsidRPr="00B00EEA">
        <w:t xml:space="preserve"> years prior to the Screening Visit. Study participants with a history of a suicide attempt more than </w:t>
      </w:r>
      <w:r w:rsidR="003151B9">
        <w:t>five</w:t>
      </w:r>
      <w:r w:rsidRPr="00B00EEA">
        <w:t xml:space="preserve"> years ago should have been evaluated by a mental healthcare practitioner before enrolling into the study.</w:t>
      </w:r>
    </w:p>
    <w:p w14:paraId="74917006" w14:textId="42403DED" w:rsidR="00BA5B14" w:rsidRPr="00B00EEA" w:rsidRDefault="00BA5B14" w:rsidP="003151B9">
      <w:pPr>
        <w:pStyle w:val="ListBullet2"/>
      </w:pPr>
      <w:r w:rsidRPr="00B00EEA">
        <w:t xml:space="preserve">Suicidal ideation in the past month prior to the </w:t>
      </w:r>
      <w:r w:rsidR="003151B9">
        <w:t>s</w:t>
      </w:r>
      <w:r w:rsidRPr="00B00EEA">
        <w:t xml:space="preserve">creening </w:t>
      </w:r>
      <w:r w:rsidR="003151B9">
        <w:t>v</w:t>
      </w:r>
      <w:r w:rsidRPr="00B00EEA">
        <w:t>isit as indicated by a positive response (</w:t>
      </w:r>
      <w:r w:rsidR="003151B9">
        <w:t>‘</w:t>
      </w:r>
      <w:r w:rsidRPr="00B00EEA">
        <w:t>Yes</w:t>
      </w:r>
      <w:r w:rsidR="003151B9">
        <w:t>’</w:t>
      </w:r>
      <w:r w:rsidRPr="00B00EEA">
        <w:t xml:space="preserve">) to either Question 4 or Question 5 of the </w:t>
      </w:r>
      <w:r w:rsidR="003151B9">
        <w:t>‘s</w:t>
      </w:r>
      <w:r w:rsidRPr="00B00EEA">
        <w:t>creening</w:t>
      </w:r>
      <w:r w:rsidR="003151B9">
        <w:t>’</w:t>
      </w:r>
      <w:r w:rsidRPr="00B00EEA">
        <w:t xml:space="preserve"> version of the </w:t>
      </w:r>
      <w:r w:rsidR="003151B9" w:rsidRPr="00B00EEA">
        <w:t>electronic Columbia Suicide Severity Rating Scale</w:t>
      </w:r>
      <w:r w:rsidR="003151B9">
        <w:t>.</w:t>
      </w:r>
    </w:p>
    <w:p w14:paraId="0A838036" w14:textId="14630CAE" w:rsidR="00BA5B14" w:rsidRPr="00B00EEA" w:rsidRDefault="00BA5B14" w:rsidP="003151B9">
      <w:pPr>
        <w:pStyle w:val="ListBullet2"/>
      </w:pPr>
      <w:r w:rsidRPr="00B00EEA">
        <w:t xml:space="preserve">Study participant had presence of moderately severe major depression or severe major depression, indicated by a score of </w:t>
      </w:r>
      <w:r w:rsidR="003151B9">
        <w:t xml:space="preserve">greater than </w:t>
      </w:r>
      <w:r w:rsidRPr="00B00EEA">
        <w:t>l5 using the screening PHQ-9. Medication used to treat depression should have been stable for 8 weeks prior to Baseline.</w:t>
      </w:r>
    </w:p>
    <w:p w14:paraId="71DA3C8E" w14:textId="5016420A" w:rsidR="00BA5B14" w:rsidRPr="00B00EEA" w:rsidRDefault="00BA5B14" w:rsidP="00797E57">
      <w:pPr>
        <w:pStyle w:val="ListBullet"/>
        <w:rPr>
          <w:lang w:eastAsia="ja-JP"/>
        </w:rPr>
      </w:pPr>
      <w:r w:rsidRPr="00B00EEA">
        <w:t xml:space="preserve">Study participant was taking or has taken prohibited </w:t>
      </w:r>
      <w:r w:rsidR="008B40FD">
        <w:t>psoriasis</w:t>
      </w:r>
      <w:r w:rsidRPr="00B00EEA">
        <w:t xml:space="preserve"> medications without meeting the mandatory washout period relative to the Baseline </w:t>
      </w:r>
      <w:r w:rsidR="003151B9">
        <w:t>v</w:t>
      </w:r>
      <w:r w:rsidRPr="00B00EEA">
        <w:t>isit</w:t>
      </w:r>
    </w:p>
    <w:p w14:paraId="586A665F" w14:textId="7BAE6636" w:rsidR="00BA5B14" w:rsidRDefault="00797E57" w:rsidP="00797E57">
      <w:bookmarkStart w:id="87" w:name="_Hlk73988494"/>
      <w:r>
        <w:t xml:space="preserve">The </w:t>
      </w:r>
      <w:r w:rsidR="00764B75">
        <w:t xml:space="preserve">TGA’s </w:t>
      </w:r>
      <w:r>
        <w:t>clinical evaluat</w:t>
      </w:r>
      <w:r w:rsidR="00764B75">
        <w:t>ion</w:t>
      </w:r>
      <w:r>
        <w:t xml:space="preserve"> noted that t</w:t>
      </w:r>
      <w:r w:rsidR="00BA5B14" w:rsidRPr="00270522">
        <w:t xml:space="preserve">he requirement of a PASI of </w:t>
      </w:r>
      <w:r w:rsidR="003151B9">
        <w:t xml:space="preserve">greater or equal to </w:t>
      </w:r>
      <w:r w:rsidR="00BA5B14" w:rsidRPr="00270522">
        <w:t xml:space="preserve">12, </w:t>
      </w:r>
      <w:r w:rsidR="00570012">
        <w:t xml:space="preserve">IGA </w:t>
      </w:r>
      <w:r w:rsidR="00BA5B14" w:rsidRPr="00270522">
        <w:t xml:space="preserve">of </w:t>
      </w:r>
      <w:r w:rsidR="003151B9">
        <w:t>greater or equal to</w:t>
      </w:r>
      <w:r w:rsidR="00BA5B14" w:rsidRPr="00270522">
        <w:t xml:space="preserve"> 3 and a total body surface area of </w:t>
      </w:r>
      <w:r w:rsidR="003151B9">
        <w:t>greater or equal to</w:t>
      </w:r>
      <w:r w:rsidR="00BA5B14" w:rsidRPr="00270522">
        <w:t xml:space="preserve"> 10% reflects published guidelines</w:t>
      </w:r>
      <w:r w:rsidR="003151B9">
        <w:t>;</w:t>
      </w:r>
      <w:r w:rsidR="00764B75" w:rsidRPr="006E4137">
        <w:rPr>
          <w:vertAlign w:val="superscript"/>
        </w:rPr>
        <w:fldChar w:fldCharType="begin"/>
      </w:r>
      <w:r w:rsidR="00764B75" w:rsidRPr="006E4137">
        <w:rPr>
          <w:vertAlign w:val="superscript"/>
        </w:rPr>
        <w:instrText xml:space="preserve"> NOTEREF _Ref132368946 \h </w:instrText>
      </w:r>
      <w:r w:rsidR="00764B75">
        <w:rPr>
          <w:vertAlign w:val="superscript"/>
        </w:rPr>
        <w:instrText xml:space="preserve"> \* MERGEFORMAT </w:instrText>
      </w:r>
      <w:r w:rsidR="00764B75" w:rsidRPr="006E4137">
        <w:rPr>
          <w:vertAlign w:val="superscript"/>
        </w:rPr>
      </w:r>
      <w:r w:rsidR="00764B75" w:rsidRPr="006E4137">
        <w:rPr>
          <w:vertAlign w:val="superscript"/>
        </w:rPr>
        <w:fldChar w:fldCharType="separate"/>
      </w:r>
      <w:r w:rsidR="00B54079">
        <w:rPr>
          <w:vertAlign w:val="superscript"/>
        </w:rPr>
        <w:t>37</w:t>
      </w:r>
      <w:r w:rsidR="00764B75" w:rsidRPr="006E4137">
        <w:rPr>
          <w:vertAlign w:val="superscript"/>
        </w:rPr>
        <w:fldChar w:fldCharType="end"/>
      </w:r>
      <w:r w:rsidR="003151B9">
        <w:t xml:space="preserve"> </w:t>
      </w:r>
      <w:r w:rsidR="00BA5B14" w:rsidRPr="00270522">
        <w:t>as adopted by the TGA</w:t>
      </w:r>
      <w:bookmarkEnd w:id="87"/>
      <w:r w:rsidR="00BA5B14" w:rsidRPr="00270522">
        <w:t>.</w:t>
      </w:r>
    </w:p>
    <w:p w14:paraId="04E63FA1" w14:textId="72014CB2" w:rsidR="00BA5B14" w:rsidRDefault="00BA5B14" w:rsidP="00797E57">
      <w:pPr>
        <w:pStyle w:val="Heading6"/>
        <w:rPr>
          <w:iCs/>
        </w:rPr>
      </w:pPr>
      <w:r w:rsidRPr="000F584A">
        <w:t xml:space="preserve">Study </w:t>
      </w:r>
      <w:r w:rsidRPr="00797E57">
        <w:t>treatments</w:t>
      </w:r>
      <w:r w:rsidR="00883D0E">
        <w:t xml:space="preserve"> and schedule</w:t>
      </w:r>
    </w:p>
    <w:p w14:paraId="44A219BD" w14:textId="1AAFD641" w:rsidR="00BA5B14" w:rsidRPr="00FC45A6" w:rsidRDefault="00BA5B14" w:rsidP="00797E57">
      <w:pPr>
        <w:rPr>
          <w:lang w:eastAsia="ja-JP"/>
        </w:rPr>
      </w:pPr>
      <w:r w:rsidRPr="00FC45A6">
        <w:rPr>
          <w:lang w:eastAsia="ja-JP"/>
        </w:rPr>
        <w:t>Eligible study participants were randomi</w:t>
      </w:r>
      <w:r w:rsidR="003151B9">
        <w:rPr>
          <w:lang w:eastAsia="ja-JP"/>
        </w:rPr>
        <w:t>s</w:t>
      </w:r>
      <w:r w:rsidRPr="00FC45A6">
        <w:rPr>
          <w:lang w:eastAsia="ja-JP"/>
        </w:rPr>
        <w:t xml:space="preserve">ed </w:t>
      </w:r>
      <w:r w:rsidR="00764B75">
        <w:rPr>
          <w:lang w:eastAsia="ja-JP"/>
        </w:rPr>
        <w:t xml:space="preserve">in a </w:t>
      </w:r>
      <w:r w:rsidRPr="00FC45A6">
        <w:rPr>
          <w:lang w:eastAsia="ja-JP"/>
        </w:rPr>
        <w:t>1:1:1</w:t>
      </w:r>
      <w:r w:rsidR="00764B75">
        <w:rPr>
          <w:lang w:eastAsia="ja-JP"/>
        </w:rPr>
        <w:t xml:space="preserve"> ratio</w:t>
      </w:r>
      <w:r w:rsidRPr="00FC45A6">
        <w:rPr>
          <w:lang w:eastAsia="ja-JP"/>
        </w:rPr>
        <w:t xml:space="preserve"> to receive the following, in a blinded fashion:</w:t>
      </w:r>
    </w:p>
    <w:p w14:paraId="19C24B2B" w14:textId="561AC788" w:rsidR="00BA5B14" w:rsidRPr="00797E57" w:rsidRDefault="008B40FD" w:rsidP="00797E57">
      <w:pPr>
        <w:pStyle w:val="ListBullet"/>
        <w:rPr>
          <w:lang w:eastAsia="ja-JP"/>
        </w:rPr>
      </w:pPr>
      <w:proofErr w:type="spellStart"/>
      <w:r>
        <w:rPr>
          <w:lang w:eastAsia="ja-JP"/>
        </w:rPr>
        <w:t>bimekizumab</w:t>
      </w:r>
      <w:proofErr w:type="spellEnd"/>
      <w:r w:rsidR="00BA5B14" w:rsidRPr="00797E57">
        <w:rPr>
          <w:lang w:eastAsia="ja-JP"/>
        </w:rPr>
        <w:t xml:space="preserve"> 320</w:t>
      </w:r>
      <w:r w:rsidR="00797E57">
        <w:rPr>
          <w:lang w:eastAsia="ja-JP"/>
        </w:rPr>
        <w:t xml:space="preserve"> </w:t>
      </w:r>
      <w:r w:rsidR="00BA5B14" w:rsidRPr="00797E57">
        <w:rPr>
          <w:lang w:eastAsia="ja-JP"/>
        </w:rPr>
        <w:t xml:space="preserve">mg </w:t>
      </w:r>
      <w:r w:rsidR="00F23C97">
        <w:rPr>
          <w:lang w:eastAsia="ja-JP"/>
        </w:rPr>
        <w:t>every 4 weeks</w:t>
      </w:r>
      <w:r w:rsidR="00BA5B14" w:rsidRPr="00797E57">
        <w:rPr>
          <w:lang w:eastAsia="ja-JP"/>
        </w:rPr>
        <w:t xml:space="preserve"> throughout the study for 56 weeks </w:t>
      </w:r>
      <w:r w:rsidR="00F23C97">
        <w:rPr>
          <w:lang w:eastAsia="ja-JP"/>
        </w:rPr>
        <w:t>(</w:t>
      </w:r>
      <w:r w:rsidR="00BA5B14" w:rsidRPr="00797E57">
        <w:rPr>
          <w:lang w:eastAsia="ja-JP"/>
        </w:rPr>
        <w:t xml:space="preserve">designated by the </w:t>
      </w:r>
      <w:r w:rsidR="00F23C97">
        <w:rPr>
          <w:lang w:eastAsia="ja-JP"/>
        </w:rPr>
        <w:t>D</w:t>
      </w:r>
      <w:r w:rsidR="00BA5B14" w:rsidRPr="00797E57">
        <w:rPr>
          <w:lang w:eastAsia="ja-JP"/>
        </w:rPr>
        <w:t>elegate</w:t>
      </w:r>
      <w:r w:rsidR="00764B75">
        <w:rPr>
          <w:lang w:eastAsia="ja-JP"/>
        </w:rPr>
        <w:t xml:space="preserve"> and referred to</w:t>
      </w:r>
      <w:r w:rsidR="00BA5B14" w:rsidRPr="00797E57">
        <w:rPr>
          <w:lang w:eastAsia="ja-JP"/>
        </w:rPr>
        <w:t xml:space="preserve"> as Group A</w:t>
      </w:r>
      <w:r w:rsidR="00764B75">
        <w:rPr>
          <w:lang w:eastAsia="ja-JP"/>
        </w:rPr>
        <w:t xml:space="preserve"> in this </w:t>
      </w:r>
      <w:proofErr w:type="spellStart"/>
      <w:r w:rsidR="00764B75">
        <w:rPr>
          <w:lang w:eastAsia="ja-JP"/>
        </w:rPr>
        <w:t>AusPAR</w:t>
      </w:r>
      <w:proofErr w:type="spellEnd"/>
      <w:proofErr w:type="gramStart"/>
      <w:r w:rsidR="00F23C97">
        <w:rPr>
          <w:lang w:eastAsia="ja-JP"/>
        </w:rPr>
        <w:t>)</w:t>
      </w:r>
      <w:r w:rsidR="00764B75">
        <w:rPr>
          <w:lang w:eastAsia="ja-JP"/>
        </w:rPr>
        <w:t>;</w:t>
      </w:r>
      <w:proofErr w:type="gramEnd"/>
      <w:r w:rsidR="00BA5B14" w:rsidRPr="00797E57">
        <w:rPr>
          <w:lang w:eastAsia="ja-JP"/>
        </w:rPr>
        <w:t xml:space="preserve"> </w:t>
      </w:r>
    </w:p>
    <w:p w14:paraId="4DCA6C7D" w14:textId="5D161372" w:rsidR="00BA5B14" w:rsidRPr="00797E57" w:rsidRDefault="008B40FD" w:rsidP="00797E57">
      <w:pPr>
        <w:pStyle w:val="ListBullet"/>
        <w:rPr>
          <w:lang w:eastAsia="ja-JP"/>
        </w:rPr>
      </w:pPr>
      <w:proofErr w:type="spellStart"/>
      <w:r>
        <w:rPr>
          <w:lang w:eastAsia="ja-JP"/>
        </w:rPr>
        <w:t>bimekizumab</w:t>
      </w:r>
      <w:proofErr w:type="spellEnd"/>
      <w:r w:rsidR="00BA5B14" w:rsidRPr="00797E57">
        <w:rPr>
          <w:lang w:eastAsia="ja-JP"/>
        </w:rPr>
        <w:t xml:space="preserve"> 320</w:t>
      </w:r>
      <w:r w:rsidR="00797E57">
        <w:rPr>
          <w:lang w:eastAsia="ja-JP"/>
        </w:rPr>
        <w:t xml:space="preserve"> </w:t>
      </w:r>
      <w:r w:rsidR="00BA5B14" w:rsidRPr="00797E57">
        <w:rPr>
          <w:lang w:eastAsia="ja-JP"/>
        </w:rPr>
        <w:t xml:space="preserve">mg </w:t>
      </w:r>
      <w:r w:rsidR="00F23C97">
        <w:rPr>
          <w:lang w:eastAsia="ja-JP"/>
        </w:rPr>
        <w:t>every 4 weeks</w:t>
      </w:r>
      <w:r w:rsidR="00BA5B14" w:rsidRPr="00797E57">
        <w:rPr>
          <w:lang w:eastAsia="ja-JP"/>
        </w:rPr>
        <w:t xml:space="preserve"> until Week 16, followed by </w:t>
      </w:r>
      <w:proofErr w:type="spellStart"/>
      <w:r>
        <w:rPr>
          <w:lang w:eastAsia="ja-JP"/>
        </w:rPr>
        <w:t>bimekizumab</w:t>
      </w:r>
      <w:proofErr w:type="spellEnd"/>
      <w:r w:rsidR="00BA5B14" w:rsidRPr="00797E57">
        <w:rPr>
          <w:lang w:eastAsia="ja-JP"/>
        </w:rPr>
        <w:t xml:space="preserve"> </w:t>
      </w:r>
      <w:r w:rsidR="00F23C97">
        <w:rPr>
          <w:lang w:eastAsia="ja-JP"/>
        </w:rPr>
        <w:t>every 8</w:t>
      </w:r>
      <w:r w:rsidR="00764B75">
        <w:rPr>
          <w:lang w:eastAsia="ja-JP"/>
        </w:rPr>
        <w:t> </w:t>
      </w:r>
      <w:r w:rsidR="00F23C97">
        <w:rPr>
          <w:lang w:eastAsia="ja-JP"/>
        </w:rPr>
        <w:t>weeks</w:t>
      </w:r>
      <w:r w:rsidR="00BA5B14" w:rsidRPr="00797E57">
        <w:rPr>
          <w:lang w:eastAsia="ja-JP"/>
        </w:rPr>
        <w:t xml:space="preserve"> for 40 weeks </w:t>
      </w:r>
      <w:r w:rsidR="00F23C97">
        <w:rPr>
          <w:lang w:eastAsia="ja-JP"/>
        </w:rPr>
        <w:t>(</w:t>
      </w:r>
      <w:r w:rsidR="00BA5B14" w:rsidRPr="00797E57">
        <w:rPr>
          <w:lang w:eastAsia="ja-JP"/>
        </w:rPr>
        <w:t xml:space="preserve">designated by the </w:t>
      </w:r>
      <w:r w:rsidR="00F23C97">
        <w:rPr>
          <w:lang w:eastAsia="ja-JP"/>
        </w:rPr>
        <w:t>D</w:t>
      </w:r>
      <w:r w:rsidR="00BA5B14" w:rsidRPr="00797E57">
        <w:rPr>
          <w:lang w:eastAsia="ja-JP"/>
        </w:rPr>
        <w:t>elegate as Group B</w:t>
      </w:r>
      <w:r w:rsidR="00F23C97">
        <w:rPr>
          <w:lang w:eastAsia="ja-JP"/>
        </w:rPr>
        <w:t>)</w:t>
      </w:r>
      <w:r w:rsidR="00764B75">
        <w:rPr>
          <w:lang w:eastAsia="ja-JP"/>
        </w:rPr>
        <w:t>; or</w:t>
      </w:r>
    </w:p>
    <w:p w14:paraId="69B0D644" w14:textId="32F4EC35" w:rsidR="00BA5B14" w:rsidRPr="00797E57" w:rsidRDefault="00764B75" w:rsidP="00797E57">
      <w:pPr>
        <w:pStyle w:val="ListBullet"/>
        <w:rPr>
          <w:lang w:eastAsia="ja-JP"/>
        </w:rPr>
      </w:pPr>
      <w:r>
        <w:rPr>
          <w:lang w:eastAsia="ja-JP"/>
        </w:rPr>
        <w:t>a</w:t>
      </w:r>
      <w:r w:rsidR="00BA5B14" w:rsidRPr="00797E57">
        <w:rPr>
          <w:lang w:eastAsia="ja-JP"/>
        </w:rPr>
        <w:t>dalimumab</w:t>
      </w:r>
      <w:r w:rsidR="004858E7">
        <w:rPr>
          <w:lang w:eastAsia="ja-JP"/>
        </w:rPr>
        <w:t xml:space="preserve"> </w:t>
      </w:r>
      <w:r w:rsidR="00BA5B14" w:rsidRPr="00797E57">
        <w:rPr>
          <w:lang w:eastAsia="ja-JP"/>
        </w:rPr>
        <w:t xml:space="preserve">for 24 weeks, followed by </w:t>
      </w:r>
      <w:proofErr w:type="spellStart"/>
      <w:r w:rsidR="008B40FD">
        <w:rPr>
          <w:lang w:eastAsia="ja-JP"/>
        </w:rPr>
        <w:t>bimekizumab</w:t>
      </w:r>
      <w:proofErr w:type="spellEnd"/>
      <w:r w:rsidR="00BA5B14" w:rsidRPr="00797E57">
        <w:rPr>
          <w:lang w:eastAsia="ja-JP"/>
        </w:rPr>
        <w:t xml:space="preserve"> </w:t>
      </w:r>
      <w:r w:rsidR="00F23C97">
        <w:rPr>
          <w:lang w:eastAsia="ja-JP"/>
        </w:rPr>
        <w:t>every 4 weeks</w:t>
      </w:r>
      <w:r w:rsidR="00BA5B14" w:rsidRPr="00797E57">
        <w:rPr>
          <w:lang w:eastAsia="ja-JP"/>
        </w:rPr>
        <w:t xml:space="preserve"> for 32 weeks </w:t>
      </w:r>
      <w:r w:rsidR="00F23C97">
        <w:rPr>
          <w:lang w:eastAsia="ja-JP"/>
        </w:rPr>
        <w:t>(</w:t>
      </w:r>
      <w:r w:rsidR="00BA5B14" w:rsidRPr="00797E57">
        <w:rPr>
          <w:lang w:eastAsia="ja-JP"/>
        </w:rPr>
        <w:t xml:space="preserve">designated by the </w:t>
      </w:r>
      <w:r w:rsidR="00F23C97">
        <w:rPr>
          <w:lang w:eastAsia="ja-JP"/>
        </w:rPr>
        <w:t>D</w:t>
      </w:r>
      <w:r w:rsidR="00BA5B14" w:rsidRPr="00797E57">
        <w:rPr>
          <w:lang w:eastAsia="ja-JP"/>
        </w:rPr>
        <w:t>elegate as Group C</w:t>
      </w:r>
      <w:r w:rsidR="00F23C97">
        <w:rPr>
          <w:lang w:eastAsia="ja-JP"/>
        </w:rPr>
        <w:t>)</w:t>
      </w:r>
      <w:r w:rsidR="00BA5B14" w:rsidRPr="00797E57">
        <w:rPr>
          <w:lang w:eastAsia="ja-JP"/>
        </w:rPr>
        <w:t>.</w:t>
      </w:r>
    </w:p>
    <w:p w14:paraId="1752CECD" w14:textId="48D7BF7C" w:rsidR="00BA5B14" w:rsidRPr="00FC45A6" w:rsidRDefault="00BA5B14" w:rsidP="00BA5B14">
      <w:pPr>
        <w:rPr>
          <w:i/>
          <w:iCs/>
          <w:lang w:eastAsia="ja-JP"/>
        </w:rPr>
      </w:pPr>
      <w:r w:rsidRPr="00180FCF">
        <w:rPr>
          <w:lang w:eastAsia="ja-JP"/>
        </w:rPr>
        <w:t>As</w:t>
      </w:r>
      <w:r>
        <w:rPr>
          <w:lang w:eastAsia="ja-JP"/>
        </w:rPr>
        <w:t xml:space="preserve"> </w:t>
      </w:r>
      <w:r w:rsidRPr="00180FCF">
        <w:rPr>
          <w:lang w:eastAsia="ja-JP"/>
        </w:rPr>
        <w:t xml:space="preserve">per </w:t>
      </w:r>
      <w:r>
        <w:rPr>
          <w:lang w:eastAsia="ja-JP"/>
        </w:rPr>
        <w:t xml:space="preserve">the </w:t>
      </w:r>
      <w:r w:rsidRPr="00180FCF">
        <w:rPr>
          <w:lang w:eastAsia="ja-JP"/>
        </w:rPr>
        <w:t>schematic diagram above</w:t>
      </w:r>
      <w:r>
        <w:rPr>
          <w:lang w:eastAsia="ja-JP"/>
        </w:rPr>
        <w:t xml:space="preserve"> and</w:t>
      </w:r>
      <w:r w:rsidR="00797E57">
        <w:rPr>
          <w:lang w:eastAsia="ja-JP"/>
        </w:rPr>
        <w:t xml:space="preserve"> the </w:t>
      </w:r>
      <w:r w:rsidRPr="00797E57">
        <w:rPr>
          <w:lang w:eastAsia="ja-JP"/>
        </w:rPr>
        <w:t xml:space="preserve">differences in the dosing schedule between </w:t>
      </w:r>
      <w:proofErr w:type="spellStart"/>
      <w:r w:rsidR="008B40FD">
        <w:rPr>
          <w:lang w:eastAsia="ja-JP"/>
        </w:rPr>
        <w:t>bimekizumab</w:t>
      </w:r>
      <w:proofErr w:type="spellEnd"/>
      <w:r w:rsidRPr="00797E57">
        <w:rPr>
          <w:lang w:eastAsia="ja-JP"/>
        </w:rPr>
        <w:t xml:space="preserve"> and </w:t>
      </w:r>
      <w:r w:rsidR="004858E7">
        <w:rPr>
          <w:lang w:eastAsia="ja-JP"/>
        </w:rPr>
        <w:t>adalimumab</w:t>
      </w:r>
      <w:r w:rsidRPr="00797E57">
        <w:rPr>
          <w:lang w:eastAsia="ja-JP"/>
        </w:rPr>
        <w:t xml:space="preserve">, all study participants received </w:t>
      </w:r>
      <w:r w:rsidR="00F23C97">
        <w:rPr>
          <w:lang w:eastAsia="ja-JP"/>
        </w:rPr>
        <w:t>two</w:t>
      </w:r>
      <w:r w:rsidRPr="00797E57">
        <w:rPr>
          <w:lang w:eastAsia="ja-JP"/>
        </w:rPr>
        <w:t xml:space="preserve"> injections </w:t>
      </w:r>
      <w:r w:rsidR="00F23C97">
        <w:rPr>
          <w:lang w:eastAsia="ja-JP"/>
        </w:rPr>
        <w:t>subcutaneously</w:t>
      </w:r>
      <w:r w:rsidRPr="00797E57">
        <w:rPr>
          <w:lang w:eastAsia="ja-JP"/>
        </w:rPr>
        <w:t xml:space="preserve"> on Weeks </w:t>
      </w:r>
      <w:r w:rsidR="00797E57" w:rsidRPr="00797E57">
        <w:rPr>
          <w:lang w:eastAsia="ja-JP"/>
        </w:rPr>
        <w:t>0</w:t>
      </w:r>
      <w:r w:rsidRPr="00797E57">
        <w:rPr>
          <w:lang w:eastAsia="ja-JP"/>
        </w:rPr>
        <w:t xml:space="preserve"> (Baseline), 4, 8, 12, 16, 20, and 24, and </w:t>
      </w:r>
      <w:r w:rsidR="00F23C97">
        <w:rPr>
          <w:lang w:eastAsia="ja-JP"/>
        </w:rPr>
        <w:t>one</w:t>
      </w:r>
      <w:r w:rsidRPr="00797E57">
        <w:rPr>
          <w:lang w:eastAsia="ja-JP"/>
        </w:rPr>
        <w:t xml:space="preserve"> injection </w:t>
      </w:r>
      <w:r w:rsidR="00F23C97">
        <w:rPr>
          <w:lang w:eastAsia="ja-JP"/>
        </w:rPr>
        <w:t>subcutaneous</w:t>
      </w:r>
      <w:r w:rsidRPr="00797E57">
        <w:rPr>
          <w:lang w:eastAsia="ja-JP"/>
        </w:rPr>
        <w:t xml:space="preserve"> in other weeks</w:t>
      </w:r>
      <w:r w:rsidR="00797E57" w:rsidRPr="00797E57">
        <w:rPr>
          <w:lang w:eastAsia="ja-JP"/>
        </w:rPr>
        <w:t>.</w:t>
      </w:r>
    </w:p>
    <w:p w14:paraId="3763B5D8" w14:textId="77777777" w:rsidR="00764B75" w:rsidRDefault="00BA5B14" w:rsidP="00797E57">
      <w:pPr>
        <w:rPr>
          <w:lang w:eastAsia="ja-JP"/>
        </w:rPr>
      </w:pPr>
      <w:r w:rsidRPr="006E7089">
        <w:rPr>
          <w:i/>
          <w:lang w:eastAsia="ja-JP"/>
        </w:rPr>
        <w:t>Group A:</w:t>
      </w:r>
    </w:p>
    <w:p w14:paraId="603608E2" w14:textId="79168764" w:rsidR="00764B75" w:rsidRDefault="00BA5B14" w:rsidP="006E7089">
      <w:pPr>
        <w:pStyle w:val="ListBullet"/>
        <w:rPr>
          <w:lang w:eastAsia="ja-JP"/>
        </w:rPr>
      </w:pPr>
      <w:r w:rsidRPr="00FC45A6">
        <w:rPr>
          <w:lang w:eastAsia="ja-JP"/>
        </w:rPr>
        <w:t xml:space="preserve">Study participants </w:t>
      </w:r>
      <w:r w:rsidR="001D2CFA">
        <w:rPr>
          <w:lang w:eastAsia="ja-JP"/>
        </w:rPr>
        <w:t>randomised</w:t>
      </w:r>
      <w:r w:rsidRPr="00FC45A6">
        <w:rPr>
          <w:lang w:eastAsia="ja-JP"/>
        </w:rPr>
        <w:t xml:space="preserve"> to receive </w:t>
      </w:r>
      <w:proofErr w:type="spellStart"/>
      <w:r w:rsidR="008B40FD">
        <w:rPr>
          <w:lang w:eastAsia="ja-JP"/>
        </w:rPr>
        <w:t>bimekizumab</w:t>
      </w:r>
      <w:proofErr w:type="spellEnd"/>
      <w:r w:rsidRPr="00FC45A6">
        <w:rPr>
          <w:lang w:eastAsia="ja-JP"/>
        </w:rPr>
        <w:t xml:space="preserve"> </w:t>
      </w:r>
      <w:r w:rsidR="001D2CFA">
        <w:rPr>
          <w:lang w:eastAsia="ja-JP"/>
        </w:rPr>
        <w:t>320 mg</w:t>
      </w:r>
      <w:r w:rsidRPr="00FC45A6">
        <w:rPr>
          <w:lang w:eastAsia="ja-JP"/>
        </w:rPr>
        <w:t xml:space="preserve"> </w:t>
      </w:r>
      <w:r w:rsidR="00F23C97">
        <w:rPr>
          <w:lang w:eastAsia="ja-JP"/>
        </w:rPr>
        <w:t>every 4 weeks</w:t>
      </w:r>
      <w:r w:rsidRPr="00FC45A6">
        <w:rPr>
          <w:lang w:eastAsia="ja-JP"/>
        </w:rPr>
        <w:t xml:space="preserve"> throughout the study</w:t>
      </w:r>
      <w:r>
        <w:rPr>
          <w:lang w:eastAsia="ja-JP"/>
        </w:rPr>
        <w:t xml:space="preserve"> </w:t>
      </w:r>
      <w:r w:rsidRPr="00FC45A6">
        <w:rPr>
          <w:lang w:eastAsia="ja-JP"/>
        </w:rPr>
        <w:t xml:space="preserve">received </w:t>
      </w:r>
      <w:r w:rsidR="00F23C97">
        <w:rPr>
          <w:lang w:eastAsia="ja-JP"/>
        </w:rPr>
        <w:t>two</w:t>
      </w:r>
      <w:r w:rsidRPr="00FC45A6">
        <w:rPr>
          <w:lang w:eastAsia="ja-JP"/>
        </w:rPr>
        <w:t xml:space="preserve"> </w:t>
      </w:r>
      <w:proofErr w:type="spellStart"/>
      <w:r w:rsidR="008B40FD">
        <w:rPr>
          <w:lang w:eastAsia="ja-JP"/>
        </w:rPr>
        <w:t>bimekizumab</w:t>
      </w:r>
      <w:proofErr w:type="spellEnd"/>
      <w:r w:rsidRPr="00FC45A6">
        <w:rPr>
          <w:lang w:eastAsia="ja-JP"/>
        </w:rPr>
        <w:t xml:space="preserve"> 160</w:t>
      </w:r>
      <w:r w:rsidR="00F23C97">
        <w:rPr>
          <w:lang w:eastAsia="ja-JP"/>
        </w:rPr>
        <w:t xml:space="preserve"> </w:t>
      </w:r>
      <w:r w:rsidRPr="00FC45A6">
        <w:rPr>
          <w:lang w:eastAsia="ja-JP"/>
        </w:rPr>
        <w:t xml:space="preserve">mg injections </w:t>
      </w:r>
      <w:r w:rsidR="00F23C97">
        <w:rPr>
          <w:lang w:eastAsia="ja-JP"/>
        </w:rPr>
        <w:t>subcutaneously</w:t>
      </w:r>
      <w:r w:rsidRPr="00FC45A6">
        <w:rPr>
          <w:lang w:eastAsia="ja-JP"/>
        </w:rPr>
        <w:t xml:space="preserve"> </w:t>
      </w:r>
      <w:r w:rsidR="00F23C97">
        <w:rPr>
          <w:lang w:eastAsia="ja-JP"/>
        </w:rPr>
        <w:t>every 4 weeks</w:t>
      </w:r>
      <w:r w:rsidRPr="00FC45A6">
        <w:rPr>
          <w:lang w:eastAsia="ja-JP"/>
        </w:rPr>
        <w:t xml:space="preserve"> at Weeks </w:t>
      </w:r>
      <w:r>
        <w:rPr>
          <w:lang w:eastAsia="ja-JP"/>
        </w:rPr>
        <w:t>0</w:t>
      </w:r>
      <w:r w:rsidRPr="00FC45A6">
        <w:rPr>
          <w:lang w:eastAsia="ja-JP"/>
        </w:rPr>
        <w:t xml:space="preserve"> (Baseline), 4, 8, 12, 16, 20, 24, 28, 32, 36, 40, 44, 48, 52</w:t>
      </w:r>
      <w:r>
        <w:rPr>
          <w:lang w:eastAsia="ja-JP"/>
        </w:rPr>
        <w:t xml:space="preserve"> and 56</w:t>
      </w:r>
      <w:r w:rsidRPr="00FC45A6">
        <w:rPr>
          <w:lang w:eastAsia="ja-JP"/>
        </w:rPr>
        <w:t>.</w:t>
      </w:r>
    </w:p>
    <w:p w14:paraId="11F841AC" w14:textId="7054F4DF" w:rsidR="00BA5B14" w:rsidRPr="00FC45A6" w:rsidRDefault="00BA5B14" w:rsidP="006E7089">
      <w:pPr>
        <w:pStyle w:val="ListBullet"/>
        <w:rPr>
          <w:lang w:eastAsia="ja-JP"/>
        </w:rPr>
      </w:pPr>
      <w:r w:rsidRPr="00FC45A6">
        <w:rPr>
          <w:lang w:eastAsia="ja-JP"/>
        </w:rPr>
        <w:t xml:space="preserve">These study participants received </w:t>
      </w:r>
      <w:r w:rsidR="00F23C97">
        <w:rPr>
          <w:lang w:eastAsia="ja-JP"/>
        </w:rPr>
        <w:t>one</w:t>
      </w:r>
      <w:r w:rsidRPr="00FC45A6">
        <w:rPr>
          <w:lang w:eastAsia="ja-JP"/>
        </w:rPr>
        <w:t xml:space="preserve"> placebo injection at Weeks 1, 3, 5, 7, 9, 11, 13, 15, 17, 19, 21, and 23.</w:t>
      </w:r>
    </w:p>
    <w:p w14:paraId="1D6D972D" w14:textId="77777777" w:rsidR="00764B75" w:rsidRDefault="00BA5B14" w:rsidP="00797E57">
      <w:pPr>
        <w:rPr>
          <w:lang w:eastAsia="ja-JP"/>
        </w:rPr>
      </w:pPr>
      <w:r w:rsidRPr="006E7089">
        <w:rPr>
          <w:i/>
          <w:lang w:eastAsia="ja-JP"/>
        </w:rPr>
        <w:t>Group B</w:t>
      </w:r>
      <w:r w:rsidRPr="00FC45A6">
        <w:rPr>
          <w:lang w:eastAsia="ja-JP"/>
        </w:rPr>
        <w:t>:</w:t>
      </w:r>
    </w:p>
    <w:p w14:paraId="17C852C3" w14:textId="53279FB2" w:rsidR="00764B75" w:rsidRDefault="00BA5B14" w:rsidP="006E7089">
      <w:pPr>
        <w:pStyle w:val="ListBullet"/>
        <w:rPr>
          <w:lang w:eastAsia="ja-JP"/>
        </w:rPr>
      </w:pPr>
      <w:r w:rsidRPr="00FC45A6">
        <w:rPr>
          <w:lang w:eastAsia="ja-JP"/>
        </w:rPr>
        <w:t xml:space="preserve">Study participants </w:t>
      </w:r>
      <w:r w:rsidR="001D2CFA">
        <w:rPr>
          <w:lang w:eastAsia="ja-JP"/>
        </w:rPr>
        <w:t>randomised</w:t>
      </w:r>
      <w:r w:rsidRPr="00FC45A6">
        <w:rPr>
          <w:lang w:eastAsia="ja-JP"/>
        </w:rPr>
        <w:t xml:space="preserve"> to receive</w:t>
      </w:r>
      <w:r w:rsidRPr="007D3709">
        <w:rPr>
          <w:lang w:eastAsia="ja-JP"/>
        </w:rPr>
        <w:t xml:space="preserve"> </w:t>
      </w:r>
      <w:proofErr w:type="spellStart"/>
      <w:r w:rsidR="008B40FD">
        <w:rPr>
          <w:lang w:eastAsia="ja-JP"/>
        </w:rPr>
        <w:t>bimekizumab</w:t>
      </w:r>
      <w:proofErr w:type="spellEnd"/>
      <w:r w:rsidRPr="00FC45A6">
        <w:rPr>
          <w:lang w:eastAsia="ja-JP"/>
        </w:rPr>
        <w:t xml:space="preserve"> 320</w:t>
      </w:r>
      <w:r w:rsidR="00797E57">
        <w:rPr>
          <w:lang w:eastAsia="ja-JP"/>
        </w:rPr>
        <w:t xml:space="preserve"> </w:t>
      </w:r>
      <w:r w:rsidRPr="00FC45A6">
        <w:rPr>
          <w:lang w:eastAsia="ja-JP"/>
        </w:rPr>
        <w:t xml:space="preserve">mg </w:t>
      </w:r>
      <w:r w:rsidR="00F23C97">
        <w:rPr>
          <w:lang w:eastAsia="ja-JP"/>
        </w:rPr>
        <w:t>every 4 weeks</w:t>
      </w:r>
      <w:r w:rsidRPr="00FC45A6">
        <w:rPr>
          <w:lang w:eastAsia="ja-JP"/>
        </w:rPr>
        <w:t>/</w:t>
      </w:r>
      <w:r w:rsidR="00F23C97">
        <w:rPr>
          <w:lang w:eastAsia="ja-JP"/>
        </w:rPr>
        <w:t>every 8 weeks</w:t>
      </w:r>
      <w:r w:rsidRPr="00FC45A6">
        <w:rPr>
          <w:lang w:eastAsia="ja-JP"/>
        </w:rPr>
        <w:t xml:space="preserve"> received </w:t>
      </w:r>
      <w:r w:rsidR="00F23C97">
        <w:rPr>
          <w:lang w:eastAsia="ja-JP"/>
        </w:rPr>
        <w:t>two</w:t>
      </w:r>
      <w:r w:rsidRPr="00FC45A6">
        <w:rPr>
          <w:lang w:eastAsia="ja-JP"/>
        </w:rPr>
        <w:t xml:space="preserve"> </w:t>
      </w:r>
      <w:proofErr w:type="spellStart"/>
      <w:r w:rsidR="008B40FD">
        <w:rPr>
          <w:lang w:eastAsia="ja-JP"/>
        </w:rPr>
        <w:t>bimekizumab</w:t>
      </w:r>
      <w:proofErr w:type="spellEnd"/>
      <w:r w:rsidRPr="00FC45A6">
        <w:rPr>
          <w:lang w:eastAsia="ja-JP"/>
        </w:rPr>
        <w:t xml:space="preserve"> 160</w:t>
      </w:r>
      <w:r w:rsidR="00F23C97">
        <w:rPr>
          <w:lang w:eastAsia="ja-JP"/>
        </w:rPr>
        <w:t xml:space="preserve"> </w:t>
      </w:r>
      <w:r w:rsidRPr="00FC45A6">
        <w:rPr>
          <w:lang w:eastAsia="ja-JP"/>
        </w:rPr>
        <w:t xml:space="preserve">mg injections </w:t>
      </w:r>
      <w:r w:rsidR="00F23C97">
        <w:rPr>
          <w:lang w:eastAsia="ja-JP"/>
        </w:rPr>
        <w:t>every 4 weeks</w:t>
      </w:r>
      <w:r w:rsidRPr="00FC45A6">
        <w:rPr>
          <w:lang w:eastAsia="ja-JP"/>
        </w:rPr>
        <w:t xml:space="preserve"> at Weeks </w:t>
      </w:r>
      <w:r w:rsidR="00764B75">
        <w:rPr>
          <w:lang w:eastAsia="ja-JP"/>
        </w:rPr>
        <w:t>0</w:t>
      </w:r>
      <w:r w:rsidRPr="00FC45A6">
        <w:rPr>
          <w:lang w:eastAsia="ja-JP"/>
        </w:rPr>
        <w:t xml:space="preserve"> (Baseline), 4, 8, 12 and 16.</w:t>
      </w:r>
    </w:p>
    <w:p w14:paraId="55F904C7" w14:textId="3226526C" w:rsidR="00BA5B14" w:rsidRPr="00FC45A6" w:rsidRDefault="00BA5B14" w:rsidP="006E7089">
      <w:pPr>
        <w:pStyle w:val="ListBullet"/>
        <w:rPr>
          <w:lang w:eastAsia="ja-JP"/>
        </w:rPr>
      </w:pPr>
      <w:r w:rsidRPr="00FC45A6">
        <w:rPr>
          <w:lang w:eastAsia="ja-JP"/>
        </w:rPr>
        <w:t xml:space="preserve">Study participants then received 2 </w:t>
      </w:r>
      <w:proofErr w:type="spellStart"/>
      <w:r w:rsidR="008B40FD">
        <w:rPr>
          <w:lang w:eastAsia="ja-JP"/>
        </w:rPr>
        <w:t>bimekizumab</w:t>
      </w:r>
      <w:proofErr w:type="spellEnd"/>
      <w:r w:rsidRPr="00FC45A6">
        <w:rPr>
          <w:lang w:eastAsia="ja-JP"/>
        </w:rPr>
        <w:t xml:space="preserve"> 160</w:t>
      </w:r>
      <w:r w:rsidR="00F23C97">
        <w:rPr>
          <w:lang w:eastAsia="ja-JP"/>
        </w:rPr>
        <w:t xml:space="preserve"> </w:t>
      </w:r>
      <w:r w:rsidRPr="00FC45A6">
        <w:rPr>
          <w:lang w:eastAsia="ja-JP"/>
        </w:rPr>
        <w:t xml:space="preserve">mg injections </w:t>
      </w:r>
      <w:r w:rsidR="00F23C97">
        <w:rPr>
          <w:lang w:eastAsia="ja-JP"/>
        </w:rPr>
        <w:t>subcutaneously</w:t>
      </w:r>
      <w:r w:rsidRPr="00FC45A6">
        <w:rPr>
          <w:lang w:eastAsia="ja-JP"/>
        </w:rPr>
        <w:t xml:space="preserve"> </w:t>
      </w:r>
      <w:r w:rsidR="00F23C97">
        <w:rPr>
          <w:lang w:eastAsia="ja-JP"/>
        </w:rPr>
        <w:t>every 8 weeks</w:t>
      </w:r>
      <w:r w:rsidRPr="00F23C97">
        <w:rPr>
          <w:lang w:eastAsia="ja-JP"/>
        </w:rPr>
        <w:t xml:space="preserve"> a</w:t>
      </w:r>
      <w:r w:rsidRPr="00FC45A6">
        <w:rPr>
          <w:lang w:eastAsia="ja-JP"/>
        </w:rPr>
        <w:t>t Weeks</w:t>
      </w:r>
      <w:r w:rsidRPr="00FC45A6">
        <w:rPr>
          <w:color w:val="FF0000"/>
          <w:lang w:eastAsia="ja-JP"/>
        </w:rPr>
        <w:t>,</w:t>
      </w:r>
      <w:r w:rsidRPr="00FC45A6">
        <w:rPr>
          <w:lang w:eastAsia="ja-JP"/>
        </w:rPr>
        <w:t xml:space="preserve"> 24, 32, 40</w:t>
      </w:r>
      <w:r>
        <w:rPr>
          <w:lang w:eastAsia="ja-JP"/>
        </w:rPr>
        <w:t>, 48 and 56.</w:t>
      </w:r>
    </w:p>
    <w:p w14:paraId="642926F7" w14:textId="77777777" w:rsidR="00764B75" w:rsidRPr="006E7089" w:rsidRDefault="00BA5B14" w:rsidP="00797E57">
      <w:pPr>
        <w:rPr>
          <w:i/>
          <w:lang w:eastAsia="ja-JP"/>
        </w:rPr>
      </w:pPr>
      <w:r w:rsidRPr="006E7089">
        <w:rPr>
          <w:i/>
          <w:lang w:eastAsia="ja-JP"/>
        </w:rPr>
        <w:lastRenderedPageBreak/>
        <w:t>Group C:</w:t>
      </w:r>
    </w:p>
    <w:p w14:paraId="14AEB332" w14:textId="0334BC26" w:rsidR="00764B75" w:rsidRDefault="00BA5B14" w:rsidP="006E7089">
      <w:pPr>
        <w:pStyle w:val="ListBullet"/>
        <w:rPr>
          <w:lang w:eastAsia="ja-JP"/>
        </w:rPr>
      </w:pPr>
      <w:r w:rsidRPr="00FC45A6">
        <w:rPr>
          <w:lang w:eastAsia="ja-JP"/>
        </w:rPr>
        <w:t xml:space="preserve">Study participants </w:t>
      </w:r>
      <w:r w:rsidR="001D2CFA">
        <w:rPr>
          <w:lang w:eastAsia="ja-JP"/>
        </w:rPr>
        <w:t>randomised</w:t>
      </w:r>
      <w:r w:rsidRPr="00FC45A6">
        <w:rPr>
          <w:lang w:eastAsia="ja-JP"/>
        </w:rPr>
        <w:t xml:space="preserve"> to receive </w:t>
      </w:r>
      <w:r w:rsidR="004858E7">
        <w:rPr>
          <w:lang w:eastAsia="ja-JP"/>
        </w:rPr>
        <w:t>adalimumab</w:t>
      </w:r>
      <w:r w:rsidRPr="00FC45A6">
        <w:rPr>
          <w:lang w:eastAsia="ja-JP"/>
        </w:rPr>
        <w:t xml:space="preserve"> received </w:t>
      </w:r>
      <w:r w:rsidR="00F23C97">
        <w:rPr>
          <w:lang w:eastAsia="ja-JP"/>
        </w:rPr>
        <w:t>two</w:t>
      </w:r>
      <w:r w:rsidRPr="00FC45A6">
        <w:rPr>
          <w:lang w:eastAsia="ja-JP"/>
        </w:rPr>
        <w:t xml:space="preserve"> </w:t>
      </w:r>
      <w:r w:rsidR="004858E7">
        <w:rPr>
          <w:lang w:eastAsia="ja-JP"/>
        </w:rPr>
        <w:t>adalimumab</w:t>
      </w:r>
      <w:r w:rsidRPr="00FC45A6">
        <w:rPr>
          <w:lang w:eastAsia="ja-JP"/>
        </w:rPr>
        <w:t xml:space="preserve"> 40</w:t>
      </w:r>
      <w:r w:rsidR="00F23C97">
        <w:rPr>
          <w:lang w:eastAsia="ja-JP"/>
        </w:rPr>
        <w:t xml:space="preserve"> </w:t>
      </w:r>
      <w:r w:rsidRPr="00FC45A6">
        <w:rPr>
          <w:lang w:eastAsia="ja-JP"/>
        </w:rPr>
        <w:t xml:space="preserve">mg injections </w:t>
      </w:r>
      <w:r w:rsidR="00F23C97">
        <w:rPr>
          <w:lang w:eastAsia="ja-JP"/>
        </w:rPr>
        <w:t>subcutaneously</w:t>
      </w:r>
      <w:r w:rsidRPr="00FC45A6">
        <w:rPr>
          <w:lang w:eastAsia="ja-JP"/>
        </w:rPr>
        <w:t xml:space="preserve"> at Week 0 (Baseline). At Weeks 1, 3, 5, 7, 9, 11, 13, 15, 17, 19, 21, and 23, they received </w:t>
      </w:r>
      <w:r w:rsidR="00F23C97">
        <w:rPr>
          <w:lang w:eastAsia="ja-JP"/>
        </w:rPr>
        <w:t>one</w:t>
      </w:r>
      <w:r w:rsidRPr="00FC45A6">
        <w:rPr>
          <w:lang w:eastAsia="ja-JP"/>
        </w:rPr>
        <w:t xml:space="preserve"> </w:t>
      </w:r>
      <w:r w:rsidR="004858E7">
        <w:rPr>
          <w:lang w:eastAsia="ja-JP"/>
        </w:rPr>
        <w:t>adalimumab</w:t>
      </w:r>
      <w:r>
        <w:rPr>
          <w:lang w:eastAsia="ja-JP"/>
        </w:rPr>
        <w:t xml:space="preserve"> </w:t>
      </w:r>
      <w:r w:rsidRPr="00FC45A6">
        <w:rPr>
          <w:lang w:eastAsia="ja-JP"/>
        </w:rPr>
        <w:t>40</w:t>
      </w:r>
      <w:r w:rsidR="00F23C97">
        <w:rPr>
          <w:lang w:eastAsia="ja-JP"/>
        </w:rPr>
        <w:t xml:space="preserve"> </w:t>
      </w:r>
      <w:r w:rsidRPr="00FC45A6">
        <w:rPr>
          <w:lang w:eastAsia="ja-JP"/>
        </w:rPr>
        <w:t xml:space="preserve">mg injection </w:t>
      </w:r>
      <w:r w:rsidR="00F23C97" w:rsidRPr="00F23C97">
        <w:rPr>
          <w:lang w:eastAsia="ja-JP"/>
        </w:rPr>
        <w:t>subcutaneous</w:t>
      </w:r>
      <w:r w:rsidR="00F23C97">
        <w:rPr>
          <w:lang w:eastAsia="ja-JP"/>
        </w:rPr>
        <w:t>ly</w:t>
      </w:r>
      <w:r w:rsidRPr="00FC45A6">
        <w:rPr>
          <w:lang w:eastAsia="ja-JP"/>
        </w:rPr>
        <w:t>.</w:t>
      </w:r>
    </w:p>
    <w:p w14:paraId="3BB3B594" w14:textId="1922B927" w:rsidR="00764B75" w:rsidRDefault="00BA5B14" w:rsidP="006E7089">
      <w:pPr>
        <w:pStyle w:val="ListBullet"/>
        <w:rPr>
          <w:lang w:eastAsia="ja-JP"/>
        </w:rPr>
      </w:pPr>
      <w:r w:rsidRPr="00FC45A6">
        <w:rPr>
          <w:lang w:eastAsia="ja-JP"/>
        </w:rPr>
        <w:t xml:space="preserve">These study participants received </w:t>
      </w:r>
      <w:r w:rsidR="00F23C97">
        <w:rPr>
          <w:lang w:eastAsia="ja-JP"/>
        </w:rPr>
        <w:t>two</w:t>
      </w:r>
      <w:r w:rsidRPr="00FC45A6">
        <w:rPr>
          <w:lang w:eastAsia="ja-JP"/>
        </w:rPr>
        <w:t xml:space="preserve"> placebo injections at Weeks 4, 8, 12, 16, 20</w:t>
      </w:r>
      <w:r>
        <w:rPr>
          <w:lang w:eastAsia="ja-JP"/>
        </w:rPr>
        <w:t xml:space="preserve"> and 24</w:t>
      </w:r>
      <w:r w:rsidRPr="00FC45A6">
        <w:rPr>
          <w:lang w:eastAsia="ja-JP"/>
        </w:rPr>
        <w:t>.</w:t>
      </w:r>
    </w:p>
    <w:p w14:paraId="2CFAE5D0" w14:textId="6425BB40" w:rsidR="00BA5B14" w:rsidRPr="00FC45A6" w:rsidRDefault="00BA5B14" w:rsidP="006E7089">
      <w:pPr>
        <w:pStyle w:val="ListBullet"/>
        <w:rPr>
          <w:lang w:eastAsia="ja-JP"/>
        </w:rPr>
      </w:pPr>
      <w:r w:rsidRPr="00FC45A6">
        <w:rPr>
          <w:lang w:eastAsia="ja-JP"/>
        </w:rPr>
        <w:t xml:space="preserve">These study participants then received </w:t>
      </w:r>
      <w:proofErr w:type="spellStart"/>
      <w:r w:rsidR="008B40FD">
        <w:rPr>
          <w:lang w:eastAsia="ja-JP"/>
        </w:rPr>
        <w:t>bimekizumab</w:t>
      </w:r>
      <w:proofErr w:type="spellEnd"/>
      <w:r w:rsidRPr="00FC45A6">
        <w:rPr>
          <w:lang w:eastAsia="ja-JP"/>
        </w:rPr>
        <w:t xml:space="preserve"> 320</w:t>
      </w:r>
      <w:r w:rsidR="00F23C97">
        <w:rPr>
          <w:lang w:eastAsia="ja-JP"/>
        </w:rPr>
        <w:t xml:space="preserve"> </w:t>
      </w:r>
      <w:r w:rsidRPr="00FC45A6">
        <w:rPr>
          <w:lang w:eastAsia="ja-JP"/>
        </w:rPr>
        <w:t xml:space="preserve">mg </w:t>
      </w:r>
      <w:r w:rsidR="00F23C97">
        <w:rPr>
          <w:lang w:eastAsia="ja-JP"/>
        </w:rPr>
        <w:t>every 4 weeks</w:t>
      </w:r>
      <w:r w:rsidRPr="00FC45A6">
        <w:rPr>
          <w:lang w:eastAsia="ja-JP"/>
        </w:rPr>
        <w:t xml:space="preserve"> given as </w:t>
      </w:r>
      <w:r w:rsidR="00F23C97">
        <w:rPr>
          <w:lang w:eastAsia="ja-JP"/>
        </w:rPr>
        <w:t>two</w:t>
      </w:r>
      <w:r w:rsidRPr="00FC45A6">
        <w:rPr>
          <w:lang w:eastAsia="ja-JP"/>
        </w:rPr>
        <w:t xml:space="preserve"> </w:t>
      </w:r>
      <w:proofErr w:type="spellStart"/>
      <w:r w:rsidR="008B40FD">
        <w:rPr>
          <w:lang w:eastAsia="ja-JP"/>
        </w:rPr>
        <w:t>bimekizumab</w:t>
      </w:r>
      <w:proofErr w:type="spellEnd"/>
      <w:r w:rsidRPr="00FC45A6">
        <w:rPr>
          <w:lang w:eastAsia="ja-JP"/>
        </w:rPr>
        <w:t xml:space="preserve"> 160</w:t>
      </w:r>
      <w:r w:rsidR="00F23C97">
        <w:rPr>
          <w:lang w:eastAsia="ja-JP"/>
        </w:rPr>
        <w:t xml:space="preserve"> </w:t>
      </w:r>
      <w:r w:rsidRPr="00FC45A6">
        <w:rPr>
          <w:lang w:eastAsia="ja-JP"/>
        </w:rPr>
        <w:t>mg injections</w:t>
      </w:r>
      <w:r w:rsidR="00F23C97" w:rsidRPr="00F23C97">
        <w:t xml:space="preserve"> </w:t>
      </w:r>
      <w:r w:rsidR="00F23C97" w:rsidRPr="00F23C97">
        <w:rPr>
          <w:lang w:eastAsia="ja-JP"/>
        </w:rPr>
        <w:t>subcutaneous</w:t>
      </w:r>
      <w:r w:rsidR="00F23C97">
        <w:rPr>
          <w:lang w:eastAsia="ja-JP"/>
        </w:rPr>
        <w:t>ly</w:t>
      </w:r>
      <w:r w:rsidR="00F23C97" w:rsidRPr="00F23C97">
        <w:rPr>
          <w:lang w:eastAsia="ja-JP"/>
        </w:rPr>
        <w:t xml:space="preserve"> </w:t>
      </w:r>
      <w:r w:rsidR="00F23C97">
        <w:rPr>
          <w:lang w:eastAsia="ja-JP"/>
        </w:rPr>
        <w:t>every 4 weeks</w:t>
      </w:r>
      <w:r w:rsidRPr="00FC45A6">
        <w:rPr>
          <w:lang w:eastAsia="ja-JP"/>
        </w:rPr>
        <w:t xml:space="preserve"> at Weeks 28, 32, 36, 40, 44, 48, 52</w:t>
      </w:r>
      <w:r>
        <w:rPr>
          <w:lang w:eastAsia="ja-JP"/>
        </w:rPr>
        <w:t xml:space="preserve"> and 56</w:t>
      </w:r>
      <w:r w:rsidRPr="00FC45A6">
        <w:rPr>
          <w:lang w:eastAsia="ja-JP"/>
        </w:rPr>
        <w:t>.</w:t>
      </w:r>
    </w:p>
    <w:p w14:paraId="6A489AB1" w14:textId="748B0B2C" w:rsidR="00BA5B14" w:rsidRPr="00930B65" w:rsidRDefault="00BA5B14" w:rsidP="00797E57">
      <w:pPr>
        <w:spacing w:after="0"/>
        <w:ind w:left="851" w:hanging="851"/>
        <w:rPr>
          <w:lang w:eastAsia="ja-JP"/>
        </w:rPr>
      </w:pPr>
      <w:r w:rsidRPr="00930B65">
        <w:rPr>
          <w:lang w:eastAsia="ja-JP"/>
        </w:rPr>
        <w:t xml:space="preserve">The </w:t>
      </w:r>
      <w:r w:rsidR="00764B75">
        <w:rPr>
          <w:lang w:eastAsia="ja-JP"/>
        </w:rPr>
        <w:t xml:space="preserve">investigational </w:t>
      </w:r>
      <w:r w:rsidRPr="00930B65">
        <w:rPr>
          <w:lang w:eastAsia="ja-JP"/>
        </w:rPr>
        <w:t>study medications</w:t>
      </w:r>
      <w:r w:rsidR="00883D0E">
        <w:rPr>
          <w:lang w:eastAsia="ja-JP"/>
        </w:rPr>
        <w:t xml:space="preserve"> or active comparator</w:t>
      </w:r>
      <w:r w:rsidRPr="00930B65">
        <w:rPr>
          <w:lang w:eastAsia="ja-JP"/>
        </w:rPr>
        <w:t xml:space="preserve"> were supplied as</w:t>
      </w:r>
      <w:r w:rsidR="00764B75">
        <w:rPr>
          <w:lang w:eastAsia="ja-JP"/>
        </w:rPr>
        <w:t xml:space="preserve"> follows</w:t>
      </w:r>
      <w:r w:rsidRPr="00930B65">
        <w:rPr>
          <w:lang w:eastAsia="ja-JP"/>
        </w:rPr>
        <w:t>:</w:t>
      </w:r>
    </w:p>
    <w:p w14:paraId="45416A82" w14:textId="168D6BEE" w:rsidR="00BA5B14" w:rsidRPr="00797E57" w:rsidRDefault="008B40FD" w:rsidP="00797E57">
      <w:pPr>
        <w:pStyle w:val="ListBullet"/>
        <w:rPr>
          <w:lang w:eastAsia="ja-JP"/>
        </w:rPr>
      </w:pPr>
      <w:proofErr w:type="spellStart"/>
      <w:r>
        <w:rPr>
          <w:lang w:eastAsia="ja-JP"/>
        </w:rPr>
        <w:t>bimekizumab</w:t>
      </w:r>
      <w:proofErr w:type="spellEnd"/>
      <w:r w:rsidR="00BA5B14" w:rsidRPr="009B5A00">
        <w:rPr>
          <w:lang w:eastAsia="ja-JP"/>
        </w:rPr>
        <w:t xml:space="preserve"> was supplied in a l</w:t>
      </w:r>
      <w:r w:rsidR="00F23C97">
        <w:rPr>
          <w:lang w:eastAsia="ja-JP"/>
        </w:rPr>
        <w:t xml:space="preserve"> </w:t>
      </w:r>
      <w:r w:rsidR="00BA5B14" w:rsidRPr="009B5A00">
        <w:rPr>
          <w:lang w:eastAsia="ja-JP"/>
        </w:rPr>
        <w:t>mL prefilled syringe at a concentration of 160</w:t>
      </w:r>
      <w:r w:rsidR="00713EB3">
        <w:rPr>
          <w:lang w:eastAsia="ja-JP"/>
        </w:rPr>
        <w:t> </w:t>
      </w:r>
      <w:r w:rsidR="00BA5B14" w:rsidRPr="009B5A00">
        <w:rPr>
          <w:lang w:eastAsia="ja-JP"/>
        </w:rPr>
        <w:t>mg/</w:t>
      </w:r>
      <w:proofErr w:type="gramStart"/>
      <w:r w:rsidR="00BA5B14" w:rsidRPr="009B5A00">
        <w:rPr>
          <w:lang w:eastAsia="ja-JP"/>
        </w:rPr>
        <w:t>mL</w:t>
      </w:r>
      <w:r w:rsidR="00883D0E">
        <w:rPr>
          <w:lang w:eastAsia="ja-JP"/>
        </w:rPr>
        <w:t>;</w:t>
      </w:r>
      <w:proofErr w:type="gramEnd"/>
    </w:p>
    <w:p w14:paraId="4C94617D" w14:textId="4A724F98" w:rsidR="00BA5B14" w:rsidRPr="00797E57" w:rsidRDefault="004858E7" w:rsidP="00797E57">
      <w:pPr>
        <w:pStyle w:val="ListBullet"/>
        <w:rPr>
          <w:lang w:eastAsia="ja-JP"/>
        </w:rPr>
      </w:pPr>
      <w:r>
        <w:rPr>
          <w:lang w:eastAsia="ja-JP"/>
        </w:rPr>
        <w:t>adalimumab</w:t>
      </w:r>
      <w:r w:rsidR="00BA5B14" w:rsidRPr="009B5A00">
        <w:rPr>
          <w:lang w:eastAsia="ja-JP"/>
        </w:rPr>
        <w:t xml:space="preserve"> was supplied as a </w:t>
      </w:r>
      <w:r w:rsidR="00713EB3" w:rsidRPr="009B5A00">
        <w:rPr>
          <w:lang w:eastAsia="ja-JP"/>
        </w:rPr>
        <w:t>prefilled syringe</w:t>
      </w:r>
      <w:r w:rsidR="00BA5B14" w:rsidRPr="009B5A00">
        <w:rPr>
          <w:lang w:eastAsia="ja-JP"/>
        </w:rPr>
        <w:t xml:space="preserve"> for </w:t>
      </w:r>
      <w:r w:rsidR="00F23C97" w:rsidRPr="00F23C97">
        <w:rPr>
          <w:lang w:eastAsia="ja-JP"/>
        </w:rPr>
        <w:t>subcutaneous</w:t>
      </w:r>
      <w:r w:rsidR="00BA5B14" w:rsidRPr="009B5A00">
        <w:rPr>
          <w:lang w:eastAsia="ja-JP"/>
        </w:rPr>
        <w:t xml:space="preserve"> injection (at a concentration of 40</w:t>
      </w:r>
      <w:r w:rsidR="00713EB3">
        <w:rPr>
          <w:lang w:eastAsia="ja-JP"/>
        </w:rPr>
        <w:t> </w:t>
      </w:r>
      <w:r w:rsidR="00BA5B14" w:rsidRPr="009B5A00">
        <w:rPr>
          <w:lang w:eastAsia="ja-JP"/>
        </w:rPr>
        <w:t>mg/0.8</w:t>
      </w:r>
      <w:r w:rsidR="00713EB3">
        <w:rPr>
          <w:lang w:eastAsia="ja-JP"/>
        </w:rPr>
        <w:t xml:space="preserve"> </w:t>
      </w:r>
      <w:r w:rsidR="00BA5B14" w:rsidRPr="009B5A00">
        <w:rPr>
          <w:lang w:eastAsia="ja-JP"/>
        </w:rPr>
        <w:t>mL or 40</w:t>
      </w:r>
      <w:r w:rsidR="00713EB3">
        <w:rPr>
          <w:lang w:eastAsia="ja-JP"/>
        </w:rPr>
        <w:t> </w:t>
      </w:r>
      <w:r w:rsidR="00BA5B14" w:rsidRPr="009B5A00">
        <w:rPr>
          <w:lang w:eastAsia="ja-JP"/>
        </w:rPr>
        <w:t>mg/0.4</w:t>
      </w:r>
      <w:r w:rsidR="00713EB3">
        <w:rPr>
          <w:lang w:eastAsia="ja-JP"/>
        </w:rPr>
        <w:t xml:space="preserve"> </w:t>
      </w:r>
      <w:r w:rsidR="00BA5B14" w:rsidRPr="009B5A00">
        <w:rPr>
          <w:lang w:eastAsia="ja-JP"/>
        </w:rPr>
        <w:t>mL depending on regional availability) in a single</w:t>
      </w:r>
      <w:r w:rsidR="00713EB3">
        <w:rPr>
          <w:lang w:eastAsia="ja-JP"/>
        </w:rPr>
        <w:t xml:space="preserve"> </w:t>
      </w:r>
      <w:r w:rsidR="00BA5B14" w:rsidRPr="009B5A00">
        <w:rPr>
          <w:lang w:eastAsia="ja-JP"/>
        </w:rPr>
        <w:t>use syringe</w:t>
      </w:r>
      <w:r w:rsidR="00883D0E">
        <w:rPr>
          <w:lang w:eastAsia="ja-JP"/>
        </w:rPr>
        <w:t>; and</w:t>
      </w:r>
    </w:p>
    <w:p w14:paraId="2EB6F650" w14:textId="0A109417" w:rsidR="00BA5B14" w:rsidRPr="00797E57" w:rsidRDefault="00883D0E" w:rsidP="00797E57">
      <w:pPr>
        <w:pStyle w:val="ListBullet"/>
        <w:rPr>
          <w:lang w:eastAsia="ja-JP"/>
        </w:rPr>
      </w:pPr>
      <w:r>
        <w:rPr>
          <w:lang w:eastAsia="ja-JP"/>
        </w:rPr>
        <w:t>p</w:t>
      </w:r>
      <w:r w:rsidR="00BA5B14" w:rsidRPr="009B5A00">
        <w:rPr>
          <w:lang w:eastAsia="ja-JP"/>
        </w:rPr>
        <w:t xml:space="preserve">lacebo was supplied as 0.9% sodium chloride aqueous solution (physiological saline, preservative-free) in a </w:t>
      </w:r>
      <w:r>
        <w:rPr>
          <w:lang w:eastAsia="ja-JP"/>
        </w:rPr>
        <w:t>1</w:t>
      </w:r>
      <w:r w:rsidR="00713EB3">
        <w:rPr>
          <w:lang w:eastAsia="ja-JP"/>
        </w:rPr>
        <w:t xml:space="preserve"> </w:t>
      </w:r>
      <w:r w:rsidR="00BA5B14" w:rsidRPr="009B5A00">
        <w:rPr>
          <w:lang w:eastAsia="ja-JP"/>
        </w:rPr>
        <w:t xml:space="preserve">mL </w:t>
      </w:r>
      <w:r w:rsidR="00713EB3" w:rsidRPr="009B5A00">
        <w:rPr>
          <w:lang w:eastAsia="ja-JP"/>
        </w:rPr>
        <w:t>prefilled syringe</w:t>
      </w:r>
      <w:r w:rsidR="00BA5B14" w:rsidRPr="009B5A00">
        <w:rPr>
          <w:lang w:eastAsia="ja-JP"/>
        </w:rPr>
        <w:t xml:space="preserve"> for</w:t>
      </w:r>
      <w:r w:rsidR="00F23C97" w:rsidRPr="00F23C97">
        <w:t xml:space="preserve"> </w:t>
      </w:r>
      <w:r w:rsidR="00F23C97" w:rsidRPr="00F23C97">
        <w:rPr>
          <w:lang w:eastAsia="ja-JP"/>
        </w:rPr>
        <w:t xml:space="preserve">subcutaneous </w:t>
      </w:r>
      <w:r w:rsidR="00BA5B14" w:rsidRPr="009B5A00">
        <w:rPr>
          <w:lang w:eastAsia="ja-JP"/>
        </w:rPr>
        <w:t>injection.</w:t>
      </w:r>
    </w:p>
    <w:p w14:paraId="77EB3F36" w14:textId="0A593C97" w:rsidR="00BA5B14" w:rsidRPr="00797E57" w:rsidRDefault="00797E57" w:rsidP="00797E57">
      <w:pPr>
        <w:rPr>
          <w:b/>
          <w:bCs/>
        </w:rPr>
      </w:pPr>
      <w:r>
        <w:rPr>
          <w:lang w:eastAsia="ja-JP"/>
        </w:rPr>
        <w:t xml:space="preserve">The </w:t>
      </w:r>
      <w:r w:rsidR="00883D0E">
        <w:rPr>
          <w:lang w:eastAsia="ja-JP"/>
        </w:rPr>
        <w:t xml:space="preserve">TGA’s </w:t>
      </w:r>
      <w:r>
        <w:rPr>
          <w:lang w:eastAsia="ja-JP"/>
        </w:rPr>
        <w:t>clinical evaluat</w:t>
      </w:r>
      <w:r w:rsidR="00883D0E">
        <w:rPr>
          <w:lang w:eastAsia="ja-JP"/>
        </w:rPr>
        <w:t>ion</w:t>
      </w:r>
      <w:r>
        <w:rPr>
          <w:lang w:eastAsia="ja-JP"/>
        </w:rPr>
        <w:t xml:space="preserve"> commente</w:t>
      </w:r>
      <w:r w:rsidR="00713EB3">
        <w:rPr>
          <w:lang w:eastAsia="ja-JP"/>
        </w:rPr>
        <w:t>d</w:t>
      </w:r>
      <w:r>
        <w:rPr>
          <w:lang w:eastAsia="ja-JP"/>
        </w:rPr>
        <w:t xml:space="preserve"> that Study PS0008 </w:t>
      </w:r>
      <w:bookmarkStart w:id="88" w:name="_Hlk73969905"/>
      <w:r w:rsidR="00BA5B14" w:rsidRPr="00797E57">
        <w:t xml:space="preserve">is an active comparator study that complies with relevant guidelines. </w:t>
      </w:r>
      <w:proofErr w:type="gramStart"/>
      <w:r w:rsidR="00BA5B14" w:rsidRPr="00797E57">
        <w:t>Adalimumab</w:t>
      </w:r>
      <w:r w:rsidR="00713EB3">
        <w:t>;</w:t>
      </w:r>
      <w:proofErr w:type="gramEnd"/>
      <w:r w:rsidR="00713EB3">
        <w:fldChar w:fldCharType="begin"/>
      </w:r>
      <w:r w:rsidR="00713EB3">
        <w:instrText xml:space="preserve"> NOTEREF _Ref129947621 \f \h </w:instrText>
      </w:r>
      <w:r w:rsidR="00713EB3">
        <w:fldChar w:fldCharType="separate"/>
      </w:r>
      <w:r w:rsidR="00B54079" w:rsidRPr="00B54079">
        <w:rPr>
          <w:rStyle w:val="FootnoteReference"/>
        </w:rPr>
        <w:t>20</w:t>
      </w:r>
      <w:r w:rsidR="00713EB3">
        <w:fldChar w:fldCharType="end"/>
      </w:r>
      <w:r w:rsidR="00BA5B14" w:rsidRPr="00797E57">
        <w:t xml:space="preserve"> is a TNF</w:t>
      </w:r>
      <w:r w:rsidR="00713EB3">
        <w:t xml:space="preserve"> </w:t>
      </w:r>
      <w:r w:rsidR="00BA5B14" w:rsidRPr="00797E57">
        <w:t xml:space="preserve">inhibitor that is indicated for the treatment of severe chronic plaque psoriasis in children and adolescent patients from 4 years of age who have had an inadequate response to or are inappropriate candidates for topical therapy and phototherapy (amongst other indications), and is an acceptable active comparator. No </w:t>
      </w:r>
      <w:proofErr w:type="gramStart"/>
      <w:r w:rsidR="00BA5B14" w:rsidRPr="00797E57">
        <w:t>placebo controlled</w:t>
      </w:r>
      <w:proofErr w:type="gramEnd"/>
      <w:r w:rsidR="00BA5B14" w:rsidRPr="00797E57">
        <w:t xml:space="preserve"> arm is included. This is acceptable according to relevant guidelines which state: </w:t>
      </w:r>
      <w:r>
        <w:t>‘</w:t>
      </w:r>
      <w:r w:rsidR="00BA5B14" w:rsidRPr="00797E57">
        <w:rPr>
          <w:i/>
          <w:iCs/>
          <w:lang w:val="en-NZ"/>
        </w:rPr>
        <w:t>For trials aiming to show superiority of a new drug to the known active treatment, two-arm trials without placebo control are acceptable</w:t>
      </w:r>
      <w:bookmarkEnd w:id="88"/>
      <w:r>
        <w:rPr>
          <w:lang w:val="en-NZ"/>
        </w:rPr>
        <w:t>’.</w:t>
      </w:r>
    </w:p>
    <w:p w14:paraId="1780A215" w14:textId="668E1983" w:rsidR="00BA5B14" w:rsidRPr="0004222F" w:rsidRDefault="00D62155" w:rsidP="00D62155">
      <w:pPr>
        <w:rPr>
          <w:lang w:eastAsia="ja-JP"/>
        </w:rPr>
      </w:pPr>
      <w:r>
        <w:rPr>
          <w:lang w:eastAsia="ja-JP"/>
        </w:rPr>
        <w:t>The sponsor used a</w:t>
      </w:r>
      <w:r w:rsidR="00BA5B14" w:rsidRPr="0004222F">
        <w:rPr>
          <w:lang w:eastAsia="ja-JP"/>
        </w:rPr>
        <w:t xml:space="preserve">n </w:t>
      </w:r>
      <w:r>
        <w:rPr>
          <w:lang w:eastAsia="ja-JP"/>
        </w:rPr>
        <w:t>i</w:t>
      </w:r>
      <w:r w:rsidR="00BA5B14" w:rsidRPr="0004222F">
        <w:rPr>
          <w:lang w:eastAsia="ja-JP"/>
        </w:rPr>
        <w:t xml:space="preserve">nteractive </w:t>
      </w:r>
      <w:r>
        <w:rPr>
          <w:lang w:eastAsia="ja-JP"/>
        </w:rPr>
        <w:t>r</w:t>
      </w:r>
      <w:r w:rsidR="00BA5B14" w:rsidRPr="0004222F">
        <w:rPr>
          <w:lang w:eastAsia="ja-JP"/>
        </w:rPr>
        <w:t xml:space="preserve">esponse </w:t>
      </w:r>
      <w:r>
        <w:rPr>
          <w:lang w:eastAsia="ja-JP"/>
        </w:rPr>
        <w:t>t</w:t>
      </w:r>
      <w:r w:rsidR="00BA5B14" w:rsidRPr="0004222F">
        <w:rPr>
          <w:lang w:eastAsia="ja-JP"/>
        </w:rPr>
        <w:t>echnology system was used for assigning eligible study participants to a treatment regimen, based on a pre-determined production randomi</w:t>
      </w:r>
      <w:r w:rsidR="00713EB3">
        <w:rPr>
          <w:lang w:eastAsia="ja-JP"/>
        </w:rPr>
        <w:t>s</w:t>
      </w:r>
      <w:r w:rsidR="00BA5B14" w:rsidRPr="0004222F">
        <w:rPr>
          <w:lang w:eastAsia="ja-JP"/>
        </w:rPr>
        <w:t xml:space="preserve">ation and/or packaging schedule provided by </w:t>
      </w:r>
      <w:r w:rsidR="00883D0E">
        <w:rPr>
          <w:lang w:eastAsia="ja-JP"/>
        </w:rPr>
        <w:t>sponsor</w:t>
      </w:r>
      <w:r w:rsidR="00BA5B14" w:rsidRPr="0004222F">
        <w:rPr>
          <w:lang w:eastAsia="ja-JP"/>
        </w:rPr>
        <w:t>.</w:t>
      </w:r>
    </w:p>
    <w:p w14:paraId="3CD6CE27" w14:textId="0F68234C" w:rsidR="00BA5B14" w:rsidRPr="0004222F" w:rsidRDefault="00BA5B14" w:rsidP="00D62155">
      <w:r w:rsidRPr="0004222F">
        <w:rPr>
          <w:lang w:val="en-US"/>
        </w:rPr>
        <w:t xml:space="preserve">At </w:t>
      </w:r>
      <w:r w:rsidR="00D62155">
        <w:rPr>
          <w:lang w:val="en-US"/>
        </w:rPr>
        <w:t>s</w:t>
      </w:r>
      <w:r w:rsidRPr="0004222F">
        <w:rPr>
          <w:lang w:val="en-US"/>
        </w:rPr>
        <w:t xml:space="preserve">creening, each study participant was assigned a </w:t>
      </w:r>
      <w:proofErr w:type="gramStart"/>
      <w:r w:rsidR="00713EB3">
        <w:rPr>
          <w:lang w:val="en-US"/>
        </w:rPr>
        <w:t xml:space="preserve">five </w:t>
      </w:r>
      <w:r w:rsidRPr="0004222F">
        <w:rPr>
          <w:lang w:val="en-US"/>
        </w:rPr>
        <w:t>digit</w:t>
      </w:r>
      <w:proofErr w:type="gramEnd"/>
      <w:r w:rsidRPr="0004222F">
        <w:rPr>
          <w:lang w:val="en-US"/>
        </w:rPr>
        <w:t xml:space="preserve"> number that served as the study participant identifier throughout the study. The study participant number was required in all communications between the Investigator or designee and the </w:t>
      </w:r>
      <w:r w:rsidR="00713EB3">
        <w:rPr>
          <w:lang w:eastAsia="ja-JP"/>
        </w:rPr>
        <w:t>i</w:t>
      </w:r>
      <w:r w:rsidR="00713EB3" w:rsidRPr="0004222F">
        <w:rPr>
          <w:lang w:eastAsia="ja-JP"/>
        </w:rPr>
        <w:t xml:space="preserve">nteractive </w:t>
      </w:r>
      <w:r w:rsidR="00713EB3">
        <w:rPr>
          <w:lang w:eastAsia="ja-JP"/>
        </w:rPr>
        <w:t>r</w:t>
      </w:r>
      <w:r w:rsidR="00713EB3" w:rsidRPr="0004222F">
        <w:rPr>
          <w:lang w:eastAsia="ja-JP"/>
        </w:rPr>
        <w:t xml:space="preserve">esponse </w:t>
      </w:r>
      <w:r w:rsidR="00713EB3">
        <w:rPr>
          <w:lang w:eastAsia="ja-JP"/>
        </w:rPr>
        <w:t>t</w:t>
      </w:r>
      <w:r w:rsidR="00713EB3" w:rsidRPr="0004222F">
        <w:rPr>
          <w:lang w:eastAsia="ja-JP"/>
        </w:rPr>
        <w:t>echnology</w:t>
      </w:r>
      <w:r w:rsidRPr="0004222F">
        <w:rPr>
          <w:lang w:val="en-US"/>
        </w:rPr>
        <w:t xml:space="preserve"> regarding a particular study participant.</w:t>
      </w:r>
    </w:p>
    <w:p w14:paraId="17AF95CC" w14:textId="74B830B5" w:rsidR="00BA5B14" w:rsidRDefault="00BA5B14" w:rsidP="00D62155">
      <w:pPr>
        <w:rPr>
          <w:rFonts w:asciiTheme="minorHAnsi" w:hAnsiTheme="minorHAnsi"/>
        </w:rPr>
      </w:pPr>
      <w:r w:rsidRPr="0004222F">
        <w:rPr>
          <w:rFonts w:asciiTheme="minorHAnsi" w:hAnsiTheme="minorHAnsi"/>
        </w:rPr>
        <w:t xml:space="preserve">At the Baseline </w:t>
      </w:r>
      <w:r w:rsidR="00D62155">
        <w:rPr>
          <w:rFonts w:asciiTheme="minorHAnsi" w:hAnsiTheme="minorHAnsi"/>
        </w:rPr>
        <w:t>v</w:t>
      </w:r>
      <w:r w:rsidRPr="0004222F">
        <w:rPr>
          <w:rFonts w:asciiTheme="minorHAnsi" w:hAnsiTheme="minorHAnsi"/>
        </w:rPr>
        <w:t>isit, a study participant was randomi</w:t>
      </w:r>
      <w:r w:rsidR="00713EB3">
        <w:rPr>
          <w:rFonts w:asciiTheme="minorHAnsi" w:hAnsiTheme="minorHAnsi"/>
        </w:rPr>
        <w:t>s</w:t>
      </w:r>
      <w:r w:rsidRPr="0004222F">
        <w:rPr>
          <w:rFonts w:asciiTheme="minorHAnsi" w:hAnsiTheme="minorHAnsi"/>
        </w:rPr>
        <w:t xml:space="preserve">ed into the study. The </w:t>
      </w:r>
      <w:r w:rsidR="00D62155">
        <w:rPr>
          <w:rFonts w:asciiTheme="minorHAnsi" w:hAnsiTheme="minorHAnsi"/>
        </w:rPr>
        <w:t>i</w:t>
      </w:r>
      <w:r w:rsidRPr="0004222F">
        <w:rPr>
          <w:rFonts w:asciiTheme="minorHAnsi" w:hAnsiTheme="minorHAnsi"/>
        </w:rPr>
        <w:t xml:space="preserve">nvestigator or designee used the </w:t>
      </w:r>
      <w:r w:rsidR="00713EB3">
        <w:rPr>
          <w:lang w:eastAsia="ja-JP"/>
        </w:rPr>
        <w:t>i</w:t>
      </w:r>
      <w:r w:rsidR="00713EB3" w:rsidRPr="0004222F">
        <w:rPr>
          <w:lang w:eastAsia="ja-JP"/>
        </w:rPr>
        <w:t xml:space="preserve">nteractive </w:t>
      </w:r>
      <w:r w:rsidR="00713EB3">
        <w:rPr>
          <w:lang w:eastAsia="ja-JP"/>
        </w:rPr>
        <w:t>r</w:t>
      </w:r>
      <w:r w:rsidR="00713EB3" w:rsidRPr="0004222F">
        <w:rPr>
          <w:lang w:eastAsia="ja-JP"/>
        </w:rPr>
        <w:t xml:space="preserve">esponse </w:t>
      </w:r>
      <w:r w:rsidR="00713EB3">
        <w:rPr>
          <w:lang w:eastAsia="ja-JP"/>
        </w:rPr>
        <w:t>t</w:t>
      </w:r>
      <w:r w:rsidR="00713EB3" w:rsidRPr="0004222F">
        <w:rPr>
          <w:lang w:eastAsia="ja-JP"/>
        </w:rPr>
        <w:t>echnology</w:t>
      </w:r>
      <w:r w:rsidRPr="0004222F">
        <w:rPr>
          <w:rFonts w:asciiTheme="minorHAnsi" w:hAnsiTheme="minorHAnsi"/>
        </w:rPr>
        <w:t xml:space="preserve"> for randomi</w:t>
      </w:r>
      <w:r w:rsidR="00713EB3">
        <w:rPr>
          <w:rFonts w:asciiTheme="minorHAnsi" w:hAnsiTheme="minorHAnsi"/>
        </w:rPr>
        <w:t>s</w:t>
      </w:r>
      <w:r w:rsidRPr="0004222F">
        <w:rPr>
          <w:rFonts w:asciiTheme="minorHAnsi" w:hAnsiTheme="minorHAnsi"/>
        </w:rPr>
        <w:t xml:space="preserve">ation. The </w:t>
      </w:r>
      <w:r w:rsidR="00713EB3">
        <w:rPr>
          <w:lang w:eastAsia="ja-JP"/>
        </w:rPr>
        <w:t>i</w:t>
      </w:r>
      <w:r w:rsidR="00713EB3" w:rsidRPr="0004222F">
        <w:rPr>
          <w:lang w:eastAsia="ja-JP"/>
        </w:rPr>
        <w:t xml:space="preserve">nteractive </w:t>
      </w:r>
      <w:r w:rsidR="00713EB3">
        <w:rPr>
          <w:lang w:eastAsia="ja-JP"/>
        </w:rPr>
        <w:t>r</w:t>
      </w:r>
      <w:r w:rsidR="00713EB3" w:rsidRPr="0004222F">
        <w:rPr>
          <w:lang w:eastAsia="ja-JP"/>
        </w:rPr>
        <w:t xml:space="preserve">esponse </w:t>
      </w:r>
      <w:r w:rsidR="00713EB3">
        <w:rPr>
          <w:lang w:eastAsia="ja-JP"/>
        </w:rPr>
        <w:t>t</w:t>
      </w:r>
      <w:r w:rsidR="00713EB3" w:rsidRPr="0004222F">
        <w:rPr>
          <w:lang w:eastAsia="ja-JP"/>
        </w:rPr>
        <w:t>echnology</w:t>
      </w:r>
      <w:r w:rsidRPr="0004222F">
        <w:rPr>
          <w:rFonts w:asciiTheme="minorHAnsi" w:hAnsiTheme="minorHAnsi"/>
        </w:rPr>
        <w:t xml:space="preserve"> automatically informed the </w:t>
      </w:r>
      <w:r w:rsidR="00713EB3">
        <w:rPr>
          <w:rFonts w:asciiTheme="minorHAnsi" w:hAnsiTheme="minorHAnsi"/>
        </w:rPr>
        <w:t>i</w:t>
      </w:r>
      <w:r w:rsidRPr="0004222F">
        <w:rPr>
          <w:rFonts w:asciiTheme="minorHAnsi" w:hAnsiTheme="minorHAnsi"/>
        </w:rPr>
        <w:t xml:space="preserve">nvestigator or designee of the study participant's identification number. The </w:t>
      </w:r>
      <w:r w:rsidR="00713EB3">
        <w:rPr>
          <w:lang w:eastAsia="ja-JP"/>
        </w:rPr>
        <w:t>i</w:t>
      </w:r>
      <w:r w:rsidR="00713EB3" w:rsidRPr="0004222F">
        <w:rPr>
          <w:lang w:eastAsia="ja-JP"/>
        </w:rPr>
        <w:t xml:space="preserve">nteractive </w:t>
      </w:r>
      <w:r w:rsidR="00713EB3">
        <w:rPr>
          <w:lang w:eastAsia="ja-JP"/>
        </w:rPr>
        <w:t>r</w:t>
      </w:r>
      <w:r w:rsidR="00713EB3" w:rsidRPr="0004222F">
        <w:rPr>
          <w:lang w:eastAsia="ja-JP"/>
        </w:rPr>
        <w:t xml:space="preserve">esponse </w:t>
      </w:r>
      <w:r w:rsidR="00713EB3">
        <w:rPr>
          <w:lang w:eastAsia="ja-JP"/>
        </w:rPr>
        <w:t>t</w:t>
      </w:r>
      <w:r w:rsidR="00713EB3" w:rsidRPr="0004222F">
        <w:rPr>
          <w:lang w:eastAsia="ja-JP"/>
        </w:rPr>
        <w:t>echnology</w:t>
      </w:r>
      <w:r w:rsidRPr="0004222F">
        <w:rPr>
          <w:rFonts w:asciiTheme="minorHAnsi" w:hAnsiTheme="minorHAnsi"/>
        </w:rPr>
        <w:t xml:space="preserve"> allocated kit numbers to the study participant, based on the study participant’s number </w:t>
      </w:r>
      <w:r w:rsidR="00713EB3" w:rsidRPr="0004222F">
        <w:rPr>
          <w:rFonts w:asciiTheme="minorHAnsi" w:hAnsiTheme="minorHAnsi"/>
        </w:rPr>
        <w:t>during</w:t>
      </w:r>
      <w:r w:rsidRPr="0004222F">
        <w:rPr>
          <w:rFonts w:asciiTheme="minorHAnsi" w:hAnsiTheme="minorHAnsi"/>
        </w:rPr>
        <w:t xml:space="preserve"> the study. The kits were blinded.</w:t>
      </w:r>
    </w:p>
    <w:p w14:paraId="4C29EC53" w14:textId="275A08B4" w:rsidR="00BA5B14" w:rsidRDefault="00BA5B14" w:rsidP="00D62155">
      <w:pPr>
        <w:rPr>
          <w:rFonts w:asciiTheme="minorHAnsi" w:hAnsiTheme="minorHAnsi"/>
        </w:rPr>
      </w:pPr>
      <w:r w:rsidRPr="0004222F">
        <w:rPr>
          <w:rFonts w:asciiTheme="minorHAnsi" w:hAnsiTheme="minorHAnsi"/>
        </w:rPr>
        <w:t xml:space="preserve">Due to differences in presentation between the </w:t>
      </w:r>
      <w:proofErr w:type="spellStart"/>
      <w:r w:rsidRPr="0004222F">
        <w:rPr>
          <w:rFonts w:asciiTheme="minorHAnsi" w:hAnsiTheme="minorHAnsi"/>
        </w:rPr>
        <w:t>bimekizumab</w:t>
      </w:r>
      <w:proofErr w:type="spellEnd"/>
      <w:r w:rsidRPr="0004222F">
        <w:rPr>
          <w:rFonts w:asciiTheme="minorHAnsi" w:hAnsiTheme="minorHAnsi"/>
        </w:rPr>
        <w:t xml:space="preserve"> and adalimumab, special precautions were taken to ensure study blinding </w:t>
      </w:r>
      <w:proofErr w:type="gramStart"/>
      <w:r w:rsidRPr="0004222F">
        <w:rPr>
          <w:rFonts w:asciiTheme="minorHAnsi" w:hAnsiTheme="minorHAnsi"/>
        </w:rPr>
        <w:t>and,</w:t>
      </w:r>
      <w:proofErr w:type="gramEnd"/>
      <w:r w:rsidRPr="0004222F">
        <w:rPr>
          <w:rFonts w:asciiTheme="minorHAnsi" w:hAnsiTheme="minorHAnsi"/>
        </w:rPr>
        <w:t xml:space="preserve"> study sites had blinded and unblinded personnel.</w:t>
      </w:r>
    </w:p>
    <w:p w14:paraId="0B35F23B" w14:textId="625CE224" w:rsidR="00BA5B14" w:rsidRDefault="00BA5B14" w:rsidP="00D62155">
      <w:pPr>
        <w:rPr>
          <w:rFonts w:asciiTheme="minorHAnsi" w:hAnsiTheme="minorHAnsi"/>
        </w:rPr>
      </w:pPr>
      <w:r w:rsidRPr="0004222F">
        <w:rPr>
          <w:rFonts w:asciiTheme="minorHAnsi" w:hAnsiTheme="minorHAnsi"/>
        </w:rPr>
        <w:t xml:space="preserve">All </w:t>
      </w:r>
      <w:r w:rsidR="00D62155">
        <w:rPr>
          <w:rFonts w:asciiTheme="minorHAnsi" w:hAnsiTheme="minorHAnsi"/>
        </w:rPr>
        <w:t>s</w:t>
      </w:r>
      <w:r w:rsidRPr="0004222F">
        <w:rPr>
          <w:rFonts w:asciiTheme="minorHAnsi" w:hAnsiTheme="minorHAnsi"/>
        </w:rPr>
        <w:t xml:space="preserve">ponsor and </w:t>
      </w:r>
      <w:r w:rsidR="00D62155">
        <w:rPr>
          <w:rFonts w:asciiTheme="minorHAnsi" w:hAnsiTheme="minorHAnsi"/>
        </w:rPr>
        <w:t>i</w:t>
      </w:r>
      <w:r w:rsidRPr="0004222F">
        <w:rPr>
          <w:rFonts w:asciiTheme="minorHAnsi" w:hAnsiTheme="minorHAnsi"/>
        </w:rPr>
        <w:t>nvestigator site personnel involved in the study were blinded to the randomi</w:t>
      </w:r>
      <w:r w:rsidR="00697067">
        <w:rPr>
          <w:rFonts w:asciiTheme="minorHAnsi" w:hAnsiTheme="minorHAnsi"/>
        </w:rPr>
        <w:t>s</w:t>
      </w:r>
      <w:r w:rsidRPr="0004222F">
        <w:rPr>
          <w:rFonts w:asciiTheme="minorHAnsi" w:hAnsiTheme="minorHAnsi"/>
        </w:rPr>
        <w:t xml:space="preserve">ed </w:t>
      </w:r>
      <w:r w:rsidR="00883D0E">
        <w:t>investigational treatment</w:t>
      </w:r>
      <w:r w:rsidR="00883D0E" w:rsidRPr="0004222F">
        <w:rPr>
          <w:rFonts w:asciiTheme="minorHAnsi" w:hAnsiTheme="minorHAnsi"/>
        </w:rPr>
        <w:t xml:space="preserve"> </w:t>
      </w:r>
      <w:r w:rsidRPr="0004222F">
        <w:rPr>
          <w:rFonts w:asciiTheme="minorHAnsi" w:hAnsiTheme="minorHAnsi"/>
        </w:rPr>
        <w:t>assignment with the following exceptions:</w:t>
      </w:r>
    </w:p>
    <w:p w14:paraId="526FECBB" w14:textId="6EABE0A0" w:rsidR="00BA5B14" w:rsidRPr="0004222F" w:rsidRDefault="00BA5B14" w:rsidP="00D62155">
      <w:pPr>
        <w:pStyle w:val="ListBullet"/>
      </w:pPr>
      <w:r w:rsidRPr="0004222F">
        <w:t>Unblinded study staff were responsible for preparation (breaking tamper proof sticker on kit</w:t>
      </w:r>
      <w:r w:rsidR="00713EB3">
        <w:t xml:space="preserve"> and more</w:t>
      </w:r>
      <w:r w:rsidRPr="0004222F">
        <w:t xml:space="preserve">) of the clinical trial material, including recording the administration information on source documents, and administration of the </w:t>
      </w:r>
      <w:r w:rsidR="00697067">
        <w:t>IMP</w:t>
      </w:r>
      <w:r w:rsidRPr="0004222F">
        <w:t xml:space="preserve"> as </w:t>
      </w:r>
      <w:r w:rsidR="00713EB3">
        <w:t>subcutaneous</w:t>
      </w:r>
      <w:r w:rsidRPr="0004222F">
        <w:t xml:space="preserve"> injections. The unblinded personnel were not involved in the study in any way other </w:t>
      </w:r>
      <w:r w:rsidRPr="0004222F">
        <w:lastRenderedPageBreak/>
        <w:t>than assuring the medication was taken from the correct kit and administering the drug to the study participants.</w:t>
      </w:r>
    </w:p>
    <w:p w14:paraId="2AD9A750" w14:textId="7F32DFB9" w:rsidR="00BA5B14" w:rsidRDefault="00BA5B14" w:rsidP="00D62155">
      <w:pPr>
        <w:pStyle w:val="ListBullet"/>
      </w:pPr>
      <w:r w:rsidRPr="0004222F">
        <w:t>Bioanalytical staff analy</w:t>
      </w:r>
      <w:r w:rsidR="00713EB3">
        <w:t>s</w:t>
      </w:r>
      <w:r w:rsidRPr="0004222F">
        <w:t xml:space="preserve">ing blood samples for </w:t>
      </w:r>
      <w:proofErr w:type="spellStart"/>
      <w:r w:rsidRPr="0004222F">
        <w:t>bimekizumab</w:t>
      </w:r>
      <w:proofErr w:type="spellEnd"/>
      <w:r w:rsidRPr="0004222F">
        <w:t xml:space="preserve"> and anti-drug/anti-</w:t>
      </w:r>
      <w:proofErr w:type="spellStart"/>
      <w:r w:rsidRPr="0004222F">
        <w:t>bimekizumab</w:t>
      </w:r>
      <w:proofErr w:type="spellEnd"/>
      <w:r w:rsidRPr="0004222F">
        <w:t xml:space="preserve"> antibody determination.</w:t>
      </w:r>
    </w:p>
    <w:p w14:paraId="0FC6BC80" w14:textId="2AA36615" w:rsidR="00BA5B14" w:rsidRDefault="00BA5B14" w:rsidP="00D62155">
      <w:r w:rsidRPr="0004222F">
        <w:t xml:space="preserve">During the study, the </w:t>
      </w:r>
      <w:r w:rsidR="00D62155">
        <w:t>s</w:t>
      </w:r>
      <w:r w:rsidRPr="0004222F">
        <w:t xml:space="preserve">ponsor provided blinded and unblinded site monitors for the purposes of verifying safety, efficacy, drug administration and documentation records. Unblinded study site personnel needed to be available </w:t>
      </w:r>
      <w:proofErr w:type="gramStart"/>
      <w:r w:rsidRPr="0004222F">
        <w:t>in order to</w:t>
      </w:r>
      <w:proofErr w:type="gramEnd"/>
      <w:r w:rsidRPr="0004222F">
        <w:t xml:space="preserve"> resolve queries. Study monitors and study site personnel blinded to treatment assignment did not discuss or have access to any drug-related information.</w:t>
      </w:r>
    </w:p>
    <w:p w14:paraId="122D940C" w14:textId="151EDAC4" w:rsidR="00BA5B14" w:rsidRDefault="00BA5B14" w:rsidP="00D62155">
      <w:r w:rsidRPr="0004222F">
        <w:t xml:space="preserve">Study sites were required to have a written blinding plan in place, signed by the </w:t>
      </w:r>
      <w:r w:rsidR="00713EB3">
        <w:t>p</w:t>
      </w:r>
      <w:r w:rsidRPr="0004222F">
        <w:t xml:space="preserve">rincipal </w:t>
      </w:r>
      <w:r w:rsidR="00713EB3">
        <w:t>i</w:t>
      </w:r>
      <w:r w:rsidRPr="0004222F">
        <w:t xml:space="preserve">nvestigator, which detailed the site's steps for ensuring that the </w:t>
      </w:r>
      <w:proofErr w:type="gramStart"/>
      <w:r w:rsidRPr="0004222F">
        <w:t>double</w:t>
      </w:r>
      <w:r w:rsidR="00713EB3">
        <w:t xml:space="preserve"> </w:t>
      </w:r>
      <w:r w:rsidRPr="0004222F">
        <w:t>blind</w:t>
      </w:r>
      <w:proofErr w:type="gramEnd"/>
      <w:r w:rsidRPr="0004222F">
        <w:t xml:space="preserve"> nature of the study was maintained. Sites were instructed to keep study participants blind to the </w:t>
      </w:r>
      <w:r w:rsidR="00883D0E">
        <w:t>investigational medical treatment</w:t>
      </w:r>
      <w:r w:rsidR="00883D0E" w:rsidRPr="0004222F">
        <w:t xml:space="preserve"> </w:t>
      </w:r>
      <w:r w:rsidRPr="0004222F">
        <w:t>as detailed in the site blinding plan.</w:t>
      </w:r>
    </w:p>
    <w:p w14:paraId="4BEAEC2D" w14:textId="5BBB4C05" w:rsidR="00BA5B14" w:rsidRPr="00D62155" w:rsidRDefault="00D62155" w:rsidP="00D62155">
      <w:r>
        <w:t xml:space="preserve">The </w:t>
      </w:r>
      <w:r w:rsidR="00883D0E">
        <w:t xml:space="preserve">TGA’s </w:t>
      </w:r>
      <w:r>
        <w:t xml:space="preserve">clinical </w:t>
      </w:r>
      <w:r w:rsidR="00883D0E">
        <w:t xml:space="preserve">evaluation </w:t>
      </w:r>
      <w:r>
        <w:t>commented that r</w:t>
      </w:r>
      <w:r w:rsidR="00BA5B14" w:rsidRPr="0004222F">
        <w:t>andomisation and blinding were adequate.</w:t>
      </w:r>
    </w:p>
    <w:p w14:paraId="782F9597" w14:textId="142CFDFB" w:rsidR="00BA5B14" w:rsidRPr="00CC792C" w:rsidRDefault="00D62155" w:rsidP="00D62155">
      <w:pPr>
        <w:pStyle w:val="Heading6"/>
      </w:pPr>
      <w:r>
        <w:t>E</w:t>
      </w:r>
      <w:r w:rsidR="00BA5B14" w:rsidRPr="00CC792C">
        <w:t>ndpoints</w:t>
      </w:r>
    </w:p>
    <w:p w14:paraId="6A6049E7" w14:textId="232BD511" w:rsidR="00BA5B14" w:rsidRPr="00A57AB5" w:rsidRDefault="00883D0E" w:rsidP="00D62155">
      <w:pPr>
        <w:rPr>
          <w:bCs/>
          <w:lang w:eastAsia="ja-JP"/>
        </w:rPr>
      </w:pPr>
      <w:r>
        <w:rPr>
          <w:bCs/>
          <w:lang w:eastAsia="ja-JP"/>
        </w:rPr>
        <w:t>The c</w:t>
      </w:r>
      <w:r w:rsidR="00BA5B14" w:rsidRPr="00A57AB5">
        <w:rPr>
          <w:bCs/>
          <w:lang w:eastAsia="ja-JP"/>
        </w:rPr>
        <w:t>o-</w:t>
      </w:r>
      <w:r>
        <w:rPr>
          <w:bCs/>
          <w:lang w:eastAsia="ja-JP"/>
        </w:rPr>
        <w:t>p</w:t>
      </w:r>
      <w:r w:rsidR="00BA5B14" w:rsidRPr="00A57AB5">
        <w:rPr>
          <w:bCs/>
          <w:lang w:eastAsia="ja-JP"/>
        </w:rPr>
        <w:t>rimary</w:t>
      </w:r>
      <w:r w:rsidR="00D62155">
        <w:rPr>
          <w:lang w:eastAsia="ja-JP"/>
        </w:rPr>
        <w:t xml:space="preserve"> </w:t>
      </w:r>
      <w:r>
        <w:rPr>
          <w:lang w:eastAsia="ja-JP"/>
        </w:rPr>
        <w:t xml:space="preserve">study </w:t>
      </w:r>
      <w:r w:rsidR="00D62155">
        <w:rPr>
          <w:lang w:eastAsia="ja-JP"/>
        </w:rPr>
        <w:t>endpoints</w:t>
      </w:r>
      <w:r>
        <w:rPr>
          <w:lang w:eastAsia="ja-JP"/>
        </w:rPr>
        <w:t xml:space="preserve"> for Study PS0008</w:t>
      </w:r>
      <w:r w:rsidR="00D62155">
        <w:rPr>
          <w:lang w:eastAsia="ja-JP"/>
        </w:rPr>
        <w:t xml:space="preserve"> include</w:t>
      </w:r>
      <w:r>
        <w:rPr>
          <w:lang w:eastAsia="ja-JP"/>
        </w:rPr>
        <w:t>:</w:t>
      </w:r>
    </w:p>
    <w:p w14:paraId="1A1D49D0" w14:textId="6399AEBC" w:rsidR="00BA5B14" w:rsidRPr="00D62155" w:rsidRDefault="00BA5B14" w:rsidP="00D62155">
      <w:pPr>
        <w:pStyle w:val="ListBullet"/>
        <w:rPr>
          <w:lang w:eastAsia="ja-JP"/>
        </w:rPr>
      </w:pPr>
      <w:r w:rsidRPr="000F6E30">
        <w:rPr>
          <w:lang w:eastAsia="ja-JP"/>
        </w:rPr>
        <w:t>PASI 90 response</w:t>
      </w:r>
      <w:r w:rsidR="00883D0E">
        <w:rPr>
          <w:lang w:eastAsia="ja-JP"/>
        </w:rPr>
        <w:t>s</w:t>
      </w:r>
      <w:r w:rsidR="00713EB3">
        <w:rPr>
          <w:lang w:eastAsia="ja-JP"/>
        </w:rPr>
        <w:t xml:space="preserve"> </w:t>
      </w:r>
      <w:r w:rsidRPr="00D62155">
        <w:rPr>
          <w:lang w:eastAsia="ja-JP"/>
        </w:rPr>
        <w:t>at Week 16</w:t>
      </w:r>
      <w:r w:rsidR="00883D0E">
        <w:rPr>
          <w:lang w:eastAsia="ja-JP"/>
        </w:rPr>
        <w:t>; and</w:t>
      </w:r>
    </w:p>
    <w:p w14:paraId="080CF03D" w14:textId="09456FBC" w:rsidR="00BA5B14" w:rsidRPr="00D62155" w:rsidRDefault="00BA5B14" w:rsidP="00D62155">
      <w:pPr>
        <w:pStyle w:val="ListBullet"/>
        <w:rPr>
          <w:lang w:eastAsia="ja-JP"/>
        </w:rPr>
      </w:pPr>
      <w:r w:rsidRPr="000F6E30">
        <w:rPr>
          <w:lang w:eastAsia="ja-JP"/>
        </w:rPr>
        <w:t>The IGA 0/1 response</w:t>
      </w:r>
      <w:r w:rsidR="001D2CFA">
        <w:rPr>
          <w:lang w:eastAsia="ja-JP"/>
        </w:rPr>
        <w:t>;</w:t>
      </w:r>
      <w:r w:rsidR="001D2CFA">
        <w:rPr>
          <w:rStyle w:val="FootnoteReference"/>
          <w:lang w:eastAsia="ja-JP"/>
        </w:rPr>
        <w:footnoteReference w:id="39"/>
      </w:r>
      <w:r w:rsidRPr="00D62155">
        <w:rPr>
          <w:lang w:eastAsia="ja-JP"/>
        </w:rPr>
        <w:t xml:space="preserve"> at Week 16.</w:t>
      </w:r>
    </w:p>
    <w:p w14:paraId="73691AE4" w14:textId="19D16007" w:rsidR="00BA5B14" w:rsidRPr="00A57AB5" w:rsidRDefault="00BA5B14" w:rsidP="00D62155">
      <w:pPr>
        <w:rPr>
          <w:bCs/>
        </w:rPr>
      </w:pPr>
      <w:r w:rsidRPr="00A57AB5">
        <w:rPr>
          <w:bCs/>
          <w:lang w:eastAsia="ja-JP"/>
        </w:rPr>
        <w:t>Secondary</w:t>
      </w:r>
      <w:r w:rsidR="00D62155">
        <w:rPr>
          <w:lang w:eastAsia="ja-JP"/>
        </w:rPr>
        <w:t xml:space="preserve"> endpoints </w:t>
      </w:r>
      <w:r w:rsidR="00883D0E">
        <w:rPr>
          <w:lang w:eastAsia="ja-JP"/>
        </w:rPr>
        <w:t xml:space="preserve">for Study PS0008 </w:t>
      </w:r>
      <w:r w:rsidR="00713EB3">
        <w:rPr>
          <w:lang w:eastAsia="ja-JP"/>
        </w:rPr>
        <w:t>include</w:t>
      </w:r>
      <w:r w:rsidR="00D62155">
        <w:rPr>
          <w:lang w:eastAsia="ja-JP"/>
        </w:rPr>
        <w:t>:</w:t>
      </w:r>
    </w:p>
    <w:p w14:paraId="223988A7" w14:textId="7D4C4D34" w:rsidR="00BA5B14" w:rsidRPr="000F6E30" w:rsidRDefault="00BA5B14" w:rsidP="006E7089">
      <w:pPr>
        <w:pStyle w:val="ListBullet"/>
        <w:rPr>
          <w:lang w:eastAsia="ja-JP"/>
        </w:rPr>
      </w:pPr>
      <w:r w:rsidRPr="000F6E30">
        <w:rPr>
          <w:lang w:eastAsia="ja-JP"/>
        </w:rPr>
        <w:t>PASI</w:t>
      </w:r>
      <w:r>
        <w:rPr>
          <w:lang w:eastAsia="ja-JP"/>
        </w:rPr>
        <w:t xml:space="preserve"> </w:t>
      </w:r>
      <w:r w:rsidRPr="000F6E30">
        <w:rPr>
          <w:lang w:eastAsia="ja-JP"/>
        </w:rPr>
        <w:t>90 response at Week 24.</w:t>
      </w:r>
    </w:p>
    <w:p w14:paraId="642A1DC3" w14:textId="7D883B89" w:rsidR="00BA5B14" w:rsidRPr="00D62155" w:rsidRDefault="00BA5B14" w:rsidP="006E7089">
      <w:pPr>
        <w:pStyle w:val="ListBullet"/>
        <w:rPr>
          <w:lang w:eastAsia="ja-JP"/>
        </w:rPr>
      </w:pPr>
      <w:r w:rsidRPr="000F6E30">
        <w:rPr>
          <w:lang w:eastAsia="ja-JP"/>
        </w:rPr>
        <w:t xml:space="preserve">IGA 0/1 response </w:t>
      </w:r>
      <w:r w:rsidRPr="00D62155">
        <w:rPr>
          <w:lang w:eastAsia="ja-JP"/>
        </w:rPr>
        <w:t>at Week 24.</w:t>
      </w:r>
    </w:p>
    <w:p w14:paraId="3EC4BF7F" w14:textId="133F58B1" w:rsidR="00BA5B14" w:rsidRPr="000F6E30" w:rsidRDefault="00BA5B14" w:rsidP="006E7089">
      <w:pPr>
        <w:pStyle w:val="ListBullet"/>
        <w:rPr>
          <w:lang w:eastAsia="ja-JP"/>
        </w:rPr>
      </w:pPr>
      <w:r w:rsidRPr="000F6E30">
        <w:rPr>
          <w:lang w:eastAsia="ja-JP"/>
        </w:rPr>
        <w:t>PASI</w:t>
      </w:r>
      <w:r>
        <w:rPr>
          <w:lang w:eastAsia="ja-JP"/>
        </w:rPr>
        <w:t xml:space="preserve"> </w:t>
      </w:r>
      <w:r w:rsidRPr="000F6E30">
        <w:rPr>
          <w:lang w:eastAsia="ja-JP"/>
        </w:rPr>
        <w:t>75 response at Week 4.</w:t>
      </w:r>
    </w:p>
    <w:p w14:paraId="1CF33611" w14:textId="003A432A" w:rsidR="00BA5B14" w:rsidRPr="000F6E30" w:rsidRDefault="00BA5B14" w:rsidP="006E7089">
      <w:pPr>
        <w:pStyle w:val="ListBullet"/>
        <w:rPr>
          <w:lang w:eastAsia="ja-JP"/>
        </w:rPr>
      </w:pPr>
      <w:r w:rsidRPr="000F6E30">
        <w:rPr>
          <w:lang w:eastAsia="ja-JP"/>
        </w:rPr>
        <w:t>PAS</w:t>
      </w:r>
      <w:r>
        <w:rPr>
          <w:lang w:eastAsia="ja-JP"/>
        </w:rPr>
        <w:t>I 10</w:t>
      </w:r>
      <w:r w:rsidRPr="000F6E30">
        <w:rPr>
          <w:lang w:eastAsia="ja-JP"/>
        </w:rPr>
        <w:t>0 response at Weeks 16 and 24.</w:t>
      </w:r>
    </w:p>
    <w:p w14:paraId="396DF63B" w14:textId="562F52F6" w:rsidR="00BA5B14" w:rsidRPr="000F6E30" w:rsidRDefault="00BA5B14" w:rsidP="006E7089">
      <w:pPr>
        <w:pStyle w:val="ListBullet"/>
        <w:rPr>
          <w:lang w:eastAsia="ja-JP"/>
        </w:rPr>
      </w:pPr>
      <w:r w:rsidRPr="000F6E30">
        <w:rPr>
          <w:lang w:eastAsia="ja-JP"/>
        </w:rPr>
        <w:t>PASI</w:t>
      </w:r>
      <w:r>
        <w:rPr>
          <w:lang w:eastAsia="ja-JP"/>
        </w:rPr>
        <w:t xml:space="preserve"> </w:t>
      </w:r>
      <w:r w:rsidRPr="000F6E30">
        <w:rPr>
          <w:lang w:eastAsia="ja-JP"/>
        </w:rPr>
        <w:t>90 response at Week 56.</w:t>
      </w:r>
    </w:p>
    <w:p w14:paraId="768C8C21" w14:textId="266169EB" w:rsidR="00BA5B14" w:rsidRPr="00D62155" w:rsidRDefault="00BA5B14" w:rsidP="006E7089">
      <w:pPr>
        <w:pStyle w:val="ListBullet"/>
        <w:rPr>
          <w:lang w:eastAsia="ja-JP"/>
        </w:rPr>
      </w:pPr>
      <w:r w:rsidRPr="000F6E30">
        <w:rPr>
          <w:lang w:eastAsia="ja-JP"/>
        </w:rPr>
        <w:t xml:space="preserve">IGA 0/1 response </w:t>
      </w:r>
      <w:r w:rsidRPr="00D62155">
        <w:rPr>
          <w:lang w:eastAsia="ja-JP"/>
        </w:rPr>
        <w:t>at Week 56.</w:t>
      </w:r>
    </w:p>
    <w:p w14:paraId="79FE9036" w14:textId="105DBE71" w:rsidR="00BA5B14" w:rsidRPr="00D62155" w:rsidRDefault="00D62155" w:rsidP="00D62155">
      <w:pPr>
        <w:rPr>
          <w:lang w:eastAsia="ja-JP"/>
        </w:rPr>
      </w:pPr>
      <w:r>
        <w:rPr>
          <w:lang w:eastAsia="ja-JP"/>
        </w:rPr>
        <w:t xml:space="preserve">The </w:t>
      </w:r>
      <w:r w:rsidR="00883D0E">
        <w:t xml:space="preserve">TGA’s clinical evaluation </w:t>
      </w:r>
      <w:r w:rsidR="00883D0E">
        <w:rPr>
          <w:lang w:eastAsia="ja-JP"/>
        </w:rPr>
        <w:t>noted</w:t>
      </w:r>
      <w:r>
        <w:rPr>
          <w:lang w:eastAsia="ja-JP"/>
        </w:rPr>
        <w:t xml:space="preserve"> that the</w:t>
      </w:r>
      <w:r w:rsidR="00BA5B14" w:rsidRPr="000F6E30">
        <w:rPr>
          <w:lang w:eastAsia="ja-JP"/>
        </w:rPr>
        <w:t xml:space="preserve"> main efficacy endpoints in this study were appropriate and complied with relevant regulatory guidelines</w:t>
      </w:r>
      <w:r w:rsidR="00BA5B14" w:rsidRPr="000F6E30">
        <w:rPr>
          <w:b/>
          <w:bCs/>
          <w:lang w:eastAsia="ja-JP"/>
        </w:rPr>
        <w:t>.</w:t>
      </w:r>
    </w:p>
    <w:p w14:paraId="27EE5C5E" w14:textId="775FBCFB" w:rsidR="00BA5B14" w:rsidRDefault="002B7493" w:rsidP="00D62155">
      <w:pPr>
        <w:pStyle w:val="Heading6"/>
      </w:pPr>
      <w:r>
        <w:t>Subject disposition</w:t>
      </w:r>
    </w:p>
    <w:p w14:paraId="0B3B478D" w14:textId="511DB667" w:rsidR="00883D0E" w:rsidRDefault="00883D0E" w:rsidP="006E7089">
      <w:r>
        <w:fldChar w:fldCharType="begin"/>
      </w:r>
      <w:r>
        <w:instrText xml:space="preserve"> REF _Ref132370133 \h </w:instrText>
      </w:r>
      <w:r>
        <w:fldChar w:fldCharType="separate"/>
      </w:r>
      <w:r w:rsidR="00B54079" w:rsidRPr="00713EB3">
        <w:t xml:space="preserve">Figure </w:t>
      </w:r>
      <w:r w:rsidR="00B54079">
        <w:rPr>
          <w:noProof/>
        </w:rPr>
        <w:t>13</w:t>
      </w:r>
      <w:r>
        <w:fldChar w:fldCharType="end"/>
      </w:r>
      <w:r>
        <w:t xml:space="preserve"> shown below, summarises subject disposition and patient flow for the initial treatment period (that is, from Week 0 to Week 24).</w:t>
      </w:r>
    </w:p>
    <w:p w14:paraId="66373F32" w14:textId="1CD18BC8" w:rsidR="00883D0E" w:rsidRPr="00EA20FE" w:rsidRDefault="00883D0E" w:rsidP="006E7089">
      <w:pPr>
        <w:spacing w:before="0" w:after="200" w:line="0" w:lineRule="auto"/>
      </w:pPr>
      <w:r>
        <w:br w:type="page"/>
      </w:r>
    </w:p>
    <w:p w14:paraId="761E0037" w14:textId="5A273530" w:rsidR="00D62155" w:rsidRPr="00D62155" w:rsidRDefault="00D62155" w:rsidP="00713EB3">
      <w:pPr>
        <w:pStyle w:val="FigureTitle"/>
      </w:pPr>
      <w:bookmarkStart w:id="89" w:name="_Ref132370133"/>
      <w:r w:rsidRPr="00713EB3">
        <w:lastRenderedPageBreak/>
        <w:t xml:space="preserve">Figure </w:t>
      </w:r>
      <w:r w:rsidR="00172397">
        <w:fldChar w:fldCharType="begin"/>
      </w:r>
      <w:r w:rsidR="00172397">
        <w:instrText xml:space="preserve"> SEQ Figure \* ARABIC </w:instrText>
      </w:r>
      <w:r w:rsidR="00172397">
        <w:fldChar w:fldCharType="separate"/>
      </w:r>
      <w:r w:rsidR="00B54079">
        <w:rPr>
          <w:noProof/>
        </w:rPr>
        <w:t>13</w:t>
      </w:r>
      <w:r w:rsidR="00172397">
        <w:rPr>
          <w:noProof/>
        </w:rPr>
        <w:fldChar w:fldCharType="end"/>
      </w:r>
      <w:bookmarkEnd w:id="89"/>
      <w:r w:rsidRPr="00713EB3">
        <w:t>:</w:t>
      </w:r>
      <w:r>
        <w:t xml:space="preserve"> </w:t>
      </w:r>
      <w:r w:rsidR="00883D0E">
        <w:t xml:space="preserve">Study PS0008 </w:t>
      </w:r>
      <w:r w:rsidR="00713EB3" w:rsidRPr="00713EB3">
        <w:t>Disposition and discontinuation reasons</w:t>
      </w:r>
      <w:r w:rsidR="00713EB3">
        <w:t xml:space="preserve"> </w:t>
      </w:r>
      <w:r w:rsidR="00883D0E">
        <w:t>(</w:t>
      </w:r>
      <w:r w:rsidR="00713EB3">
        <w:t>i</w:t>
      </w:r>
      <w:r w:rsidR="00713EB3" w:rsidRPr="00713EB3">
        <w:t xml:space="preserve">nitial </w:t>
      </w:r>
      <w:r w:rsidR="00713EB3">
        <w:t>t</w:t>
      </w:r>
      <w:r w:rsidR="00713EB3" w:rsidRPr="00713EB3">
        <w:t xml:space="preserve">reatment </w:t>
      </w:r>
      <w:r w:rsidR="00713EB3">
        <w:t>p</w:t>
      </w:r>
      <w:r w:rsidR="00713EB3" w:rsidRPr="00713EB3">
        <w:t>eriod through Week 24</w:t>
      </w:r>
      <w:r w:rsidR="00883D0E">
        <w:t>)</w:t>
      </w:r>
    </w:p>
    <w:tbl>
      <w:tblPr>
        <w:tblW w:w="5000" w:type="pct"/>
        <w:jc w:val="center"/>
        <w:tblCellMar>
          <w:left w:w="0" w:type="dxa"/>
          <w:right w:w="0" w:type="dxa"/>
        </w:tblCellMar>
        <w:tblLook w:val="0000" w:firstRow="0" w:lastRow="0" w:firstColumn="0" w:lastColumn="0" w:noHBand="0" w:noVBand="0"/>
      </w:tblPr>
      <w:tblGrid>
        <w:gridCol w:w="2735"/>
        <w:gridCol w:w="1268"/>
        <w:gridCol w:w="1287"/>
        <w:gridCol w:w="1030"/>
        <w:gridCol w:w="963"/>
        <w:gridCol w:w="1205"/>
      </w:tblGrid>
      <w:tr w:rsidR="00713EB3" w14:paraId="617E25F5" w14:textId="77777777" w:rsidTr="009B153D">
        <w:trPr>
          <w:trHeight w:val="1588"/>
          <w:jc w:val="center"/>
        </w:trPr>
        <w:tc>
          <w:tcPr>
            <w:tcW w:w="1611" w:type="pct"/>
            <w:tcBorders>
              <w:top w:val="single" w:sz="6" w:space="0" w:color="auto"/>
              <w:left w:val="single" w:sz="6" w:space="0" w:color="auto"/>
              <w:right w:val="single" w:sz="6" w:space="0" w:color="auto"/>
            </w:tcBorders>
            <w:vAlign w:val="center"/>
          </w:tcPr>
          <w:p w14:paraId="02DE3592" w14:textId="20413F20" w:rsidR="00713EB3" w:rsidRDefault="00713EB3" w:rsidP="009B153D">
            <w:pPr>
              <w:pStyle w:val="Style"/>
              <w:ind w:left="120"/>
              <w:jc w:val="center"/>
              <w:textAlignment w:val="baseline"/>
            </w:pPr>
            <w:r>
              <w:rPr>
                <w:b/>
                <w:sz w:val="21"/>
                <w:szCs w:val="21"/>
              </w:rPr>
              <w:t>Disposition</w:t>
            </w:r>
          </w:p>
        </w:tc>
        <w:tc>
          <w:tcPr>
            <w:tcW w:w="747" w:type="pct"/>
            <w:tcBorders>
              <w:top w:val="single" w:sz="6" w:space="0" w:color="auto"/>
              <w:left w:val="single" w:sz="6" w:space="0" w:color="auto"/>
              <w:right w:val="single" w:sz="6" w:space="0" w:color="auto"/>
            </w:tcBorders>
            <w:vAlign w:val="center"/>
          </w:tcPr>
          <w:p w14:paraId="0C35812B" w14:textId="7FCA993D" w:rsidR="00713EB3" w:rsidRDefault="00713EB3" w:rsidP="009B153D">
            <w:pPr>
              <w:pStyle w:val="Style"/>
              <w:ind w:left="19"/>
              <w:jc w:val="center"/>
              <w:textAlignment w:val="baseline"/>
            </w:pPr>
            <w:r>
              <w:rPr>
                <w:b/>
                <w:sz w:val="21"/>
                <w:szCs w:val="21"/>
              </w:rPr>
              <w:t>BKZ 320 mg</w:t>
            </w:r>
          </w:p>
          <w:p w14:paraId="7BA908B0" w14:textId="77777777" w:rsidR="00713EB3" w:rsidRDefault="00713EB3" w:rsidP="009B153D">
            <w:pPr>
              <w:pStyle w:val="Style"/>
              <w:ind w:left="19"/>
              <w:jc w:val="center"/>
              <w:textAlignment w:val="baseline"/>
            </w:pPr>
            <w:r>
              <w:rPr>
                <w:b/>
                <w:sz w:val="21"/>
                <w:szCs w:val="21"/>
              </w:rPr>
              <w:t>every 4 weeks/every 8 weeks</w:t>
            </w:r>
          </w:p>
          <w:p w14:paraId="1EBF3F60" w14:textId="0A081877" w:rsidR="00713EB3" w:rsidRDefault="00713EB3" w:rsidP="009B153D">
            <w:pPr>
              <w:pStyle w:val="Style"/>
              <w:ind w:left="19"/>
              <w:jc w:val="center"/>
              <w:textAlignment w:val="baseline"/>
            </w:pPr>
            <w:r>
              <w:rPr>
                <w:b/>
                <w:sz w:val="21"/>
                <w:szCs w:val="21"/>
              </w:rPr>
              <w:t>N = 161</w:t>
            </w:r>
          </w:p>
          <w:p w14:paraId="21B9E40E" w14:textId="29EF0E08" w:rsidR="00713EB3" w:rsidRDefault="00713EB3" w:rsidP="009B153D">
            <w:pPr>
              <w:pStyle w:val="Style"/>
              <w:ind w:left="19"/>
              <w:jc w:val="center"/>
              <w:textAlignment w:val="baseline"/>
            </w:pPr>
            <w:r>
              <w:rPr>
                <w:b/>
                <w:sz w:val="21"/>
                <w:szCs w:val="21"/>
              </w:rPr>
              <w:t xml:space="preserve">n </w:t>
            </w:r>
            <w:r>
              <w:rPr>
                <w:rFonts w:ascii="Arial" w:eastAsia="Arial" w:hAnsi="Arial" w:cs="Arial"/>
                <w:w w:val="114"/>
                <w:sz w:val="20"/>
                <w:szCs w:val="20"/>
              </w:rPr>
              <w:t>(%)</w:t>
            </w:r>
          </w:p>
        </w:tc>
        <w:tc>
          <w:tcPr>
            <w:tcW w:w="758" w:type="pct"/>
            <w:tcBorders>
              <w:top w:val="single" w:sz="6" w:space="0" w:color="auto"/>
              <w:left w:val="single" w:sz="6" w:space="0" w:color="auto"/>
              <w:right w:val="single" w:sz="6" w:space="0" w:color="auto"/>
            </w:tcBorders>
            <w:vAlign w:val="center"/>
          </w:tcPr>
          <w:p w14:paraId="527350A0" w14:textId="2070AD20" w:rsidR="00713EB3" w:rsidRDefault="00713EB3" w:rsidP="009B153D">
            <w:pPr>
              <w:pStyle w:val="Style"/>
              <w:ind w:left="14"/>
              <w:jc w:val="center"/>
              <w:textAlignment w:val="baseline"/>
            </w:pPr>
            <w:r>
              <w:rPr>
                <w:b/>
                <w:sz w:val="21"/>
                <w:szCs w:val="21"/>
              </w:rPr>
              <w:t>BKZ 320 mg</w:t>
            </w:r>
          </w:p>
          <w:p w14:paraId="2CE8F87F" w14:textId="77777777" w:rsidR="00713EB3" w:rsidRDefault="00713EB3" w:rsidP="009B153D">
            <w:pPr>
              <w:pStyle w:val="Style"/>
              <w:ind w:left="14"/>
              <w:jc w:val="center"/>
              <w:textAlignment w:val="baseline"/>
            </w:pPr>
            <w:r>
              <w:rPr>
                <w:b/>
                <w:sz w:val="21"/>
                <w:szCs w:val="21"/>
              </w:rPr>
              <w:t>every 4 weeks</w:t>
            </w:r>
          </w:p>
          <w:p w14:paraId="0091E8F9" w14:textId="405407FC" w:rsidR="00713EB3" w:rsidRDefault="00713EB3" w:rsidP="009B153D">
            <w:pPr>
              <w:pStyle w:val="Style"/>
              <w:ind w:left="14"/>
              <w:jc w:val="center"/>
              <w:textAlignment w:val="baseline"/>
            </w:pPr>
            <w:r>
              <w:rPr>
                <w:b/>
                <w:sz w:val="21"/>
                <w:szCs w:val="21"/>
              </w:rPr>
              <w:t>N = 158</w:t>
            </w:r>
          </w:p>
          <w:p w14:paraId="736EA189" w14:textId="78A33AD9" w:rsidR="00713EB3" w:rsidRDefault="00713EB3" w:rsidP="009B153D">
            <w:pPr>
              <w:pStyle w:val="Style"/>
              <w:ind w:left="14"/>
              <w:jc w:val="center"/>
              <w:textAlignment w:val="baseline"/>
            </w:pPr>
            <w:r>
              <w:rPr>
                <w:b/>
                <w:sz w:val="21"/>
                <w:szCs w:val="21"/>
              </w:rPr>
              <w:t xml:space="preserve">n </w:t>
            </w:r>
            <w:r>
              <w:rPr>
                <w:rFonts w:ascii="Arial" w:eastAsia="Arial" w:hAnsi="Arial" w:cs="Arial"/>
                <w:w w:val="114"/>
                <w:sz w:val="20"/>
                <w:szCs w:val="20"/>
              </w:rPr>
              <w:t>(%)</w:t>
            </w:r>
          </w:p>
        </w:tc>
        <w:tc>
          <w:tcPr>
            <w:tcW w:w="607" w:type="pct"/>
            <w:tcBorders>
              <w:top w:val="single" w:sz="6" w:space="0" w:color="auto"/>
              <w:left w:val="single" w:sz="6" w:space="0" w:color="auto"/>
              <w:right w:val="single" w:sz="6" w:space="0" w:color="auto"/>
            </w:tcBorders>
            <w:vAlign w:val="center"/>
          </w:tcPr>
          <w:p w14:paraId="554A89C5" w14:textId="77777777" w:rsidR="00713EB3" w:rsidRDefault="00713EB3" w:rsidP="009B153D">
            <w:pPr>
              <w:pStyle w:val="Style"/>
              <w:ind w:left="19"/>
              <w:jc w:val="center"/>
              <w:textAlignment w:val="baseline"/>
            </w:pPr>
            <w:r>
              <w:rPr>
                <w:b/>
                <w:sz w:val="21"/>
                <w:szCs w:val="21"/>
              </w:rPr>
              <w:t>BKZ</w:t>
            </w:r>
          </w:p>
          <w:p w14:paraId="27942289" w14:textId="77777777" w:rsidR="00713EB3" w:rsidRDefault="00713EB3" w:rsidP="009B153D">
            <w:pPr>
              <w:pStyle w:val="Style"/>
              <w:ind w:left="19"/>
              <w:jc w:val="center"/>
              <w:textAlignment w:val="baseline"/>
            </w:pPr>
            <w:r>
              <w:rPr>
                <w:b/>
                <w:sz w:val="21"/>
                <w:szCs w:val="21"/>
              </w:rPr>
              <w:t>Total</w:t>
            </w:r>
          </w:p>
          <w:p w14:paraId="78FD9EAF" w14:textId="44CBA5CF" w:rsidR="00713EB3" w:rsidRDefault="00713EB3" w:rsidP="009B153D">
            <w:pPr>
              <w:pStyle w:val="Style"/>
              <w:ind w:left="19"/>
              <w:jc w:val="center"/>
              <w:textAlignment w:val="baseline"/>
            </w:pPr>
            <w:r>
              <w:rPr>
                <w:b/>
                <w:sz w:val="21"/>
                <w:szCs w:val="21"/>
              </w:rPr>
              <w:t>N = 319</w:t>
            </w:r>
          </w:p>
          <w:p w14:paraId="7637FB4E" w14:textId="34BD9344" w:rsidR="00713EB3" w:rsidRDefault="00713EB3" w:rsidP="009B153D">
            <w:pPr>
              <w:pStyle w:val="Style"/>
              <w:ind w:left="19"/>
              <w:jc w:val="center"/>
              <w:textAlignment w:val="baseline"/>
            </w:pPr>
            <w:r>
              <w:rPr>
                <w:b/>
                <w:sz w:val="21"/>
                <w:szCs w:val="21"/>
              </w:rPr>
              <w:t xml:space="preserve">n </w:t>
            </w:r>
            <w:r>
              <w:rPr>
                <w:rFonts w:ascii="Arial" w:eastAsia="Arial" w:hAnsi="Arial" w:cs="Arial"/>
                <w:w w:val="114"/>
                <w:sz w:val="20"/>
                <w:szCs w:val="20"/>
              </w:rPr>
              <w:t>(%)</w:t>
            </w:r>
          </w:p>
        </w:tc>
        <w:tc>
          <w:tcPr>
            <w:tcW w:w="567" w:type="pct"/>
            <w:tcBorders>
              <w:top w:val="single" w:sz="6" w:space="0" w:color="auto"/>
              <w:left w:val="single" w:sz="6" w:space="0" w:color="auto"/>
              <w:right w:val="single" w:sz="6" w:space="0" w:color="auto"/>
            </w:tcBorders>
            <w:vAlign w:val="center"/>
          </w:tcPr>
          <w:p w14:paraId="200B5B6B" w14:textId="77777777" w:rsidR="00713EB3" w:rsidRDefault="00713EB3" w:rsidP="009B153D">
            <w:pPr>
              <w:pStyle w:val="Style"/>
              <w:ind w:left="38"/>
              <w:jc w:val="center"/>
              <w:textAlignment w:val="baseline"/>
            </w:pPr>
            <w:r>
              <w:rPr>
                <w:b/>
                <w:sz w:val="21"/>
                <w:szCs w:val="21"/>
              </w:rPr>
              <w:t>ADA</w:t>
            </w:r>
          </w:p>
          <w:p w14:paraId="6EBEE08D" w14:textId="73D0ECAF" w:rsidR="00713EB3" w:rsidRDefault="00713EB3" w:rsidP="009B153D">
            <w:pPr>
              <w:pStyle w:val="Style"/>
              <w:ind w:left="38"/>
              <w:jc w:val="center"/>
              <w:textAlignment w:val="baseline"/>
            </w:pPr>
            <w:r>
              <w:rPr>
                <w:b/>
                <w:sz w:val="21"/>
                <w:szCs w:val="21"/>
              </w:rPr>
              <w:t>N = 159</w:t>
            </w:r>
          </w:p>
          <w:p w14:paraId="5CB0C6F6" w14:textId="2BB96268" w:rsidR="00713EB3" w:rsidRDefault="00713EB3" w:rsidP="009B153D">
            <w:pPr>
              <w:pStyle w:val="Style"/>
              <w:ind w:left="38"/>
              <w:jc w:val="center"/>
              <w:textAlignment w:val="baseline"/>
            </w:pPr>
            <w:r>
              <w:rPr>
                <w:b/>
                <w:sz w:val="21"/>
                <w:szCs w:val="21"/>
              </w:rPr>
              <w:t xml:space="preserve">n </w:t>
            </w:r>
            <w:r>
              <w:rPr>
                <w:rFonts w:ascii="Arial" w:eastAsia="Arial" w:hAnsi="Arial" w:cs="Arial"/>
                <w:w w:val="114"/>
                <w:sz w:val="20"/>
                <w:szCs w:val="20"/>
              </w:rPr>
              <w:t>(%)</w:t>
            </w:r>
          </w:p>
        </w:tc>
        <w:tc>
          <w:tcPr>
            <w:tcW w:w="710" w:type="pct"/>
            <w:tcBorders>
              <w:top w:val="single" w:sz="6" w:space="0" w:color="auto"/>
              <w:left w:val="single" w:sz="6" w:space="0" w:color="auto"/>
              <w:right w:val="single" w:sz="6" w:space="0" w:color="auto"/>
            </w:tcBorders>
            <w:vAlign w:val="center"/>
          </w:tcPr>
          <w:p w14:paraId="41F8B86C" w14:textId="77777777" w:rsidR="00713EB3" w:rsidRDefault="00713EB3" w:rsidP="009B153D">
            <w:pPr>
              <w:pStyle w:val="Style"/>
              <w:ind w:left="24"/>
              <w:jc w:val="center"/>
              <w:textAlignment w:val="baseline"/>
            </w:pPr>
            <w:r>
              <w:rPr>
                <w:b/>
                <w:sz w:val="21"/>
                <w:szCs w:val="21"/>
              </w:rPr>
              <w:t>All study</w:t>
            </w:r>
          </w:p>
          <w:p w14:paraId="7DC7CBCA" w14:textId="77777777" w:rsidR="00713EB3" w:rsidRDefault="00713EB3" w:rsidP="009B153D">
            <w:pPr>
              <w:pStyle w:val="Style"/>
              <w:ind w:left="24"/>
              <w:jc w:val="center"/>
              <w:textAlignment w:val="baseline"/>
            </w:pPr>
            <w:r>
              <w:rPr>
                <w:b/>
                <w:sz w:val="21"/>
                <w:szCs w:val="21"/>
              </w:rPr>
              <w:t>participants</w:t>
            </w:r>
          </w:p>
          <w:p w14:paraId="74E20C4D" w14:textId="08EF8A08" w:rsidR="00713EB3" w:rsidRDefault="00713EB3" w:rsidP="009B153D">
            <w:pPr>
              <w:pStyle w:val="Style"/>
              <w:ind w:left="24"/>
              <w:jc w:val="center"/>
              <w:textAlignment w:val="baseline"/>
            </w:pPr>
            <w:r>
              <w:rPr>
                <w:b/>
                <w:sz w:val="21"/>
                <w:szCs w:val="21"/>
              </w:rPr>
              <w:t>N = 478</w:t>
            </w:r>
          </w:p>
          <w:p w14:paraId="04CDAD4D" w14:textId="1EFED2FF" w:rsidR="00713EB3" w:rsidRDefault="00713EB3" w:rsidP="009B153D">
            <w:pPr>
              <w:pStyle w:val="Style"/>
              <w:ind w:left="24"/>
              <w:jc w:val="center"/>
              <w:textAlignment w:val="baseline"/>
            </w:pPr>
            <w:r>
              <w:rPr>
                <w:b/>
                <w:sz w:val="21"/>
                <w:szCs w:val="21"/>
              </w:rPr>
              <w:t xml:space="preserve">n </w:t>
            </w:r>
            <w:r>
              <w:rPr>
                <w:rFonts w:ascii="Arial" w:eastAsia="Arial" w:hAnsi="Arial" w:cs="Arial"/>
                <w:w w:val="114"/>
                <w:sz w:val="20"/>
                <w:szCs w:val="20"/>
              </w:rPr>
              <w:t>(%)</w:t>
            </w:r>
          </w:p>
        </w:tc>
      </w:tr>
      <w:tr w:rsidR="00D62155" w14:paraId="1118593A" w14:textId="77777777" w:rsidTr="00D62155">
        <w:trPr>
          <w:trHeight w:hRule="exact" w:val="705"/>
          <w:jc w:val="center"/>
        </w:trPr>
        <w:tc>
          <w:tcPr>
            <w:tcW w:w="1611" w:type="pct"/>
            <w:tcBorders>
              <w:top w:val="single" w:sz="6" w:space="0" w:color="auto"/>
              <w:left w:val="single" w:sz="6" w:space="0" w:color="auto"/>
              <w:bottom w:val="single" w:sz="6" w:space="0" w:color="auto"/>
              <w:right w:val="single" w:sz="6" w:space="0" w:color="auto"/>
            </w:tcBorders>
            <w:vAlign w:val="center"/>
          </w:tcPr>
          <w:p w14:paraId="3128B204" w14:textId="77777777" w:rsidR="00D62155" w:rsidRDefault="00D62155" w:rsidP="009B153D">
            <w:pPr>
              <w:pStyle w:val="Style"/>
              <w:ind w:left="120"/>
              <w:jc w:val="center"/>
              <w:textAlignment w:val="baseline"/>
            </w:pPr>
            <w:r>
              <w:rPr>
                <w:sz w:val="21"/>
                <w:szCs w:val="21"/>
              </w:rPr>
              <w:t>Started Initial Treatment Period</w:t>
            </w:r>
          </w:p>
        </w:tc>
        <w:tc>
          <w:tcPr>
            <w:tcW w:w="747" w:type="pct"/>
            <w:tcBorders>
              <w:top w:val="single" w:sz="6" w:space="0" w:color="auto"/>
              <w:left w:val="single" w:sz="6" w:space="0" w:color="auto"/>
              <w:bottom w:val="single" w:sz="6" w:space="0" w:color="auto"/>
              <w:right w:val="single" w:sz="6" w:space="0" w:color="auto"/>
            </w:tcBorders>
            <w:vAlign w:val="center"/>
          </w:tcPr>
          <w:p w14:paraId="0142234A" w14:textId="77777777" w:rsidR="00D62155" w:rsidRDefault="00D62155" w:rsidP="009B153D">
            <w:pPr>
              <w:pStyle w:val="Style"/>
              <w:ind w:left="19"/>
              <w:jc w:val="center"/>
              <w:textAlignment w:val="baseline"/>
            </w:pPr>
            <w:r>
              <w:rPr>
                <w:sz w:val="21"/>
                <w:szCs w:val="21"/>
              </w:rPr>
              <w:t>161 (100)</w:t>
            </w:r>
          </w:p>
        </w:tc>
        <w:tc>
          <w:tcPr>
            <w:tcW w:w="758" w:type="pct"/>
            <w:tcBorders>
              <w:top w:val="single" w:sz="6" w:space="0" w:color="auto"/>
              <w:left w:val="single" w:sz="6" w:space="0" w:color="auto"/>
              <w:bottom w:val="single" w:sz="6" w:space="0" w:color="auto"/>
              <w:right w:val="single" w:sz="6" w:space="0" w:color="auto"/>
            </w:tcBorders>
            <w:vAlign w:val="center"/>
          </w:tcPr>
          <w:p w14:paraId="61508D92" w14:textId="77777777" w:rsidR="00D62155" w:rsidRDefault="00D62155" w:rsidP="009B153D">
            <w:pPr>
              <w:pStyle w:val="Style"/>
              <w:ind w:left="14"/>
              <w:jc w:val="center"/>
              <w:textAlignment w:val="baseline"/>
            </w:pPr>
            <w:r>
              <w:rPr>
                <w:sz w:val="21"/>
                <w:szCs w:val="21"/>
              </w:rPr>
              <w:t>158 (100)</w:t>
            </w:r>
          </w:p>
        </w:tc>
        <w:tc>
          <w:tcPr>
            <w:tcW w:w="607" w:type="pct"/>
            <w:tcBorders>
              <w:top w:val="single" w:sz="6" w:space="0" w:color="auto"/>
              <w:left w:val="single" w:sz="6" w:space="0" w:color="auto"/>
              <w:bottom w:val="single" w:sz="6" w:space="0" w:color="auto"/>
              <w:right w:val="single" w:sz="6" w:space="0" w:color="auto"/>
            </w:tcBorders>
            <w:vAlign w:val="center"/>
          </w:tcPr>
          <w:p w14:paraId="6A540303" w14:textId="77777777" w:rsidR="00D62155" w:rsidRDefault="00D62155" w:rsidP="009B153D">
            <w:pPr>
              <w:pStyle w:val="Style"/>
              <w:ind w:left="19"/>
              <w:jc w:val="center"/>
              <w:textAlignment w:val="baseline"/>
            </w:pPr>
            <w:r>
              <w:rPr>
                <w:sz w:val="21"/>
                <w:szCs w:val="21"/>
              </w:rPr>
              <w:t>319 (100)</w:t>
            </w:r>
          </w:p>
        </w:tc>
        <w:tc>
          <w:tcPr>
            <w:tcW w:w="567" w:type="pct"/>
            <w:tcBorders>
              <w:top w:val="single" w:sz="6" w:space="0" w:color="auto"/>
              <w:left w:val="single" w:sz="6" w:space="0" w:color="auto"/>
              <w:bottom w:val="single" w:sz="6" w:space="0" w:color="auto"/>
              <w:right w:val="single" w:sz="6" w:space="0" w:color="auto"/>
            </w:tcBorders>
            <w:vAlign w:val="center"/>
          </w:tcPr>
          <w:p w14:paraId="340481C0" w14:textId="77777777" w:rsidR="00D62155" w:rsidRDefault="00D62155" w:rsidP="009B153D">
            <w:pPr>
              <w:pStyle w:val="Style"/>
              <w:ind w:left="38"/>
              <w:jc w:val="center"/>
              <w:textAlignment w:val="baseline"/>
            </w:pPr>
            <w:r>
              <w:rPr>
                <w:sz w:val="21"/>
                <w:szCs w:val="21"/>
              </w:rPr>
              <w:t>159 (100)</w:t>
            </w:r>
          </w:p>
        </w:tc>
        <w:tc>
          <w:tcPr>
            <w:tcW w:w="710" w:type="pct"/>
            <w:tcBorders>
              <w:top w:val="single" w:sz="6" w:space="0" w:color="auto"/>
              <w:left w:val="single" w:sz="6" w:space="0" w:color="auto"/>
              <w:bottom w:val="single" w:sz="6" w:space="0" w:color="auto"/>
              <w:right w:val="single" w:sz="6" w:space="0" w:color="auto"/>
            </w:tcBorders>
            <w:vAlign w:val="center"/>
          </w:tcPr>
          <w:p w14:paraId="2BF27FAA" w14:textId="77777777" w:rsidR="00D62155" w:rsidRDefault="00D62155" w:rsidP="009B153D">
            <w:pPr>
              <w:pStyle w:val="Style"/>
              <w:ind w:left="24"/>
              <w:jc w:val="center"/>
              <w:textAlignment w:val="baseline"/>
            </w:pPr>
            <w:r>
              <w:rPr>
                <w:sz w:val="21"/>
                <w:szCs w:val="21"/>
              </w:rPr>
              <w:t>478 (100)</w:t>
            </w:r>
          </w:p>
        </w:tc>
      </w:tr>
      <w:tr w:rsidR="00D62155" w14:paraId="34F77CAC" w14:textId="77777777" w:rsidTr="00D62155">
        <w:trPr>
          <w:trHeight w:hRule="exact" w:val="350"/>
          <w:jc w:val="center"/>
        </w:trPr>
        <w:tc>
          <w:tcPr>
            <w:tcW w:w="1611" w:type="pct"/>
            <w:tcBorders>
              <w:top w:val="single" w:sz="6" w:space="0" w:color="auto"/>
              <w:left w:val="single" w:sz="6" w:space="0" w:color="auto"/>
              <w:bottom w:val="nil"/>
              <w:right w:val="single" w:sz="6" w:space="0" w:color="auto"/>
            </w:tcBorders>
            <w:vAlign w:val="center"/>
          </w:tcPr>
          <w:p w14:paraId="6E23CFF2" w14:textId="77777777" w:rsidR="00D62155" w:rsidRDefault="00D62155" w:rsidP="009B153D">
            <w:pPr>
              <w:pStyle w:val="Style"/>
              <w:ind w:left="120"/>
              <w:jc w:val="center"/>
              <w:textAlignment w:val="baseline"/>
            </w:pPr>
            <w:r>
              <w:rPr>
                <w:sz w:val="21"/>
                <w:szCs w:val="21"/>
              </w:rPr>
              <w:t>Completed Initial Treatment</w:t>
            </w:r>
          </w:p>
        </w:tc>
        <w:tc>
          <w:tcPr>
            <w:tcW w:w="747" w:type="pct"/>
            <w:tcBorders>
              <w:top w:val="single" w:sz="6" w:space="0" w:color="auto"/>
              <w:left w:val="single" w:sz="6" w:space="0" w:color="auto"/>
              <w:bottom w:val="nil"/>
              <w:right w:val="single" w:sz="6" w:space="0" w:color="auto"/>
            </w:tcBorders>
            <w:vAlign w:val="center"/>
          </w:tcPr>
          <w:p w14:paraId="6EED7ADC" w14:textId="77777777" w:rsidR="00D62155" w:rsidRDefault="00D62155" w:rsidP="009B153D">
            <w:pPr>
              <w:pStyle w:val="Style"/>
              <w:ind w:left="19"/>
              <w:jc w:val="center"/>
              <w:textAlignment w:val="baseline"/>
            </w:pPr>
            <w:r>
              <w:rPr>
                <w:sz w:val="21"/>
                <w:szCs w:val="21"/>
              </w:rPr>
              <w:t>154</w:t>
            </w:r>
          </w:p>
        </w:tc>
        <w:tc>
          <w:tcPr>
            <w:tcW w:w="758" w:type="pct"/>
            <w:tcBorders>
              <w:top w:val="single" w:sz="6" w:space="0" w:color="auto"/>
              <w:left w:val="single" w:sz="6" w:space="0" w:color="auto"/>
              <w:bottom w:val="nil"/>
              <w:right w:val="single" w:sz="6" w:space="0" w:color="auto"/>
            </w:tcBorders>
            <w:vAlign w:val="center"/>
          </w:tcPr>
          <w:p w14:paraId="278F452E" w14:textId="77777777" w:rsidR="00D62155" w:rsidRDefault="00D62155" w:rsidP="009B153D">
            <w:pPr>
              <w:pStyle w:val="Style"/>
              <w:ind w:left="14"/>
              <w:jc w:val="center"/>
              <w:textAlignment w:val="baseline"/>
            </w:pPr>
            <w:r>
              <w:rPr>
                <w:sz w:val="21"/>
                <w:szCs w:val="21"/>
              </w:rPr>
              <w:t>153</w:t>
            </w:r>
          </w:p>
        </w:tc>
        <w:tc>
          <w:tcPr>
            <w:tcW w:w="607" w:type="pct"/>
            <w:tcBorders>
              <w:top w:val="single" w:sz="6" w:space="0" w:color="auto"/>
              <w:left w:val="single" w:sz="6" w:space="0" w:color="auto"/>
              <w:bottom w:val="nil"/>
              <w:right w:val="single" w:sz="6" w:space="0" w:color="auto"/>
            </w:tcBorders>
            <w:vAlign w:val="center"/>
          </w:tcPr>
          <w:p w14:paraId="3E5DC7E8" w14:textId="77777777" w:rsidR="00D62155" w:rsidRDefault="00D62155" w:rsidP="009B153D">
            <w:pPr>
              <w:pStyle w:val="Style"/>
              <w:ind w:left="19"/>
              <w:jc w:val="center"/>
              <w:textAlignment w:val="baseline"/>
            </w:pPr>
            <w:r>
              <w:rPr>
                <w:sz w:val="21"/>
                <w:szCs w:val="21"/>
              </w:rPr>
              <w:t>307</w:t>
            </w:r>
          </w:p>
        </w:tc>
        <w:tc>
          <w:tcPr>
            <w:tcW w:w="567" w:type="pct"/>
            <w:tcBorders>
              <w:top w:val="single" w:sz="6" w:space="0" w:color="auto"/>
              <w:left w:val="single" w:sz="6" w:space="0" w:color="auto"/>
              <w:bottom w:val="nil"/>
              <w:right w:val="single" w:sz="6" w:space="0" w:color="auto"/>
            </w:tcBorders>
            <w:vAlign w:val="center"/>
          </w:tcPr>
          <w:p w14:paraId="2ECAF316" w14:textId="77777777" w:rsidR="00D62155" w:rsidRDefault="00D62155" w:rsidP="009B153D">
            <w:pPr>
              <w:pStyle w:val="Style"/>
              <w:ind w:left="38"/>
              <w:jc w:val="center"/>
              <w:textAlignment w:val="baseline"/>
            </w:pPr>
            <w:r>
              <w:rPr>
                <w:sz w:val="21"/>
                <w:szCs w:val="21"/>
              </w:rPr>
              <w:t>150</w:t>
            </w:r>
          </w:p>
        </w:tc>
        <w:tc>
          <w:tcPr>
            <w:tcW w:w="710" w:type="pct"/>
            <w:tcBorders>
              <w:top w:val="single" w:sz="6" w:space="0" w:color="auto"/>
              <w:left w:val="single" w:sz="6" w:space="0" w:color="auto"/>
              <w:bottom w:val="nil"/>
              <w:right w:val="single" w:sz="6" w:space="0" w:color="auto"/>
            </w:tcBorders>
            <w:vAlign w:val="center"/>
          </w:tcPr>
          <w:p w14:paraId="3ADC6ABC" w14:textId="77777777" w:rsidR="00D62155" w:rsidRDefault="00D62155" w:rsidP="009B153D">
            <w:pPr>
              <w:pStyle w:val="Style"/>
              <w:ind w:left="24"/>
              <w:jc w:val="center"/>
              <w:textAlignment w:val="baseline"/>
            </w:pPr>
            <w:r>
              <w:rPr>
                <w:sz w:val="21"/>
                <w:szCs w:val="21"/>
              </w:rPr>
              <w:t>457</w:t>
            </w:r>
          </w:p>
        </w:tc>
      </w:tr>
      <w:tr w:rsidR="00D62155" w14:paraId="6562CC0A" w14:textId="77777777" w:rsidTr="00D62155">
        <w:trPr>
          <w:trHeight w:hRule="exact" w:val="293"/>
          <w:jc w:val="center"/>
        </w:trPr>
        <w:tc>
          <w:tcPr>
            <w:tcW w:w="1611" w:type="pct"/>
            <w:tcBorders>
              <w:top w:val="nil"/>
              <w:left w:val="single" w:sz="6" w:space="0" w:color="auto"/>
              <w:bottom w:val="single" w:sz="6" w:space="0" w:color="auto"/>
              <w:right w:val="single" w:sz="6" w:space="0" w:color="auto"/>
            </w:tcBorders>
            <w:vAlign w:val="center"/>
          </w:tcPr>
          <w:p w14:paraId="1576AC2D" w14:textId="77777777" w:rsidR="00D62155" w:rsidRDefault="00D62155" w:rsidP="009B153D">
            <w:pPr>
              <w:pStyle w:val="Style"/>
              <w:ind w:left="120"/>
              <w:jc w:val="center"/>
              <w:textAlignment w:val="baseline"/>
            </w:pPr>
            <w:r>
              <w:rPr>
                <w:sz w:val="21"/>
                <w:szCs w:val="21"/>
              </w:rPr>
              <w:t>Period</w:t>
            </w:r>
          </w:p>
        </w:tc>
        <w:tc>
          <w:tcPr>
            <w:tcW w:w="747" w:type="pct"/>
            <w:tcBorders>
              <w:top w:val="nil"/>
              <w:left w:val="single" w:sz="6" w:space="0" w:color="auto"/>
              <w:bottom w:val="single" w:sz="6" w:space="0" w:color="auto"/>
              <w:right w:val="single" w:sz="6" w:space="0" w:color="auto"/>
            </w:tcBorders>
            <w:vAlign w:val="center"/>
          </w:tcPr>
          <w:p w14:paraId="04B7FE16" w14:textId="77777777" w:rsidR="00D62155" w:rsidRDefault="00D62155" w:rsidP="009B153D">
            <w:pPr>
              <w:pStyle w:val="Style"/>
              <w:ind w:left="19"/>
              <w:jc w:val="center"/>
              <w:textAlignment w:val="baseline"/>
            </w:pPr>
            <w:r>
              <w:rPr>
                <w:sz w:val="21"/>
                <w:szCs w:val="21"/>
              </w:rPr>
              <w:t>(95.7)</w:t>
            </w:r>
          </w:p>
        </w:tc>
        <w:tc>
          <w:tcPr>
            <w:tcW w:w="758" w:type="pct"/>
            <w:tcBorders>
              <w:top w:val="nil"/>
              <w:left w:val="single" w:sz="6" w:space="0" w:color="auto"/>
              <w:bottom w:val="single" w:sz="6" w:space="0" w:color="auto"/>
              <w:right w:val="single" w:sz="6" w:space="0" w:color="auto"/>
            </w:tcBorders>
            <w:vAlign w:val="center"/>
          </w:tcPr>
          <w:p w14:paraId="219B4D43" w14:textId="77777777" w:rsidR="00D62155" w:rsidRDefault="00D62155" w:rsidP="009B153D">
            <w:pPr>
              <w:pStyle w:val="Style"/>
              <w:ind w:left="14"/>
              <w:jc w:val="center"/>
              <w:textAlignment w:val="baseline"/>
            </w:pPr>
            <w:r>
              <w:rPr>
                <w:sz w:val="21"/>
                <w:szCs w:val="21"/>
              </w:rPr>
              <w:t>(96.8)</w:t>
            </w:r>
          </w:p>
        </w:tc>
        <w:tc>
          <w:tcPr>
            <w:tcW w:w="607" w:type="pct"/>
            <w:tcBorders>
              <w:top w:val="nil"/>
              <w:left w:val="single" w:sz="6" w:space="0" w:color="auto"/>
              <w:bottom w:val="single" w:sz="6" w:space="0" w:color="auto"/>
              <w:right w:val="single" w:sz="6" w:space="0" w:color="auto"/>
            </w:tcBorders>
            <w:vAlign w:val="center"/>
          </w:tcPr>
          <w:p w14:paraId="5DEFD0D0" w14:textId="77777777" w:rsidR="00D62155" w:rsidRDefault="00D62155" w:rsidP="009B153D">
            <w:pPr>
              <w:pStyle w:val="Style"/>
              <w:ind w:left="19"/>
              <w:jc w:val="center"/>
              <w:textAlignment w:val="baseline"/>
            </w:pPr>
            <w:r>
              <w:rPr>
                <w:sz w:val="21"/>
                <w:szCs w:val="21"/>
              </w:rPr>
              <w:t>(96.2)</w:t>
            </w:r>
          </w:p>
        </w:tc>
        <w:tc>
          <w:tcPr>
            <w:tcW w:w="567" w:type="pct"/>
            <w:tcBorders>
              <w:top w:val="nil"/>
              <w:left w:val="single" w:sz="6" w:space="0" w:color="auto"/>
              <w:bottom w:val="single" w:sz="6" w:space="0" w:color="auto"/>
              <w:right w:val="single" w:sz="6" w:space="0" w:color="auto"/>
            </w:tcBorders>
            <w:vAlign w:val="center"/>
          </w:tcPr>
          <w:p w14:paraId="542AB4B8" w14:textId="77777777" w:rsidR="00D62155" w:rsidRDefault="00D62155" w:rsidP="009B153D">
            <w:pPr>
              <w:pStyle w:val="Style"/>
              <w:ind w:left="38"/>
              <w:jc w:val="center"/>
              <w:textAlignment w:val="baseline"/>
            </w:pPr>
            <w:r>
              <w:rPr>
                <w:sz w:val="21"/>
                <w:szCs w:val="21"/>
              </w:rPr>
              <w:t>(94.3)</w:t>
            </w:r>
          </w:p>
        </w:tc>
        <w:tc>
          <w:tcPr>
            <w:tcW w:w="710" w:type="pct"/>
            <w:tcBorders>
              <w:top w:val="nil"/>
              <w:left w:val="single" w:sz="6" w:space="0" w:color="auto"/>
              <w:bottom w:val="single" w:sz="6" w:space="0" w:color="auto"/>
              <w:right w:val="single" w:sz="6" w:space="0" w:color="auto"/>
            </w:tcBorders>
            <w:vAlign w:val="center"/>
          </w:tcPr>
          <w:p w14:paraId="0563EC09" w14:textId="77777777" w:rsidR="00D62155" w:rsidRDefault="00D62155" w:rsidP="009B153D">
            <w:pPr>
              <w:pStyle w:val="Style"/>
              <w:ind w:left="24"/>
              <w:jc w:val="center"/>
              <w:textAlignment w:val="baseline"/>
            </w:pPr>
            <w:r>
              <w:rPr>
                <w:sz w:val="21"/>
                <w:szCs w:val="21"/>
              </w:rPr>
              <w:t>(95.6)</w:t>
            </w:r>
          </w:p>
        </w:tc>
      </w:tr>
      <w:tr w:rsidR="00D62155" w14:paraId="7275B894" w14:textId="77777777" w:rsidTr="00D62155">
        <w:trPr>
          <w:trHeight w:hRule="exact" w:val="346"/>
          <w:jc w:val="center"/>
        </w:trPr>
        <w:tc>
          <w:tcPr>
            <w:tcW w:w="1611" w:type="pct"/>
            <w:tcBorders>
              <w:top w:val="single" w:sz="6" w:space="0" w:color="auto"/>
              <w:left w:val="single" w:sz="6" w:space="0" w:color="auto"/>
              <w:bottom w:val="nil"/>
              <w:right w:val="single" w:sz="6" w:space="0" w:color="auto"/>
            </w:tcBorders>
            <w:vAlign w:val="center"/>
          </w:tcPr>
          <w:p w14:paraId="1A3A935F" w14:textId="77777777" w:rsidR="00D62155" w:rsidRDefault="00D62155" w:rsidP="009B153D">
            <w:pPr>
              <w:pStyle w:val="Style"/>
              <w:ind w:left="120"/>
              <w:jc w:val="center"/>
              <w:textAlignment w:val="baseline"/>
            </w:pPr>
            <w:r>
              <w:rPr>
                <w:sz w:val="21"/>
                <w:szCs w:val="21"/>
              </w:rPr>
              <w:t>Discontinued study during</w:t>
            </w:r>
          </w:p>
        </w:tc>
        <w:tc>
          <w:tcPr>
            <w:tcW w:w="747" w:type="pct"/>
            <w:tcBorders>
              <w:top w:val="single" w:sz="6" w:space="0" w:color="auto"/>
              <w:left w:val="single" w:sz="6" w:space="0" w:color="auto"/>
              <w:bottom w:val="nil"/>
              <w:right w:val="single" w:sz="6" w:space="0" w:color="auto"/>
            </w:tcBorders>
            <w:vAlign w:val="center"/>
          </w:tcPr>
          <w:p w14:paraId="54346107" w14:textId="77777777" w:rsidR="00D62155" w:rsidRDefault="00D62155" w:rsidP="009B153D">
            <w:pPr>
              <w:pStyle w:val="Style"/>
              <w:ind w:left="19"/>
              <w:jc w:val="center"/>
              <w:textAlignment w:val="baseline"/>
            </w:pPr>
            <w:r>
              <w:rPr>
                <w:sz w:val="21"/>
                <w:szCs w:val="21"/>
              </w:rPr>
              <w:t>7 (4.3)</w:t>
            </w:r>
          </w:p>
        </w:tc>
        <w:tc>
          <w:tcPr>
            <w:tcW w:w="758" w:type="pct"/>
            <w:tcBorders>
              <w:top w:val="single" w:sz="6" w:space="0" w:color="auto"/>
              <w:left w:val="single" w:sz="6" w:space="0" w:color="auto"/>
              <w:bottom w:val="nil"/>
              <w:right w:val="single" w:sz="6" w:space="0" w:color="auto"/>
            </w:tcBorders>
            <w:vAlign w:val="center"/>
          </w:tcPr>
          <w:p w14:paraId="787B2840" w14:textId="77777777" w:rsidR="00D62155" w:rsidRDefault="00D62155" w:rsidP="009B153D">
            <w:pPr>
              <w:pStyle w:val="Style"/>
              <w:ind w:left="14"/>
              <w:jc w:val="center"/>
              <w:textAlignment w:val="baseline"/>
            </w:pPr>
            <w:r>
              <w:rPr>
                <w:sz w:val="21"/>
                <w:szCs w:val="21"/>
              </w:rPr>
              <w:t>5 (3.2)</w:t>
            </w:r>
          </w:p>
        </w:tc>
        <w:tc>
          <w:tcPr>
            <w:tcW w:w="607" w:type="pct"/>
            <w:tcBorders>
              <w:top w:val="single" w:sz="6" w:space="0" w:color="auto"/>
              <w:left w:val="single" w:sz="6" w:space="0" w:color="auto"/>
              <w:bottom w:val="nil"/>
              <w:right w:val="single" w:sz="6" w:space="0" w:color="auto"/>
            </w:tcBorders>
            <w:vAlign w:val="center"/>
          </w:tcPr>
          <w:p w14:paraId="27C40FDE" w14:textId="77777777" w:rsidR="00D62155" w:rsidRDefault="00D62155" w:rsidP="009B153D">
            <w:pPr>
              <w:pStyle w:val="Style"/>
              <w:ind w:left="19"/>
              <w:jc w:val="center"/>
              <w:textAlignment w:val="baseline"/>
            </w:pPr>
            <w:r>
              <w:rPr>
                <w:sz w:val="21"/>
                <w:szCs w:val="21"/>
              </w:rPr>
              <w:t>12 (3.8)</w:t>
            </w:r>
          </w:p>
        </w:tc>
        <w:tc>
          <w:tcPr>
            <w:tcW w:w="567" w:type="pct"/>
            <w:tcBorders>
              <w:top w:val="single" w:sz="6" w:space="0" w:color="auto"/>
              <w:left w:val="single" w:sz="6" w:space="0" w:color="auto"/>
              <w:bottom w:val="nil"/>
              <w:right w:val="single" w:sz="6" w:space="0" w:color="auto"/>
            </w:tcBorders>
            <w:vAlign w:val="center"/>
          </w:tcPr>
          <w:p w14:paraId="27A191CA" w14:textId="77777777" w:rsidR="00D62155" w:rsidRDefault="00D62155" w:rsidP="009B153D">
            <w:pPr>
              <w:pStyle w:val="Style"/>
              <w:ind w:left="38"/>
              <w:jc w:val="center"/>
              <w:textAlignment w:val="baseline"/>
            </w:pPr>
            <w:r>
              <w:rPr>
                <w:sz w:val="21"/>
                <w:szCs w:val="21"/>
              </w:rPr>
              <w:t>9 (5. 7)</w:t>
            </w:r>
          </w:p>
        </w:tc>
        <w:tc>
          <w:tcPr>
            <w:tcW w:w="710" w:type="pct"/>
            <w:tcBorders>
              <w:top w:val="single" w:sz="6" w:space="0" w:color="auto"/>
              <w:left w:val="single" w:sz="6" w:space="0" w:color="auto"/>
              <w:bottom w:val="nil"/>
              <w:right w:val="single" w:sz="6" w:space="0" w:color="auto"/>
            </w:tcBorders>
            <w:vAlign w:val="center"/>
          </w:tcPr>
          <w:p w14:paraId="7C62B990" w14:textId="77777777" w:rsidR="00D62155" w:rsidRDefault="00D62155" w:rsidP="009B153D">
            <w:pPr>
              <w:pStyle w:val="Style"/>
              <w:ind w:left="24"/>
              <w:jc w:val="center"/>
              <w:textAlignment w:val="baseline"/>
            </w:pPr>
            <w:r>
              <w:rPr>
                <w:sz w:val="21"/>
                <w:szCs w:val="21"/>
              </w:rPr>
              <w:t>21 (4.4)</w:t>
            </w:r>
          </w:p>
        </w:tc>
      </w:tr>
      <w:tr w:rsidR="00D62155" w14:paraId="7C6DCBBF" w14:textId="77777777" w:rsidTr="00D62155">
        <w:trPr>
          <w:trHeight w:hRule="exact" w:val="293"/>
          <w:jc w:val="center"/>
        </w:trPr>
        <w:tc>
          <w:tcPr>
            <w:tcW w:w="1611" w:type="pct"/>
            <w:tcBorders>
              <w:top w:val="nil"/>
              <w:left w:val="single" w:sz="6" w:space="0" w:color="auto"/>
              <w:bottom w:val="single" w:sz="6" w:space="0" w:color="auto"/>
              <w:right w:val="single" w:sz="6" w:space="0" w:color="auto"/>
            </w:tcBorders>
            <w:vAlign w:val="center"/>
          </w:tcPr>
          <w:p w14:paraId="2936FBEE" w14:textId="77777777" w:rsidR="00D62155" w:rsidRDefault="00D62155" w:rsidP="009B153D">
            <w:pPr>
              <w:pStyle w:val="Style"/>
              <w:ind w:left="120"/>
              <w:jc w:val="center"/>
              <w:textAlignment w:val="baseline"/>
            </w:pPr>
            <w:r>
              <w:rPr>
                <w:sz w:val="21"/>
                <w:szCs w:val="21"/>
              </w:rPr>
              <w:t>Initial Treatment Period</w:t>
            </w:r>
          </w:p>
        </w:tc>
        <w:tc>
          <w:tcPr>
            <w:tcW w:w="747" w:type="pct"/>
            <w:tcBorders>
              <w:top w:val="nil"/>
              <w:left w:val="single" w:sz="6" w:space="0" w:color="auto"/>
              <w:bottom w:val="single" w:sz="6" w:space="0" w:color="auto"/>
              <w:right w:val="single" w:sz="6" w:space="0" w:color="auto"/>
            </w:tcBorders>
            <w:vAlign w:val="center"/>
          </w:tcPr>
          <w:p w14:paraId="3D6B9E2C" w14:textId="77777777" w:rsidR="00D62155" w:rsidRDefault="00D62155" w:rsidP="009B153D">
            <w:pPr>
              <w:pStyle w:val="Style"/>
              <w:jc w:val="center"/>
              <w:textAlignment w:val="baseline"/>
            </w:pPr>
          </w:p>
        </w:tc>
        <w:tc>
          <w:tcPr>
            <w:tcW w:w="758" w:type="pct"/>
            <w:tcBorders>
              <w:top w:val="nil"/>
              <w:left w:val="single" w:sz="6" w:space="0" w:color="auto"/>
              <w:bottom w:val="single" w:sz="6" w:space="0" w:color="auto"/>
              <w:right w:val="single" w:sz="6" w:space="0" w:color="auto"/>
            </w:tcBorders>
            <w:vAlign w:val="center"/>
          </w:tcPr>
          <w:p w14:paraId="649FC71D" w14:textId="77777777" w:rsidR="00D62155" w:rsidRDefault="00D62155" w:rsidP="009B153D">
            <w:pPr>
              <w:pStyle w:val="Style"/>
              <w:jc w:val="center"/>
              <w:textAlignment w:val="baseline"/>
            </w:pPr>
          </w:p>
        </w:tc>
        <w:tc>
          <w:tcPr>
            <w:tcW w:w="607" w:type="pct"/>
            <w:tcBorders>
              <w:top w:val="nil"/>
              <w:left w:val="single" w:sz="6" w:space="0" w:color="auto"/>
              <w:bottom w:val="single" w:sz="6" w:space="0" w:color="auto"/>
              <w:right w:val="single" w:sz="6" w:space="0" w:color="auto"/>
            </w:tcBorders>
            <w:vAlign w:val="center"/>
          </w:tcPr>
          <w:p w14:paraId="60A6882A" w14:textId="77777777" w:rsidR="00D62155" w:rsidRDefault="00D62155" w:rsidP="009B153D">
            <w:pPr>
              <w:pStyle w:val="Style"/>
              <w:jc w:val="center"/>
              <w:textAlignment w:val="baseline"/>
            </w:pPr>
          </w:p>
        </w:tc>
        <w:tc>
          <w:tcPr>
            <w:tcW w:w="567" w:type="pct"/>
            <w:tcBorders>
              <w:top w:val="nil"/>
              <w:left w:val="single" w:sz="6" w:space="0" w:color="auto"/>
              <w:bottom w:val="single" w:sz="6" w:space="0" w:color="auto"/>
              <w:right w:val="single" w:sz="6" w:space="0" w:color="auto"/>
            </w:tcBorders>
            <w:vAlign w:val="center"/>
          </w:tcPr>
          <w:p w14:paraId="6FC28AEC" w14:textId="77777777" w:rsidR="00D62155" w:rsidRDefault="00D62155" w:rsidP="009B153D">
            <w:pPr>
              <w:pStyle w:val="Style"/>
              <w:jc w:val="center"/>
              <w:textAlignment w:val="baseline"/>
            </w:pPr>
          </w:p>
        </w:tc>
        <w:tc>
          <w:tcPr>
            <w:tcW w:w="710" w:type="pct"/>
            <w:tcBorders>
              <w:top w:val="nil"/>
              <w:left w:val="single" w:sz="6" w:space="0" w:color="auto"/>
              <w:bottom w:val="single" w:sz="6" w:space="0" w:color="auto"/>
              <w:right w:val="single" w:sz="6" w:space="0" w:color="auto"/>
            </w:tcBorders>
            <w:vAlign w:val="center"/>
          </w:tcPr>
          <w:p w14:paraId="15586D82" w14:textId="77777777" w:rsidR="00D62155" w:rsidRDefault="00D62155" w:rsidP="009B153D">
            <w:pPr>
              <w:pStyle w:val="Style"/>
              <w:jc w:val="center"/>
              <w:textAlignment w:val="baseline"/>
            </w:pPr>
          </w:p>
        </w:tc>
      </w:tr>
      <w:tr w:rsidR="00A138CC" w14:paraId="77BB3293" w14:textId="77777777" w:rsidTr="00A138CC">
        <w:trPr>
          <w:trHeight w:hRule="exact" w:val="389"/>
          <w:jc w:val="center"/>
        </w:trPr>
        <w:tc>
          <w:tcPr>
            <w:tcW w:w="5000" w:type="pct"/>
            <w:gridSpan w:val="6"/>
            <w:tcBorders>
              <w:top w:val="single" w:sz="6" w:space="0" w:color="auto"/>
              <w:left w:val="single" w:sz="6" w:space="0" w:color="auto"/>
              <w:bottom w:val="single" w:sz="6" w:space="0" w:color="auto"/>
              <w:right w:val="single" w:sz="6" w:space="0" w:color="auto"/>
            </w:tcBorders>
            <w:vAlign w:val="center"/>
          </w:tcPr>
          <w:p w14:paraId="43CBAD11" w14:textId="082A3150" w:rsidR="00A138CC" w:rsidRDefault="00A138CC" w:rsidP="006E7089">
            <w:pPr>
              <w:pStyle w:val="Style"/>
              <w:ind w:left="720"/>
              <w:textAlignment w:val="baseline"/>
            </w:pPr>
            <w:r>
              <w:rPr>
                <w:sz w:val="21"/>
                <w:szCs w:val="21"/>
              </w:rPr>
              <w:t>Primary reason for study discontinuation during Initial Treatment Period</w:t>
            </w:r>
          </w:p>
        </w:tc>
      </w:tr>
      <w:tr w:rsidR="00D62155" w14:paraId="5CDADD63" w14:textId="77777777" w:rsidTr="00D62155">
        <w:trPr>
          <w:trHeight w:hRule="exact" w:val="384"/>
          <w:jc w:val="center"/>
        </w:trPr>
        <w:tc>
          <w:tcPr>
            <w:tcW w:w="1611" w:type="pct"/>
            <w:tcBorders>
              <w:top w:val="single" w:sz="6" w:space="0" w:color="auto"/>
              <w:left w:val="single" w:sz="6" w:space="0" w:color="auto"/>
              <w:bottom w:val="single" w:sz="6" w:space="0" w:color="auto"/>
              <w:right w:val="single" w:sz="6" w:space="0" w:color="auto"/>
            </w:tcBorders>
            <w:vAlign w:val="center"/>
          </w:tcPr>
          <w:p w14:paraId="63902397" w14:textId="77777777" w:rsidR="00D62155" w:rsidRPr="00803C01" w:rsidRDefault="00D62155" w:rsidP="006E7089">
            <w:pPr>
              <w:jc w:val="center"/>
            </w:pPr>
            <w:r w:rsidRPr="00EA20FE">
              <w:t>AE</w:t>
            </w:r>
          </w:p>
        </w:tc>
        <w:tc>
          <w:tcPr>
            <w:tcW w:w="747" w:type="pct"/>
            <w:tcBorders>
              <w:top w:val="single" w:sz="6" w:space="0" w:color="auto"/>
              <w:left w:val="single" w:sz="6" w:space="0" w:color="auto"/>
              <w:bottom w:val="single" w:sz="6" w:space="0" w:color="auto"/>
              <w:right w:val="single" w:sz="6" w:space="0" w:color="auto"/>
            </w:tcBorders>
            <w:vAlign w:val="center"/>
          </w:tcPr>
          <w:p w14:paraId="2BB2512A" w14:textId="77777777" w:rsidR="00D62155" w:rsidRDefault="00D62155" w:rsidP="009B153D">
            <w:pPr>
              <w:pStyle w:val="Style"/>
              <w:ind w:left="19"/>
              <w:jc w:val="center"/>
              <w:textAlignment w:val="baseline"/>
            </w:pPr>
            <w:r>
              <w:rPr>
                <w:sz w:val="21"/>
                <w:szCs w:val="21"/>
              </w:rPr>
              <w:t>2 (1.2)</w:t>
            </w:r>
          </w:p>
        </w:tc>
        <w:tc>
          <w:tcPr>
            <w:tcW w:w="758" w:type="pct"/>
            <w:tcBorders>
              <w:top w:val="single" w:sz="6" w:space="0" w:color="auto"/>
              <w:left w:val="single" w:sz="6" w:space="0" w:color="auto"/>
              <w:bottom w:val="single" w:sz="6" w:space="0" w:color="auto"/>
              <w:right w:val="single" w:sz="6" w:space="0" w:color="auto"/>
            </w:tcBorders>
            <w:vAlign w:val="center"/>
          </w:tcPr>
          <w:p w14:paraId="72E09504" w14:textId="77777777" w:rsidR="00D62155" w:rsidRDefault="00D62155" w:rsidP="009B153D">
            <w:pPr>
              <w:pStyle w:val="Style"/>
              <w:ind w:left="14"/>
              <w:jc w:val="center"/>
              <w:textAlignment w:val="baseline"/>
            </w:pPr>
            <w:r>
              <w:rPr>
                <w:sz w:val="21"/>
                <w:szCs w:val="21"/>
              </w:rPr>
              <w:t>2 (1.3)</w:t>
            </w:r>
          </w:p>
        </w:tc>
        <w:tc>
          <w:tcPr>
            <w:tcW w:w="607" w:type="pct"/>
            <w:tcBorders>
              <w:top w:val="single" w:sz="6" w:space="0" w:color="auto"/>
              <w:left w:val="single" w:sz="6" w:space="0" w:color="auto"/>
              <w:bottom w:val="single" w:sz="6" w:space="0" w:color="auto"/>
              <w:right w:val="single" w:sz="6" w:space="0" w:color="auto"/>
            </w:tcBorders>
            <w:vAlign w:val="center"/>
          </w:tcPr>
          <w:p w14:paraId="2CC1B5B6" w14:textId="77777777" w:rsidR="00D62155" w:rsidRDefault="00D62155" w:rsidP="009B153D">
            <w:pPr>
              <w:pStyle w:val="Style"/>
              <w:ind w:left="19"/>
              <w:jc w:val="center"/>
              <w:textAlignment w:val="baseline"/>
            </w:pPr>
            <w:r>
              <w:rPr>
                <w:sz w:val="21"/>
                <w:szCs w:val="21"/>
              </w:rPr>
              <w:t>4 (1.3)</w:t>
            </w:r>
          </w:p>
        </w:tc>
        <w:tc>
          <w:tcPr>
            <w:tcW w:w="567" w:type="pct"/>
            <w:tcBorders>
              <w:top w:val="single" w:sz="6" w:space="0" w:color="auto"/>
              <w:left w:val="single" w:sz="6" w:space="0" w:color="auto"/>
              <w:bottom w:val="single" w:sz="6" w:space="0" w:color="auto"/>
              <w:right w:val="single" w:sz="6" w:space="0" w:color="auto"/>
            </w:tcBorders>
            <w:vAlign w:val="center"/>
          </w:tcPr>
          <w:p w14:paraId="1E64D951" w14:textId="77777777" w:rsidR="00D62155" w:rsidRDefault="00D62155" w:rsidP="009B153D">
            <w:pPr>
              <w:pStyle w:val="Style"/>
              <w:ind w:left="38"/>
              <w:jc w:val="center"/>
              <w:textAlignment w:val="baseline"/>
            </w:pPr>
            <w:r>
              <w:rPr>
                <w:sz w:val="21"/>
                <w:szCs w:val="21"/>
              </w:rPr>
              <w:t>4 (2.5)</w:t>
            </w:r>
          </w:p>
        </w:tc>
        <w:tc>
          <w:tcPr>
            <w:tcW w:w="710" w:type="pct"/>
            <w:tcBorders>
              <w:top w:val="single" w:sz="6" w:space="0" w:color="auto"/>
              <w:left w:val="single" w:sz="6" w:space="0" w:color="auto"/>
              <w:bottom w:val="single" w:sz="6" w:space="0" w:color="auto"/>
              <w:right w:val="single" w:sz="6" w:space="0" w:color="auto"/>
            </w:tcBorders>
            <w:vAlign w:val="center"/>
          </w:tcPr>
          <w:p w14:paraId="1DF1B5DF" w14:textId="77777777" w:rsidR="00D62155" w:rsidRDefault="00D62155" w:rsidP="009B153D">
            <w:pPr>
              <w:pStyle w:val="Style"/>
              <w:ind w:left="24"/>
              <w:jc w:val="center"/>
              <w:textAlignment w:val="baseline"/>
            </w:pPr>
            <w:r>
              <w:rPr>
                <w:sz w:val="21"/>
                <w:szCs w:val="21"/>
              </w:rPr>
              <w:t>8 (1. 7)</w:t>
            </w:r>
          </w:p>
        </w:tc>
      </w:tr>
      <w:tr w:rsidR="00D62155" w14:paraId="10A52BD1" w14:textId="77777777" w:rsidTr="00D62155">
        <w:trPr>
          <w:trHeight w:hRule="exact" w:val="394"/>
          <w:jc w:val="center"/>
        </w:trPr>
        <w:tc>
          <w:tcPr>
            <w:tcW w:w="1611" w:type="pct"/>
            <w:tcBorders>
              <w:top w:val="single" w:sz="6" w:space="0" w:color="auto"/>
              <w:left w:val="single" w:sz="6" w:space="0" w:color="auto"/>
              <w:bottom w:val="single" w:sz="6" w:space="0" w:color="auto"/>
              <w:right w:val="single" w:sz="6" w:space="0" w:color="auto"/>
            </w:tcBorders>
            <w:vAlign w:val="center"/>
          </w:tcPr>
          <w:p w14:paraId="536C13B4" w14:textId="77777777" w:rsidR="00D62155" w:rsidRDefault="00D62155" w:rsidP="009B153D">
            <w:pPr>
              <w:pStyle w:val="Style"/>
              <w:ind w:left="293"/>
              <w:jc w:val="center"/>
              <w:textAlignment w:val="baseline"/>
            </w:pPr>
            <w:r>
              <w:rPr>
                <w:sz w:val="21"/>
                <w:szCs w:val="21"/>
              </w:rPr>
              <w:t>Lack of efficacy</w:t>
            </w:r>
          </w:p>
        </w:tc>
        <w:tc>
          <w:tcPr>
            <w:tcW w:w="747" w:type="pct"/>
            <w:tcBorders>
              <w:top w:val="single" w:sz="6" w:space="0" w:color="auto"/>
              <w:left w:val="single" w:sz="6" w:space="0" w:color="auto"/>
              <w:bottom w:val="single" w:sz="6" w:space="0" w:color="auto"/>
              <w:right w:val="single" w:sz="6" w:space="0" w:color="auto"/>
            </w:tcBorders>
            <w:vAlign w:val="center"/>
          </w:tcPr>
          <w:p w14:paraId="743CBA14" w14:textId="77777777" w:rsidR="00D62155" w:rsidRDefault="00D62155" w:rsidP="009B153D">
            <w:pPr>
              <w:pStyle w:val="Style"/>
              <w:ind w:left="19"/>
              <w:jc w:val="center"/>
              <w:textAlignment w:val="baseline"/>
            </w:pPr>
            <w:r>
              <w:rPr>
                <w:sz w:val="21"/>
                <w:szCs w:val="21"/>
              </w:rPr>
              <w:t>0</w:t>
            </w:r>
          </w:p>
        </w:tc>
        <w:tc>
          <w:tcPr>
            <w:tcW w:w="758" w:type="pct"/>
            <w:tcBorders>
              <w:top w:val="single" w:sz="6" w:space="0" w:color="auto"/>
              <w:left w:val="single" w:sz="6" w:space="0" w:color="auto"/>
              <w:bottom w:val="single" w:sz="6" w:space="0" w:color="auto"/>
              <w:right w:val="single" w:sz="6" w:space="0" w:color="auto"/>
            </w:tcBorders>
            <w:vAlign w:val="center"/>
          </w:tcPr>
          <w:p w14:paraId="58BB7B5D" w14:textId="77777777" w:rsidR="00D62155" w:rsidRDefault="00D62155" w:rsidP="009B153D">
            <w:pPr>
              <w:pStyle w:val="Style"/>
              <w:ind w:left="14"/>
              <w:jc w:val="center"/>
              <w:textAlignment w:val="baseline"/>
            </w:pPr>
            <w:r>
              <w:rPr>
                <w:sz w:val="21"/>
                <w:szCs w:val="21"/>
              </w:rPr>
              <w:t>0</w:t>
            </w:r>
          </w:p>
        </w:tc>
        <w:tc>
          <w:tcPr>
            <w:tcW w:w="607" w:type="pct"/>
            <w:tcBorders>
              <w:top w:val="single" w:sz="6" w:space="0" w:color="auto"/>
              <w:left w:val="single" w:sz="6" w:space="0" w:color="auto"/>
              <w:bottom w:val="single" w:sz="6" w:space="0" w:color="auto"/>
              <w:right w:val="single" w:sz="6" w:space="0" w:color="auto"/>
            </w:tcBorders>
            <w:vAlign w:val="center"/>
          </w:tcPr>
          <w:p w14:paraId="2B78806B" w14:textId="77777777" w:rsidR="00D62155" w:rsidRDefault="00D62155" w:rsidP="009B153D">
            <w:pPr>
              <w:pStyle w:val="Style"/>
              <w:ind w:left="19"/>
              <w:jc w:val="center"/>
              <w:textAlignment w:val="baseline"/>
            </w:pPr>
            <w:r>
              <w:rPr>
                <w:sz w:val="21"/>
                <w:szCs w:val="21"/>
              </w:rPr>
              <w:t>0</w:t>
            </w:r>
          </w:p>
        </w:tc>
        <w:tc>
          <w:tcPr>
            <w:tcW w:w="567" w:type="pct"/>
            <w:tcBorders>
              <w:top w:val="single" w:sz="6" w:space="0" w:color="auto"/>
              <w:left w:val="single" w:sz="6" w:space="0" w:color="auto"/>
              <w:bottom w:val="single" w:sz="6" w:space="0" w:color="auto"/>
              <w:right w:val="single" w:sz="6" w:space="0" w:color="auto"/>
            </w:tcBorders>
            <w:vAlign w:val="center"/>
          </w:tcPr>
          <w:p w14:paraId="48E35659" w14:textId="77777777" w:rsidR="00D62155" w:rsidRDefault="00D62155" w:rsidP="009B153D">
            <w:pPr>
              <w:pStyle w:val="Style"/>
              <w:ind w:left="38"/>
              <w:jc w:val="center"/>
              <w:textAlignment w:val="baseline"/>
            </w:pPr>
            <w:r>
              <w:rPr>
                <w:b/>
                <w:w w:val="64"/>
                <w:sz w:val="22"/>
                <w:szCs w:val="22"/>
              </w:rPr>
              <w:t xml:space="preserve">1 </w:t>
            </w:r>
            <w:r>
              <w:rPr>
                <w:sz w:val="21"/>
                <w:szCs w:val="21"/>
              </w:rPr>
              <w:t>(0.6)</w:t>
            </w:r>
          </w:p>
        </w:tc>
        <w:tc>
          <w:tcPr>
            <w:tcW w:w="710" w:type="pct"/>
            <w:tcBorders>
              <w:top w:val="single" w:sz="6" w:space="0" w:color="auto"/>
              <w:left w:val="single" w:sz="6" w:space="0" w:color="auto"/>
              <w:bottom w:val="single" w:sz="6" w:space="0" w:color="auto"/>
              <w:right w:val="single" w:sz="6" w:space="0" w:color="auto"/>
            </w:tcBorders>
            <w:vAlign w:val="center"/>
          </w:tcPr>
          <w:p w14:paraId="54746720" w14:textId="77777777" w:rsidR="00D62155" w:rsidRDefault="00D62155" w:rsidP="009B153D">
            <w:pPr>
              <w:pStyle w:val="Style"/>
              <w:ind w:left="24"/>
              <w:jc w:val="center"/>
              <w:textAlignment w:val="baseline"/>
            </w:pPr>
            <w:r>
              <w:rPr>
                <w:b/>
                <w:w w:val="64"/>
                <w:sz w:val="22"/>
                <w:szCs w:val="22"/>
              </w:rPr>
              <w:t xml:space="preserve">1 </w:t>
            </w:r>
            <w:r>
              <w:rPr>
                <w:sz w:val="21"/>
                <w:szCs w:val="21"/>
              </w:rPr>
              <w:t>(0.2)</w:t>
            </w:r>
          </w:p>
        </w:tc>
      </w:tr>
      <w:tr w:rsidR="00D62155" w14:paraId="7768CD19" w14:textId="77777777" w:rsidTr="00D62155">
        <w:trPr>
          <w:trHeight w:hRule="exact" w:val="384"/>
          <w:jc w:val="center"/>
        </w:trPr>
        <w:tc>
          <w:tcPr>
            <w:tcW w:w="1611" w:type="pct"/>
            <w:tcBorders>
              <w:top w:val="single" w:sz="6" w:space="0" w:color="auto"/>
              <w:left w:val="single" w:sz="6" w:space="0" w:color="auto"/>
              <w:bottom w:val="single" w:sz="6" w:space="0" w:color="auto"/>
              <w:right w:val="single" w:sz="6" w:space="0" w:color="auto"/>
            </w:tcBorders>
            <w:vAlign w:val="center"/>
          </w:tcPr>
          <w:p w14:paraId="2B8EA7B3" w14:textId="77777777" w:rsidR="00D62155" w:rsidRDefault="00D62155" w:rsidP="009B153D">
            <w:pPr>
              <w:pStyle w:val="Style"/>
              <w:ind w:left="293"/>
              <w:jc w:val="center"/>
              <w:textAlignment w:val="baseline"/>
            </w:pPr>
            <w:r>
              <w:rPr>
                <w:sz w:val="21"/>
                <w:szCs w:val="21"/>
              </w:rPr>
              <w:t>Protocol violation</w:t>
            </w:r>
          </w:p>
        </w:tc>
        <w:tc>
          <w:tcPr>
            <w:tcW w:w="747" w:type="pct"/>
            <w:tcBorders>
              <w:top w:val="single" w:sz="6" w:space="0" w:color="auto"/>
              <w:left w:val="single" w:sz="6" w:space="0" w:color="auto"/>
              <w:bottom w:val="single" w:sz="6" w:space="0" w:color="auto"/>
              <w:right w:val="single" w:sz="6" w:space="0" w:color="auto"/>
            </w:tcBorders>
            <w:vAlign w:val="center"/>
          </w:tcPr>
          <w:p w14:paraId="1AC44F67" w14:textId="77777777" w:rsidR="00D62155" w:rsidRDefault="00D62155" w:rsidP="009B153D">
            <w:pPr>
              <w:pStyle w:val="Style"/>
              <w:ind w:left="19"/>
              <w:jc w:val="center"/>
              <w:textAlignment w:val="baseline"/>
            </w:pPr>
            <w:r>
              <w:rPr>
                <w:sz w:val="21"/>
                <w:szCs w:val="21"/>
              </w:rPr>
              <w:t>0</w:t>
            </w:r>
          </w:p>
        </w:tc>
        <w:tc>
          <w:tcPr>
            <w:tcW w:w="758" w:type="pct"/>
            <w:tcBorders>
              <w:top w:val="single" w:sz="6" w:space="0" w:color="auto"/>
              <w:left w:val="single" w:sz="6" w:space="0" w:color="auto"/>
              <w:bottom w:val="single" w:sz="6" w:space="0" w:color="auto"/>
              <w:right w:val="single" w:sz="6" w:space="0" w:color="auto"/>
            </w:tcBorders>
            <w:vAlign w:val="center"/>
          </w:tcPr>
          <w:p w14:paraId="7826DFEE" w14:textId="77777777" w:rsidR="00D62155" w:rsidRDefault="00D62155" w:rsidP="009B153D">
            <w:pPr>
              <w:pStyle w:val="Style"/>
              <w:ind w:left="14"/>
              <w:jc w:val="center"/>
              <w:textAlignment w:val="baseline"/>
            </w:pPr>
            <w:r>
              <w:rPr>
                <w:sz w:val="21"/>
                <w:szCs w:val="21"/>
              </w:rPr>
              <w:t>0</w:t>
            </w:r>
          </w:p>
        </w:tc>
        <w:tc>
          <w:tcPr>
            <w:tcW w:w="607" w:type="pct"/>
            <w:tcBorders>
              <w:top w:val="single" w:sz="6" w:space="0" w:color="auto"/>
              <w:left w:val="single" w:sz="6" w:space="0" w:color="auto"/>
              <w:bottom w:val="single" w:sz="6" w:space="0" w:color="auto"/>
              <w:right w:val="single" w:sz="6" w:space="0" w:color="auto"/>
            </w:tcBorders>
            <w:vAlign w:val="center"/>
          </w:tcPr>
          <w:p w14:paraId="0669B28A" w14:textId="77777777" w:rsidR="00D62155" w:rsidRDefault="00D62155" w:rsidP="009B153D">
            <w:pPr>
              <w:pStyle w:val="Style"/>
              <w:ind w:left="19"/>
              <w:jc w:val="center"/>
              <w:textAlignment w:val="baseline"/>
            </w:pPr>
            <w:r>
              <w:rPr>
                <w:sz w:val="21"/>
                <w:szCs w:val="21"/>
              </w:rPr>
              <w:t>0</w:t>
            </w:r>
          </w:p>
        </w:tc>
        <w:tc>
          <w:tcPr>
            <w:tcW w:w="567" w:type="pct"/>
            <w:tcBorders>
              <w:top w:val="single" w:sz="6" w:space="0" w:color="auto"/>
              <w:left w:val="single" w:sz="6" w:space="0" w:color="auto"/>
              <w:bottom w:val="single" w:sz="6" w:space="0" w:color="auto"/>
              <w:right w:val="single" w:sz="6" w:space="0" w:color="auto"/>
            </w:tcBorders>
            <w:vAlign w:val="center"/>
          </w:tcPr>
          <w:p w14:paraId="1FF2FC07" w14:textId="77777777" w:rsidR="00D62155" w:rsidRDefault="00D62155" w:rsidP="009B153D">
            <w:pPr>
              <w:pStyle w:val="Style"/>
              <w:ind w:left="38"/>
              <w:jc w:val="center"/>
              <w:textAlignment w:val="baseline"/>
            </w:pPr>
            <w:r>
              <w:rPr>
                <w:sz w:val="21"/>
                <w:szCs w:val="21"/>
              </w:rPr>
              <w:t>2 (1.3)</w:t>
            </w:r>
          </w:p>
        </w:tc>
        <w:tc>
          <w:tcPr>
            <w:tcW w:w="710" w:type="pct"/>
            <w:tcBorders>
              <w:top w:val="single" w:sz="6" w:space="0" w:color="auto"/>
              <w:left w:val="single" w:sz="6" w:space="0" w:color="auto"/>
              <w:bottom w:val="single" w:sz="6" w:space="0" w:color="auto"/>
              <w:right w:val="single" w:sz="6" w:space="0" w:color="auto"/>
            </w:tcBorders>
            <w:vAlign w:val="center"/>
          </w:tcPr>
          <w:p w14:paraId="47BB4C3E" w14:textId="77777777" w:rsidR="00D62155" w:rsidRDefault="00D62155" w:rsidP="009B153D">
            <w:pPr>
              <w:pStyle w:val="Style"/>
              <w:ind w:left="24"/>
              <w:jc w:val="center"/>
              <w:textAlignment w:val="baseline"/>
            </w:pPr>
            <w:r>
              <w:rPr>
                <w:sz w:val="21"/>
                <w:szCs w:val="21"/>
              </w:rPr>
              <w:t>2 (0.4)</w:t>
            </w:r>
          </w:p>
        </w:tc>
      </w:tr>
      <w:tr w:rsidR="00D62155" w14:paraId="6B661D5E" w14:textId="77777777" w:rsidTr="00D62155">
        <w:trPr>
          <w:trHeight w:hRule="exact" w:val="394"/>
          <w:jc w:val="center"/>
        </w:trPr>
        <w:tc>
          <w:tcPr>
            <w:tcW w:w="1611" w:type="pct"/>
            <w:tcBorders>
              <w:top w:val="single" w:sz="6" w:space="0" w:color="auto"/>
              <w:left w:val="single" w:sz="6" w:space="0" w:color="auto"/>
              <w:bottom w:val="single" w:sz="6" w:space="0" w:color="auto"/>
              <w:right w:val="single" w:sz="6" w:space="0" w:color="auto"/>
            </w:tcBorders>
            <w:vAlign w:val="center"/>
          </w:tcPr>
          <w:p w14:paraId="0A912B7A" w14:textId="77777777" w:rsidR="00D62155" w:rsidRDefault="00D62155" w:rsidP="009B153D">
            <w:pPr>
              <w:pStyle w:val="Style"/>
              <w:ind w:left="293"/>
              <w:jc w:val="center"/>
              <w:textAlignment w:val="baseline"/>
            </w:pPr>
            <w:r>
              <w:rPr>
                <w:sz w:val="21"/>
                <w:szCs w:val="21"/>
              </w:rPr>
              <w:t>Lost to follow up</w:t>
            </w:r>
          </w:p>
        </w:tc>
        <w:tc>
          <w:tcPr>
            <w:tcW w:w="747" w:type="pct"/>
            <w:tcBorders>
              <w:top w:val="single" w:sz="6" w:space="0" w:color="auto"/>
              <w:left w:val="single" w:sz="6" w:space="0" w:color="auto"/>
              <w:bottom w:val="single" w:sz="6" w:space="0" w:color="auto"/>
              <w:right w:val="single" w:sz="6" w:space="0" w:color="auto"/>
            </w:tcBorders>
            <w:vAlign w:val="center"/>
          </w:tcPr>
          <w:p w14:paraId="7E3D904D" w14:textId="77777777" w:rsidR="00D62155" w:rsidRDefault="00D62155" w:rsidP="009B153D">
            <w:pPr>
              <w:pStyle w:val="Style"/>
              <w:ind w:left="19"/>
              <w:jc w:val="center"/>
              <w:textAlignment w:val="baseline"/>
            </w:pPr>
            <w:r>
              <w:rPr>
                <w:sz w:val="21"/>
                <w:szCs w:val="21"/>
              </w:rPr>
              <w:t>0</w:t>
            </w:r>
          </w:p>
        </w:tc>
        <w:tc>
          <w:tcPr>
            <w:tcW w:w="758" w:type="pct"/>
            <w:tcBorders>
              <w:top w:val="single" w:sz="6" w:space="0" w:color="auto"/>
              <w:left w:val="single" w:sz="6" w:space="0" w:color="auto"/>
              <w:bottom w:val="single" w:sz="6" w:space="0" w:color="auto"/>
              <w:right w:val="single" w:sz="6" w:space="0" w:color="auto"/>
            </w:tcBorders>
            <w:vAlign w:val="center"/>
          </w:tcPr>
          <w:p w14:paraId="1AD5E7E4" w14:textId="77777777" w:rsidR="00D62155" w:rsidRDefault="00D62155" w:rsidP="009B153D">
            <w:pPr>
              <w:pStyle w:val="Style"/>
              <w:ind w:left="14"/>
              <w:jc w:val="center"/>
              <w:textAlignment w:val="baseline"/>
            </w:pPr>
            <w:r>
              <w:rPr>
                <w:sz w:val="21"/>
                <w:szCs w:val="21"/>
              </w:rPr>
              <w:t>2 (1.3)</w:t>
            </w:r>
          </w:p>
        </w:tc>
        <w:tc>
          <w:tcPr>
            <w:tcW w:w="607" w:type="pct"/>
            <w:tcBorders>
              <w:top w:val="single" w:sz="6" w:space="0" w:color="auto"/>
              <w:left w:val="single" w:sz="6" w:space="0" w:color="auto"/>
              <w:bottom w:val="single" w:sz="6" w:space="0" w:color="auto"/>
              <w:right w:val="single" w:sz="6" w:space="0" w:color="auto"/>
            </w:tcBorders>
            <w:vAlign w:val="center"/>
          </w:tcPr>
          <w:p w14:paraId="1B2DCA81" w14:textId="77777777" w:rsidR="00D62155" w:rsidRDefault="00D62155" w:rsidP="009B153D">
            <w:pPr>
              <w:pStyle w:val="Style"/>
              <w:ind w:left="19"/>
              <w:jc w:val="center"/>
              <w:textAlignment w:val="baseline"/>
            </w:pPr>
            <w:r>
              <w:rPr>
                <w:sz w:val="21"/>
                <w:szCs w:val="21"/>
              </w:rPr>
              <w:t>2 (0.6)</w:t>
            </w:r>
          </w:p>
        </w:tc>
        <w:tc>
          <w:tcPr>
            <w:tcW w:w="567" w:type="pct"/>
            <w:tcBorders>
              <w:top w:val="single" w:sz="6" w:space="0" w:color="auto"/>
              <w:left w:val="single" w:sz="6" w:space="0" w:color="auto"/>
              <w:bottom w:val="single" w:sz="6" w:space="0" w:color="auto"/>
              <w:right w:val="single" w:sz="6" w:space="0" w:color="auto"/>
            </w:tcBorders>
            <w:vAlign w:val="center"/>
          </w:tcPr>
          <w:p w14:paraId="46BE84F0" w14:textId="77777777" w:rsidR="00D62155" w:rsidRDefault="00D62155" w:rsidP="009B153D">
            <w:pPr>
              <w:pStyle w:val="Style"/>
              <w:ind w:left="38"/>
              <w:jc w:val="center"/>
              <w:textAlignment w:val="baseline"/>
            </w:pPr>
            <w:r>
              <w:rPr>
                <w:b/>
                <w:w w:val="64"/>
                <w:sz w:val="22"/>
                <w:szCs w:val="22"/>
              </w:rPr>
              <w:t xml:space="preserve">1 </w:t>
            </w:r>
            <w:r>
              <w:rPr>
                <w:sz w:val="21"/>
                <w:szCs w:val="21"/>
              </w:rPr>
              <w:t>(0.6)</w:t>
            </w:r>
          </w:p>
        </w:tc>
        <w:tc>
          <w:tcPr>
            <w:tcW w:w="710" w:type="pct"/>
            <w:tcBorders>
              <w:top w:val="single" w:sz="6" w:space="0" w:color="auto"/>
              <w:left w:val="single" w:sz="6" w:space="0" w:color="auto"/>
              <w:bottom w:val="single" w:sz="6" w:space="0" w:color="auto"/>
              <w:right w:val="single" w:sz="6" w:space="0" w:color="auto"/>
            </w:tcBorders>
            <w:vAlign w:val="center"/>
          </w:tcPr>
          <w:p w14:paraId="15FECF5F" w14:textId="77777777" w:rsidR="00D62155" w:rsidRDefault="00D62155" w:rsidP="009B153D">
            <w:pPr>
              <w:pStyle w:val="Style"/>
              <w:ind w:left="24"/>
              <w:jc w:val="center"/>
              <w:textAlignment w:val="baseline"/>
            </w:pPr>
            <w:r>
              <w:rPr>
                <w:sz w:val="21"/>
                <w:szCs w:val="21"/>
              </w:rPr>
              <w:t>3 (0.6)</w:t>
            </w:r>
          </w:p>
        </w:tc>
      </w:tr>
      <w:tr w:rsidR="00D62155" w14:paraId="6AB50298" w14:textId="77777777" w:rsidTr="00D62155">
        <w:trPr>
          <w:trHeight w:hRule="exact" w:val="384"/>
          <w:jc w:val="center"/>
        </w:trPr>
        <w:tc>
          <w:tcPr>
            <w:tcW w:w="1611" w:type="pct"/>
            <w:tcBorders>
              <w:top w:val="single" w:sz="6" w:space="0" w:color="auto"/>
              <w:left w:val="single" w:sz="6" w:space="0" w:color="auto"/>
              <w:bottom w:val="single" w:sz="6" w:space="0" w:color="auto"/>
              <w:right w:val="single" w:sz="6" w:space="0" w:color="auto"/>
            </w:tcBorders>
            <w:vAlign w:val="center"/>
          </w:tcPr>
          <w:p w14:paraId="47817F48" w14:textId="77777777" w:rsidR="00D62155" w:rsidRDefault="00D62155" w:rsidP="009B153D">
            <w:pPr>
              <w:pStyle w:val="Style"/>
              <w:ind w:left="293"/>
              <w:jc w:val="center"/>
              <w:textAlignment w:val="baseline"/>
            </w:pPr>
            <w:r>
              <w:rPr>
                <w:sz w:val="21"/>
                <w:szCs w:val="21"/>
              </w:rPr>
              <w:t>Consent withdrawn</w:t>
            </w:r>
          </w:p>
        </w:tc>
        <w:tc>
          <w:tcPr>
            <w:tcW w:w="747" w:type="pct"/>
            <w:tcBorders>
              <w:top w:val="single" w:sz="6" w:space="0" w:color="auto"/>
              <w:left w:val="single" w:sz="6" w:space="0" w:color="auto"/>
              <w:bottom w:val="single" w:sz="6" w:space="0" w:color="auto"/>
              <w:right w:val="single" w:sz="6" w:space="0" w:color="auto"/>
            </w:tcBorders>
            <w:vAlign w:val="center"/>
          </w:tcPr>
          <w:p w14:paraId="4DFCC8CB" w14:textId="77777777" w:rsidR="00D62155" w:rsidRDefault="00D62155" w:rsidP="009B153D">
            <w:pPr>
              <w:pStyle w:val="Style"/>
              <w:ind w:left="19"/>
              <w:jc w:val="center"/>
              <w:textAlignment w:val="baseline"/>
            </w:pPr>
            <w:r>
              <w:rPr>
                <w:sz w:val="21"/>
                <w:szCs w:val="21"/>
              </w:rPr>
              <w:t>4 (2.5)</w:t>
            </w:r>
          </w:p>
        </w:tc>
        <w:tc>
          <w:tcPr>
            <w:tcW w:w="758" w:type="pct"/>
            <w:tcBorders>
              <w:top w:val="single" w:sz="6" w:space="0" w:color="auto"/>
              <w:left w:val="single" w:sz="6" w:space="0" w:color="auto"/>
              <w:bottom w:val="single" w:sz="6" w:space="0" w:color="auto"/>
              <w:right w:val="single" w:sz="6" w:space="0" w:color="auto"/>
            </w:tcBorders>
            <w:vAlign w:val="center"/>
          </w:tcPr>
          <w:p w14:paraId="75AFF334" w14:textId="77777777" w:rsidR="00D62155" w:rsidRDefault="00D62155" w:rsidP="009B153D">
            <w:pPr>
              <w:pStyle w:val="Style"/>
              <w:ind w:left="14"/>
              <w:jc w:val="center"/>
              <w:textAlignment w:val="baseline"/>
            </w:pPr>
            <w:r>
              <w:rPr>
                <w:b/>
                <w:w w:val="64"/>
                <w:sz w:val="22"/>
                <w:szCs w:val="22"/>
              </w:rPr>
              <w:t xml:space="preserve">1 </w:t>
            </w:r>
            <w:r>
              <w:rPr>
                <w:sz w:val="21"/>
                <w:szCs w:val="21"/>
              </w:rPr>
              <w:t>(0.6)</w:t>
            </w:r>
          </w:p>
        </w:tc>
        <w:tc>
          <w:tcPr>
            <w:tcW w:w="607" w:type="pct"/>
            <w:tcBorders>
              <w:top w:val="single" w:sz="6" w:space="0" w:color="auto"/>
              <w:left w:val="single" w:sz="6" w:space="0" w:color="auto"/>
              <w:bottom w:val="single" w:sz="6" w:space="0" w:color="auto"/>
              <w:right w:val="single" w:sz="6" w:space="0" w:color="auto"/>
            </w:tcBorders>
            <w:vAlign w:val="center"/>
          </w:tcPr>
          <w:p w14:paraId="7A11FB76" w14:textId="77777777" w:rsidR="00D62155" w:rsidRDefault="00D62155" w:rsidP="009B153D">
            <w:pPr>
              <w:pStyle w:val="Style"/>
              <w:ind w:left="19"/>
              <w:jc w:val="center"/>
              <w:textAlignment w:val="baseline"/>
            </w:pPr>
            <w:r>
              <w:rPr>
                <w:sz w:val="21"/>
                <w:szCs w:val="21"/>
              </w:rPr>
              <w:t>5 (1.6)</w:t>
            </w:r>
          </w:p>
        </w:tc>
        <w:tc>
          <w:tcPr>
            <w:tcW w:w="567" w:type="pct"/>
            <w:tcBorders>
              <w:top w:val="single" w:sz="6" w:space="0" w:color="auto"/>
              <w:left w:val="single" w:sz="6" w:space="0" w:color="auto"/>
              <w:bottom w:val="single" w:sz="6" w:space="0" w:color="auto"/>
              <w:right w:val="single" w:sz="6" w:space="0" w:color="auto"/>
            </w:tcBorders>
            <w:vAlign w:val="center"/>
          </w:tcPr>
          <w:p w14:paraId="1EE8DB86" w14:textId="77777777" w:rsidR="00D62155" w:rsidRDefault="00D62155" w:rsidP="009B153D">
            <w:pPr>
              <w:pStyle w:val="Style"/>
              <w:ind w:left="38"/>
              <w:jc w:val="center"/>
              <w:textAlignment w:val="baseline"/>
            </w:pPr>
            <w:r>
              <w:rPr>
                <w:b/>
                <w:w w:val="64"/>
                <w:sz w:val="22"/>
                <w:szCs w:val="22"/>
              </w:rPr>
              <w:t xml:space="preserve">1 </w:t>
            </w:r>
            <w:r>
              <w:rPr>
                <w:sz w:val="21"/>
                <w:szCs w:val="21"/>
              </w:rPr>
              <w:t>(0.6)</w:t>
            </w:r>
          </w:p>
        </w:tc>
        <w:tc>
          <w:tcPr>
            <w:tcW w:w="710" w:type="pct"/>
            <w:tcBorders>
              <w:top w:val="single" w:sz="6" w:space="0" w:color="auto"/>
              <w:left w:val="single" w:sz="6" w:space="0" w:color="auto"/>
              <w:bottom w:val="single" w:sz="6" w:space="0" w:color="auto"/>
              <w:right w:val="single" w:sz="6" w:space="0" w:color="auto"/>
            </w:tcBorders>
            <w:vAlign w:val="center"/>
          </w:tcPr>
          <w:p w14:paraId="663A6EAE" w14:textId="77777777" w:rsidR="00D62155" w:rsidRDefault="00D62155" w:rsidP="009B153D">
            <w:pPr>
              <w:pStyle w:val="Style"/>
              <w:ind w:left="24"/>
              <w:jc w:val="center"/>
              <w:textAlignment w:val="baseline"/>
            </w:pPr>
            <w:r>
              <w:rPr>
                <w:sz w:val="21"/>
                <w:szCs w:val="21"/>
              </w:rPr>
              <w:t>6 (1.3)</w:t>
            </w:r>
          </w:p>
        </w:tc>
      </w:tr>
      <w:tr w:rsidR="00D62155" w14:paraId="791F3118" w14:textId="77777777" w:rsidTr="00D62155">
        <w:trPr>
          <w:trHeight w:hRule="exact" w:val="389"/>
          <w:jc w:val="center"/>
        </w:trPr>
        <w:tc>
          <w:tcPr>
            <w:tcW w:w="1611" w:type="pct"/>
            <w:tcBorders>
              <w:top w:val="single" w:sz="6" w:space="0" w:color="auto"/>
              <w:left w:val="single" w:sz="6" w:space="0" w:color="auto"/>
              <w:bottom w:val="single" w:sz="6" w:space="0" w:color="auto"/>
              <w:right w:val="single" w:sz="6" w:space="0" w:color="auto"/>
            </w:tcBorders>
            <w:vAlign w:val="center"/>
          </w:tcPr>
          <w:p w14:paraId="3D3164F3" w14:textId="77777777" w:rsidR="00D62155" w:rsidRDefault="00D62155" w:rsidP="009B153D">
            <w:pPr>
              <w:pStyle w:val="Style"/>
              <w:ind w:left="293"/>
              <w:jc w:val="center"/>
              <w:textAlignment w:val="baseline"/>
            </w:pPr>
            <w:r>
              <w:rPr>
                <w:sz w:val="21"/>
                <w:szCs w:val="21"/>
              </w:rPr>
              <w:t>Other</w:t>
            </w:r>
          </w:p>
        </w:tc>
        <w:tc>
          <w:tcPr>
            <w:tcW w:w="747" w:type="pct"/>
            <w:tcBorders>
              <w:top w:val="single" w:sz="6" w:space="0" w:color="auto"/>
              <w:left w:val="single" w:sz="6" w:space="0" w:color="auto"/>
              <w:bottom w:val="single" w:sz="6" w:space="0" w:color="auto"/>
              <w:right w:val="single" w:sz="6" w:space="0" w:color="auto"/>
            </w:tcBorders>
            <w:vAlign w:val="center"/>
          </w:tcPr>
          <w:p w14:paraId="2AFA8F0D" w14:textId="77777777" w:rsidR="00D62155" w:rsidRDefault="00D62155" w:rsidP="009B153D">
            <w:pPr>
              <w:pStyle w:val="Style"/>
              <w:ind w:left="19"/>
              <w:jc w:val="center"/>
              <w:textAlignment w:val="baseline"/>
            </w:pPr>
            <w:r>
              <w:rPr>
                <w:b/>
                <w:w w:val="64"/>
                <w:sz w:val="22"/>
                <w:szCs w:val="22"/>
              </w:rPr>
              <w:t xml:space="preserve">1 </w:t>
            </w:r>
            <w:r>
              <w:rPr>
                <w:sz w:val="21"/>
                <w:szCs w:val="21"/>
              </w:rPr>
              <w:t>(0.6)</w:t>
            </w:r>
          </w:p>
        </w:tc>
        <w:tc>
          <w:tcPr>
            <w:tcW w:w="758" w:type="pct"/>
            <w:tcBorders>
              <w:top w:val="single" w:sz="6" w:space="0" w:color="auto"/>
              <w:left w:val="single" w:sz="6" w:space="0" w:color="auto"/>
              <w:bottom w:val="single" w:sz="6" w:space="0" w:color="auto"/>
              <w:right w:val="single" w:sz="6" w:space="0" w:color="auto"/>
            </w:tcBorders>
            <w:vAlign w:val="center"/>
          </w:tcPr>
          <w:p w14:paraId="694EB837" w14:textId="77777777" w:rsidR="00D62155" w:rsidRDefault="00D62155" w:rsidP="009B153D">
            <w:pPr>
              <w:pStyle w:val="Style"/>
              <w:ind w:left="14"/>
              <w:jc w:val="center"/>
              <w:textAlignment w:val="baseline"/>
            </w:pPr>
            <w:r>
              <w:rPr>
                <w:sz w:val="21"/>
                <w:szCs w:val="21"/>
              </w:rPr>
              <w:t>0</w:t>
            </w:r>
          </w:p>
        </w:tc>
        <w:tc>
          <w:tcPr>
            <w:tcW w:w="607" w:type="pct"/>
            <w:tcBorders>
              <w:top w:val="single" w:sz="6" w:space="0" w:color="auto"/>
              <w:left w:val="single" w:sz="6" w:space="0" w:color="auto"/>
              <w:bottom w:val="single" w:sz="6" w:space="0" w:color="auto"/>
              <w:right w:val="single" w:sz="6" w:space="0" w:color="auto"/>
            </w:tcBorders>
            <w:vAlign w:val="center"/>
          </w:tcPr>
          <w:p w14:paraId="0BFE15A9" w14:textId="77777777" w:rsidR="00D62155" w:rsidRDefault="00D62155" w:rsidP="009B153D">
            <w:pPr>
              <w:pStyle w:val="Style"/>
              <w:ind w:left="19"/>
              <w:jc w:val="center"/>
              <w:textAlignment w:val="baseline"/>
            </w:pPr>
            <w:r>
              <w:rPr>
                <w:b/>
                <w:w w:val="64"/>
                <w:sz w:val="22"/>
                <w:szCs w:val="22"/>
              </w:rPr>
              <w:t xml:space="preserve">1 </w:t>
            </w:r>
            <w:r>
              <w:rPr>
                <w:sz w:val="21"/>
                <w:szCs w:val="21"/>
              </w:rPr>
              <w:t>(0.3)</w:t>
            </w:r>
          </w:p>
        </w:tc>
        <w:tc>
          <w:tcPr>
            <w:tcW w:w="567" w:type="pct"/>
            <w:tcBorders>
              <w:top w:val="single" w:sz="6" w:space="0" w:color="auto"/>
              <w:left w:val="single" w:sz="6" w:space="0" w:color="auto"/>
              <w:bottom w:val="single" w:sz="6" w:space="0" w:color="auto"/>
              <w:right w:val="single" w:sz="6" w:space="0" w:color="auto"/>
            </w:tcBorders>
            <w:vAlign w:val="center"/>
          </w:tcPr>
          <w:p w14:paraId="2D91BBA7" w14:textId="77777777" w:rsidR="00D62155" w:rsidRDefault="00D62155" w:rsidP="009B153D">
            <w:pPr>
              <w:pStyle w:val="Style"/>
              <w:ind w:left="38"/>
              <w:jc w:val="center"/>
              <w:textAlignment w:val="baseline"/>
            </w:pPr>
            <w:r>
              <w:rPr>
                <w:sz w:val="21"/>
                <w:szCs w:val="21"/>
              </w:rPr>
              <w:t>0</w:t>
            </w:r>
          </w:p>
        </w:tc>
        <w:tc>
          <w:tcPr>
            <w:tcW w:w="710" w:type="pct"/>
            <w:tcBorders>
              <w:top w:val="single" w:sz="6" w:space="0" w:color="auto"/>
              <w:left w:val="single" w:sz="6" w:space="0" w:color="auto"/>
              <w:bottom w:val="single" w:sz="6" w:space="0" w:color="auto"/>
              <w:right w:val="single" w:sz="6" w:space="0" w:color="auto"/>
            </w:tcBorders>
            <w:vAlign w:val="center"/>
          </w:tcPr>
          <w:p w14:paraId="4AD8C58B" w14:textId="77777777" w:rsidR="00D62155" w:rsidRDefault="00D62155" w:rsidP="009B153D">
            <w:pPr>
              <w:pStyle w:val="Style"/>
              <w:ind w:left="24"/>
              <w:jc w:val="center"/>
              <w:textAlignment w:val="baseline"/>
            </w:pPr>
            <w:r>
              <w:rPr>
                <w:b/>
                <w:w w:val="64"/>
                <w:sz w:val="22"/>
                <w:szCs w:val="22"/>
              </w:rPr>
              <w:t xml:space="preserve">1 </w:t>
            </w:r>
            <w:r>
              <w:rPr>
                <w:sz w:val="21"/>
                <w:szCs w:val="21"/>
              </w:rPr>
              <w:t>(0.2)</w:t>
            </w:r>
          </w:p>
        </w:tc>
      </w:tr>
      <w:tr w:rsidR="00A138CC" w14:paraId="30AB9375" w14:textId="77777777" w:rsidTr="009B153D">
        <w:trPr>
          <w:trHeight w:val="643"/>
          <w:jc w:val="center"/>
        </w:trPr>
        <w:tc>
          <w:tcPr>
            <w:tcW w:w="1611" w:type="pct"/>
            <w:tcBorders>
              <w:top w:val="single" w:sz="6" w:space="0" w:color="auto"/>
              <w:left w:val="single" w:sz="6" w:space="0" w:color="auto"/>
              <w:right w:val="single" w:sz="6" w:space="0" w:color="auto"/>
            </w:tcBorders>
            <w:vAlign w:val="center"/>
          </w:tcPr>
          <w:p w14:paraId="52159C12" w14:textId="71058ACC" w:rsidR="00A138CC" w:rsidRDefault="00A138CC" w:rsidP="009B153D">
            <w:pPr>
              <w:pStyle w:val="Style"/>
              <w:ind w:left="120"/>
              <w:jc w:val="center"/>
              <w:textAlignment w:val="baseline"/>
            </w:pPr>
            <w:r>
              <w:rPr>
                <w:sz w:val="21"/>
                <w:szCs w:val="21"/>
              </w:rPr>
              <w:t>Completed Week 24</w:t>
            </w:r>
          </w:p>
        </w:tc>
        <w:tc>
          <w:tcPr>
            <w:tcW w:w="747" w:type="pct"/>
            <w:tcBorders>
              <w:top w:val="single" w:sz="6" w:space="0" w:color="auto"/>
              <w:left w:val="single" w:sz="6" w:space="0" w:color="auto"/>
              <w:right w:val="single" w:sz="6" w:space="0" w:color="auto"/>
            </w:tcBorders>
            <w:vAlign w:val="center"/>
          </w:tcPr>
          <w:p w14:paraId="6D63BEB6" w14:textId="77777777" w:rsidR="00A138CC" w:rsidRDefault="00A138CC" w:rsidP="009B153D">
            <w:pPr>
              <w:pStyle w:val="Style"/>
              <w:ind w:left="19"/>
              <w:jc w:val="center"/>
              <w:textAlignment w:val="baseline"/>
            </w:pPr>
            <w:r>
              <w:rPr>
                <w:sz w:val="21"/>
                <w:szCs w:val="21"/>
              </w:rPr>
              <w:t>149</w:t>
            </w:r>
          </w:p>
          <w:p w14:paraId="22114F15" w14:textId="26984B92" w:rsidR="00A138CC" w:rsidRDefault="00A138CC" w:rsidP="009B153D">
            <w:pPr>
              <w:pStyle w:val="Style"/>
              <w:ind w:left="19"/>
              <w:jc w:val="center"/>
              <w:textAlignment w:val="baseline"/>
            </w:pPr>
            <w:r>
              <w:rPr>
                <w:sz w:val="21"/>
                <w:szCs w:val="21"/>
              </w:rPr>
              <w:t>(92.5)</w:t>
            </w:r>
          </w:p>
        </w:tc>
        <w:tc>
          <w:tcPr>
            <w:tcW w:w="758" w:type="pct"/>
            <w:tcBorders>
              <w:top w:val="single" w:sz="6" w:space="0" w:color="auto"/>
              <w:left w:val="single" w:sz="6" w:space="0" w:color="auto"/>
              <w:right w:val="single" w:sz="6" w:space="0" w:color="auto"/>
            </w:tcBorders>
            <w:vAlign w:val="center"/>
          </w:tcPr>
          <w:p w14:paraId="0228A6F2" w14:textId="77777777" w:rsidR="00A138CC" w:rsidRDefault="00A138CC" w:rsidP="009B153D">
            <w:pPr>
              <w:pStyle w:val="Style"/>
              <w:ind w:left="14"/>
              <w:jc w:val="center"/>
              <w:textAlignment w:val="baseline"/>
            </w:pPr>
            <w:r>
              <w:rPr>
                <w:sz w:val="21"/>
                <w:szCs w:val="21"/>
              </w:rPr>
              <w:t>152</w:t>
            </w:r>
          </w:p>
          <w:p w14:paraId="0D13ABBA" w14:textId="6C9931C2" w:rsidR="00A138CC" w:rsidRDefault="00A138CC" w:rsidP="009B153D">
            <w:pPr>
              <w:pStyle w:val="Style"/>
              <w:ind w:left="14"/>
              <w:jc w:val="center"/>
              <w:textAlignment w:val="baseline"/>
            </w:pPr>
            <w:r>
              <w:rPr>
                <w:sz w:val="21"/>
                <w:szCs w:val="21"/>
              </w:rPr>
              <w:t>(96.2)</w:t>
            </w:r>
          </w:p>
        </w:tc>
        <w:tc>
          <w:tcPr>
            <w:tcW w:w="607" w:type="pct"/>
            <w:tcBorders>
              <w:top w:val="single" w:sz="6" w:space="0" w:color="auto"/>
              <w:left w:val="single" w:sz="6" w:space="0" w:color="auto"/>
              <w:right w:val="single" w:sz="6" w:space="0" w:color="auto"/>
            </w:tcBorders>
            <w:vAlign w:val="center"/>
          </w:tcPr>
          <w:p w14:paraId="6EA3C8DB" w14:textId="77777777" w:rsidR="00A138CC" w:rsidRDefault="00A138CC" w:rsidP="009B153D">
            <w:pPr>
              <w:pStyle w:val="Style"/>
              <w:ind w:left="19"/>
              <w:jc w:val="center"/>
              <w:textAlignment w:val="baseline"/>
            </w:pPr>
            <w:r>
              <w:rPr>
                <w:sz w:val="21"/>
                <w:szCs w:val="21"/>
              </w:rPr>
              <w:t>301</w:t>
            </w:r>
          </w:p>
          <w:p w14:paraId="46AFC2E8" w14:textId="1C5D5E44" w:rsidR="00A138CC" w:rsidRDefault="00A138CC" w:rsidP="009B153D">
            <w:pPr>
              <w:pStyle w:val="Style"/>
              <w:ind w:left="19"/>
              <w:jc w:val="center"/>
              <w:textAlignment w:val="baseline"/>
            </w:pPr>
            <w:r>
              <w:rPr>
                <w:sz w:val="21"/>
                <w:szCs w:val="21"/>
              </w:rPr>
              <w:t>(94.4)</w:t>
            </w:r>
          </w:p>
        </w:tc>
        <w:tc>
          <w:tcPr>
            <w:tcW w:w="567" w:type="pct"/>
            <w:tcBorders>
              <w:top w:val="single" w:sz="6" w:space="0" w:color="auto"/>
              <w:left w:val="single" w:sz="6" w:space="0" w:color="auto"/>
              <w:right w:val="single" w:sz="6" w:space="0" w:color="auto"/>
            </w:tcBorders>
            <w:vAlign w:val="center"/>
          </w:tcPr>
          <w:p w14:paraId="282E7042" w14:textId="77777777" w:rsidR="00A138CC" w:rsidRDefault="00A138CC" w:rsidP="009B153D">
            <w:pPr>
              <w:pStyle w:val="Style"/>
              <w:ind w:left="38"/>
              <w:jc w:val="center"/>
              <w:textAlignment w:val="baseline"/>
            </w:pPr>
            <w:r>
              <w:rPr>
                <w:sz w:val="21"/>
                <w:szCs w:val="21"/>
              </w:rPr>
              <w:t>149</w:t>
            </w:r>
          </w:p>
          <w:p w14:paraId="5FD50AEE" w14:textId="18956E6B" w:rsidR="00A138CC" w:rsidRDefault="00A138CC" w:rsidP="009B153D">
            <w:pPr>
              <w:pStyle w:val="Style"/>
              <w:ind w:left="38"/>
              <w:jc w:val="center"/>
              <w:textAlignment w:val="baseline"/>
            </w:pPr>
            <w:r>
              <w:rPr>
                <w:sz w:val="21"/>
                <w:szCs w:val="21"/>
              </w:rPr>
              <w:t>(93.7)</w:t>
            </w:r>
          </w:p>
        </w:tc>
        <w:tc>
          <w:tcPr>
            <w:tcW w:w="710" w:type="pct"/>
            <w:tcBorders>
              <w:top w:val="single" w:sz="6" w:space="0" w:color="auto"/>
              <w:left w:val="single" w:sz="6" w:space="0" w:color="auto"/>
              <w:right w:val="single" w:sz="6" w:space="0" w:color="auto"/>
            </w:tcBorders>
            <w:vAlign w:val="center"/>
          </w:tcPr>
          <w:p w14:paraId="3B89AB87" w14:textId="77777777" w:rsidR="00A138CC" w:rsidRDefault="00A138CC" w:rsidP="009B153D">
            <w:pPr>
              <w:pStyle w:val="Style"/>
              <w:ind w:left="24"/>
              <w:jc w:val="center"/>
              <w:textAlignment w:val="baseline"/>
            </w:pPr>
            <w:r>
              <w:rPr>
                <w:sz w:val="21"/>
                <w:szCs w:val="21"/>
              </w:rPr>
              <w:t>450</w:t>
            </w:r>
          </w:p>
          <w:p w14:paraId="0B1145B3" w14:textId="2B8626C5" w:rsidR="00A138CC" w:rsidRDefault="00A138CC" w:rsidP="009B153D">
            <w:pPr>
              <w:pStyle w:val="Style"/>
              <w:ind w:left="24"/>
              <w:jc w:val="center"/>
              <w:textAlignment w:val="baseline"/>
            </w:pPr>
            <w:r>
              <w:rPr>
                <w:sz w:val="21"/>
                <w:szCs w:val="21"/>
              </w:rPr>
              <w:t>(94.1)</w:t>
            </w:r>
          </w:p>
        </w:tc>
      </w:tr>
      <w:tr w:rsidR="00A138CC" w14:paraId="3E534617" w14:textId="77777777" w:rsidTr="009B153D">
        <w:trPr>
          <w:trHeight w:val="573"/>
          <w:jc w:val="center"/>
        </w:trPr>
        <w:tc>
          <w:tcPr>
            <w:tcW w:w="1611" w:type="pct"/>
            <w:tcBorders>
              <w:top w:val="single" w:sz="6" w:space="0" w:color="auto"/>
              <w:left w:val="single" w:sz="6" w:space="0" w:color="auto"/>
              <w:right w:val="single" w:sz="6" w:space="0" w:color="auto"/>
            </w:tcBorders>
            <w:vAlign w:val="center"/>
          </w:tcPr>
          <w:p w14:paraId="790A6B78" w14:textId="6F7E0B9C" w:rsidR="00A138CC" w:rsidRDefault="00A138CC" w:rsidP="00A138CC">
            <w:pPr>
              <w:pStyle w:val="Style"/>
              <w:ind w:left="120"/>
              <w:jc w:val="center"/>
              <w:textAlignment w:val="baseline"/>
            </w:pPr>
            <w:r>
              <w:rPr>
                <w:sz w:val="21"/>
                <w:szCs w:val="21"/>
              </w:rPr>
              <w:t>Discontinued between Week 16</w:t>
            </w:r>
            <w:r>
              <w:t xml:space="preserve"> </w:t>
            </w:r>
            <w:r>
              <w:rPr>
                <w:sz w:val="21"/>
                <w:szCs w:val="21"/>
              </w:rPr>
              <w:t>and Week 24</w:t>
            </w:r>
          </w:p>
        </w:tc>
        <w:tc>
          <w:tcPr>
            <w:tcW w:w="747" w:type="pct"/>
            <w:tcBorders>
              <w:top w:val="single" w:sz="6" w:space="0" w:color="auto"/>
              <w:left w:val="single" w:sz="6" w:space="0" w:color="auto"/>
              <w:right w:val="single" w:sz="6" w:space="0" w:color="auto"/>
            </w:tcBorders>
            <w:vAlign w:val="center"/>
          </w:tcPr>
          <w:p w14:paraId="1FC9C4FF" w14:textId="77777777" w:rsidR="00A138CC" w:rsidRDefault="00A138CC" w:rsidP="009B153D">
            <w:pPr>
              <w:pStyle w:val="Style"/>
              <w:ind w:left="19"/>
              <w:jc w:val="center"/>
              <w:textAlignment w:val="baseline"/>
            </w:pPr>
            <w:r>
              <w:rPr>
                <w:sz w:val="21"/>
                <w:szCs w:val="21"/>
              </w:rPr>
              <w:t>5 (3.1)</w:t>
            </w:r>
          </w:p>
        </w:tc>
        <w:tc>
          <w:tcPr>
            <w:tcW w:w="758" w:type="pct"/>
            <w:tcBorders>
              <w:top w:val="single" w:sz="6" w:space="0" w:color="auto"/>
              <w:left w:val="single" w:sz="6" w:space="0" w:color="auto"/>
              <w:right w:val="single" w:sz="6" w:space="0" w:color="auto"/>
            </w:tcBorders>
            <w:vAlign w:val="center"/>
          </w:tcPr>
          <w:p w14:paraId="1A971B6B" w14:textId="77777777" w:rsidR="00A138CC" w:rsidRDefault="00A138CC" w:rsidP="009B153D">
            <w:pPr>
              <w:pStyle w:val="Style"/>
              <w:ind w:left="14"/>
              <w:jc w:val="center"/>
              <w:textAlignment w:val="baseline"/>
            </w:pPr>
            <w:r>
              <w:rPr>
                <w:b/>
                <w:w w:val="64"/>
                <w:sz w:val="22"/>
                <w:szCs w:val="22"/>
              </w:rPr>
              <w:t xml:space="preserve">1 </w:t>
            </w:r>
            <w:r>
              <w:rPr>
                <w:sz w:val="21"/>
                <w:szCs w:val="21"/>
              </w:rPr>
              <w:t>(0.6)</w:t>
            </w:r>
          </w:p>
        </w:tc>
        <w:tc>
          <w:tcPr>
            <w:tcW w:w="607" w:type="pct"/>
            <w:tcBorders>
              <w:top w:val="single" w:sz="6" w:space="0" w:color="auto"/>
              <w:left w:val="single" w:sz="6" w:space="0" w:color="auto"/>
              <w:right w:val="single" w:sz="6" w:space="0" w:color="auto"/>
            </w:tcBorders>
            <w:vAlign w:val="center"/>
          </w:tcPr>
          <w:p w14:paraId="320394DD" w14:textId="77777777" w:rsidR="00A138CC" w:rsidRDefault="00A138CC" w:rsidP="009B153D">
            <w:pPr>
              <w:pStyle w:val="Style"/>
              <w:ind w:left="19"/>
              <w:jc w:val="center"/>
              <w:textAlignment w:val="baseline"/>
            </w:pPr>
            <w:r>
              <w:rPr>
                <w:sz w:val="21"/>
                <w:szCs w:val="21"/>
              </w:rPr>
              <w:t>6 (1.9)</w:t>
            </w:r>
          </w:p>
        </w:tc>
        <w:tc>
          <w:tcPr>
            <w:tcW w:w="567" w:type="pct"/>
            <w:tcBorders>
              <w:top w:val="single" w:sz="6" w:space="0" w:color="auto"/>
              <w:left w:val="single" w:sz="6" w:space="0" w:color="auto"/>
              <w:right w:val="single" w:sz="6" w:space="0" w:color="auto"/>
            </w:tcBorders>
            <w:vAlign w:val="center"/>
          </w:tcPr>
          <w:p w14:paraId="4E72B694" w14:textId="77777777" w:rsidR="00A138CC" w:rsidRDefault="00A138CC" w:rsidP="009B153D">
            <w:pPr>
              <w:pStyle w:val="Style"/>
              <w:ind w:left="38"/>
              <w:jc w:val="center"/>
              <w:textAlignment w:val="baseline"/>
            </w:pPr>
            <w:r>
              <w:rPr>
                <w:b/>
                <w:w w:val="64"/>
                <w:sz w:val="22"/>
                <w:szCs w:val="22"/>
              </w:rPr>
              <w:t xml:space="preserve">1 </w:t>
            </w:r>
            <w:r>
              <w:rPr>
                <w:sz w:val="21"/>
                <w:szCs w:val="21"/>
              </w:rPr>
              <w:t>(0.6)</w:t>
            </w:r>
          </w:p>
        </w:tc>
        <w:tc>
          <w:tcPr>
            <w:tcW w:w="710" w:type="pct"/>
            <w:tcBorders>
              <w:top w:val="single" w:sz="6" w:space="0" w:color="auto"/>
              <w:left w:val="single" w:sz="6" w:space="0" w:color="auto"/>
              <w:right w:val="single" w:sz="6" w:space="0" w:color="auto"/>
            </w:tcBorders>
            <w:vAlign w:val="center"/>
          </w:tcPr>
          <w:p w14:paraId="21D332DE" w14:textId="77777777" w:rsidR="00A138CC" w:rsidRDefault="00A138CC" w:rsidP="009B153D">
            <w:pPr>
              <w:pStyle w:val="Style"/>
              <w:ind w:left="24"/>
              <w:jc w:val="center"/>
              <w:textAlignment w:val="baseline"/>
            </w:pPr>
            <w:r>
              <w:rPr>
                <w:sz w:val="21"/>
                <w:szCs w:val="21"/>
              </w:rPr>
              <w:t>7 (1.5)</w:t>
            </w:r>
          </w:p>
        </w:tc>
      </w:tr>
      <w:tr w:rsidR="00A138CC" w14:paraId="14959A44" w14:textId="77777777" w:rsidTr="00A138CC">
        <w:trPr>
          <w:trHeight w:hRule="exact" w:val="398"/>
          <w:jc w:val="center"/>
        </w:trPr>
        <w:tc>
          <w:tcPr>
            <w:tcW w:w="5000" w:type="pct"/>
            <w:gridSpan w:val="6"/>
            <w:tcBorders>
              <w:top w:val="single" w:sz="6" w:space="0" w:color="auto"/>
              <w:left w:val="single" w:sz="6" w:space="0" w:color="auto"/>
              <w:bottom w:val="single" w:sz="6" w:space="0" w:color="auto"/>
              <w:right w:val="single" w:sz="6" w:space="0" w:color="auto"/>
            </w:tcBorders>
            <w:vAlign w:val="center"/>
          </w:tcPr>
          <w:p w14:paraId="79678CE8" w14:textId="0362A612" w:rsidR="00A138CC" w:rsidRDefault="00A138CC" w:rsidP="006E7089">
            <w:pPr>
              <w:pStyle w:val="Style"/>
              <w:ind w:left="720"/>
              <w:textAlignment w:val="baseline"/>
            </w:pPr>
            <w:r>
              <w:rPr>
                <w:sz w:val="21"/>
                <w:szCs w:val="21"/>
              </w:rPr>
              <w:t>Primary reason for study discontinuation between Week 16 and Week 24</w:t>
            </w:r>
          </w:p>
        </w:tc>
      </w:tr>
      <w:tr w:rsidR="00D62155" w14:paraId="7AA78AF5" w14:textId="77777777" w:rsidTr="00D62155">
        <w:trPr>
          <w:trHeight w:hRule="exact" w:val="384"/>
          <w:jc w:val="center"/>
        </w:trPr>
        <w:tc>
          <w:tcPr>
            <w:tcW w:w="1611" w:type="pct"/>
            <w:tcBorders>
              <w:top w:val="single" w:sz="6" w:space="0" w:color="auto"/>
              <w:left w:val="single" w:sz="6" w:space="0" w:color="auto"/>
              <w:bottom w:val="single" w:sz="6" w:space="0" w:color="auto"/>
              <w:right w:val="single" w:sz="6" w:space="0" w:color="auto"/>
            </w:tcBorders>
            <w:vAlign w:val="center"/>
          </w:tcPr>
          <w:p w14:paraId="4A4BF174" w14:textId="77777777" w:rsidR="00D62155" w:rsidRPr="00803C01" w:rsidRDefault="00D62155" w:rsidP="006E7089">
            <w:pPr>
              <w:jc w:val="center"/>
            </w:pPr>
            <w:r w:rsidRPr="00EA20FE">
              <w:t>AE</w:t>
            </w:r>
          </w:p>
        </w:tc>
        <w:tc>
          <w:tcPr>
            <w:tcW w:w="747" w:type="pct"/>
            <w:tcBorders>
              <w:top w:val="single" w:sz="6" w:space="0" w:color="auto"/>
              <w:left w:val="single" w:sz="6" w:space="0" w:color="auto"/>
              <w:bottom w:val="single" w:sz="6" w:space="0" w:color="auto"/>
              <w:right w:val="single" w:sz="6" w:space="0" w:color="auto"/>
            </w:tcBorders>
            <w:vAlign w:val="center"/>
          </w:tcPr>
          <w:p w14:paraId="5E7AC54E" w14:textId="77777777" w:rsidR="00D62155" w:rsidRDefault="00D62155" w:rsidP="009B153D">
            <w:pPr>
              <w:pStyle w:val="Style"/>
              <w:ind w:left="19"/>
              <w:jc w:val="center"/>
              <w:textAlignment w:val="baseline"/>
            </w:pPr>
            <w:r>
              <w:rPr>
                <w:sz w:val="21"/>
                <w:szCs w:val="21"/>
              </w:rPr>
              <w:t>3 (1.9)</w:t>
            </w:r>
          </w:p>
        </w:tc>
        <w:tc>
          <w:tcPr>
            <w:tcW w:w="758" w:type="pct"/>
            <w:tcBorders>
              <w:top w:val="single" w:sz="6" w:space="0" w:color="auto"/>
              <w:left w:val="single" w:sz="6" w:space="0" w:color="auto"/>
              <w:bottom w:val="single" w:sz="6" w:space="0" w:color="auto"/>
              <w:right w:val="single" w:sz="6" w:space="0" w:color="auto"/>
            </w:tcBorders>
            <w:vAlign w:val="center"/>
          </w:tcPr>
          <w:p w14:paraId="26F03D32" w14:textId="77777777" w:rsidR="00D62155" w:rsidRDefault="00D62155" w:rsidP="009B153D">
            <w:pPr>
              <w:pStyle w:val="Style"/>
              <w:ind w:left="14"/>
              <w:jc w:val="center"/>
              <w:textAlignment w:val="baseline"/>
            </w:pPr>
            <w:r>
              <w:rPr>
                <w:b/>
                <w:w w:val="64"/>
                <w:sz w:val="22"/>
                <w:szCs w:val="22"/>
              </w:rPr>
              <w:t xml:space="preserve">1 </w:t>
            </w:r>
            <w:r>
              <w:rPr>
                <w:sz w:val="21"/>
                <w:szCs w:val="21"/>
              </w:rPr>
              <w:t>(0.6)</w:t>
            </w:r>
          </w:p>
        </w:tc>
        <w:tc>
          <w:tcPr>
            <w:tcW w:w="607" w:type="pct"/>
            <w:tcBorders>
              <w:top w:val="single" w:sz="6" w:space="0" w:color="auto"/>
              <w:left w:val="single" w:sz="6" w:space="0" w:color="auto"/>
              <w:bottom w:val="single" w:sz="6" w:space="0" w:color="auto"/>
              <w:right w:val="single" w:sz="6" w:space="0" w:color="auto"/>
            </w:tcBorders>
            <w:vAlign w:val="center"/>
          </w:tcPr>
          <w:p w14:paraId="6968644E" w14:textId="77777777" w:rsidR="00D62155" w:rsidRDefault="00D62155" w:rsidP="009B153D">
            <w:pPr>
              <w:pStyle w:val="Style"/>
              <w:ind w:left="19"/>
              <w:jc w:val="center"/>
              <w:textAlignment w:val="baseline"/>
            </w:pPr>
            <w:r>
              <w:rPr>
                <w:sz w:val="21"/>
                <w:szCs w:val="21"/>
              </w:rPr>
              <w:t>4 (1.3)</w:t>
            </w:r>
          </w:p>
        </w:tc>
        <w:tc>
          <w:tcPr>
            <w:tcW w:w="567" w:type="pct"/>
            <w:tcBorders>
              <w:top w:val="single" w:sz="6" w:space="0" w:color="auto"/>
              <w:left w:val="single" w:sz="6" w:space="0" w:color="auto"/>
              <w:bottom w:val="single" w:sz="6" w:space="0" w:color="auto"/>
              <w:right w:val="single" w:sz="6" w:space="0" w:color="auto"/>
            </w:tcBorders>
            <w:vAlign w:val="center"/>
          </w:tcPr>
          <w:p w14:paraId="64DCE691" w14:textId="77777777" w:rsidR="00D62155" w:rsidRDefault="00D62155" w:rsidP="009B153D">
            <w:pPr>
              <w:pStyle w:val="Style"/>
              <w:ind w:left="38"/>
              <w:jc w:val="center"/>
              <w:textAlignment w:val="baseline"/>
            </w:pPr>
            <w:r>
              <w:rPr>
                <w:sz w:val="21"/>
                <w:szCs w:val="21"/>
              </w:rPr>
              <w:t>0</w:t>
            </w:r>
          </w:p>
        </w:tc>
        <w:tc>
          <w:tcPr>
            <w:tcW w:w="710" w:type="pct"/>
            <w:tcBorders>
              <w:top w:val="single" w:sz="6" w:space="0" w:color="auto"/>
              <w:left w:val="single" w:sz="6" w:space="0" w:color="auto"/>
              <w:bottom w:val="single" w:sz="6" w:space="0" w:color="auto"/>
              <w:right w:val="single" w:sz="6" w:space="0" w:color="auto"/>
            </w:tcBorders>
            <w:vAlign w:val="center"/>
          </w:tcPr>
          <w:p w14:paraId="0986278A" w14:textId="77777777" w:rsidR="00D62155" w:rsidRDefault="00D62155" w:rsidP="009B153D">
            <w:pPr>
              <w:pStyle w:val="Style"/>
              <w:ind w:left="24"/>
              <w:jc w:val="center"/>
              <w:textAlignment w:val="baseline"/>
            </w:pPr>
            <w:r>
              <w:rPr>
                <w:sz w:val="21"/>
                <w:szCs w:val="21"/>
              </w:rPr>
              <w:t>4 (0.8)</w:t>
            </w:r>
          </w:p>
        </w:tc>
      </w:tr>
      <w:tr w:rsidR="00D62155" w14:paraId="74B9FDF7" w14:textId="77777777" w:rsidTr="00D62155">
        <w:trPr>
          <w:trHeight w:hRule="exact" w:val="394"/>
          <w:jc w:val="center"/>
        </w:trPr>
        <w:tc>
          <w:tcPr>
            <w:tcW w:w="1611" w:type="pct"/>
            <w:tcBorders>
              <w:top w:val="single" w:sz="6" w:space="0" w:color="auto"/>
              <w:left w:val="single" w:sz="6" w:space="0" w:color="auto"/>
              <w:bottom w:val="single" w:sz="6" w:space="0" w:color="auto"/>
              <w:right w:val="single" w:sz="6" w:space="0" w:color="auto"/>
            </w:tcBorders>
            <w:vAlign w:val="center"/>
          </w:tcPr>
          <w:p w14:paraId="088AD131" w14:textId="77777777" w:rsidR="00D62155" w:rsidRDefault="00D62155" w:rsidP="009B153D">
            <w:pPr>
              <w:pStyle w:val="Style"/>
              <w:ind w:left="293"/>
              <w:jc w:val="center"/>
              <w:textAlignment w:val="baseline"/>
            </w:pPr>
            <w:r>
              <w:rPr>
                <w:sz w:val="21"/>
                <w:szCs w:val="21"/>
              </w:rPr>
              <w:t>Lack of efficacy</w:t>
            </w:r>
          </w:p>
        </w:tc>
        <w:tc>
          <w:tcPr>
            <w:tcW w:w="747" w:type="pct"/>
            <w:tcBorders>
              <w:top w:val="single" w:sz="6" w:space="0" w:color="auto"/>
              <w:left w:val="single" w:sz="6" w:space="0" w:color="auto"/>
              <w:bottom w:val="single" w:sz="6" w:space="0" w:color="auto"/>
              <w:right w:val="single" w:sz="6" w:space="0" w:color="auto"/>
            </w:tcBorders>
            <w:vAlign w:val="center"/>
          </w:tcPr>
          <w:p w14:paraId="508805C3" w14:textId="77777777" w:rsidR="00D62155" w:rsidRDefault="00D62155" w:rsidP="009B153D">
            <w:pPr>
              <w:pStyle w:val="Style"/>
              <w:ind w:left="19"/>
              <w:jc w:val="center"/>
              <w:textAlignment w:val="baseline"/>
            </w:pPr>
            <w:r>
              <w:rPr>
                <w:b/>
                <w:w w:val="64"/>
                <w:sz w:val="22"/>
                <w:szCs w:val="22"/>
              </w:rPr>
              <w:t xml:space="preserve">1 </w:t>
            </w:r>
            <w:r>
              <w:rPr>
                <w:sz w:val="21"/>
                <w:szCs w:val="21"/>
              </w:rPr>
              <w:t>(0.6)</w:t>
            </w:r>
          </w:p>
        </w:tc>
        <w:tc>
          <w:tcPr>
            <w:tcW w:w="758" w:type="pct"/>
            <w:tcBorders>
              <w:top w:val="single" w:sz="6" w:space="0" w:color="auto"/>
              <w:left w:val="single" w:sz="6" w:space="0" w:color="auto"/>
              <w:bottom w:val="single" w:sz="6" w:space="0" w:color="auto"/>
              <w:right w:val="single" w:sz="6" w:space="0" w:color="auto"/>
            </w:tcBorders>
            <w:vAlign w:val="center"/>
          </w:tcPr>
          <w:p w14:paraId="0D51F631" w14:textId="77777777" w:rsidR="00D62155" w:rsidRDefault="00D62155" w:rsidP="009B153D">
            <w:pPr>
              <w:pStyle w:val="Style"/>
              <w:ind w:left="14"/>
              <w:jc w:val="center"/>
              <w:textAlignment w:val="baseline"/>
            </w:pPr>
            <w:r>
              <w:rPr>
                <w:sz w:val="21"/>
                <w:szCs w:val="21"/>
              </w:rPr>
              <w:t>0</w:t>
            </w:r>
          </w:p>
        </w:tc>
        <w:tc>
          <w:tcPr>
            <w:tcW w:w="607" w:type="pct"/>
            <w:tcBorders>
              <w:top w:val="single" w:sz="6" w:space="0" w:color="auto"/>
              <w:left w:val="single" w:sz="6" w:space="0" w:color="auto"/>
              <w:bottom w:val="single" w:sz="6" w:space="0" w:color="auto"/>
              <w:right w:val="single" w:sz="6" w:space="0" w:color="auto"/>
            </w:tcBorders>
            <w:vAlign w:val="center"/>
          </w:tcPr>
          <w:p w14:paraId="1C5E5BF1" w14:textId="77777777" w:rsidR="00D62155" w:rsidRDefault="00D62155" w:rsidP="009B153D">
            <w:pPr>
              <w:pStyle w:val="Style"/>
              <w:ind w:left="19"/>
              <w:jc w:val="center"/>
              <w:textAlignment w:val="baseline"/>
            </w:pPr>
            <w:r>
              <w:rPr>
                <w:b/>
                <w:w w:val="64"/>
                <w:sz w:val="22"/>
                <w:szCs w:val="22"/>
              </w:rPr>
              <w:t xml:space="preserve">1 </w:t>
            </w:r>
            <w:r>
              <w:rPr>
                <w:sz w:val="21"/>
                <w:szCs w:val="21"/>
              </w:rPr>
              <w:t>(0.3)</w:t>
            </w:r>
          </w:p>
        </w:tc>
        <w:tc>
          <w:tcPr>
            <w:tcW w:w="567" w:type="pct"/>
            <w:tcBorders>
              <w:top w:val="single" w:sz="6" w:space="0" w:color="auto"/>
              <w:left w:val="single" w:sz="6" w:space="0" w:color="auto"/>
              <w:bottom w:val="single" w:sz="6" w:space="0" w:color="auto"/>
              <w:right w:val="single" w:sz="6" w:space="0" w:color="auto"/>
            </w:tcBorders>
            <w:vAlign w:val="center"/>
          </w:tcPr>
          <w:p w14:paraId="6AF9F17C" w14:textId="77777777" w:rsidR="00D62155" w:rsidRDefault="00D62155" w:rsidP="009B153D">
            <w:pPr>
              <w:pStyle w:val="Style"/>
              <w:ind w:left="38"/>
              <w:jc w:val="center"/>
              <w:textAlignment w:val="baseline"/>
            </w:pPr>
            <w:r>
              <w:rPr>
                <w:sz w:val="21"/>
                <w:szCs w:val="21"/>
              </w:rPr>
              <w:t>0</w:t>
            </w:r>
          </w:p>
        </w:tc>
        <w:tc>
          <w:tcPr>
            <w:tcW w:w="710" w:type="pct"/>
            <w:tcBorders>
              <w:top w:val="single" w:sz="6" w:space="0" w:color="auto"/>
              <w:left w:val="single" w:sz="6" w:space="0" w:color="auto"/>
              <w:bottom w:val="single" w:sz="6" w:space="0" w:color="auto"/>
              <w:right w:val="single" w:sz="6" w:space="0" w:color="auto"/>
            </w:tcBorders>
            <w:vAlign w:val="center"/>
          </w:tcPr>
          <w:p w14:paraId="11B20016" w14:textId="77777777" w:rsidR="00D62155" w:rsidRDefault="00D62155" w:rsidP="009B153D">
            <w:pPr>
              <w:pStyle w:val="Style"/>
              <w:ind w:left="24"/>
              <w:jc w:val="center"/>
              <w:textAlignment w:val="baseline"/>
            </w:pPr>
            <w:r>
              <w:rPr>
                <w:b/>
                <w:w w:val="64"/>
                <w:sz w:val="22"/>
                <w:szCs w:val="22"/>
              </w:rPr>
              <w:t xml:space="preserve">1 </w:t>
            </w:r>
            <w:r>
              <w:rPr>
                <w:sz w:val="21"/>
                <w:szCs w:val="21"/>
              </w:rPr>
              <w:t>(0.2)</w:t>
            </w:r>
          </w:p>
        </w:tc>
      </w:tr>
      <w:tr w:rsidR="00D62155" w14:paraId="7A9B2DAC" w14:textId="77777777" w:rsidTr="00D62155">
        <w:trPr>
          <w:trHeight w:hRule="exact" w:val="384"/>
          <w:jc w:val="center"/>
        </w:trPr>
        <w:tc>
          <w:tcPr>
            <w:tcW w:w="1611" w:type="pct"/>
            <w:tcBorders>
              <w:top w:val="single" w:sz="6" w:space="0" w:color="auto"/>
              <w:left w:val="single" w:sz="6" w:space="0" w:color="auto"/>
              <w:bottom w:val="single" w:sz="6" w:space="0" w:color="auto"/>
              <w:right w:val="single" w:sz="6" w:space="0" w:color="auto"/>
            </w:tcBorders>
            <w:vAlign w:val="center"/>
          </w:tcPr>
          <w:p w14:paraId="1E50F2DB" w14:textId="77777777" w:rsidR="00D62155" w:rsidRDefault="00D62155" w:rsidP="009B153D">
            <w:pPr>
              <w:pStyle w:val="Style"/>
              <w:ind w:left="293"/>
              <w:jc w:val="center"/>
              <w:textAlignment w:val="baseline"/>
            </w:pPr>
            <w:r>
              <w:rPr>
                <w:sz w:val="21"/>
                <w:szCs w:val="21"/>
              </w:rPr>
              <w:t>Protocol violation</w:t>
            </w:r>
          </w:p>
        </w:tc>
        <w:tc>
          <w:tcPr>
            <w:tcW w:w="747" w:type="pct"/>
            <w:tcBorders>
              <w:top w:val="single" w:sz="6" w:space="0" w:color="auto"/>
              <w:left w:val="single" w:sz="6" w:space="0" w:color="auto"/>
              <w:bottom w:val="single" w:sz="6" w:space="0" w:color="auto"/>
              <w:right w:val="single" w:sz="6" w:space="0" w:color="auto"/>
            </w:tcBorders>
            <w:vAlign w:val="center"/>
          </w:tcPr>
          <w:p w14:paraId="2281746E" w14:textId="77777777" w:rsidR="00D62155" w:rsidRDefault="00D62155" w:rsidP="009B153D">
            <w:pPr>
              <w:pStyle w:val="Style"/>
              <w:ind w:left="19"/>
              <w:jc w:val="center"/>
              <w:textAlignment w:val="baseline"/>
            </w:pPr>
            <w:r>
              <w:rPr>
                <w:sz w:val="21"/>
                <w:szCs w:val="21"/>
              </w:rPr>
              <w:t>0</w:t>
            </w:r>
          </w:p>
        </w:tc>
        <w:tc>
          <w:tcPr>
            <w:tcW w:w="758" w:type="pct"/>
            <w:tcBorders>
              <w:top w:val="single" w:sz="6" w:space="0" w:color="auto"/>
              <w:left w:val="single" w:sz="6" w:space="0" w:color="auto"/>
              <w:bottom w:val="single" w:sz="6" w:space="0" w:color="auto"/>
              <w:right w:val="single" w:sz="6" w:space="0" w:color="auto"/>
            </w:tcBorders>
            <w:vAlign w:val="center"/>
          </w:tcPr>
          <w:p w14:paraId="5B5C74A1" w14:textId="77777777" w:rsidR="00D62155" w:rsidRDefault="00D62155" w:rsidP="009B153D">
            <w:pPr>
              <w:pStyle w:val="Style"/>
              <w:ind w:left="14"/>
              <w:jc w:val="center"/>
              <w:textAlignment w:val="baseline"/>
            </w:pPr>
            <w:r>
              <w:rPr>
                <w:sz w:val="21"/>
                <w:szCs w:val="21"/>
              </w:rPr>
              <w:t>0</w:t>
            </w:r>
          </w:p>
        </w:tc>
        <w:tc>
          <w:tcPr>
            <w:tcW w:w="607" w:type="pct"/>
            <w:tcBorders>
              <w:top w:val="single" w:sz="6" w:space="0" w:color="auto"/>
              <w:left w:val="single" w:sz="6" w:space="0" w:color="auto"/>
              <w:bottom w:val="single" w:sz="6" w:space="0" w:color="auto"/>
              <w:right w:val="single" w:sz="6" w:space="0" w:color="auto"/>
            </w:tcBorders>
            <w:vAlign w:val="center"/>
          </w:tcPr>
          <w:p w14:paraId="04F32812" w14:textId="77777777" w:rsidR="00D62155" w:rsidRDefault="00D62155" w:rsidP="009B153D">
            <w:pPr>
              <w:pStyle w:val="Style"/>
              <w:ind w:left="19"/>
              <w:jc w:val="center"/>
              <w:textAlignment w:val="baseline"/>
            </w:pPr>
            <w:r>
              <w:rPr>
                <w:sz w:val="21"/>
                <w:szCs w:val="21"/>
              </w:rPr>
              <w:t>0</w:t>
            </w:r>
          </w:p>
        </w:tc>
        <w:tc>
          <w:tcPr>
            <w:tcW w:w="567" w:type="pct"/>
            <w:tcBorders>
              <w:top w:val="single" w:sz="6" w:space="0" w:color="auto"/>
              <w:left w:val="single" w:sz="6" w:space="0" w:color="auto"/>
              <w:bottom w:val="single" w:sz="6" w:space="0" w:color="auto"/>
              <w:right w:val="single" w:sz="6" w:space="0" w:color="auto"/>
            </w:tcBorders>
            <w:vAlign w:val="center"/>
          </w:tcPr>
          <w:p w14:paraId="7F54FD5F" w14:textId="77777777" w:rsidR="00D62155" w:rsidRDefault="00D62155" w:rsidP="009B153D">
            <w:pPr>
              <w:pStyle w:val="Style"/>
              <w:ind w:left="38"/>
              <w:jc w:val="center"/>
              <w:textAlignment w:val="baseline"/>
            </w:pPr>
            <w:r>
              <w:rPr>
                <w:sz w:val="21"/>
                <w:szCs w:val="21"/>
              </w:rPr>
              <w:t>0</w:t>
            </w:r>
          </w:p>
        </w:tc>
        <w:tc>
          <w:tcPr>
            <w:tcW w:w="710" w:type="pct"/>
            <w:tcBorders>
              <w:top w:val="single" w:sz="6" w:space="0" w:color="auto"/>
              <w:left w:val="single" w:sz="6" w:space="0" w:color="auto"/>
              <w:bottom w:val="single" w:sz="6" w:space="0" w:color="auto"/>
              <w:right w:val="single" w:sz="6" w:space="0" w:color="auto"/>
            </w:tcBorders>
            <w:vAlign w:val="center"/>
          </w:tcPr>
          <w:p w14:paraId="7A89269C" w14:textId="77777777" w:rsidR="00D62155" w:rsidRDefault="00D62155" w:rsidP="009B153D">
            <w:pPr>
              <w:pStyle w:val="Style"/>
              <w:ind w:left="24"/>
              <w:jc w:val="center"/>
              <w:textAlignment w:val="baseline"/>
            </w:pPr>
            <w:r>
              <w:rPr>
                <w:sz w:val="21"/>
                <w:szCs w:val="21"/>
              </w:rPr>
              <w:t>0</w:t>
            </w:r>
          </w:p>
        </w:tc>
      </w:tr>
      <w:tr w:rsidR="00D62155" w14:paraId="2EA25A13" w14:textId="77777777" w:rsidTr="00D62155">
        <w:trPr>
          <w:trHeight w:hRule="exact" w:val="384"/>
          <w:jc w:val="center"/>
        </w:trPr>
        <w:tc>
          <w:tcPr>
            <w:tcW w:w="1611" w:type="pct"/>
            <w:tcBorders>
              <w:top w:val="single" w:sz="6" w:space="0" w:color="auto"/>
              <w:left w:val="single" w:sz="6" w:space="0" w:color="auto"/>
              <w:bottom w:val="single" w:sz="6" w:space="0" w:color="auto"/>
              <w:right w:val="single" w:sz="6" w:space="0" w:color="auto"/>
            </w:tcBorders>
            <w:vAlign w:val="center"/>
          </w:tcPr>
          <w:p w14:paraId="2E341B31" w14:textId="77777777" w:rsidR="00D62155" w:rsidRDefault="00D62155" w:rsidP="009B153D">
            <w:pPr>
              <w:pStyle w:val="Style"/>
              <w:ind w:left="293"/>
              <w:jc w:val="center"/>
              <w:textAlignment w:val="baseline"/>
            </w:pPr>
            <w:r>
              <w:rPr>
                <w:sz w:val="21"/>
                <w:szCs w:val="21"/>
              </w:rPr>
              <w:t>Lost to follow up</w:t>
            </w:r>
          </w:p>
        </w:tc>
        <w:tc>
          <w:tcPr>
            <w:tcW w:w="747" w:type="pct"/>
            <w:tcBorders>
              <w:top w:val="single" w:sz="6" w:space="0" w:color="auto"/>
              <w:left w:val="single" w:sz="6" w:space="0" w:color="auto"/>
              <w:bottom w:val="single" w:sz="6" w:space="0" w:color="auto"/>
              <w:right w:val="single" w:sz="6" w:space="0" w:color="auto"/>
            </w:tcBorders>
            <w:vAlign w:val="center"/>
          </w:tcPr>
          <w:p w14:paraId="2003FC72" w14:textId="77777777" w:rsidR="00D62155" w:rsidRDefault="00D62155" w:rsidP="009B153D">
            <w:pPr>
              <w:pStyle w:val="Style"/>
              <w:ind w:left="19"/>
              <w:jc w:val="center"/>
              <w:textAlignment w:val="baseline"/>
            </w:pPr>
            <w:r>
              <w:rPr>
                <w:sz w:val="21"/>
                <w:szCs w:val="21"/>
              </w:rPr>
              <w:t>0</w:t>
            </w:r>
          </w:p>
        </w:tc>
        <w:tc>
          <w:tcPr>
            <w:tcW w:w="758" w:type="pct"/>
            <w:tcBorders>
              <w:top w:val="single" w:sz="6" w:space="0" w:color="auto"/>
              <w:left w:val="single" w:sz="6" w:space="0" w:color="auto"/>
              <w:bottom w:val="single" w:sz="6" w:space="0" w:color="auto"/>
              <w:right w:val="single" w:sz="6" w:space="0" w:color="auto"/>
            </w:tcBorders>
            <w:vAlign w:val="center"/>
          </w:tcPr>
          <w:p w14:paraId="53F86C7E" w14:textId="77777777" w:rsidR="00D62155" w:rsidRDefault="00D62155" w:rsidP="009B153D">
            <w:pPr>
              <w:pStyle w:val="Style"/>
              <w:ind w:left="14"/>
              <w:jc w:val="center"/>
              <w:textAlignment w:val="baseline"/>
            </w:pPr>
            <w:r>
              <w:rPr>
                <w:sz w:val="21"/>
                <w:szCs w:val="21"/>
              </w:rPr>
              <w:t>0</w:t>
            </w:r>
          </w:p>
        </w:tc>
        <w:tc>
          <w:tcPr>
            <w:tcW w:w="607" w:type="pct"/>
            <w:tcBorders>
              <w:top w:val="single" w:sz="6" w:space="0" w:color="auto"/>
              <w:left w:val="single" w:sz="6" w:space="0" w:color="auto"/>
              <w:bottom w:val="single" w:sz="6" w:space="0" w:color="auto"/>
              <w:right w:val="single" w:sz="6" w:space="0" w:color="auto"/>
            </w:tcBorders>
            <w:vAlign w:val="center"/>
          </w:tcPr>
          <w:p w14:paraId="7C66F7C2" w14:textId="77777777" w:rsidR="00D62155" w:rsidRDefault="00D62155" w:rsidP="009B153D">
            <w:pPr>
              <w:pStyle w:val="Style"/>
              <w:ind w:left="19"/>
              <w:jc w:val="center"/>
              <w:textAlignment w:val="baseline"/>
            </w:pPr>
            <w:r>
              <w:rPr>
                <w:sz w:val="21"/>
                <w:szCs w:val="21"/>
              </w:rPr>
              <w:t>0</w:t>
            </w:r>
          </w:p>
        </w:tc>
        <w:tc>
          <w:tcPr>
            <w:tcW w:w="567" w:type="pct"/>
            <w:tcBorders>
              <w:top w:val="single" w:sz="6" w:space="0" w:color="auto"/>
              <w:left w:val="single" w:sz="6" w:space="0" w:color="auto"/>
              <w:bottom w:val="single" w:sz="6" w:space="0" w:color="auto"/>
              <w:right w:val="single" w:sz="6" w:space="0" w:color="auto"/>
            </w:tcBorders>
            <w:vAlign w:val="center"/>
          </w:tcPr>
          <w:p w14:paraId="153BD374" w14:textId="77777777" w:rsidR="00D62155" w:rsidRDefault="00D62155" w:rsidP="009B153D">
            <w:pPr>
              <w:pStyle w:val="Style"/>
              <w:ind w:left="38"/>
              <w:jc w:val="center"/>
              <w:textAlignment w:val="baseline"/>
            </w:pPr>
            <w:r>
              <w:rPr>
                <w:b/>
                <w:w w:val="64"/>
                <w:sz w:val="22"/>
                <w:szCs w:val="22"/>
              </w:rPr>
              <w:t xml:space="preserve">1 </w:t>
            </w:r>
            <w:r>
              <w:rPr>
                <w:sz w:val="21"/>
                <w:szCs w:val="21"/>
              </w:rPr>
              <w:t>(0.6)</w:t>
            </w:r>
          </w:p>
        </w:tc>
        <w:tc>
          <w:tcPr>
            <w:tcW w:w="710" w:type="pct"/>
            <w:tcBorders>
              <w:top w:val="single" w:sz="6" w:space="0" w:color="auto"/>
              <w:left w:val="single" w:sz="6" w:space="0" w:color="auto"/>
              <w:bottom w:val="single" w:sz="6" w:space="0" w:color="auto"/>
              <w:right w:val="single" w:sz="6" w:space="0" w:color="auto"/>
            </w:tcBorders>
            <w:vAlign w:val="center"/>
          </w:tcPr>
          <w:p w14:paraId="332BB3ED" w14:textId="77777777" w:rsidR="00D62155" w:rsidRDefault="00D62155" w:rsidP="009B153D">
            <w:pPr>
              <w:pStyle w:val="Style"/>
              <w:ind w:left="24"/>
              <w:jc w:val="center"/>
              <w:textAlignment w:val="baseline"/>
            </w:pPr>
            <w:r>
              <w:rPr>
                <w:b/>
                <w:w w:val="64"/>
                <w:sz w:val="22"/>
                <w:szCs w:val="22"/>
              </w:rPr>
              <w:t xml:space="preserve">1 </w:t>
            </w:r>
            <w:r>
              <w:rPr>
                <w:sz w:val="21"/>
                <w:szCs w:val="21"/>
              </w:rPr>
              <w:t>(0.2)</w:t>
            </w:r>
          </w:p>
        </w:tc>
      </w:tr>
      <w:tr w:rsidR="00D62155" w14:paraId="2E87933F" w14:textId="77777777" w:rsidTr="00D62155">
        <w:trPr>
          <w:trHeight w:hRule="exact" w:val="394"/>
          <w:jc w:val="center"/>
        </w:trPr>
        <w:tc>
          <w:tcPr>
            <w:tcW w:w="1611" w:type="pct"/>
            <w:tcBorders>
              <w:top w:val="single" w:sz="6" w:space="0" w:color="auto"/>
              <w:left w:val="single" w:sz="6" w:space="0" w:color="auto"/>
              <w:bottom w:val="single" w:sz="6" w:space="0" w:color="auto"/>
              <w:right w:val="single" w:sz="6" w:space="0" w:color="auto"/>
            </w:tcBorders>
            <w:vAlign w:val="center"/>
          </w:tcPr>
          <w:p w14:paraId="25664F9D" w14:textId="77777777" w:rsidR="00D62155" w:rsidRDefault="00D62155" w:rsidP="009B153D">
            <w:pPr>
              <w:pStyle w:val="Style"/>
              <w:ind w:left="293"/>
              <w:jc w:val="center"/>
              <w:textAlignment w:val="baseline"/>
            </w:pPr>
            <w:r>
              <w:rPr>
                <w:sz w:val="21"/>
                <w:szCs w:val="21"/>
              </w:rPr>
              <w:t>Consent withdrawn</w:t>
            </w:r>
          </w:p>
        </w:tc>
        <w:tc>
          <w:tcPr>
            <w:tcW w:w="747" w:type="pct"/>
            <w:tcBorders>
              <w:top w:val="single" w:sz="6" w:space="0" w:color="auto"/>
              <w:left w:val="single" w:sz="6" w:space="0" w:color="auto"/>
              <w:bottom w:val="single" w:sz="6" w:space="0" w:color="auto"/>
              <w:right w:val="single" w:sz="6" w:space="0" w:color="auto"/>
            </w:tcBorders>
            <w:vAlign w:val="center"/>
          </w:tcPr>
          <w:p w14:paraId="6109032A" w14:textId="77777777" w:rsidR="00D62155" w:rsidRDefault="00D62155" w:rsidP="009B153D">
            <w:pPr>
              <w:pStyle w:val="Style"/>
              <w:ind w:left="19"/>
              <w:jc w:val="center"/>
              <w:textAlignment w:val="baseline"/>
            </w:pPr>
            <w:r>
              <w:rPr>
                <w:b/>
                <w:w w:val="64"/>
                <w:sz w:val="22"/>
                <w:szCs w:val="22"/>
              </w:rPr>
              <w:t xml:space="preserve">1 </w:t>
            </w:r>
            <w:r>
              <w:rPr>
                <w:sz w:val="21"/>
                <w:szCs w:val="21"/>
              </w:rPr>
              <w:t>(0.6)</w:t>
            </w:r>
          </w:p>
        </w:tc>
        <w:tc>
          <w:tcPr>
            <w:tcW w:w="758" w:type="pct"/>
            <w:tcBorders>
              <w:top w:val="single" w:sz="6" w:space="0" w:color="auto"/>
              <w:left w:val="single" w:sz="6" w:space="0" w:color="auto"/>
              <w:bottom w:val="single" w:sz="6" w:space="0" w:color="auto"/>
              <w:right w:val="single" w:sz="6" w:space="0" w:color="auto"/>
            </w:tcBorders>
            <w:vAlign w:val="center"/>
          </w:tcPr>
          <w:p w14:paraId="31CB46E3" w14:textId="77777777" w:rsidR="00D62155" w:rsidRDefault="00D62155" w:rsidP="009B153D">
            <w:pPr>
              <w:pStyle w:val="Style"/>
              <w:ind w:left="14"/>
              <w:jc w:val="center"/>
              <w:textAlignment w:val="baseline"/>
            </w:pPr>
            <w:r>
              <w:rPr>
                <w:sz w:val="21"/>
                <w:szCs w:val="21"/>
              </w:rPr>
              <w:t>0</w:t>
            </w:r>
          </w:p>
        </w:tc>
        <w:tc>
          <w:tcPr>
            <w:tcW w:w="607" w:type="pct"/>
            <w:tcBorders>
              <w:top w:val="single" w:sz="6" w:space="0" w:color="auto"/>
              <w:left w:val="single" w:sz="6" w:space="0" w:color="auto"/>
              <w:bottom w:val="single" w:sz="6" w:space="0" w:color="auto"/>
              <w:right w:val="single" w:sz="6" w:space="0" w:color="auto"/>
            </w:tcBorders>
            <w:vAlign w:val="center"/>
          </w:tcPr>
          <w:p w14:paraId="5E6B4A21" w14:textId="77777777" w:rsidR="00D62155" w:rsidRDefault="00D62155" w:rsidP="009B153D">
            <w:pPr>
              <w:pStyle w:val="Style"/>
              <w:ind w:left="19"/>
              <w:jc w:val="center"/>
              <w:textAlignment w:val="baseline"/>
            </w:pPr>
            <w:r>
              <w:rPr>
                <w:b/>
                <w:w w:val="64"/>
                <w:sz w:val="22"/>
                <w:szCs w:val="22"/>
              </w:rPr>
              <w:t xml:space="preserve">1 </w:t>
            </w:r>
            <w:r>
              <w:rPr>
                <w:sz w:val="21"/>
                <w:szCs w:val="21"/>
              </w:rPr>
              <w:t>(0.3)</w:t>
            </w:r>
          </w:p>
        </w:tc>
        <w:tc>
          <w:tcPr>
            <w:tcW w:w="567" w:type="pct"/>
            <w:tcBorders>
              <w:top w:val="single" w:sz="6" w:space="0" w:color="auto"/>
              <w:left w:val="single" w:sz="6" w:space="0" w:color="auto"/>
              <w:bottom w:val="single" w:sz="6" w:space="0" w:color="auto"/>
              <w:right w:val="single" w:sz="6" w:space="0" w:color="auto"/>
            </w:tcBorders>
            <w:vAlign w:val="center"/>
          </w:tcPr>
          <w:p w14:paraId="5507C1C2" w14:textId="77777777" w:rsidR="00D62155" w:rsidRDefault="00D62155" w:rsidP="009B153D">
            <w:pPr>
              <w:pStyle w:val="Style"/>
              <w:ind w:left="38"/>
              <w:jc w:val="center"/>
              <w:textAlignment w:val="baseline"/>
            </w:pPr>
            <w:r>
              <w:rPr>
                <w:sz w:val="21"/>
                <w:szCs w:val="21"/>
              </w:rPr>
              <w:t>0</w:t>
            </w:r>
          </w:p>
        </w:tc>
        <w:tc>
          <w:tcPr>
            <w:tcW w:w="710" w:type="pct"/>
            <w:tcBorders>
              <w:top w:val="single" w:sz="6" w:space="0" w:color="auto"/>
              <w:left w:val="single" w:sz="6" w:space="0" w:color="auto"/>
              <w:bottom w:val="single" w:sz="6" w:space="0" w:color="auto"/>
              <w:right w:val="single" w:sz="6" w:space="0" w:color="auto"/>
            </w:tcBorders>
            <w:vAlign w:val="center"/>
          </w:tcPr>
          <w:p w14:paraId="25A10D4A" w14:textId="77777777" w:rsidR="00D62155" w:rsidRDefault="00D62155" w:rsidP="009B153D">
            <w:pPr>
              <w:pStyle w:val="Style"/>
              <w:ind w:left="24"/>
              <w:jc w:val="center"/>
              <w:textAlignment w:val="baseline"/>
            </w:pPr>
            <w:r>
              <w:rPr>
                <w:b/>
                <w:w w:val="64"/>
                <w:sz w:val="22"/>
                <w:szCs w:val="22"/>
              </w:rPr>
              <w:t xml:space="preserve">1 </w:t>
            </w:r>
            <w:r>
              <w:rPr>
                <w:sz w:val="21"/>
                <w:szCs w:val="21"/>
              </w:rPr>
              <w:t>(0.2)</w:t>
            </w:r>
          </w:p>
        </w:tc>
      </w:tr>
      <w:tr w:rsidR="00D62155" w14:paraId="7DD8F58A" w14:textId="77777777" w:rsidTr="00D62155">
        <w:trPr>
          <w:trHeight w:hRule="exact" w:val="389"/>
          <w:jc w:val="center"/>
        </w:trPr>
        <w:tc>
          <w:tcPr>
            <w:tcW w:w="1611" w:type="pct"/>
            <w:tcBorders>
              <w:top w:val="single" w:sz="6" w:space="0" w:color="auto"/>
              <w:left w:val="single" w:sz="6" w:space="0" w:color="auto"/>
              <w:bottom w:val="single" w:sz="6" w:space="0" w:color="auto"/>
              <w:right w:val="single" w:sz="6" w:space="0" w:color="auto"/>
            </w:tcBorders>
            <w:vAlign w:val="center"/>
          </w:tcPr>
          <w:p w14:paraId="222896AE" w14:textId="77777777" w:rsidR="00D62155" w:rsidRDefault="00D62155" w:rsidP="009B153D">
            <w:pPr>
              <w:pStyle w:val="Style"/>
              <w:ind w:left="293"/>
              <w:jc w:val="center"/>
              <w:textAlignment w:val="baseline"/>
            </w:pPr>
            <w:r>
              <w:rPr>
                <w:sz w:val="21"/>
                <w:szCs w:val="21"/>
              </w:rPr>
              <w:t>Other</w:t>
            </w:r>
          </w:p>
        </w:tc>
        <w:tc>
          <w:tcPr>
            <w:tcW w:w="747" w:type="pct"/>
            <w:tcBorders>
              <w:top w:val="single" w:sz="6" w:space="0" w:color="auto"/>
              <w:left w:val="single" w:sz="6" w:space="0" w:color="auto"/>
              <w:bottom w:val="single" w:sz="6" w:space="0" w:color="auto"/>
              <w:right w:val="single" w:sz="6" w:space="0" w:color="auto"/>
            </w:tcBorders>
            <w:vAlign w:val="center"/>
          </w:tcPr>
          <w:p w14:paraId="0A294CEF" w14:textId="77777777" w:rsidR="00D62155" w:rsidRDefault="00D62155" w:rsidP="009B153D">
            <w:pPr>
              <w:pStyle w:val="Style"/>
              <w:ind w:left="19"/>
              <w:jc w:val="center"/>
              <w:textAlignment w:val="baseline"/>
            </w:pPr>
            <w:r>
              <w:rPr>
                <w:sz w:val="21"/>
                <w:szCs w:val="21"/>
              </w:rPr>
              <w:t>0</w:t>
            </w:r>
          </w:p>
        </w:tc>
        <w:tc>
          <w:tcPr>
            <w:tcW w:w="758" w:type="pct"/>
            <w:tcBorders>
              <w:top w:val="single" w:sz="6" w:space="0" w:color="auto"/>
              <w:left w:val="single" w:sz="6" w:space="0" w:color="auto"/>
              <w:bottom w:val="single" w:sz="6" w:space="0" w:color="auto"/>
              <w:right w:val="single" w:sz="6" w:space="0" w:color="auto"/>
            </w:tcBorders>
            <w:vAlign w:val="center"/>
          </w:tcPr>
          <w:p w14:paraId="6D791762" w14:textId="77777777" w:rsidR="00D62155" w:rsidRDefault="00D62155" w:rsidP="009B153D">
            <w:pPr>
              <w:pStyle w:val="Style"/>
              <w:ind w:left="14"/>
              <w:jc w:val="center"/>
              <w:textAlignment w:val="baseline"/>
            </w:pPr>
            <w:r>
              <w:rPr>
                <w:sz w:val="21"/>
                <w:szCs w:val="21"/>
              </w:rPr>
              <w:t>0</w:t>
            </w:r>
          </w:p>
        </w:tc>
        <w:tc>
          <w:tcPr>
            <w:tcW w:w="607" w:type="pct"/>
            <w:tcBorders>
              <w:top w:val="single" w:sz="6" w:space="0" w:color="auto"/>
              <w:left w:val="single" w:sz="6" w:space="0" w:color="auto"/>
              <w:bottom w:val="single" w:sz="6" w:space="0" w:color="auto"/>
              <w:right w:val="single" w:sz="6" w:space="0" w:color="auto"/>
            </w:tcBorders>
            <w:vAlign w:val="center"/>
          </w:tcPr>
          <w:p w14:paraId="5982EB08" w14:textId="77777777" w:rsidR="00D62155" w:rsidRDefault="00D62155" w:rsidP="009B153D">
            <w:pPr>
              <w:pStyle w:val="Style"/>
              <w:ind w:left="19"/>
              <w:jc w:val="center"/>
              <w:textAlignment w:val="baseline"/>
            </w:pPr>
            <w:r>
              <w:rPr>
                <w:sz w:val="21"/>
                <w:szCs w:val="21"/>
              </w:rPr>
              <w:t>0</w:t>
            </w:r>
          </w:p>
        </w:tc>
        <w:tc>
          <w:tcPr>
            <w:tcW w:w="567" w:type="pct"/>
            <w:tcBorders>
              <w:top w:val="single" w:sz="6" w:space="0" w:color="auto"/>
              <w:left w:val="single" w:sz="6" w:space="0" w:color="auto"/>
              <w:bottom w:val="single" w:sz="6" w:space="0" w:color="auto"/>
              <w:right w:val="single" w:sz="6" w:space="0" w:color="auto"/>
            </w:tcBorders>
            <w:vAlign w:val="center"/>
          </w:tcPr>
          <w:p w14:paraId="0E7F896C" w14:textId="77777777" w:rsidR="00D62155" w:rsidRDefault="00D62155" w:rsidP="009B153D">
            <w:pPr>
              <w:pStyle w:val="Style"/>
              <w:ind w:left="38"/>
              <w:jc w:val="center"/>
              <w:textAlignment w:val="baseline"/>
            </w:pPr>
            <w:r>
              <w:rPr>
                <w:sz w:val="21"/>
                <w:szCs w:val="21"/>
              </w:rPr>
              <w:t>0</w:t>
            </w:r>
          </w:p>
        </w:tc>
        <w:tc>
          <w:tcPr>
            <w:tcW w:w="710" w:type="pct"/>
            <w:tcBorders>
              <w:top w:val="single" w:sz="6" w:space="0" w:color="auto"/>
              <w:left w:val="single" w:sz="6" w:space="0" w:color="auto"/>
              <w:bottom w:val="single" w:sz="6" w:space="0" w:color="auto"/>
              <w:right w:val="single" w:sz="6" w:space="0" w:color="auto"/>
            </w:tcBorders>
            <w:vAlign w:val="center"/>
          </w:tcPr>
          <w:p w14:paraId="4DC79CD8" w14:textId="77777777" w:rsidR="00D62155" w:rsidRDefault="00D62155" w:rsidP="009B153D">
            <w:pPr>
              <w:pStyle w:val="Style"/>
              <w:ind w:left="24"/>
              <w:jc w:val="center"/>
              <w:textAlignment w:val="baseline"/>
            </w:pPr>
            <w:r>
              <w:rPr>
                <w:sz w:val="21"/>
                <w:szCs w:val="21"/>
              </w:rPr>
              <w:t>0</w:t>
            </w:r>
          </w:p>
        </w:tc>
      </w:tr>
    </w:tbl>
    <w:p w14:paraId="5B2109B0" w14:textId="60378A43" w:rsidR="00D62155" w:rsidRPr="009F17DA" w:rsidRDefault="0055007D" w:rsidP="00D62155">
      <w:pPr>
        <w:pStyle w:val="TableDescription"/>
        <w:rPr>
          <w:b/>
          <w:bCs/>
          <w:lang w:eastAsia="ja-JP"/>
        </w:rPr>
      </w:pPr>
      <w:r>
        <w:rPr>
          <w:lang w:eastAsia="ja-JP"/>
        </w:rPr>
        <w:t xml:space="preserve">Abbreviations: </w:t>
      </w:r>
      <w:r w:rsidR="00D62155" w:rsidRPr="009F17DA">
        <w:rPr>
          <w:lang w:eastAsia="ja-JP"/>
        </w:rPr>
        <w:t>ADA</w:t>
      </w:r>
      <w:r>
        <w:rPr>
          <w:lang w:eastAsia="ja-JP"/>
        </w:rPr>
        <w:t xml:space="preserve"> </w:t>
      </w:r>
      <w:r w:rsidR="00D62155" w:rsidRPr="009F17DA">
        <w:rPr>
          <w:lang w:eastAsia="ja-JP"/>
        </w:rPr>
        <w:t>=</w:t>
      </w:r>
      <w:r>
        <w:rPr>
          <w:lang w:eastAsia="ja-JP"/>
        </w:rPr>
        <w:t xml:space="preserve"> </w:t>
      </w:r>
      <w:r w:rsidR="00D62155" w:rsidRPr="009F17DA">
        <w:rPr>
          <w:lang w:eastAsia="ja-JP"/>
        </w:rPr>
        <w:t>adalimumab; AE</w:t>
      </w:r>
      <w:r>
        <w:rPr>
          <w:lang w:eastAsia="ja-JP"/>
        </w:rPr>
        <w:t xml:space="preserve"> </w:t>
      </w:r>
      <w:r w:rsidR="00D62155" w:rsidRPr="009F17DA">
        <w:rPr>
          <w:lang w:eastAsia="ja-JP"/>
        </w:rPr>
        <w:t>=</w:t>
      </w:r>
      <w:r>
        <w:rPr>
          <w:lang w:eastAsia="ja-JP"/>
        </w:rPr>
        <w:t xml:space="preserve"> </w:t>
      </w:r>
      <w:r w:rsidR="00D62155" w:rsidRPr="009F17DA">
        <w:rPr>
          <w:lang w:eastAsia="ja-JP"/>
        </w:rPr>
        <w:t>adverse event; BKZ</w:t>
      </w:r>
      <w:r>
        <w:rPr>
          <w:lang w:eastAsia="ja-JP"/>
        </w:rPr>
        <w:t xml:space="preserve"> </w:t>
      </w:r>
      <w:r w:rsidR="00D62155" w:rsidRPr="009F17DA">
        <w:rPr>
          <w:lang w:eastAsia="ja-JP"/>
        </w:rPr>
        <w:t>=</w:t>
      </w:r>
      <w:r>
        <w:rPr>
          <w:lang w:eastAsia="ja-JP"/>
        </w:rPr>
        <w:t xml:space="preserve"> </w:t>
      </w:r>
      <w:proofErr w:type="spellStart"/>
      <w:r w:rsidR="00D62155" w:rsidRPr="009F17DA">
        <w:rPr>
          <w:lang w:eastAsia="ja-JP"/>
        </w:rPr>
        <w:t>bimekizumab</w:t>
      </w:r>
      <w:proofErr w:type="spellEnd"/>
      <w:r>
        <w:rPr>
          <w:lang w:eastAsia="ja-JP"/>
        </w:rPr>
        <w:t>.</w:t>
      </w:r>
    </w:p>
    <w:p w14:paraId="6516501E" w14:textId="3A925B6B" w:rsidR="00D62155" w:rsidRDefault="00D62155" w:rsidP="00D62155">
      <w:r>
        <w:t xml:space="preserve">Overall, 457 study participants (95.6%) completed the </w:t>
      </w:r>
      <w:r w:rsidR="00713EB3">
        <w:t>i</w:t>
      </w:r>
      <w:r>
        <w:t xml:space="preserve">nitial </w:t>
      </w:r>
      <w:r w:rsidR="00713EB3">
        <w:t>t</w:t>
      </w:r>
      <w:r>
        <w:t xml:space="preserve">reatment </w:t>
      </w:r>
      <w:r w:rsidR="00713EB3">
        <w:t>p</w:t>
      </w:r>
      <w:r>
        <w:t>eriod.</w:t>
      </w:r>
    </w:p>
    <w:p w14:paraId="240C6C7C" w14:textId="40458EDA" w:rsidR="00D62155" w:rsidRDefault="00D62155" w:rsidP="00D62155">
      <w:r>
        <w:t xml:space="preserve">The percentages of study participants who completed the </w:t>
      </w:r>
      <w:r w:rsidR="00713EB3">
        <w:t>i</w:t>
      </w:r>
      <w:r>
        <w:t xml:space="preserve">nitial </w:t>
      </w:r>
      <w:r w:rsidR="00713EB3">
        <w:t>t</w:t>
      </w:r>
      <w:r>
        <w:t xml:space="preserve">reatment </w:t>
      </w:r>
      <w:r w:rsidR="00713EB3">
        <w:t>p</w:t>
      </w:r>
      <w:r>
        <w:t xml:space="preserve">eriod were high and similar in the </w:t>
      </w:r>
      <w:proofErr w:type="spellStart"/>
      <w:r>
        <w:t>bimekizumab</w:t>
      </w:r>
      <w:proofErr w:type="spellEnd"/>
      <w:r>
        <w:t xml:space="preserve"> total group (96.2%) and adalimumab group (94.3%).</w:t>
      </w:r>
    </w:p>
    <w:p w14:paraId="74DD57F0" w14:textId="256BBBC5" w:rsidR="00D62155" w:rsidRDefault="00D62155" w:rsidP="00D62155">
      <w:r>
        <w:t xml:space="preserve">The frequency of study discontinuation during the </w:t>
      </w:r>
      <w:r w:rsidR="00697067">
        <w:t>i</w:t>
      </w:r>
      <w:r>
        <w:t xml:space="preserve">nitial </w:t>
      </w:r>
      <w:r w:rsidR="00697067">
        <w:t>t</w:t>
      </w:r>
      <w:r>
        <w:t xml:space="preserve">reatment </w:t>
      </w:r>
      <w:r w:rsidR="00697067">
        <w:t>p</w:t>
      </w:r>
      <w:r>
        <w:t>eriod was low and similar across treatment groups.</w:t>
      </w:r>
    </w:p>
    <w:p w14:paraId="2111FD2E" w14:textId="48D33E99" w:rsidR="00D62155" w:rsidRDefault="00D62155" w:rsidP="00713EB3">
      <w:pPr>
        <w:pStyle w:val="FigureTitle"/>
      </w:pPr>
      <w:r w:rsidRPr="00713EB3">
        <w:lastRenderedPageBreak/>
        <w:t xml:space="preserve">Figure </w:t>
      </w:r>
      <w:r w:rsidR="00172397">
        <w:fldChar w:fldCharType="begin"/>
      </w:r>
      <w:r w:rsidR="00172397">
        <w:instrText xml:space="preserve"> SEQ Figure \* ARABIC </w:instrText>
      </w:r>
      <w:r w:rsidR="00172397">
        <w:fldChar w:fldCharType="separate"/>
      </w:r>
      <w:r w:rsidR="00B54079">
        <w:rPr>
          <w:noProof/>
        </w:rPr>
        <w:t>14</w:t>
      </w:r>
      <w:r w:rsidR="00172397">
        <w:rPr>
          <w:noProof/>
        </w:rPr>
        <w:fldChar w:fldCharType="end"/>
      </w:r>
      <w:r>
        <w:t xml:space="preserve">: </w:t>
      </w:r>
      <w:r w:rsidR="00A138CC">
        <w:t xml:space="preserve">Study PS0008 </w:t>
      </w:r>
      <w:r w:rsidR="00713EB3">
        <w:t xml:space="preserve">Disposition and discontinuation reasons </w:t>
      </w:r>
      <w:r w:rsidR="0055007D">
        <w:t>(p</w:t>
      </w:r>
      <w:r w:rsidR="0055007D" w:rsidRPr="00713EB3">
        <w:t>eriod Week 24</w:t>
      </w:r>
      <w:r w:rsidR="0055007D">
        <w:t xml:space="preserve"> </w:t>
      </w:r>
      <w:r w:rsidR="00713EB3">
        <w:t>to Week</w:t>
      </w:r>
      <w:r w:rsidR="00FE69B5">
        <w:t> </w:t>
      </w:r>
      <w:r w:rsidR="00713EB3">
        <w:t>56</w:t>
      </w:r>
      <w:r w:rsidR="0055007D">
        <w:t>)</w:t>
      </w:r>
    </w:p>
    <w:tbl>
      <w:tblPr>
        <w:tblW w:w="5000" w:type="pct"/>
        <w:jc w:val="center"/>
        <w:tblCellMar>
          <w:left w:w="0" w:type="dxa"/>
          <w:right w:w="0" w:type="dxa"/>
        </w:tblCellMar>
        <w:tblLook w:val="0000" w:firstRow="0" w:lastRow="0" w:firstColumn="0" w:lastColumn="0" w:noHBand="0" w:noVBand="0"/>
      </w:tblPr>
      <w:tblGrid>
        <w:gridCol w:w="2955"/>
        <w:gridCol w:w="1389"/>
        <w:gridCol w:w="1380"/>
        <w:gridCol w:w="1389"/>
        <w:gridCol w:w="1375"/>
      </w:tblGrid>
      <w:tr w:rsidR="00A138CC" w14:paraId="46234098" w14:textId="77777777" w:rsidTr="009B153D">
        <w:trPr>
          <w:trHeight w:val="1671"/>
          <w:jc w:val="center"/>
        </w:trPr>
        <w:tc>
          <w:tcPr>
            <w:tcW w:w="1741" w:type="pct"/>
            <w:tcBorders>
              <w:top w:val="single" w:sz="6" w:space="0" w:color="auto"/>
              <w:left w:val="single" w:sz="6" w:space="0" w:color="auto"/>
              <w:right w:val="single" w:sz="6" w:space="0" w:color="auto"/>
            </w:tcBorders>
            <w:vAlign w:val="center"/>
          </w:tcPr>
          <w:p w14:paraId="74D0C7DB" w14:textId="6AF0A04B" w:rsidR="00A138CC" w:rsidRDefault="00A138CC" w:rsidP="00A138CC">
            <w:pPr>
              <w:pStyle w:val="Style"/>
              <w:jc w:val="center"/>
              <w:textAlignment w:val="baseline"/>
            </w:pPr>
            <w:r>
              <w:rPr>
                <w:b/>
                <w:sz w:val="21"/>
                <w:szCs w:val="21"/>
              </w:rPr>
              <w:t>Disposition</w:t>
            </w:r>
          </w:p>
        </w:tc>
        <w:tc>
          <w:tcPr>
            <w:tcW w:w="818" w:type="pct"/>
            <w:tcBorders>
              <w:top w:val="single" w:sz="6" w:space="0" w:color="auto"/>
              <w:left w:val="single" w:sz="6" w:space="0" w:color="auto"/>
              <w:right w:val="single" w:sz="6" w:space="0" w:color="auto"/>
            </w:tcBorders>
            <w:vAlign w:val="center"/>
          </w:tcPr>
          <w:p w14:paraId="53594FC6" w14:textId="356908D8" w:rsidR="00A138CC" w:rsidRDefault="00A138CC" w:rsidP="00A138CC">
            <w:pPr>
              <w:pStyle w:val="Style"/>
              <w:ind w:left="14"/>
              <w:jc w:val="center"/>
              <w:textAlignment w:val="baseline"/>
            </w:pPr>
            <w:r>
              <w:rPr>
                <w:b/>
                <w:sz w:val="21"/>
                <w:szCs w:val="21"/>
              </w:rPr>
              <w:t>BKZ 320 mg</w:t>
            </w:r>
          </w:p>
          <w:p w14:paraId="24563925" w14:textId="1985142C" w:rsidR="00A138CC" w:rsidRDefault="00A138CC" w:rsidP="00A138CC">
            <w:pPr>
              <w:pStyle w:val="Style"/>
              <w:ind w:left="14"/>
              <w:jc w:val="center"/>
              <w:textAlignment w:val="baseline"/>
            </w:pPr>
            <w:r>
              <w:rPr>
                <w:b/>
                <w:sz w:val="21"/>
                <w:szCs w:val="21"/>
              </w:rPr>
              <w:t>every 4 weeks/every 8 weeks</w:t>
            </w:r>
          </w:p>
          <w:p w14:paraId="1ADB0E98" w14:textId="553A0293" w:rsidR="00A138CC" w:rsidRDefault="001D2CFA" w:rsidP="00A138CC">
            <w:pPr>
              <w:pStyle w:val="Style"/>
              <w:ind w:left="14"/>
              <w:jc w:val="center"/>
              <w:textAlignment w:val="baseline"/>
            </w:pPr>
            <w:r>
              <w:rPr>
                <w:b/>
                <w:sz w:val="21"/>
                <w:szCs w:val="21"/>
              </w:rPr>
              <w:t xml:space="preserve">N = </w:t>
            </w:r>
            <w:r w:rsidR="00A138CC">
              <w:rPr>
                <w:b/>
                <w:sz w:val="21"/>
                <w:szCs w:val="21"/>
              </w:rPr>
              <w:t>149</w:t>
            </w:r>
          </w:p>
          <w:p w14:paraId="089003E3" w14:textId="05973B9E" w:rsidR="00A138CC" w:rsidRDefault="00A138CC" w:rsidP="00A138CC">
            <w:pPr>
              <w:pStyle w:val="Style"/>
              <w:ind w:left="14"/>
              <w:jc w:val="center"/>
              <w:textAlignment w:val="baseline"/>
            </w:pPr>
            <w:r>
              <w:rPr>
                <w:b/>
                <w:sz w:val="21"/>
                <w:szCs w:val="21"/>
              </w:rPr>
              <w:t xml:space="preserve">n </w:t>
            </w:r>
            <w:r>
              <w:rPr>
                <w:rFonts w:ascii="Arial" w:eastAsia="Arial" w:hAnsi="Arial" w:cs="Arial"/>
                <w:w w:val="114"/>
                <w:sz w:val="20"/>
                <w:szCs w:val="20"/>
              </w:rPr>
              <w:t>(%)</w:t>
            </w:r>
          </w:p>
        </w:tc>
        <w:tc>
          <w:tcPr>
            <w:tcW w:w="813" w:type="pct"/>
            <w:tcBorders>
              <w:top w:val="single" w:sz="6" w:space="0" w:color="auto"/>
              <w:left w:val="single" w:sz="6" w:space="0" w:color="auto"/>
              <w:right w:val="single" w:sz="6" w:space="0" w:color="auto"/>
            </w:tcBorders>
            <w:vAlign w:val="center"/>
          </w:tcPr>
          <w:p w14:paraId="7D6549FD" w14:textId="15D6D44C" w:rsidR="00A138CC" w:rsidRDefault="00A138CC" w:rsidP="00A138CC">
            <w:pPr>
              <w:pStyle w:val="Style"/>
              <w:ind w:left="19"/>
              <w:jc w:val="center"/>
              <w:textAlignment w:val="baseline"/>
            </w:pPr>
            <w:r>
              <w:rPr>
                <w:b/>
                <w:sz w:val="21"/>
                <w:szCs w:val="21"/>
              </w:rPr>
              <w:t>BKZ 320 mg</w:t>
            </w:r>
          </w:p>
          <w:p w14:paraId="31D4752F" w14:textId="6D9B2E6A" w:rsidR="00A138CC" w:rsidRDefault="00A138CC" w:rsidP="00A138CC">
            <w:pPr>
              <w:pStyle w:val="Style"/>
              <w:ind w:left="19"/>
              <w:jc w:val="center"/>
              <w:textAlignment w:val="baseline"/>
            </w:pPr>
            <w:r>
              <w:rPr>
                <w:b/>
                <w:sz w:val="21"/>
                <w:szCs w:val="21"/>
              </w:rPr>
              <w:t>every 4 weeks</w:t>
            </w:r>
          </w:p>
          <w:p w14:paraId="3EA052BB" w14:textId="6286302A" w:rsidR="00A138CC" w:rsidRDefault="001D2CFA" w:rsidP="00A138CC">
            <w:pPr>
              <w:pStyle w:val="Style"/>
              <w:ind w:left="19"/>
              <w:jc w:val="center"/>
              <w:textAlignment w:val="baseline"/>
            </w:pPr>
            <w:r>
              <w:rPr>
                <w:b/>
                <w:sz w:val="21"/>
                <w:szCs w:val="21"/>
              </w:rPr>
              <w:t xml:space="preserve">N = </w:t>
            </w:r>
            <w:r w:rsidR="00A138CC">
              <w:rPr>
                <w:b/>
                <w:sz w:val="21"/>
                <w:szCs w:val="21"/>
              </w:rPr>
              <w:t>152</w:t>
            </w:r>
          </w:p>
          <w:p w14:paraId="17F1E187" w14:textId="2DFCC6F1" w:rsidR="00A138CC" w:rsidRDefault="00A138CC" w:rsidP="00A138CC">
            <w:pPr>
              <w:pStyle w:val="Style"/>
              <w:ind w:left="19"/>
              <w:jc w:val="center"/>
              <w:textAlignment w:val="baseline"/>
            </w:pPr>
            <w:r>
              <w:rPr>
                <w:b/>
                <w:sz w:val="21"/>
                <w:szCs w:val="21"/>
              </w:rPr>
              <w:t xml:space="preserve">n </w:t>
            </w:r>
            <w:r>
              <w:rPr>
                <w:rFonts w:ascii="Arial" w:eastAsia="Arial" w:hAnsi="Arial" w:cs="Arial"/>
                <w:w w:val="114"/>
                <w:sz w:val="20"/>
                <w:szCs w:val="20"/>
              </w:rPr>
              <w:t>(%)</w:t>
            </w:r>
          </w:p>
        </w:tc>
        <w:tc>
          <w:tcPr>
            <w:tcW w:w="818" w:type="pct"/>
            <w:tcBorders>
              <w:top w:val="single" w:sz="6" w:space="0" w:color="auto"/>
              <w:left w:val="single" w:sz="6" w:space="0" w:color="auto"/>
              <w:right w:val="single" w:sz="6" w:space="0" w:color="auto"/>
            </w:tcBorders>
            <w:vAlign w:val="center"/>
          </w:tcPr>
          <w:p w14:paraId="4C5A0154" w14:textId="5568C76B" w:rsidR="00A138CC" w:rsidRDefault="00A138CC" w:rsidP="00A138CC">
            <w:pPr>
              <w:pStyle w:val="Style"/>
              <w:ind w:left="24"/>
              <w:jc w:val="center"/>
              <w:textAlignment w:val="baseline"/>
            </w:pPr>
            <w:r>
              <w:rPr>
                <w:b/>
                <w:sz w:val="21"/>
                <w:szCs w:val="21"/>
              </w:rPr>
              <w:t>ADA/BKZ</w:t>
            </w:r>
          </w:p>
          <w:p w14:paraId="33F1CF9B" w14:textId="2FB732BB" w:rsidR="00A138CC" w:rsidRDefault="00A138CC" w:rsidP="00A138CC">
            <w:pPr>
              <w:pStyle w:val="Style"/>
              <w:ind w:left="24"/>
              <w:jc w:val="center"/>
              <w:textAlignment w:val="baseline"/>
            </w:pPr>
            <w:r>
              <w:rPr>
                <w:b/>
                <w:sz w:val="21"/>
                <w:szCs w:val="21"/>
              </w:rPr>
              <w:t>320 mg every 4 weeks</w:t>
            </w:r>
          </w:p>
          <w:p w14:paraId="5EB629D9" w14:textId="08652E31" w:rsidR="00A138CC" w:rsidRDefault="001D2CFA" w:rsidP="00A138CC">
            <w:pPr>
              <w:pStyle w:val="Style"/>
              <w:ind w:left="24"/>
              <w:jc w:val="center"/>
              <w:textAlignment w:val="baseline"/>
            </w:pPr>
            <w:r>
              <w:rPr>
                <w:b/>
                <w:sz w:val="21"/>
                <w:szCs w:val="21"/>
              </w:rPr>
              <w:t xml:space="preserve">N = </w:t>
            </w:r>
            <w:r w:rsidR="00A138CC">
              <w:rPr>
                <w:b/>
                <w:sz w:val="21"/>
                <w:szCs w:val="21"/>
              </w:rPr>
              <w:t>149</w:t>
            </w:r>
          </w:p>
          <w:p w14:paraId="3565A527" w14:textId="0E9E8573" w:rsidR="00A138CC" w:rsidRDefault="00A138CC" w:rsidP="00A138CC">
            <w:pPr>
              <w:pStyle w:val="Style"/>
              <w:ind w:left="24"/>
              <w:jc w:val="center"/>
              <w:textAlignment w:val="baseline"/>
            </w:pPr>
            <w:r>
              <w:rPr>
                <w:b/>
                <w:sz w:val="21"/>
                <w:szCs w:val="21"/>
              </w:rPr>
              <w:t xml:space="preserve">n </w:t>
            </w:r>
            <w:r>
              <w:rPr>
                <w:rFonts w:ascii="Arial" w:eastAsia="Arial" w:hAnsi="Arial" w:cs="Arial"/>
                <w:w w:val="114"/>
                <w:sz w:val="20"/>
                <w:szCs w:val="20"/>
              </w:rPr>
              <w:t>(%)</w:t>
            </w:r>
          </w:p>
        </w:tc>
        <w:tc>
          <w:tcPr>
            <w:tcW w:w="810" w:type="pct"/>
            <w:tcBorders>
              <w:top w:val="single" w:sz="6" w:space="0" w:color="auto"/>
              <w:left w:val="single" w:sz="6" w:space="0" w:color="auto"/>
              <w:right w:val="single" w:sz="6" w:space="0" w:color="auto"/>
            </w:tcBorders>
            <w:vAlign w:val="center"/>
          </w:tcPr>
          <w:p w14:paraId="1FF46F6B" w14:textId="72724DBD" w:rsidR="00A138CC" w:rsidRDefault="00A138CC" w:rsidP="00A138CC">
            <w:pPr>
              <w:pStyle w:val="Style"/>
              <w:jc w:val="center"/>
              <w:textAlignment w:val="baseline"/>
            </w:pPr>
            <w:r>
              <w:rPr>
                <w:b/>
                <w:sz w:val="21"/>
                <w:szCs w:val="21"/>
              </w:rPr>
              <w:t>BKZ Total</w:t>
            </w:r>
          </w:p>
          <w:p w14:paraId="7F63200D" w14:textId="09FAD4DA" w:rsidR="00A138CC" w:rsidRDefault="001D2CFA" w:rsidP="00A138CC">
            <w:pPr>
              <w:pStyle w:val="Style"/>
              <w:ind w:left="29"/>
              <w:jc w:val="center"/>
              <w:textAlignment w:val="baseline"/>
            </w:pPr>
            <w:r>
              <w:rPr>
                <w:b/>
                <w:sz w:val="21"/>
                <w:szCs w:val="21"/>
              </w:rPr>
              <w:t xml:space="preserve">N = </w:t>
            </w:r>
            <w:r w:rsidR="00A138CC">
              <w:rPr>
                <w:b/>
                <w:sz w:val="21"/>
                <w:szCs w:val="21"/>
              </w:rPr>
              <w:t>450</w:t>
            </w:r>
          </w:p>
          <w:p w14:paraId="177D89FC" w14:textId="49FA7161" w:rsidR="00A138CC" w:rsidRDefault="00A138CC" w:rsidP="00A138CC">
            <w:pPr>
              <w:pStyle w:val="Style"/>
              <w:ind w:left="29"/>
              <w:jc w:val="center"/>
              <w:textAlignment w:val="baseline"/>
            </w:pPr>
            <w:r>
              <w:rPr>
                <w:b/>
                <w:sz w:val="21"/>
                <w:szCs w:val="21"/>
              </w:rPr>
              <w:t xml:space="preserve">n </w:t>
            </w:r>
            <w:r>
              <w:rPr>
                <w:rFonts w:ascii="Arial" w:eastAsia="Arial" w:hAnsi="Arial" w:cs="Arial"/>
                <w:w w:val="114"/>
                <w:sz w:val="20"/>
                <w:szCs w:val="20"/>
              </w:rPr>
              <w:t>(%)</w:t>
            </w:r>
          </w:p>
        </w:tc>
      </w:tr>
      <w:tr w:rsidR="00D62155" w14:paraId="354FF6DC" w14:textId="77777777" w:rsidTr="00D62155">
        <w:trPr>
          <w:trHeight w:hRule="exact" w:val="394"/>
          <w:jc w:val="center"/>
        </w:trPr>
        <w:tc>
          <w:tcPr>
            <w:tcW w:w="1741" w:type="pct"/>
            <w:tcBorders>
              <w:top w:val="single" w:sz="6" w:space="0" w:color="auto"/>
              <w:left w:val="single" w:sz="6" w:space="0" w:color="auto"/>
              <w:bottom w:val="single" w:sz="6" w:space="0" w:color="auto"/>
              <w:right w:val="single" w:sz="6" w:space="0" w:color="auto"/>
            </w:tcBorders>
            <w:vAlign w:val="center"/>
          </w:tcPr>
          <w:p w14:paraId="0C88AFE1" w14:textId="7B9811B1" w:rsidR="00D62155" w:rsidRDefault="00D62155" w:rsidP="00A138CC">
            <w:pPr>
              <w:pStyle w:val="Style"/>
              <w:ind w:left="120"/>
              <w:textAlignment w:val="baseline"/>
            </w:pPr>
            <w:r>
              <w:rPr>
                <w:sz w:val="20"/>
                <w:szCs w:val="20"/>
              </w:rPr>
              <w:t>Started Week 24</w:t>
            </w:r>
          </w:p>
        </w:tc>
        <w:tc>
          <w:tcPr>
            <w:tcW w:w="818" w:type="pct"/>
            <w:tcBorders>
              <w:top w:val="single" w:sz="6" w:space="0" w:color="auto"/>
              <w:left w:val="single" w:sz="6" w:space="0" w:color="auto"/>
              <w:bottom w:val="single" w:sz="6" w:space="0" w:color="auto"/>
              <w:right w:val="single" w:sz="6" w:space="0" w:color="auto"/>
            </w:tcBorders>
            <w:vAlign w:val="center"/>
          </w:tcPr>
          <w:p w14:paraId="72D0045B" w14:textId="77777777" w:rsidR="00D62155" w:rsidRDefault="00D62155" w:rsidP="009B153D">
            <w:pPr>
              <w:pStyle w:val="Style"/>
              <w:ind w:left="14"/>
              <w:jc w:val="center"/>
              <w:textAlignment w:val="baseline"/>
            </w:pPr>
            <w:r>
              <w:rPr>
                <w:sz w:val="20"/>
                <w:szCs w:val="20"/>
              </w:rPr>
              <w:t xml:space="preserve">149 (100) </w:t>
            </w:r>
          </w:p>
        </w:tc>
        <w:tc>
          <w:tcPr>
            <w:tcW w:w="813" w:type="pct"/>
            <w:tcBorders>
              <w:top w:val="single" w:sz="6" w:space="0" w:color="auto"/>
              <w:left w:val="single" w:sz="6" w:space="0" w:color="auto"/>
              <w:bottom w:val="single" w:sz="6" w:space="0" w:color="auto"/>
              <w:right w:val="single" w:sz="6" w:space="0" w:color="auto"/>
            </w:tcBorders>
            <w:vAlign w:val="center"/>
          </w:tcPr>
          <w:p w14:paraId="31440B0C" w14:textId="77777777" w:rsidR="00D62155" w:rsidRDefault="00D62155" w:rsidP="009B153D">
            <w:pPr>
              <w:pStyle w:val="Style"/>
              <w:ind w:left="19"/>
              <w:jc w:val="center"/>
              <w:textAlignment w:val="baseline"/>
            </w:pPr>
            <w:r>
              <w:rPr>
                <w:sz w:val="20"/>
                <w:szCs w:val="20"/>
              </w:rPr>
              <w:t xml:space="preserve">152 (100) </w:t>
            </w:r>
          </w:p>
        </w:tc>
        <w:tc>
          <w:tcPr>
            <w:tcW w:w="818" w:type="pct"/>
            <w:tcBorders>
              <w:top w:val="single" w:sz="6" w:space="0" w:color="auto"/>
              <w:left w:val="single" w:sz="6" w:space="0" w:color="auto"/>
              <w:bottom w:val="single" w:sz="6" w:space="0" w:color="auto"/>
              <w:right w:val="single" w:sz="6" w:space="0" w:color="auto"/>
            </w:tcBorders>
            <w:vAlign w:val="center"/>
          </w:tcPr>
          <w:p w14:paraId="1A68AC18" w14:textId="77777777" w:rsidR="00D62155" w:rsidRDefault="00D62155" w:rsidP="009B153D">
            <w:pPr>
              <w:pStyle w:val="Style"/>
              <w:ind w:left="24"/>
              <w:jc w:val="center"/>
              <w:textAlignment w:val="baseline"/>
            </w:pPr>
            <w:r>
              <w:rPr>
                <w:sz w:val="20"/>
                <w:szCs w:val="20"/>
              </w:rPr>
              <w:t xml:space="preserve">149 (100) </w:t>
            </w:r>
          </w:p>
        </w:tc>
        <w:tc>
          <w:tcPr>
            <w:tcW w:w="810" w:type="pct"/>
            <w:tcBorders>
              <w:top w:val="single" w:sz="6" w:space="0" w:color="auto"/>
              <w:left w:val="single" w:sz="6" w:space="0" w:color="auto"/>
              <w:bottom w:val="single" w:sz="6" w:space="0" w:color="auto"/>
              <w:right w:val="single" w:sz="6" w:space="0" w:color="auto"/>
            </w:tcBorders>
            <w:vAlign w:val="center"/>
          </w:tcPr>
          <w:p w14:paraId="3C9EDB4D" w14:textId="77777777" w:rsidR="00D62155" w:rsidRDefault="00D62155" w:rsidP="009B153D">
            <w:pPr>
              <w:pStyle w:val="Style"/>
              <w:ind w:left="29"/>
              <w:jc w:val="center"/>
              <w:textAlignment w:val="baseline"/>
            </w:pPr>
            <w:r>
              <w:rPr>
                <w:sz w:val="20"/>
                <w:szCs w:val="20"/>
              </w:rPr>
              <w:t xml:space="preserve">450 (100) </w:t>
            </w:r>
          </w:p>
        </w:tc>
      </w:tr>
      <w:tr w:rsidR="00D62155" w14:paraId="325B46E6" w14:textId="77777777" w:rsidTr="00D62155">
        <w:trPr>
          <w:trHeight w:hRule="exact" w:val="384"/>
          <w:jc w:val="center"/>
        </w:trPr>
        <w:tc>
          <w:tcPr>
            <w:tcW w:w="1741" w:type="pct"/>
            <w:tcBorders>
              <w:top w:val="single" w:sz="6" w:space="0" w:color="auto"/>
              <w:left w:val="single" w:sz="6" w:space="0" w:color="auto"/>
              <w:bottom w:val="single" w:sz="6" w:space="0" w:color="auto"/>
              <w:right w:val="single" w:sz="6" w:space="0" w:color="auto"/>
            </w:tcBorders>
            <w:vAlign w:val="center"/>
          </w:tcPr>
          <w:p w14:paraId="57BE2040" w14:textId="13EBA0ED" w:rsidR="00D62155" w:rsidRDefault="00D62155" w:rsidP="00A138CC">
            <w:pPr>
              <w:pStyle w:val="Style"/>
              <w:ind w:left="120"/>
              <w:textAlignment w:val="baseline"/>
            </w:pPr>
            <w:r>
              <w:rPr>
                <w:sz w:val="20"/>
                <w:szCs w:val="20"/>
              </w:rPr>
              <w:t>Completed Week 56</w:t>
            </w:r>
          </w:p>
        </w:tc>
        <w:tc>
          <w:tcPr>
            <w:tcW w:w="818" w:type="pct"/>
            <w:tcBorders>
              <w:top w:val="single" w:sz="6" w:space="0" w:color="auto"/>
              <w:left w:val="single" w:sz="6" w:space="0" w:color="auto"/>
              <w:bottom w:val="single" w:sz="6" w:space="0" w:color="auto"/>
              <w:right w:val="single" w:sz="6" w:space="0" w:color="auto"/>
            </w:tcBorders>
            <w:vAlign w:val="center"/>
          </w:tcPr>
          <w:p w14:paraId="33E81848" w14:textId="77777777" w:rsidR="00D62155" w:rsidRDefault="00D62155" w:rsidP="009B153D">
            <w:pPr>
              <w:pStyle w:val="Style"/>
              <w:ind w:left="14"/>
              <w:jc w:val="center"/>
              <w:textAlignment w:val="baseline"/>
            </w:pPr>
            <w:r>
              <w:rPr>
                <w:sz w:val="20"/>
                <w:szCs w:val="20"/>
              </w:rPr>
              <w:t xml:space="preserve">143 (96.0) </w:t>
            </w:r>
          </w:p>
        </w:tc>
        <w:tc>
          <w:tcPr>
            <w:tcW w:w="813" w:type="pct"/>
            <w:tcBorders>
              <w:top w:val="single" w:sz="6" w:space="0" w:color="auto"/>
              <w:left w:val="single" w:sz="6" w:space="0" w:color="auto"/>
              <w:bottom w:val="single" w:sz="6" w:space="0" w:color="auto"/>
              <w:right w:val="single" w:sz="6" w:space="0" w:color="auto"/>
            </w:tcBorders>
            <w:vAlign w:val="center"/>
          </w:tcPr>
          <w:p w14:paraId="69F8649C" w14:textId="77777777" w:rsidR="00D62155" w:rsidRDefault="00D62155" w:rsidP="009B153D">
            <w:pPr>
              <w:pStyle w:val="Style"/>
              <w:ind w:left="19"/>
              <w:jc w:val="center"/>
              <w:textAlignment w:val="baseline"/>
            </w:pPr>
            <w:r>
              <w:rPr>
                <w:sz w:val="20"/>
                <w:szCs w:val="20"/>
              </w:rPr>
              <w:t xml:space="preserve">143 (94.1) </w:t>
            </w:r>
          </w:p>
        </w:tc>
        <w:tc>
          <w:tcPr>
            <w:tcW w:w="818" w:type="pct"/>
            <w:tcBorders>
              <w:top w:val="single" w:sz="6" w:space="0" w:color="auto"/>
              <w:left w:val="single" w:sz="6" w:space="0" w:color="auto"/>
              <w:bottom w:val="single" w:sz="6" w:space="0" w:color="auto"/>
              <w:right w:val="single" w:sz="6" w:space="0" w:color="auto"/>
            </w:tcBorders>
            <w:vAlign w:val="center"/>
          </w:tcPr>
          <w:p w14:paraId="7938A86F" w14:textId="77777777" w:rsidR="00D62155" w:rsidRDefault="00D62155" w:rsidP="009B153D">
            <w:pPr>
              <w:pStyle w:val="Style"/>
              <w:ind w:left="24"/>
              <w:jc w:val="center"/>
              <w:textAlignment w:val="baseline"/>
            </w:pPr>
            <w:r>
              <w:rPr>
                <w:sz w:val="20"/>
                <w:szCs w:val="20"/>
              </w:rPr>
              <w:t xml:space="preserve">133 (89.3) </w:t>
            </w:r>
          </w:p>
        </w:tc>
        <w:tc>
          <w:tcPr>
            <w:tcW w:w="810" w:type="pct"/>
            <w:tcBorders>
              <w:top w:val="single" w:sz="6" w:space="0" w:color="auto"/>
              <w:left w:val="single" w:sz="6" w:space="0" w:color="auto"/>
              <w:bottom w:val="single" w:sz="6" w:space="0" w:color="auto"/>
              <w:right w:val="single" w:sz="6" w:space="0" w:color="auto"/>
            </w:tcBorders>
            <w:vAlign w:val="center"/>
          </w:tcPr>
          <w:p w14:paraId="0DA29C85" w14:textId="77777777" w:rsidR="00D62155" w:rsidRDefault="00D62155" w:rsidP="009B153D">
            <w:pPr>
              <w:pStyle w:val="Style"/>
              <w:ind w:left="29"/>
              <w:jc w:val="center"/>
              <w:textAlignment w:val="baseline"/>
            </w:pPr>
            <w:r>
              <w:rPr>
                <w:sz w:val="20"/>
                <w:szCs w:val="20"/>
              </w:rPr>
              <w:t xml:space="preserve">419 (93.1) </w:t>
            </w:r>
          </w:p>
        </w:tc>
      </w:tr>
      <w:tr w:rsidR="00A138CC" w14:paraId="3C40D310" w14:textId="77777777" w:rsidTr="009B153D">
        <w:trPr>
          <w:trHeight w:val="638"/>
          <w:jc w:val="center"/>
        </w:trPr>
        <w:tc>
          <w:tcPr>
            <w:tcW w:w="1741" w:type="pct"/>
            <w:tcBorders>
              <w:top w:val="single" w:sz="6" w:space="0" w:color="auto"/>
              <w:left w:val="single" w:sz="6" w:space="0" w:color="auto"/>
              <w:right w:val="single" w:sz="6" w:space="0" w:color="auto"/>
            </w:tcBorders>
            <w:vAlign w:val="center"/>
          </w:tcPr>
          <w:p w14:paraId="7394AD99" w14:textId="77777777" w:rsidR="00A138CC" w:rsidRDefault="00A138CC" w:rsidP="00A138CC">
            <w:pPr>
              <w:pStyle w:val="Style"/>
              <w:ind w:left="120"/>
              <w:textAlignment w:val="baseline"/>
            </w:pPr>
            <w:r>
              <w:rPr>
                <w:sz w:val="20"/>
                <w:szCs w:val="20"/>
              </w:rPr>
              <w:t>Discontinued between Week 24</w:t>
            </w:r>
          </w:p>
          <w:p w14:paraId="72BBC250" w14:textId="29D4B9D3" w:rsidR="00A138CC" w:rsidRDefault="00A138CC" w:rsidP="00A138CC">
            <w:pPr>
              <w:pStyle w:val="Style"/>
              <w:ind w:left="120"/>
              <w:textAlignment w:val="baseline"/>
            </w:pPr>
            <w:r>
              <w:rPr>
                <w:sz w:val="20"/>
                <w:szCs w:val="20"/>
              </w:rPr>
              <w:t>and Week 56</w:t>
            </w:r>
          </w:p>
        </w:tc>
        <w:tc>
          <w:tcPr>
            <w:tcW w:w="818" w:type="pct"/>
            <w:tcBorders>
              <w:top w:val="single" w:sz="6" w:space="0" w:color="auto"/>
              <w:left w:val="single" w:sz="6" w:space="0" w:color="auto"/>
              <w:right w:val="single" w:sz="6" w:space="0" w:color="auto"/>
            </w:tcBorders>
            <w:vAlign w:val="center"/>
          </w:tcPr>
          <w:p w14:paraId="281A7252" w14:textId="048C8D72" w:rsidR="00A138CC" w:rsidRDefault="00A138CC" w:rsidP="00A138CC">
            <w:pPr>
              <w:pStyle w:val="Style"/>
              <w:ind w:left="14"/>
              <w:jc w:val="center"/>
              <w:textAlignment w:val="baseline"/>
            </w:pPr>
            <w:r>
              <w:rPr>
                <w:sz w:val="20"/>
                <w:szCs w:val="20"/>
              </w:rPr>
              <w:t>6 (4.0)</w:t>
            </w:r>
          </w:p>
        </w:tc>
        <w:tc>
          <w:tcPr>
            <w:tcW w:w="813" w:type="pct"/>
            <w:tcBorders>
              <w:top w:val="single" w:sz="6" w:space="0" w:color="auto"/>
              <w:left w:val="single" w:sz="6" w:space="0" w:color="auto"/>
              <w:right w:val="single" w:sz="6" w:space="0" w:color="auto"/>
            </w:tcBorders>
            <w:vAlign w:val="center"/>
          </w:tcPr>
          <w:p w14:paraId="19A085FD" w14:textId="620C0173" w:rsidR="00A138CC" w:rsidRDefault="00A138CC" w:rsidP="00A138CC">
            <w:pPr>
              <w:pStyle w:val="Style"/>
              <w:ind w:left="19"/>
              <w:jc w:val="center"/>
              <w:textAlignment w:val="baseline"/>
            </w:pPr>
            <w:r>
              <w:rPr>
                <w:sz w:val="20"/>
                <w:szCs w:val="20"/>
              </w:rPr>
              <w:t xml:space="preserve">9 (5.9) </w:t>
            </w:r>
          </w:p>
        </w:tc>
        <w:tc>
          <w:tcPr>
            <w:tcW w:w="818" w:type="pct"/>
            <w:tcBorders>
              <w:top w:val="single" w:sz="6" w:space="0" w:color="auto"/>
              <w:left w:val="single" w:sz="6" w:space="0" w:color="auto"/>
              <w:right w:val="single" w:sz="6" w:space="0" w:color="auto"/>
            </w:tcBorders>
            <w:vAlign w:val="center"/>
          </w:tcPr>
          <w:p w14:paraId="3E40F85A" w14:textId="5C50D3CF" w:rsidR="00A138CC" w:rsidRDefault="00A138CC" w:rsidP="00A138CC">
            <w:pPr>
              <w:pStyle w:val="Style"/>
              <w:ind w:left="24"/>
              <w:jc w:val="center"/>
              <w:textAlignment w:val="baseline"/>
            </w:pPr>
            <w:r>
              <w:rPr>
                <w:sz w:val="20"/>
                <w:szCs w:val="20"/>
              </w:rPr>
              <w:t>16 (10.7)</w:t>
            </w:r>
          </w:p>
        </w:tc>
        <w:tc>
          <w:tcPr>
            <w:tcW w:w="810" w:type="pct"/>
            <w:tcBorders>
              <w:top w:val="single" w:sz="6" w:space="0" w:color="auto"/>
              <w:left w:val="single" w:sz="6" w:space="0" w:color="auto"/>
              <w:right w:val="single" w:sz="6" w:space="0" w:color="auto"/>
            </w:tcBorders>
            <w:vAlign w:val="center"/>
          </w:tcPr>
          <w:p w14:paraId="5D846C6F" w14:textId="40BA739C" w:rsidR="00A138CC" w:rsidRDefault="00A138CC" w:rsidP="00A138CC">
            <w:pPr>
              <w:pStyle w:val="Style"/>
              <w:ind w:left="29"/>
              <w:jc w:val="center"/>
              <w:textAlignment w:val="baseline"/>
            </w:pPr>
            <w:r>
              <w:rPr>
                <w:sz w:val="20"/>
                <w:szCs w:val="20"/>
              </w:rPr>
              <w:t>31 (6.9)</w:t>
            </w:r>
          </w:p>
        </w:tc>
      </w:tr>
      <w:tr w:rsidR="00A138CC" w14:paraId="711238A0" w14:textId="77777777" w:rsidTr="00A138CC">
        <w:trPr>
          <w:trHeight w:hRule="exact" w:val="389"/>
          <w:jc w:val="center"/>
        </w:trPr>
        <w:tc>
          <w:tcPr>
            <w:tcW w:w="5000" w:type="pct"/>
            <w:gridSpan w:val="5"/>
            <w:tcBorders>
              <w:top w:val="single" w:sz="6" w:space="0" w:color="auto"/>
              <w:left w:val="single" w:sz="6" w:space="0" w:color="auto"/>
              <w:bottom w:val="single" w:sz="6" w:space="0" w:color="auto"/>
              <w:right w:val="single" w:sz="6" w:space="0" w:color="auto"/>
            </w:tcBorders>
            <w:vAlign w:val="center"/>
          </w:tcPr>
          <w:p w14:paraId="6ABD0914" w14:textId="223F8BD9" w:rsidR="00A138CC" w:rsidRDefault="00A138CC" w:rsidP="00A138CC">
            <w:pPr>
              <w:pStyle w:val="Style"/>
              <w:ind w:left="120"/>
              <w:textAlignment w:val="baseline"/>
            </w:pPr>
            <w:r>
              <w:rPr>
                <w:sz w:val="20"/>
                <w:szCs w:val="20"/>
              </w:rPr>
              <w:t>Primary reason for study discontinuation</w:t>
            </w:r>
          </w:p>
        </w:tc>
      </w:tr>
      <w:tr w:rsidR="00D62155" w14:paraId="26537358" w14:textId="77777777" w:rsidTr="00D62155">
        <w:trPr>
          <w:trHeight w:hRule="exact" w:val="394"/>
          <w:jc w:val="center"/>
        </w:trPr>
        <w:tc>
          <w:tcPr>
            <w:tcW w:w="1741" w:type="pct"/>
            <w:tcBorders>
              <w:top w:val="single" w:sz="6" w:space="0" w:color="auto"/>
              <w:left w:val="single" w:sz="6" w:space="0" w:color="auto"/>
              <w:bottom w:val="single" w:sz="6" w:space="0" w:color="auto"/>
              <w:right w:val="single" w:sz="6" w:space="0" w:color="auto"/>
            </w:tcBorders>
            <w:vAlign w:val="center"/>
          </w:tcPr>
          <w:p w14:paraId="631355B2" w14:textId="5F505E49" w:rsidR="00D62155" w:rsidRPr="00A138CC" w:rsidRDefault="00A138CC" w:rsidP="00A138CC">
            <w:pPr>
              <w:pStyle w:val="Style"/>
              <w:ind w:left="298"/>
              <w:jc w:val="both"/>
              <w:textAlignment w:val="baseline"/>
              <w:rPr>
                <w:rFonts w:asciiTheme="minorHAnsi" w:hAnsiTheme="minorHAnsi"/>
                <w:sz w:val="20"/>
                <w:szCs w:val="20"/>
              </w:rPr>
            </w:pPr>
            <w:r w:rsidRPr="00A138CC">
              <w:rPr>
                <w:rFonts w:asciiTheme="minorHAnsi" w:hAnsiTheme="minorHAnsi"/>
                <w:sz w:val="20"/>
                <w:szCs w:val="20"/>
              </w:rPr>
              <w:t>AE</w:t>
            </w:r>
          </w:p>
        </w:tc>
        <w:tc>
          <w:tcPr>
            <w:tcW w:w="818" w:type="pct"/>
            <w:tcBorders>
              <w:top w:val="single" w:sz="6" w:space="0" w:color="auto"/>
              <w:left w:val="single" w:sz="6" w:space="0" w:color="auto"/>
              <w:bottom w:val="single" w:sz="6" w:space="0" w:color="auto"/>
              <w:right w:val="single" w:sz="6" w:space="0" w:color="auto"/>
            </w:tcBorders>
            <w:vAlign w:val="center"/>
          </w:tcPr>
          <w:p w14:paraId="77CB8C5D" w14:textId="77777777" w:rsidR="00D62155" w:rsidRDefault="00D62155" w:rsidP="009B153D">
            <w:pPr>
              <w:pStyle w:val="Style"/>
              <w:ind w:left="14"/>
              <w:jc w:val="center"/>
              <w:textAlignment w:val="baseline"/>
            </w:pPr>
            <w:r>
              <w:rPr>
                <w:sz w:val="20"/>
                <w:szCs w:val="20"/>
              </w:rPr>
              <w:t xml:space="preserve">3 (2.0) </w:t>
            </w:r>
          </w:p>
        </w:tc>
        <w:tc>
          <w:tcPr>
            <w:tcW w:w="813" w:type="pct"/>
            <w:tcBorders>
              <w:top w:val="single" w:sz="6" w:space="0" w:color="auto"/>
              <w:left w:val="single" w:sz="6" w:space="0" w:color="auto"/>
              <w:bottom w:val="single" w:sz="6" w:space="0" w:color="auto"/>
              <w:right w:val="single" w:sz="6" w:space="0" w:color="auto"/>
            </w:tcBorders>
            <w:vAlign w:val="center"/>
          </w:tcPr>
          <w:p w14:paraId="56D4D1E8" w14:textId="77777777" w:rsidR="00D62155" w:rsidRDefault="00D62155" w:rsidP="009B153D">
            <w:pPr>
              <w:pStyle w:val="Style"/>
              <w:ind w:left="19"/>
              <w:jc w:val="center"/>
              <w:textAlignment w:val="baseline"/>
            </w:pPr>
            <w:r>
              <w:rPr>
                <w:sz w:val="20"/>
                <w:szCs w:val="20"/>
              </w:rPr>
              <w:t xml:space="preserve">4 (2.6) </w:t>
            </w:r>
          </w:p>
        </w:tc>
        <w:tc>
          <w:tcPr>
            <w:tcW w:w="818" w:type="pct"/>
            <w:tcBorders>
              <w:top w:val="single" w:sz="6" w:space="0" w:color="auto"/>
              <w:left w:val="single" w:sz="6" w:space="0" w:color="auto"/>
              <w:bottom w:val="single" w:sz="6" w:space="0" w:color="auto"/>
              <w:right w:val="single" w:sz="6" w:space="0" w:color="auto"/>
            </w:tcBorders>
            <w:vAlign w:val="center"/>
          </w:tcPr>
          <w:p w14:paraId="3D859084" w14:textId="77777777" w:rsidR="00D62155" w:rsidRDefault="00D62155" w:rsidP="009B153D">
            <w:pPr>
              <w:pStyle w:val="Style"/>
              <w:ind w:left="24"/>
              <w:jc w:val="center"/>
              <w:textAlignment w:val="baseline"/>
            </w:pPr>
            <w:r>
              <w:rPr>
                <w:sz w:val="20"/>
                <w:szCs w:val="20"/>
              </w:rPr>
              <w:t xml:space="preserve">6 (4.0) </w:t>
            </w:r>
          </w:p>
        </w:tc>
        <w:tc>
          <w:tcPr>
            <w:tcW w:w="810" w:type="pct"/>
            <w:tcBorders>
              <w:top w:val="single" w:sz="6" w:space="0" w:color="auto"/>
              <w:left w:val="single" w:sz="6" w:space="0" w:color="auto"/>
              <w:bottom w:val="single" w:sz="6" w:space="0" w:color="auto"/>
              <w:right w:val="single" w:sz="6" w:space="0" w:color="auto"/>
            </w:tcBorders>
            <w:vAlign w:val="center"/>
          </w:tcPr>
          <w:p w14:paraId="4805EC9F" w14:textId="77777777" w:rsidR="00D62155" w:rsidRDefault="00D62155" w:rsidP="009B153D">
            <w:pPr>
              <w:pStyle w:val="Style"/>
              <w:ind w:left="29"/>
              <w:jc w:val="center"/>
              <w:textAlignment w:val="baseline"/>
            </w:pPr>
            <w:r>
              <w:rPr>
                <w:sz w:val="20"/>
                <w:szCs w:val="20"/>
              </w:rPr>
              <w:t xml:space="preserve">13 (2.9) </w:t>
            </w:r>
          </w:p>
        </w:tc>
      </w:tr>
      <w:tr w:rsidR="00D62155" w14:paraId="45510C5D" w14:textId="77777777" w:rsidTr="00D62155">
        <w:trPr>
          <w:trHeight w:hRule="exact" w:val="384"/>
          <w:jc w:val="center"/>
        </w:trPr>
        <w:tc>
          <w:tcPr>
            <w:tcW w:w="1741" w:type="pct"/>
            <w:tcBorders>
              <w:top w:val="single" w:sz="6" w:space="0" w:color="auto"/>
              <w:left w:val="single" w:sz="6" w:space="0" w:color="auto"/>
              <w:bottom w:val="single" w:sz="6" w:space="0" w:color="auto"/>
              <w:right w:val="single" w:sz="6" w:space="0" w:color="auto"/>
            </w:tcBorders>
            <w:vAlign w:val="center"/>
          </w:tcPr>
          <w:p w14:paraId="6A7CB9CD" w14:textId="77777777" w:rsidR="00D62155" w:rsidRDefault="00D62155" w:rsidP="00A138CC">
            <w:pPr>
              <w:pStyle w:val="Style"/>
              <w:ind w:left="298"/>
              <w:jc w:val="both"/>
              <w:textAlignment w:val="baseline"/>
            </w:pPr>
            <w:r>
              <w:rPr>
                <w:sz w:val="20"/>
                <w:szCs w:val="20"/>
              </w:rPr>
              <w:t xml:space="preserve">Lack of efficacy </w:t>
            </w:r>
          </w:p>
        </w:tc>
        <w:tc>
          <w:tcPr>
            <w:tcW w:w="818" w:type="pct"/>
            <w:tcBorders>
              <w:top w:val="single" w:sz="6" w:space="0" w:color="auto"/>
              <w:left w:val="single" w:sz="6" w:space="0" w:color="auto"/>
              <w:bottom w:val="single" w:sz="6" w:space="0" w:color="auto"/>
              <w:right w:val="single" w:sz="6" w:space="0" w:color="auto"/>
            </w:tcBorders>
            <w:vAlign w:val="center"/>
          </w:tcPr>
          <w:p w14:paraId="4DF0EE93" w14:textId="77777777" w:rsidR="00D62155" w:rsidRDefault="00D62155" w:rsidP="009B153D">
            <w:pPr>
              <w:pStyle w:val="Style"/>
              <w:ind w:left="14"/>
              <w:jc w:val="center"/>
              <w:textAlignment w:val="baseline"/>
            </w:pPr>
            <w:r>
              <w:rPr>
                <w:sz w:val="20"/>
                <w:szCs w:val="20"/>
              </w:rPr>
              <w:t xml:space="preserve">0 </w:t>
            </w:r>
          </w:p>
        </w:tc>
        <w:tc>
          <w:tcPr>
            <w:tcW w:w="813" w:type="pct"/>
            <w:tcBorders>
              <w:top w:val="single" w:sz="6" w:space="0" w:color="auto"/>
              <w:left w:val="single" w:sz="6" w:space="0" w:color="auto"/>
              <w:bottom w:val="single" w:sz="6" w:space="0" w:color="auto"/>
              <w:right w:val="single" w:sz="6" w:space="0" w:color="auto"/>
            </w:tcBorders>
            <w:vAlign w:val="center"/>
          </w:tcPr>
          <w:p w14:paraId="2EFD55F8" w14:textId="77777777" w:rsidR="00D62155" w:rsidRDefault="00D62155" w:rsidP="009B153D">
            <w:pPr>
              <w:pStyle w:val="Style"/>
              <w:ind w:left="19"/>
              <w:jc w:val="center"/>
              <w:textAlignment w:val="baseline"/>
            </w:pPr>
            <w:r>
              <w:rPr>
                <w:sz w:val="20"/>
                <w:szCs w:val="20"/>
              </w:rPr>
              <w:t xml:space="preserve">1 (0. 7) </w:t>
            </w:r>
          </w:p>
        </w:tc>
        <w:tc>
          <w:tcPr>
            <w:tcW w:w="818" w:type="pct"/>
            <w:tcBorders>
              <w:top w:val="single" w:sz="6" w:space="0" w:color="auto"/>
              <w:left w:val="single" w:sz="6" w:space="0" w:color="auto"/>
              <w:bottom w:val="single" w:sz="6" w:space="0" w:color="auto"/>
              <w:right w:val="single" w:sz="6" w:space="0" w:color="auto"/>
            </w:tcBorders>
            <w:vAlign w:val="center"/>
          </w:tcPr>
          <w:p w14:paraId="47D7D965" w14:textId="77777777" w:rsidR="00D62155" w:rsidRDefault="00D62155" w:rsidP="009B153D">
            <w:pPr>
              <w:pStyle w:val="Style"/>
              <w:ind w:left="24"/>
              <w:jc w:val="center"/>
              <w:textAlignment w:val="baseline"/>
            </w:pPr>
            <w:r>
              <w:rPr>
                <w:sz w:val="20"/>
                <w:szCs w:val="20"/>
              </w:rPr>
              <w:t xml:space="preserve">1 (0. 7) </w:t>
            </w:r>
          </w:p>
        </w:tc>
        <w:tc>
          <w:tcPr>
            <w:tcW w:w="810" w:type="pct"/>
            <w:tcBorders>
              <w:top w:val="single" w:sz="6" w:space="0" w:color="auto"/>
              <w:left w:val="single" w:sz="6" w:space="0" w:color="auto"/>
              <w:bottom w:val="single" w:sz="6" w:space="0" w:color="auto"/>
              <w:right w:val="single" w:sz="6" w:space="0" w:color="auto"/>
            </w:tcBorders>
            <w:vAlign w:val="center"/>
          </w:tcPr>
          <w:p w14:paraId="3EBBCA6A" w14:textId="77777777" w:rsidR="00D62155" w:rsidRDefault="00D62155" w:rsidP="009B153D">
            <w:pPr>
              <w:pStyle w:val="Style"/>
              <w:ind w:left="29"/>
              <w:jc w:val="center"/>
              <w:textAlignment w:val="baseline"/>
            </w:pPr>
            <w:r>
              <w:rPr>
                <w:sz w:val="20"/>
                <w:szCs w:val="20"/>
              </w:rPr>
              <w:t xml:space="preserve">2 (0.4) </w:t>
            </w:r>
          </w:p>
        </w:tc>
      </w:tr>
      <w:tr w:rsidR="00D62155" w14:paraId="26302A05" w14:textId="77777777" w:rsidTr="00D62155">
        <w:trPr>
          <w:trHeight w:hRule="exact" w:val="384"/>
          <w:jc w:val="center"/>
        </w:trPr>
        <w:tc>
          <w:tcPr>
            <w:tcW w:w="1741" w:type="pct"/>
            <w:tcBorders>
              <w:top w:val="single" w:sz="6" w:space="0" w:color="auto"/>
              <w:left w:val="single" w:sz="6" w:space="0" w:color="auto"/>
              <w:bottom w:val="single" w:sz="6" w:space="0" w:color="auto"/>
              <w:right w:val="single" w:sz="6" w:space="0" w:color="auto"/>
            </w:tcBorders>
            <w:vAlign w:val="center"/>
          </w:tcPr>
          <w:p w14:paraId="51542D0B" w14:textId="77777777" w:rsidR="00D62155" w:rsidRDefault="00D62155" w:rsidP="00A138CC">
            <w:pPr>
              <w:pStyle w:val="Style"/>
              <w:ind w:left="298"/>
              <w:jc w:val="both"/>
              <w:textAlignment w:val="baseline"/>
            </w:pPr>
            <w:r>
              <w:rPr>
                <w:sz w:val="20"/>
                <w:szCs w:val="20"/>
              </w:rPr>
              <w:t xml:space="preserve">Protocol violation </w:t>
            </w:r>
          </w:p>
        </w:tc>
        <w:tc>
          <w:tcPr>
            <w:tcW w:w="818" w:type="pct"/>
            <w:tcBorders>
              <w:top w:val="single" w:sz="6" w:space="0" w:color="auto"/>
              <w:left w:val="single" w:sz="6" w:space="0" w:color="auto"/>
              <w:bottom w:val="single" w:sz="6" w:space="0" w:color="auto"/>
              <w:right w:val="single" w:sz="6" w:space="0" w:color="auto"/>
            </w:tcBorders>
            <w:vAlign w:val="center"/>
          </w:tcPr>
          <w:p w14:paraId="2550CFFF" w14:textId="77777777" w:rsidR="00D62155" w:rsidRDefault="00D62155" w:rsidP="009B153D">
            <w:pPr>
              <w:pStyle w:val="Style"/>
              <w:ind w:left="14"/>
              <w:jc w:val="center"/>
              <w:textAlignment w:val="baseline"/>
            </w:pPr>
            <w:r>
              <w:rPr>
                <w:sz w:val="20"/>
                <w:szCs w:val="20"/>
              </w:rPr>
              <w:t xml:space="preserve">0 </w:t>
            </w:r>
          </w:p>
        </w:tc>
        <w:tc>
          <w:tcPr>
            <w:tcW w:w="813" w:type="pct"/>
            <w:tcBorders>
              <w:top w:val="single" w:sz="6" w:space="0" w:color="auto"/>
              <w:left w:val="single" w:sz="6" w:space="0" w:color="auto"/>
              <w:bottom w:val="single" w:sz="6" w:space="0" w:color="auto"/>
              <w:right w:val="single" w:sz="6" w:space="0" w:color="auto"/>
            </w:tcBorders>
            <w:vAlign w:val="center"/>
          </w:tcPr>
          <w:p w14:paraId="28482AAD" w14:textId="77777777" w:rsidR="00D62155" w:rsidRDefault="00D62155" w:rsidP="009B153D">
            <w:pPr>
              <w:pStyle w:val="Style"/>
              <w:ind w:left="19"/>
              <w:jc w:val="center"/>
              <w:textAlignment w:val="baseline"/>
            </w:pPr>
            <w:r>
              <w:rPr>
                <w:sz w:val="20"/>
                <w:szCs w:val="20"/>
              </w:rPr>
              <w:t xml:space="preserve">0 </w:t>
            </w:r>
          </w:p>
        </w:tc>
        <w:tc>
          <w:tcPr>
            <w:tcW w:w="818" w:type="pct"/>
            <w:tcBorders>
              <w:top w:val="single" w:sz="6" w:space="0" w:color="auto"/>
              <w:left w:val="single" w:sz="6" w:space="0" w:color="auto"/>
              <w:bottom w:val="single" w:sz="6" w:space="0" w:color="auto"/>
              <w:right w:val="single" w:sz="6" w:space="0" w:color="auto"/>
            </w:tcBorders>
            <w:vAlign w:val="center"/>
          </w:tcPr>
          <w:p w14:paraId="7399FBCC" w14:textId="77777777" w:rsidR="00D62155" w:rsidRDefault="00D62155" w:rsidP="009B153D">
            <w:pPr>
              <w:pStyle w:val="Style"/>
              <w:ind w:left="24"/>
              <w:jc w:val="center"/>
              <w:textAlignment w:val="baseline"/>
            </w:pPr>
            <w:r>
              <w:rPr>
                <w:sz w:val="20"/>
                <w:szCs w:val="20"/>
              </w:rPr>
              <w:t xml:space="preserve">0 </w:t>
            </w:r>
          </w:p>
        </w:tc>
        <w:tc>
          <w:tcPr>
            <w:tcW w:w="810" w:type="pct"/>
            <w:tcBorders>
              <w:top w:val="single" w:sz="6" w:space="0" w:color="auto"/>
              <w:left w:val="single" w:sz="6" w:space="0" w:color="auto"/>
              <w:bottom w:val="single" w:sz="6" w:space="0" w:color="auto"/>
              <w:right w:val="single" w:sz="6" w:space="0" w:color="auto"/>
            </w:tcBorders>
            <w:vAlign w:val="center"/>
          </w:tcPr>
          <w:p w14:paraId="755DAFDA" w14:textId="77777777" w:rsidR="00D62155" w:rsidRDefault="00D62155" w:rsidP="009B153D">
            <w:pPr>
              <w:pStyle w:val="Style"/>
              <w:ind w:left="29"/>
              <w:jc w:val="center"/>
              <w:textAlignment w:val="baseline"/>
            </w:pPr>
            <w:r>
              <w:rPr>
                <w:sz w:val="20"/>
                <w:szCs w:val="20"/>
              </w:rPr>
              <w:t xml:space="preserve">0 </w:t>
            </w:r>
          </w:p>
        </w:tc>
      </w:tr>
      <w:tr w:rsidR="00D62155" w14:paraId="4E94191A" w14:textId="77777777" w:rsidTr="00D62155">
        <w:trPr>
          <w:trHeight w:hRule="exact" w:val="394"/>
          <w:jc w:val="center"/>
        </w:trPr>
        <w:tc>
          <w:tcPr>
            <w:tcW w:w="1741" w:type="pct"/>
            <w:tcBorders>
              <w:top w:val="single" w:sz="6" w:space="0" w:color="auto"/>
              <w:left w:val="single" w:sz="6" w:space="0" w:color="auto"/>
              <w:bottom w:val="single" w:sz="6" w:space="0" w:color="auto"/>
              <w:right w:val="single" w:sz="6" w:space="0" w:color="auto"/>
            </w:tcBorders>
            <w:vAlign w:val="center"/>
          </w:tcPr>
          <w:p w14:paraId="20C8C3FB" w14:textId="77777777" w:rsidR="00D62155" w:rsidRDefault="00D62155" w:rsidP="00A138CC">
            <w:pPr>
              <w:pStyle w:val="Style"/>
              <w:ind w:left="298"/>
              <w:jc w:val="both"/>
              <w:textAlignment w:val="baseline"/>
            </w:pPr>
            <w:r>
              <w:rPr>
                <w:sz w:val="20"/>
                <w:szCs w:val="20"/>
              </w:rPr>
              <w:t xml:space="preserve">Lost to follow up </w:t>
            </w:r>
          </w:p>
        </w:tc>
        <w:tc>
          <w:tcPr>
            <w:tcW w:w="818" w:type="pct"/>
            <w:tcBorders>
              <w:top w:val="single" w:sz="6" w:space="0" w:color="auto"/>
              <w:left w:val="single" w:sz="6" w:space="0" w:color="auto"/>
              <w:bottom w:val="single" w:sz="6" w:space="0" w:color="auto"/>
              <w:right w:val="single" w:sz="6" w:space="0" w:color="auto"/>
            </w:tcBorders>
            <w:vAlign w:val="center"/>
          </w:tcPr>
          <w:p w14:paraId="51133692" w14:textId="77777777" w:rsidR="00D62155" w:rsidRDefault="00D62155" w:rsidP="009B153D">
            <w:pPr>
              <w:pStyle w:val="Style"/>
              <w:ind w:left="14"/>
              <w:jc w:val="center"/>
              <w:textAlignment w:val="baseline"/>
            </w:pPr>
            <w:r>
              <w:rPr>
                <w:sz w:val="20"/>
                <w:szCs w:val="20"/>
              </w:rPr>
              <w:t xml:space="preserve">0 </w:t>
            </w:r>
          </w:p>
        </w:tc>
        <w:tc>
          <w:tcPr>
            <w:tcW w:w="813" w:type="pct"/>
            <w:tcBorders>
              <w:top w:val="single" w:sz="6" w:space="0" w:color="auto"/>
              <w:left w:val="single" w:sz="6" w:space="0" w:color="auto"/>
              <w:bottom w:val="single" w:sz="6" w:space="0" w:color="auto"/>
              <w:right w:val="single" w:sz="6" w:space="0" w:color="auto"/>
            </w:tcBorders>
            <w:vAlign w:val="center"/>
          </w:tcPr>
          <w:p w14:paraId="69215654" w14:textId="77777777" w:rsidR="00D62155" w:rsidRDefault="00D62155" w:rsidP="009B153D">
            <w:pPr>
              <w:pStyle w:val="Style"/>
              <w:ind w:left="19"/>
              <w:jc w:val="center"/>
              <w:textAlignment w:val="baseline"/>
            </w:pPr>
            <w:r>
              <w:rPr>
                <w:sz w:val="20"/>
                <w:szCs w:val="20"/>
              </w:rPr>
              <w:t xml:space="preserve">2 (1.3) </w:t>
            </w:r>
          </w:p>
        </w:tc>
        <w:tc>
          <w:tcPr>
            <w:tcW w:w="818" w:type="pct"/>
            <w:tcBorders>
              <w:top w:val="single" w:sz="6" w:space="0" w:color="auto"/>
              <w:left w:val="single" w:sz="6" w:space="0" w:color="auto"/>
              <w:bottom w:val="single" w:sz="6" w:space="0" w:color="auto"/>
              <w:right w:val="single" w:sz="6" w:space="0" w:color="auto"/>
            </w:tcBorders>
            <w:vAlign w:val="center"/>
          </w:tcPr>
          <w:p w14:paraId="3EF9C5CF" w14:textId="77777777" w:rsidR="00D62155" w:rsidRDefault="00D62155" w:rsidP="009B153D">
            <w:pPr>
              <w:pStyle w:val="Style"/>
              <w:ind w:left="24"/>
              <w:jc w:val="center"/>
              <w:textAlignment w:val="baseline"/>
            </w:pPr>
            <w:r>
              <w:rPr>
                <w:sz w:val="20"/>
                <w:szCs w:val="20"/>
              </w:rPr>
              <w:t xml:space="preserve">5 (3.4) </w:t>
            </w:r>
          </w:p>
        </w:tc>
        <w:tc>
          <w:tcPr>
            <w:tcW w:w="810" w:type="pct"/>
            <w:tcBorders>
              <w:top w:val="single" w:sz="6" w:space="0" w:color="auto"/>
              <w:left w:val="single" w:sz="6" w:space="0" w:color="auto"/>
              <w:bottom w:val="single" w:sz="6" w:space="0" w:color="auto"/>
              <w:right w:val="single" w:sz="6" w:space="0" w:color="auto"/>
            </w:tcBorders>
            <w:vAlign w:val="center"/>
          </w:tcPr>
          <w:p w14:paraId="0F266241" w14:textId="77777777" w:rsidR="00D62155" w:rsidRDefault="00D62155" w:rsidP="009B153D">
            <w:pPr>
              <w:pStyle w:val="Style"/>
              <w:ind w:left="29"/>
              <w:jc w:val="center"/>
              <w:textAlignment w:val="baseline"/>
            </w:pPr>
            <w:r>
              <w:rPr>
                <w:sz w:val="20"/>
                <w:szCs w:val="20"/>
              </w:rPr>
              <w:t xml:space="preserve">7 (1.6) </w:t>
            </w:r>
          </w:p>
        </w:tc>
      </w:tr>
      <w:tr w:rsidR="00D62155" w14:paraId="20662A61" w14:textId="77777777" w:rsidTr="00D62155">
        <w:trPr>
          <w:trHeight w:hRule="exact" w:val="384"/>
          <w:jc w:val="center"/>
        </w:trPr>
        <w:tc>
          <w:tcPr>
            <w:tcW w:w="1741" w:type="pct"/>
            <w:tcBorders>
              <w:top w:val="single" w:sz="6" w:space="0" w:color="auto"/>
              <w:left w:val="single" w:sz="6" w:space="0" w:color="auto"/>
              <w:bottom w:val="single" w:sz="6" w:space="0" w:color="auto"/>
              <w:right w:val="single" w:sz="6" w:space="0" w:color="auto"/>
            </w:tcBorders>
            <w:vAlign w:val="center"/>
          </w:tcPr>
          <w:p w14:paraId="2293CAD8" w14:textId="77777777" w:rsidR="00D62155" w:rsidRDefault="00D62155" w:rsidP="00A138CC">
            <w:pPr>
              <w:pStyle w:val="Style"/>
              <w:ind w:left="298"/>
              <w:jc w:val="both"/>
              <w:textAlignment w:val="baseline"/>
            </w:pPr>
            <w:r>
              <w:rPr>
                <w:sz w:val="20"/>
                <w:szCs w:val="20"/>
              </w:rPr>
              <w:t xml:space="preserve">Consent withdrawn </w:t>
            </w:r>
          </w:p>
        </w:tc>
        <w:tc>
          <w:tcPr>
            <w:tcW w:w="818" w:type="pct"/>
            <w:tcBorders>
              <w:top w:val="single" w:sz="6" w:space="0" w:color="auto"/>
              <w:left w:val="single" w:sz="6" w:space="0" w:color="auto"/>
              <w:bottom w:val="single" w:sz="6" w:space="0" w:color="auto"/>
              <w:right w:val="single" w:sz="6" w:space="0" w:color="auto"/>
            </w:tcBorders>
            <w:vAlign w:val="center"/>
          </w:tcPr>
          <w:p w14:paraId="1AD9967D" w14:textId="77777777" w:rsidR="00D62155" w:rsidRDefault="00D62155" w:rsidP="009B153D">
            <w:pPr>
              <w:pStyle w:val="Style"/>
              <w:ind w:left="14"/>
              <w:jc w:val="center"/>
              <w:textAlignment w:val="baseline"/>
            </w:pPr>
            <w:r>
              <w:rPr>
                <w:sz w:val="20"/>
                <w:szCs w:val="20"/>
              </w:rPr>
              <w:t xml:space="preserve">3 (2.0) </w:t>
            </w:r>
          </w:p>
        </w:tc>
        <w:tc>
          <w:tcPr>
            <w:tcW w:w="813" w:type="pct"/>
            <w:tcBorders>
              <w:top w:val="single" w:sz="6" w:space="0" w:color="auto"/>
              <w:left w:val="single" w:sz="6" w:space="0" w:color="auto"/>
              <w:bottom w:val="single" w:sz="6" w:space="0" w:color="auto"/>
              <w:right w:val="single" w:sz="6" w:space="0" w:color="auto"/>
            </w:tcBorders>
            <w:vAlign w:val="center"/>
          </w:tcPr>
          <w:p w14:paraId="286F00F8" w14:textId="77777777" w:rsidR="00D62155" w:rsidRDefault="00D62155" w:rsidP="009B153D">
            <w:pPr>
              <w:pStyle w:val="Style"/>
              <w:ind w:left="19"/>
              <w:jc w:val="center"/>
              <w:textAlignment w:val="baseline"/>
            </w:pPr>
            <w:r>
              <w:rPr>
                <w:sz w:val="20"/>
                <w:szCs w:val="20"/>
              </w:rPr>
              <w:t xml:space="preserve">1 (0. 7) </w:t>
            </w:r>
          </w:p>
        </w:tc>
        <w:tc>
          <w:tcPr>
            <w:tcW w:w="818" w:type="pct"/>
            <w:tcBorders>
              <w:top w:val="single" w:sz="6" w:space="0" w:color="auto"/>
              <w:left w:val="single" w:sz="6" w:space="0" w:color="auto"/>
              <w:bottom w:val="single" w:sz="6" w:space="0" w:color="auto"/>
              <w:right w:val="single" w:sz="6" w:space="0" w:color="auto"/>
            </w:tcBorders>
            <w:vAlign w:val="center"/>
          </w:tcPr>
          <w:p w14:paraId="4584EF7A" w14:textId="77777777" w:rsidR="00D62155" w:rsidRDefault="00D62155" w:rsidP="009B153D">
            <w:pPr>
              <w:pStyle w:val="Style"/>
              <w:ind w:left="24"/>
              <w:jc w:val="center"/>
              <w:textAlignment w:val="baseline"/>
            </w:pPr>
            <w:r>
              <w:rPr>
                <w:sz w:val="20"/>
                <w:szCs w:val="20"/>
              </w:rPr>
              <w:t xml:space="preserve">4 (2. 7) </w:t>
            </w:r>
          </w:p>
        </w:tc>
        <w:tc>
          <w:tcPr>
            <w:tcW w:w="810" w:type="pct"/>
            <w:tcBorders>
              <w:top w:val="single" w:sz="6" w:space="0" w:color="auto"/>
              <w:left w:val="single" w:sz="6" w:space="0" w:color="auto"/>
              <w:bottom w:val="single" w:sz="6" w:space="0" w:color="auto"/>
              <w:right w:val="single" w:sz="6" w:space="0" w:color="auto"/>
            </w:tcBorders>
            <w:vAlign w:val="center"/>
          </w:tcPr>
          <w:p w14:paraId="17E3FCCE" w14:textId="77777777" w:rsidR="00D62155" w:rsidRDefault="00D62155" w:rsidP="009B153D">
            <w:pPr>
              <w:pStyle w:val="Style"/>
              <w:ind w:left="29"/>
              <w:jc w:val="center"/>
              <w:textAlignment w:val="baseline"/>
            </w:pPr>
            <w:r>
              <w:rPr>
                <w:sz w:val="20"/>
                <w:szCs w:val="20"/>
              </w:rPr>
              <w:t xml:space="preserve">8 (1.8) </w:t>
            </w:r>
          </w:p>
        </w:tc>
      </w:tr>
      <w:tr w:rsidR="00D62155" w14:paraId="3609D6ED" w14:textId="77777777" w:rsidTr="00D62155">
        <w:trPr>
          <w:trHeight w:hRule="exact" w:val="389"/>
          <w:jc w:val="center"/>
        </w:trPr>
        <w:tc>
          <w:tcPr>
            <w:tcW w:w="1741" w:type="pct"/>
            <w:tcBorders>
              <w:top w:val="single" w:sz="6" w:space="0" w:color="auto"/>
              <w:left w:val="single" w:sz="6" w:space="0" w:color="auto"/>
              <w:bottom w:val="single" w:sz="6" w:space="0" w:color="auto"/>
              <w:right w:val="single" w:sz="6" w:space="0" w:color="auto"/>
            </w:tcBorders>
            <w:vAlign w:val="center"/>
          </w:tcPr>
          <w:p w14:paraId="0A747FEB" w14:textId="77777777" w:rsidR="00D62155" w:rsidRDefault="00D62155" w:rsidP="00A138CC">
            <w:pPr>
              <w:pStyle w:val="Style"/>
              <w:ind w:left="298"/>
              <w:jc w:val="both"/>
              <w:textAlignment w:val="baseline"/>
            </w:pPr>
            <w:r>
              <w:rPr>
                <w:sz w:val="20"/>
                <w:szCs w:val="20"/>
              </w:rPr>
              <w:t xml:space="preserve">Other </w:t>
            </w:r>
          </w:p>
        </w:tc>
        <w:tc>
          <w:tcPr>
            <w:tcW w:w="818" w:type="pct"/>
            <w:tcBorders>
              <w:top w:val="single" w:sz="6" w:space="0" w:color="auto"/>
              <w:left w:val="single" w:sz="6" w:space="0" w:color="auto"/>
              <w:bottom w:val="single" w:sz="6" w:space="0" w:color="auto"/>
              <w:right w:val="single" w:sz="6" w:space="0" w:color="auto"/>
            </w:tcBorders>
            <w:vAlign w:val="center"/>
          </w:tcPr>
          <w:p w14:paraId="325C0216" w14:textId="77777777" w:rsidR="00D62155" w:rsidRDefault="00D62155" w:rsidP="009B153D">
            <w:pPr>
              <w:pStyle w:val="Style"/>
              <w:ind w:left="14"/>
              <w:jc w:val="center"/>
              <w:textAlignment w:val="baseline"/>
            </w:pPr>
            <w:r>
              <w:rPr>
                <w:sz w:val="20"/>
                <w:szCs w:val="20"/>
              </w:rPr>
              <w:t xml:space="preserve">0 </w:t>
            </w:r>
          </w:p>
        </w:tc>
        <w:tc>
          <w:tcPr>
            <w:tcW w:w="813" w:type="pct"/>
            <w:tcBorders>
              <w:top w:val="single" w:sz="6" w:space="0" w:color="auto"/>
              <w:left w:val="single" w:sz="6" w:space="0" w:color="auto"/>
              <w:bottom w:val="single" w:sz="6" w:space="0" w:color="auto"/>
              <w:right w:val="single" w:sz="6" w:space="0" w:color="auto"/>
            </w:tcBorders>
            <w:vAlign w:val="center"/>
          </w:tcPr>
          <w:p w14:paraId="0EC8C3D0" w14:textId="77777777" w:rsidR="00D62155" w:rsidRDefault="00D62155" w:rsidP="009B153D">
            <w:pPr>
              <w:pStyle w:val="Style"/>
              <w:ind w:left="19"/>
              <w:jc w:val="center"/>
              <w:textAlignment w:val="baseline"/>
            </w:pPr>
            <w:r>
              <w:rPr>
                <w:sz w:val="20"/>
                <w:szCs w:val="20"/>
              </w:rPr>
              <w:t xml:space="preserve">1 (0. 7) </w:t>
            </w:r>
          </w:p>
        </w:tc>
        <w:tc>
          <w:tcPr>
            <w:tcW w:w="818" w:type="pct"/>
            <w:tcBorders>
              <w:top w:val="single" w:sz="6" w:space="0" w:color="auto"/>
              <w:left w:val="single" w:sz="6" w:space="0" w:color="auto"/>
              <w:bottom w:val="single" w:sz="6" w:space="0" w:color="auto"/>
              <w:right w:val="single" w:sz="6" w:space="0" w:color="auto"/>
            </w:tcBorders>
            <w:vAlign w:val="center"/>
          </w:tcPr>
          <w:p w14:paraId="470CB06B" w14:textId="77777777" w:rsidR="00D62155" w:rsidRDefault="00D62155" w:rsidP="009B153D">
            <w:pPr>
              <w:pStyle w:val="Style"/>
              <w:ind w:left="24"/>
              <w:jc w:val="center"/>
              <w:textAlignment w:val="baseline"/>
            </w:pPr>
            <w:r>
              <w:rPr>
                <w:sz w:val="20"/>
                <w:szCs w:val="20"/>
              </w:rPr>
              <w:t xml:space="preserve">0 </w:t>
            </w:r>
          </w:p>
        </w:tc>
        <w:tc>
          <w:tcPr>
            <w:tcW w:w="810" w:type="pct"/>
            <w:tcBorders>
              <w:top w:val="single" w:sz="6" w:space="0" w:color="auto"/>
              <w:left w:val="single" w:sz="6" w:space="0" w:color="auto"/>
              <w:bottom w:val="single" w:sz="6" w:space="0" w:color="auto"/>
              <w:right w:val="single" w:sz="6" w:space="0" w:color="auto"/>
            </w:tcBorders>
            <w:vAlign w:val="center"/>
          </w:tcPr>
          <w:p w14:paraId="4CD8D901" w14:textId="77777777" w:rsidR="00D62155" w:rsidRDefault="00D62155" w:rsidP="009B153D">
            <w:pPr>
              <w:pStyle w:val="Style"/>
              <w:ind w:left="29"/>
              <w:jc w:val="center"/>
              <w:textAlignment w:val="baseline"/>
            </w:pPr>
            <w:r>
              <w:rPr>
                <w:sz w:val="20"/>
                <w:szCs w:val="20"/>
              </w:rPr>
              <w:t xml:space="preserve">1 (0.2) </w:t>
            </w:r>
          </w:p>
        </w:tc>
      </w:tr>
    </w:tbl>
    <w:p w14:paraId="6C16A3A3" w14:textId="35A9C34E" w:rsidR="00D62155" w:rsidRPr="009F17DA" w:rsidRDefault="0055007D" w:rsidP="00D62155">
      <w:pPr>
        <w:pStyle w:val="TableDescription"/>
        <w:rPr>
          <w:lang w:eastAsia="ja-JP"/>
        </w:rPr>
      </w:pPr>
      <w:r>
        <w:rPr>
          <w:lang w:eastAsia="ja-JP"/>
        </w:rPr>
        <w:t xml:space="preserve">Abbreviations: </w:t>
      </w:r>
      <w:r w:rsidR="00D62155" w:rsidRPr="009F17DA">
        <w:rPr>
          <w:lang w:eastAsia="ja-JP"/>
        </w:rPr>
        <w:t>ADA</w:t>
      </w:r>
      <w:r>
        <w:rPr>
          <w:lang w:eastAsia="ja-JP"/>
        </w:rPr>
        <w:t xml:space="preserve"> </w:t>
      </w:r>
      <w:r w:rsidR="00D62155" w:rsidRPr="009F17DA">
        <w:rPr>
          <w:lang w:eastAsia="ja-JP"/>
        </w:rPr>
        <w:t>=</w:t>
      </w:r>
      <w:r>
        <w:rPr>
          <w:lang w:eastAsia="ja-JP"/>
        </w:rPr>
        <w:t xml:space="preserve"> </w:t>
      </w:r>
      <w:r w:rsidR="00D62155" w:rsidRPr="009F17DA">
        <w:rPr>
          <w:lang w:eastAsia="ja-JP"/>
        </w:rPr>
        <w:t>adalimumab; AE</w:t>
      </w:r>
      <w:r>
        <w:rPr>
          <w:lang w:eastAsia="ja-JP"/>
        </w:rPr>
        <w:t xml:space="preserve"> </w:t>
      </w:r>
      <w:r w:rsidR="00D62155" w:rsidRPr="009F17DA">
        <w:rPr>
          <w:lang w:eastAsia="ja-JP"/>
        </w:rPr>
        <w:t>=</w:t>
      </w:r>
      <w:r>
        <w:rPr>
          <w:lang w:eastAsia="ja-JP"/>
        </w:rPr>
        <w:t xml:space="preserve"> </w:t>
      </w:r>
      <w:r w:rsidR="00D62155" w:rsidRPr="009F17DA">
        <w:rPr>
          <w:lang w:eastAsia="ja-JP"/>
        </w:rPr>
        <w:t>adverse event; BKZ</w:t>
      </w:r>
      <w:r>
        <w:rPr>
          <w:lang w:eastAsia="ja-JP"/>
        </w:rPr>
        <w:t xml:space="preserve"> </w:t>
      </w:r>
      <w:r w:rsidR="00D62155" w:rsidRPr="009F17DA">
        <w:rPr>
          <w:lang w:eastAsia="ja-JP"/>
        </w:rPr>
        <w:t>=</w:t>
      </w:r>
      <w:r>
        <w:rPr>
          <w:lang w:eastAsia="ja-JP"/>
        </w:rPr>
        <w:t xml:space="preserve"> </w:t>
      </w:r>
      <w:proofErr w:type="spellStart"/>
      <w:r w:rsidR="00D62155" w:rsidRPr="009F17DA">
        <w:rPr>
          <w:lang w:eastAsia="ja-JP"/>
        </w:rPr>
        <w:t>bimekizumab</w:t>
      </w:r>
      <w:proofErr w:type="spellEnd"/>
      <w:r>
        <w:rPr>
          <w:lang w:eastAsia="ja-JP"/>
        </w:rPr>
        <w:t>.</w:t>
      </w:r>
    </w:p>
    <w:p w14:paraId="32AB4603" w14:textId="73F6254A" w:rsidR="00D62155" w:rsidRDefault="00D62155" w:rsidP="00D62155">
      <w:r>
        <w:t xml:space="preserve">Overall, 419 study participants (93.1%) completed Week 56; the percentage of study participants who completed Week 56 was high across treatment groups, with slightly higher percentages in the </w:t>
      </w:r>
      <w:proofErr w:type="spellStart"/>
      <w:r>
        <w:t>bimekizumab</w:t>
      </w:r>
      <w:proofErr w:type="spellEnd"/>
      <w:r>
        <w:t xml:space="preserve"> 320</w:t>
      </w:r>
      <w:r w:rsidR="00FE69B5">
        <w:t xml:space="preserve"> </w:t>
      </w:r>
      <w:r>
        <w:t xml:space="preserve">mg </w:t>
      </w:r>
      <w:r w:rsidR="00F23C97">
        <w:t>every 4 weeks</w:t>
      </w:r>
      <w:r>
        <w:t xml:space="preserve"> group (94.1%) and the </w:t>
      </w:r>
      <w:proofErr w:type="spellStart"/>
      <w:r>
        <w:t>bimekizumab</w:t>
      </w:r>
      <w:proofErr w:type="spellEnd"/>
      <w:r>
        <w:t xml:space="preserve"> 320</w:t>
      </w:r>
      <w:r w:rsidR="00FE69B5">
        <w:t xml:space="preserve"> </w:t>
      </w:r>
      <w:r>
        <w:t xml:space="preserve">mg </w:t>
      </w:r>
      <w:r w:rsidR="00F23C97">
        <w:t>every 4 weeks</w:t>
      </w:r>
      <w:r>
        <w:t>/</w:t>
      </w:r>
      <w:r w:rsidR="00F23C97">
        <w:t>every 8 weeks</w:t>
      </w:r>
      <w:r>
        <w:t xml:space="preserve"> group (96.0%) compared with the adalimumab/</w:t>
      </w:r>
      <w:proofErr w:type="spellStart"/>
      <w:r>
        <w:t>bimekizumab</w:t>
      </w:r>
      <w:proofErr w:type="spellEnd"/>
      <w:r>
        <w:t xml:space="preserve"> 320</w:t>
      </w:r>
      <w:r w:rsidR="00FE69B5">
        <w:t xml:space="preserve"> </w:t>
      </w:r>
      <w:r>
        <w:t xml:space="preserve">mg </w:t>
      </w:r>
      <w:r w:rsidR="00F23C97">
        <w:t>every 4 weeks</w:t>
      </w:r>
      <w:r>
        <w:t xml:space="preserve"> group (89.3%). </w:t>
      </w:r>
    </w:p>
    <w:p w14:paraId="5C7AF962" w14:textId="030345FD" w:rsidR="00D62155" w:rsidRDefault="00D62155" w:rsidP="00D62155">
      <w:r>
        <w:t xml:space="preserve">The frequency of study discontinuation between Week 24 and Week 56 was low across treatment groups, with slightly lower rates in the </w:t>
      </w:r>
      <w:proofErr w:type="spellStart"/>
      <w:r>
        <w:t>bimekizumab</w:t>
      </w:r>
      <w:proofErr w:type="spellEnd"/>
      <w:r>
        <w:t xml:space="preserve"> </w:t>
      </w:r>
      <w:r w:rsidR="001D2CFA">
        <w:t>320 mg</w:t>
      </w:r>
      <w:r>
        <w:t xml:space="preserve"> </w:t>
      </w:r>
      <w:r w:rsidR="00F23C97">
        <w:t>every 4 weeks</w:t>
      </w:r>
      <w:r>
        <w:t xml:space="preserve"> group and the </w:t>
      </w:r>
      <w:proofErr w:type="spellStart"/>
      <w:r>
        <w:t>bimekizumab</w:t>
      </w:r>
      <w:proofErr w:type="spellEnd"/>
      <w:r>
        <w:t xml:space="preserve"> 320</w:t>
      </w:r>
      <w:r w:rsidR="00FE69B5">
        <w:t xml:space="preserve"> </w:t>
      </w:r>
      <w:r>
        <w:t xml:space="preserve">mg </w:t>
      </w:r>
      <w:r w:rsidR="00F23C97">
        <w:t>every 4 weeks</w:t>
      </w:r>
      <w:r>
        <w:t>/</w:t>
      </w:r>
      <w:r w:rsidR="00F23C97">
        <w:t>every 8 weeks</w:t>
      </w:r>
      <w:r>
        <w:t xml:space="preserve"> group compared with the adalimumab/</w:t>
      </w:r>
      <w:proofErr w:type="spellStart"/>
      <w:r>
        <w:t>bimekizumab</w:t>
      </w:r>
      <w:proofErr w:type="spellEnd"/>
      <w:r>
        <w:t xml:space="preserve"> 320</w:t>
      </w:r>
      <w:r w:rsidR="00FE69B5">
        <w:t xml:space="preserve"> </w:t>
      </w:r>
      <w:r>
        <w:t xml:space="preserve">mg </w:t>
      </w:r>
      <w:r w:rsidR="00F23C97">
        <w:t>every 4 weeks</w:t>
      </w:r>
      <w:r>
        <w:t xml:space="preserve"> group.</w:t>
      </w:r>
    </w:p>
    <w:p w14:paraId="19683D20" w14:textId="70FDF9BE" w:rsidR="00D62155" w:rsidRDefault="00D62155" w:rsidP="00D62155">
      <w:r>
        <w:t xml:space="preserve">The most frequently reported primary reason for discontinuation between Week 24 and Week 56 was due to an </w:t>
      </w:r>
      <w:r w:rsidR="00FE69B5">
        <w:t>adverse event (AE)</w:t>
      </w:r>
      <w:r>
        <w:t xml:space="preserve"> (13 study participants </w:t>
      </w:r>
      <w:r w:rsidR="0055007D">
        <w:t>(</w:t>
      </w:r>
      <w:r>
        <w:t>2.9%</w:t>
      </w:r>
      <w:r w:rsidR="0055007D">
        <w:t>)</w:t>
      </w:r>
      <w:r>
        <w:t>).</w:t>
      </w:r>
    </w:p>
    <w:p w14:paraId="535059D4" w14:textId="4FF1F8D8" w:rsidR="00D62155" w:rsidRDefault="00D62155" w:rsidP="00D62155">
      <w:pPr>
        <w:pStyle w:val="Heading6"/>
      </w:pPr>
      <w:r>
        <w:t>Analysis of populations</w:t>
      </w:r>
    </w:p>
    <w:p w14:paraId="3F4E0B74" w14:textId="2C84C729" w:rsidR="00D62155" w:rsidRDefault="00D62155" w:rsidP="00FE69B5">
      <w:pPr>
        <w:tabs>
          <w:tab w:val="center" w:pos="4252"/>
        </w:tabs>
      </w:pPr>
      <w:r>
        <w:t>The following analysis sets were used:</w:t>
      </w:r>
    </w:p>
    <w:p w14:paraId="301A24CD" w14:textId="63AEBEA4" w:rsidR="00D62155" w:rsidRDefault="00D62155" w:rsidP="00D62155">
      <w:pPr>
        <w:pStyle w:val="ListBullet"/>
      </w:pPr>
      <w:r>
        <w:t xml:space="preserve">The </w:t>
      </w:r>
      <w:r w:rsidR="00FE69B5">
        <w:t>e</w:t>
      </w:r>
      <w:r>
        <w:t xml:space="preserve">nrolled </w:t>
      </w:r>
      <w:r w:rsidR="00FE69B5">
        <w:t>s</w:t>
      </w:r>
      <w:r>
        <w:t>et consisted of all study participants who gave informed consent.</w:t>
      </w:r>
    </w:p>
    <w:p w14:paraId="7602A722" w14:textId="5A530620" w:rsidR="00D62155" w:rsidRDefault="00D62155" w:rsidP="00D62155">
      <w:pPr>
        <w:pStyle w:val="ListBullet"/>
      </w:pPr>
      <w:r>
        <w:t xml:space="preserve">The </w:t>
      </w:r>
      <w:r w:rsidR="00FE69B5">
        <w:t>r</w:t>
      </w:r>
      <w:r>
        <w:t>andomi</w:t>
      </w:r>
      <w:r w:rsidR="00FE69B5">
        <w:t>s</w:t>
      </w:r>
      <w:r>
        <w:t xml:space="preserve">ed </w:t>
      </w:r>
      <w:r w:rsidR="00FE69B5">
        <w:t>s</w:t>
      </w:r>
      <w:r>
        <w:t>et consisted of all randomi</w:t>
      </w:r>
      <w:r w:rsidR="00FE69B5">
        <w:t>s</w:t>
      </w:r>
      <w:r>
        <w:t>ed study participants.</w:t>
      </w:r>
    </w:p>
    <w:p w14:paraId="5ED2BB4F" w14:textId="5FBFC192" w:rsidR="00D62155" w:rsidRDefault="00D62155" w:rsidP="00D62155">
      <w:pPr>
        <w:pStyle w:val="ListBullet"/>
      </w:pPr>
      <w:r>
        <w:t xml:space="preserve">The </w:t>
      </w:r>
      <w:r w:rsidR="00FE69B5">
        <w:t>s</w:t>
      </w:r>
      <w:r>
        <w:t xml:space="preserve">afety </w:t>
      </w:r>
      <w:r w:rsidR="00FE69B5">
        <w:t>s</w:t>
      </w:r>
      <w:r>
        <w:t xml:space="preserve">et consisted of all study participants who received at least </w:t>
      </w:r>
      <w:r w:rsidR="00FE69B5">
        <w:t>one</w:t>
      </w:r>
      <w:r>
        <w:t xml:space="preserve"> dose of study medication.</w:t>
      </w:r>
    </w:p>
    <w:p w14:paraId="5568BE8F" w14:textId="3F3E244C" w:rsidR="00D62155" w:rsidRDefault="00D62155" w:rsidP="00D62155">
      <w:pPr>
        <w:pStyle w:val="ListBullet"/>
      </w:pPr>
      <w:r>
        <w:t xml:space="preserve">The </w:t>
      </w:r>
      <w:r w:rsidR="00FE69B5">
        <w:t>f</w:t>
      </w:r>
      <w:r>
        <w:t xml:space="preserve">ull </w:t>
      </w:r>
      <w:r w:rsidR="00FE69B5">
        <w:t>a</w:t>
      </w:r>
      <w:r>
        <w:t xml:space="preserve">nalysis </w:t>
      </w:r>
      <w:r w:rsidR="00FE69B5">
        <w:t>s</w:t>
      </w:r>
      <w:r>
        <w:t>et</w:t>
      </w:r>
      <w:r w:rsidR="00FE69B5">
        <w:t xml:space="preserve"> </w:t>
      </w:r>
      <w:r>
        <w:t>consisted of all randomi</w:t>
      </w:r>
      <w:r w:rsidR="00FE69B5">
        <w:t>s</w:t>
      </w:r>
      <w:r>
        <w:t xml:space="preserve">ed study participants who received at least </w:t>
      </w:r>
      <w:r w:rsidR="00FE69B5">
        <w:t xml:space="preserve">one </w:t>
      </w:r>
      <w:r>
        <w:t>dose of study medication and had a valid measurement for each of the co</w:t>
      </w:r>
      <w:r w:rsidR="00FE69B5">
        <w:noBreakHyphen/>
      </w:r>
      <w:r>
        <w:t>primary efficacy variables at Baseline.</w:t>
      </w:r>
    </w:p>
    <w:p w14:paraId="2E634D44" w14:textId="7B8843BE" w:rsidR="00D62155" w:rsidRDefault="00D62155" w:rsidP="00D62155">
      <w:pPr>
        <w:pStyle w:val="ListBullet"/>
      </w:pPr>
      <w:r>
        <w:t xml:space="preserve">The </w:t>
      </w:r>
      <w:proofErr w:type="spellStart"/>
      <w:r w:rsidR="008B40FD">
        <w:t>b</w:t>
      </w:r>
      <w:r>
        <w:t>imekizumab</w:t>
      </w:r>
      <w:proofErr w:type="spellEnd"/>
      <w:r>
        <w:t xml:space="preserve"> </w:t>
      </w:r>
      <w:r w:rsidR="008B40FD">
        <w:t>s</w:t>
      </w:r>
      <w:r>
        <w:t xml:space="preserve">et consisted of all study participants who received at least </w:t>
      </w:r>
      <w:r w:rsidR="00FE69B5">
        <w:t>one</w:t>
      </w:r>
      <w:r>
        <w:t xml:space="preserve"> dose of </w:t>
      </w:r>
      <w:proofErr w:type="spellStart"/>
      <w:r>
        <w:t>bimekizumab</w:t>
      </w:r>
      <w:proofErr w:type="spellEnd"/>
      <w:r>
        <w:t xml:space="preserve"> in this study.</w:t>
      </w:r>
    </w:p>
    <w:p w14:paraId="3297F0F6" w14:textId="299E8314" w:rsidR="00D62155" w:rsidRDefault="00D62155" w:rsidP="00D62155">
      <w:pPr>
        <w:pStyle w:val="ListBullet"/>
      </w:pPr>
      <w:r>
        <w:lastRenderedPageBreak/>
        <w:t xml:space="preserve">The </w:t>
      </w:r>
      <w:proofErr w:type="spellStart"/>
      <w:r w:rsidR="008B40FD">
        <w:t>bimekizumab</w:t>
      </w:r>
      <w:proofErr w:type="spellEnd"/>
      <w:r>
        <w:t xml:space="preserve"> Week 24 Set consisted of all study participants who received at least </w:t>
      </w:r>
      <w:r w:rsidR="00FE69B5">
        <w:t>one</w:t>
      </w:r>
      <w:r>
        <w:t xml:space="preserve"> dose of </w:t>
      </w:r>
      <w:proofErr w:type="spellStart"/>
      <w:r w:rsidR="008B40FD">
        <w:t>bimekizumab</w:t>
      </w:r>
      <w:proofErr w:type="spellEnd"/>
      <w:r>
        <w:t xml:space="preserve"> on or after Week 24.</w:t>
      </w:r>
    </w:p>
    <w:p w14:paraId="0A03DD3F" w14:textId="1C4687B1" w:rsidR="00D62155" w:rsidRDefault="00D62155" w:rsidP="00D62155">
      <w:pPr>
        <w:pStyle w:val="ListBullet"/>
      </w:pPr>
      <w:r>
        <w:t xml:space="preserve">The </w:t>
      </w:r>
      <w:r w:rsidR="00FE69B5">
        <w:t>m</w:t>
      </w:r>
      <w:r>
        <w:t xml:space="preserve">aintenance </w:t>
      </w:r>
      <w:r w:rsidR="00FE69B5">
        <w:t>s</w:t>
      </w:r>
      <w:r>
        <w:t>et</w:t>
      </w:r>
      <w:r w:rsidR="00FE69B5">
        <w:t xml:space="preserve"> </w:t>
      </w:r>
      <w:r>
        <w:t xml:space="preserve">consisted of all study participants who received at least </w:t>
      </w:r>
      <w:r w:rsidR="0055007D">
        <w:t>one</w:t>
      </w:r>
      <w:r>
        <w:t xml:space="preserve"> dose of active </w:t>
      </w:r>
      <w:r w:rsidR="0055007D">
        <w:t xml:space="preserve">treatment </w:t>
      </w:r>
      <w:r>
        <w:t>(</w:t>
      </w:r>
      <w:proofErr w:type="spellStart"/>
      <w:r>
        <w:t>bimekizumab</w:t>
      </w:r>
      <w:proofErr w:type="spellEnd"/>
      <w:r>
        <w:t xml:space="preserve"> or adalimumab) in the </w:t>
      </w:r>
      <w:r w:rsidR="00FE69B5">
        <w:t>m</w:t>
      </w:r>
      <w:r>
        <w:t xml:space="preserve">aintenance </w:t>
      </w:r>
      <w:r w:rsidR="00FE69B5">
        <w:t>t</w:t>
      </w:r>
      <w:r>
        <w:t xml:space="preserve">reatment </w:t>
      </w:r>
      <w:r w:rsidR="00FE69B5">
        <w:t>p</w:t>
      </w:r>
      <w:r>
        <w:t xml:space="preserve">eriod (at Week 16 or later). </w:t>
      </w:r>
    </w:p>
    <w:p w14:paraId="538D3307" w14:textId="3B5286D3" w:rsidR="00D62155" w:rsidRDefault="00D62155" w:rsidP="00D62155">
      <w:pPr>
        <w:pStyle w:val="ListBullet"/>
      </w:pPr>
      <w:r>
        <w:t xml:space="preserve">The </w:t>
      </w:r>
      <w:r w:rsidR="00FE69B5">
        <w:t>p</w:t>
      </w:r>
      <w:r>
        <w:t>er-</w:t>
      </w:r>
      <w:r w:rsidR="00FE69B5">
        <w:t>p</w:t>
      </w:r>
      <w:r>
        <w:t xml:space="preserve">rotocol </w:t>
      </w:r>
      <w:r w:rsidR="00FE69B5">
        <w:t>s</w:t>
      </w:r>
      <w:r>
        <w:t xml:space="preserve">et consisted of all study participants in the </w:t>
      </w:r>
      <w:r w:rsidR="00FE69B5">
        <w:t>randomised set</w:t>
      </w:r>
      <w:r>
        <w:t xml:space="preserve"> who had no important protocol deviations affecting the primary efficacy variables. Important protocol deviations were predefined, and study participants with important protocol deviations were evaluated during ongoing data cleaning meetings prior to unblinding of the data.</w:t>
      </w:r>
    </w:p>
    <w:p w14:paraId="7081A471" w14:textId="5D987F99" w:rsidR="00D62155" w:rsidRDefault="00D62155" w:rsidP="00D62155">
      <w:r>
        <w:t xml:space="preserve">Analysis set per treatment arm is as shown </w:t>
      </w:r>
      <w:r w:rsidR="00FE69B5">
        <w:t xml:space="preserve">in </w:t>
      </w:r>
      <w:r w:rsidR="00FE69B5">
        <w:fldChar w:fldCharType="begin"/>
      </w:r>
      <w:r w:rsidR="00FE69B5">
        <w:instrText xml:space="preserve"> REF _Ref129948710 \h </w:instrText>
      </w:r>
      <w:r w:rsidR="00FE69B5">
        <w:fldChar w:fldCharType="separate"/>
      </w:r>
      <w:r w:rsidR="00B54079" w:rsidRPr="00FE69B5">
        <w:t xml:space="preserve">Figure </w:t>
      </w:r>
      <w:r w:rsidR="00B54079">
        <w:rPr>
          <w:noProof/>
        </w:rPr>
        <w:t>15</w:t>
      </w:r>
      <w:r w:rsidR="00FE69B5">
        <w:fldChar w:fldCharType="end"/>
      </w:r>
      <w:r w:rsidR="00FE69B5">
        <w:t>.</w:t>
      </w:r>
    </w:p>
    <w:p w14:paraId="79A2FD64" w14:textId="4BC4CC17" w:rsidR="00D62155" w:rsidRDefault="00D62155" w:rsidP="00FE69B5">
      <w:pPr>
        <w:pStyle w:val="TableTitle"/>
      </w:pPr>
      <w:bookmarkStart w:id="90" w:name="_Ref129948710"/>
      <w:r w:rsidRPr="00FE69B5">
        <w:t xml:space="preserve">Figure </w:t>
      </w:r>
      <w:r w:rsidR="00172397">
        <w:fldChar w:fldCharType="begin"/>
      </w:r>
      <w:r w:rsidR="00172397">
        <w:instrText xml:space="preserve"> SEQ Figure \* ARABIC </w:instrText>
      </w:r>
      <w:r w:rsidR="00172397">
        <w:fldChar w:fldCharType="separate"/>
      </w:r>
      <w:r w:rsidR="00B54079">
        <w:rPr>
          <w:noProof/>
        </w:rPr>
        <w:t>15</w:t>
      </w:r>
      <w:r w:rsidR="00172397">
        <w:rPr>
          <w:noProof/>
        </w:rPr>
        <w:fldChar w:fldCharType="end"/>
      </w:r>
      <w:bookmarkEnd w:id="90"/>
      <w:r>
        <w:t xml:space="preserve">: </w:t>
      </w:r>
      <w:r w:rsidR="0055007D">
        <w:t xml:space="preserve">Study PS0008 </w:t>
      </w:r>
      <w:r w:rsidR="00FE69B5">
        <w:t>Analysis set per treatment arm</w:t>
      </w:r>
    </w:p>
    <w:tbl>
      <w:tblPr>
        <w:tblW w:w="8640" w:type="dxa"/>
        <w:jc w:val="center"/>
        <w:tblLayout w:type="fixed"/>
        <w:tblCellMar>
          <w:left w:w="0" w:type="dxa"/>
          <w:right w:w="0" w:type="dxa"/>
        </w:tblCellMar>
        <w:tblLook w:val="0000" w:firstRow="0" w:lastRow="0" w:firstColumn="0" w:lastColumn="0" w:noHBand="0" w:noVBand="0"/>
      </w:tblPr>
      <w:tblGrid>
        <w:gridCol w:w="2070"/>
        <w:gridCol w:w="1350"/>
        <w:gridCol w:w="1350"/>
        <w:gridCol w:w="1260"/>
        <w:gridCol w:w="1350"/>
        <w:gridCol w:w="1260"/>
      </w:tblGrid>
      <w:tr w:rsidR="0055007D" w:rsidRPr="00D62155" w14:paraId="2CE3E3A6" w14:textId="77777777" w:rsidTr="006E7089">
        <w:trPr>
          <w:trHeight w:val="1811"/>
          <w:jc w:val="center"/>
        </w:trPr>
        <w:tc>
          <w:tcPr>
            <w:tcW w:w="2070" w:type="dxa"/>
            <w:tcBorders>
              <w:top w:val="single" w:sz="6" w:space="0" w:color="auto"/>
              <w:left w:val="single" w:sz="6" w:space="0" w:color="auto"/>
              <w:right w:val="single" w:sz="6" w:space="0" w:color="auto"/>
            </w:tcBorders>
            <w:vAlign w:val="center"/>
          </w:tcPr>
          <w:p w14:paraId="6B13BA1A" w14:textId="70F30B98" w:rsidR="00D62155" w:rsidRPr="00D62155" w:rsidRDefault="00D62155" w:rsidP="00D62155">
            <w:pPr>
              <w:widowControl w:val="0"/>
              <w:autoSpaceDE w:val="0"/>
              <w:autoSpaceDN w:val="0"/>
              <w:adjustRightInd w:val="0"/>
              <w:spacing w:after="0" w:line="240" w:lineRule="auto"/>
              <w:ind w:left="115"/>
              <w:jc w:val="center"/>
              <w:textAlignment w:val="baseline"/>
              <w:rPr>
                <w:rFonts w:eastAsia="Times New Roman"/>
                <w:b/>
                <w:sz w:val="20"/>
                <w:szCs w:val="20"/>
                <w:lang w:val="en-US" w:eastAsia="zh-CN"/>
              </w:rPr>
            </w:pPr>
            <w:r w:rsidRPr="00D62155">
              <w:rPr>
                <w:rFonts w:eastAsia="Times New Roman"/>
                <w:b/>
                <w:sz w:val="20"/>
                <w:szCs w:val="20"/>
                <w:lang w:val="en-US" w:eastAsia="zh-CN"/>
              </w:rPr>
              <w:t>Analysis set</w:t>
            </w:r>
          </w:p>
        </w:tc>
        <w:tc>
          <w:tcPr>
            <w:tcW w:w="1350" w:type="dxa"/>
            <w:tcBorders>
              <w:top w:val="single" w:sz="6" w:space="0" w:color="auto"/>
              <w:left w:val="single" w:sz="6" w:space="0" w:color="auto"/>
              <w:right w:val="single" w:sz="6" w:space="0" w:color="auto"/>
            </w:tcBorders>
            <w:vAlign w:val="center"/>
          </w:tcPr>
          <w:p w14:paraId="16B76A47" w14:textId="77777777" w:rsidR="0055007D" w:rsidRDefault="00D62155" w:rsidP="00D62155">
            <w:pPr>
              <w:widowControl w:val="0"/>
              <w:autoSpaceDE w:val="0"/>
              <w:autoSpaceDN w:val="0"/>
              <w:adjustRightInd w:val="0"/>
              <w:spacing w:after="0" w:line="240" w:lineRule="auto"/>
              <w:ind w:left="19"/>
              <w:jc w:val="center"/>
              <w:textAlignment w:val="baseline"/>
              <w:rPr>
                <w:rFonts w:eastAsia="Times New Roman"/>
                <w:b/>
                <w:sz w:val="20"/>
                <w:szCs w:val="20"/>
                <w:lang w:val="en-US" w:eastAsia="zh-CN"/>
              </w:rPr>
            </w:pPr>
            <w:r w:rsidRPr="00D62155">
              <w:rPr>
                <w:rFonts w:eastAsia="Times New Roman"/>
                <w:b/>
                <w:sz w:val="20"/>
                <w:szCs w:val="20"/>
                <w:lang w:val="en-US" w:eastAsia="zh-CN"/>
              </w:rPr>
              <w:t>BKZ</w:t>
            </w:r>
          </w:p>
          <w:p w14:paraId="27900B8B" w14:textId="2720BF1B" w:rsidR="00D62155" w:rsidRPr="00D62155" w:rsidRDefault="001D2CFA">
            <w:pPr>
              <w:widowControl w:val="0"/>
              <w:autoSpaceDE w:val="0"/>
              <w:autoSpaceDN w:val="0"/>
              <w:adjustRightInd w:val="0"/>
              <w:spacing w:after="0" w:line="240" w:lineRule="auto"/>
              <w:ind w:left="19"/>
              <w:jc w:val="center"/>
              <w:textAlignment w:val="baseline"/>
              <w:rPr>
                <w:rFonts w:eastAsia="Times New Roman"/>
                <w:b/>
                <w:sz w:val="20"/>
                <w:szCs w:val="20"/>
                <w:lang w:val="en-US" w:eastAsia="zh-CN"/>
              </w:rPr>
            </w:pPr>
            <w:r>
              <w:rPr>
                <w:rFonts w:eastAsia="Times New Roman"/>
                <w:b/>
                <w:sz w:val="20"/>
                <w:szCs w:val="20"/>
                <w:lang w:val="en-US" w:eastAsia="zh-CN"/>
              </w:rPr>
              <w:t>320 mg</w:t>
            </w:r>
            <w:r w:rsidR="0055007D">
              <w:rPr>
                <w:rFonts w:eastAsia="Times New Roman"/>
                <w:b/>
                <w:sz w:val="20"/>
                <w:szCs w:val="20"/>
                <w:lang w:val="en-US" w:eastAsia="zh-CN"/>
              </w:rPr>
              <w:t xml:space="preserve"> </w:t>
            </w:r>
            <w:r w:rsidR="00F23C97">
              <w:rPr>
                <w:rFonts w:eastAsia="Times New Roman"/>
                <w:b/>
                <w:sz w:val="20"/>
                <w:szCs w:val="20"/>
                <w:lang w:val="en-US" w:eastAsia="zh-CN"/>
              </w:rPr>
              <w:t>every 4 weeks</w:t>
            </w:r>
            <w:r w:rsidR="0055007D">
              <w:rPr>
                <w:rFonts w:eastAsia="Times New Roman"/>
                <w:b/>
                <w:sz w:val="20"/>
                <w:szCs w:val="20"/>
                <w:lang w:val="en-US" w:eastAsia="zh-CN"/>
              </w:rPr>
              <w:t xml:space="preserve"> </w:t>
            </w:r>
            <w:r w:rsidR="00D62155" w:rsidRPr="00D62155">
              <w:rPr>
                <w:rFonts w:eastAsia="Times New Roman"/>
                <w:b/>
                <w:sz w:val="20"/>
                <w:szCs w:val="20"/>
                <w:lang w:val="en-US" w:eastAsia="zh-CN"/>
              </w:rPr>
              <w:t>/</w:t>
            </w:r>
            <w:r w:rsidR="0055007D">
              <w:rPr>
                <w:rFonts w:eastAsia="Times New Roman"/>
                <w:b/>
                <w:sz w:val="20"/>
                <w:szCs w:val="20"/>
                <w:lang w:val="en-US" w:eastAsia="zh-CN"/>
              </w:rPr>
              <w:t xml:space="preserve"> </w:t>
            </w:r>
            <w:r w:rsidR="00F23C97">
              <w:rPr>
                <w:rFonts w:eastAsia="Times New Roman"/>
                <w:b/>
                <w:sz w:val="20"/>
                <w:szCs w:val="20"/>
                <w:lang w:val="en-US" w:eastAsia="zh-CN"/>
              </w:rPr>
              <w:t>every 8 weeks</w:t>
            </w:r>
          </w:p>
          <w:p w14:paraId="5C179C2D" w14:textId="6946386B" w:rsidR="00D62155" w:rsidRPr="00D62155" w:rsidRDefault="001D2CFA" w:rsidP="00D62155">
            <w:pPr>
              <w:widowControl w:val="0"/>
              <w:autoSpaceDE w:val="0"/>
              <w:autoSpaceDN w:val="0"/>
              <w:adjustRightInd w:val="0"/>
              <w:spacing w:after="0" w:line="240" w:lineRule="auto"/>
              <w:ind w:left="19"/>
              <w:jc w:val="center"/>
              <w:textAlignment w:val="baseline"/>
              <w:rPr>
                <w:rFonts w:eastAsia="Times New Roman"/>
                <w:b/>
                <w:sz w:val="20"/>
                <w:szCs w:val="20"/>
                <w:lang w:val="en-US" w:eastAsia="zh-CN"/>
              </w:rPr>
            </w:pPr>
            <w:r>
              <w:rPr>
                <w:rFonts w:eastAsia="Times New Roman"/>
                <w:b/>
                <w:sz w:val="20"/>
                <w:szCs w:val="20"/>
                <w:lang w:val="en-US" w:eastAsia="zh-CN"/>
              </w:rPr>
              <w:t xml:space="preserve">N = </w:t>
            </w:r>
            <w:r w:rsidR="00D62155" w:rsidRPr="00D62155">
              <w:rPr>
                <w:rFonts w:eastAsia="Times New Roman"/>
                <w:b/>
                <w:sz w:val="20"/>
                <w:szCs w:val="20"/>
                <w:lang w:val="en-US" w:eastAsia="zh-CN"/>
              </w:rPr>
              <w:t>161</w:t>
            </w:r>
          </w:p>
          <w:p w14:paraId="6ED76F07" w14:textId="0F3B8E15" w:rsidR="00D62155" w:rsidRPr="00D62155" w:rsidRDefault="00D62155" w:rsidP="00D62155">
            <w:pPr>
              <w:widowControl w:val="0"/>
              <w:autoSpaceDE w:val="0"/>
              <w:autoSpaceDN w:val="0"/>
              <w:adjustRightInd w:val="0"/>
              <w:spacing w:after="0" w:line="240" w:lineRule="auto"/>
              <w:ind w:left="19"/>
              <w:jc w:val="center"/>
              <w:textAlignment w:val="baseline"/>
              <w:rPr>
                <w:rFonts w:eastAsia="Times New Roman"/>
                <w:b/>
                <w:sz w:val="20"/>
                <w:szCs w:val="20"/>
                <w:lang w:val="en-US" w:eastAsia="zh-CN"/>
              </w:rPr>
            </w:pPr>
            <w:r w:rsidRPr="00D62155">
              <w:rPr>
                <w:rFonts w:eastAsia="Times New Roman"/>
                <w:b/>
                <w:sz w:val="20"/>
                <w:szCs w:val="20"/>
                <w:lang w:val="en-US" w:eastAsia="zh-CN"/>
              </w:rPr>
              <w:t xml:space="preserve">n </w:t>
            </w:r>
            <w:r w:rsidRPr="00D62155">
              <w:rPr>
                <w:rFonts w:eastAsia="Arial" w:cs="Arial"/>
                <w:b/>
                <w:w w:val="114"/>
                <w:sz w:val="20"/>
                <w:szCs w:val="20"/>
                <w:lang w:val="en-US" w:eastAsia="zh-CN"/>
              </w:rPr>
              <w:t>(%)</w:t>
            </w:r>
          </w:p>
        </w:tc>
        <w:tc>
          <w:tcPr>
            <w:tcW w:w="1350" w:type="dxa"/>
            <w:tcBorders>
              <w:top w:val="single" w:sz="6" w:space="0" w:color="auto"/>
              <w:left w:val="single" w:sz="6" w:space="0" w:color="auto"/>
              <w:right w:val="single" w:sz="6" w:space="0" w:color="auto"/>
            </w:tcBorders>
            <w:vAlign w:val="center"/>
          </w:tcPr>
          <w:p w14:paraId="413784D5" w14:textId="77777777" w:rsidR="0055007D" w:rsidRDefault="00D62155" w:rsidP="00D62155">
            <w:pPr>
              <w:widowControl w:val="0"/>
              <w:autoSpaceDE w:val="0"/>
              <w:autoSpaceDN w:val="0"/>
              <w:adjustRightInd w:val="0"/>
              <w:spacing w:after="0" w:line="240" w:lineRule="auto"/>
              <w:ind w:left="24"/>
              <w:jc w:val="center"/>
              <w:textAlignment w:val="baseline"/>
              <w:rPr>
                <w:rFonts w:eastAsia="Times New Roman"/>
                <w:b/>
                <w:sz w:val="20"/>
                <w:szCs w:val="20"/>
                <w:lang w:val="en-US" w:eastAsia="zh-CN"/>
              </w:rPr>
            </w:pPr>
            <w:r w:rsidRPr="00D62155">
              <w:rPr>
                <w:rFonts w:eastAsia="Times New Roman"/>
                <w:b/>
                <w:sz w:val="20"/>
                <w:szCs w:val="20"/>
                <w:lang w:val="en-US" w:eastAsia="zh-CN"/>
              </w:rPr>
              <w:t>BKZ</w:t>
            </w:r>
          </w:p>
          <w:p w14:paraId="64BC0207" w14:textId="2E5039AA" w:rsidR="00D62155" w:rsidRPr="00D62155" w:rsidRDefault="001D2CFA">
            <w:pPr>
              <w:widowControl w:val="0"/>
              <w:autoSpaceDE w:val="0"/>
              <w:autoSpaceDN w:val="0"/>
              <w:adjustRightInd w:val="0"/>
              <w:spacing w:after="0" w:line="240" w:lineRule="auto"/>
              <w:ind w:left="24"/>
              <w:jc w:val="center"/>
              <w:textAlignment w:val="baseline"/>
              <w:rPr>
                <w:rFonts w:eastAsia="Times New Roman"/>
                <w:b/>
                <w:sz w:val="20"/>
                <w:szCs w:val="20"/>
                <w:lang w:val="en-US" w:eastAsia="zh-CN"/>
              </w:rPr>
            </w:pPr>
            <w:r>
              <w:rPr>
                <w:rFonts w:eastAsia="Times New Roman"/>
                <w:b/>
                <w:sz w:val="20"/>
                <w:szCs w:val="20"/>
                <w:lang w:val="en-US" w:eastAsia="zh-CN"/>
              </w:rPr>
              <w:t>320 mg</w:t>
            </w:r>
            <w:r w:rsidR="0055007D">
              <w:rPr>
                <w:rFonts w:eastAsia="Times New Roman"/>
                <w:b/>
                <w:sz w:val="20"/>
                <w:szCs w:val="20"/>
                <w:lang w:val="en-US" w:eastAsia="zh-CN"/>
              </w:rPr>
              <w:t xml:space="preserve"> </w:t>
            </w:r>
            <w:r w:rsidR="00F23C97">
              <w:rPr>
                <w:rFonts w:eastAsia="Times New Roman"/>
                <w:b/>
                <w:sz w:val="20"/>
                <w:szCs w:val="20"/>
                <w:lang w:val="en-US" w:eastAsia="zh-CN"/>
              </w:rPr>
              <w:t>every 4 weeks</w:t>
            </w:r>
          </w:p>
          <w:p w14:paraId="1BA6BA03" w14:textId="0932C12F" w:rsidR="00D62155" w:rsidRPr="00D62155" w:rsidRDefault="001D2CFA" w:rsidP="00D62155">
            <w:pPr>
              <w:widowControl w:val="0"/>
              <w:autoSpaceDE w:val="0"/>
              <w:autoSpaceDN w:val="0"/>
              <w:adjustRightInd w:val="0"/>
              <w:spacing w:after="0" w:line="240" w:lineRule="auto"/>
              <w:ind w:left="24"/>
              <w:jc w:val="center"/>
              <w:textAlignment w:val="baseline"/>
              <w:rPr>
                <w:rFonts w:eastAsia="Times New Roman"/>
                <w:b/>
                <w:sz w:val="20"/>
                <w:szCs w:val="20"/>
                <w:lang w:val="en-US" w:eastAsia="zh-CN"/>
              </w:rPr>
            </w:pPr>
            <w:r>
              <w:rPr>
                <w:rFonts w:eastAsia="Times New Roman"/>
                <w:b/>
                <w:sz w:val="20"/>
                <w:szCs w:val="20"/>
                <w:lang w:val="en-US" w:eastAsia="zh-CN"/>
              </w:rPr>
              <w:t xml:space="preserve">N = </w:t>
            </w:r>
            <w:r w:rsidR="00D62155" w:rsidRPr="00D62155">
              <w:rPr>
                <w:rFonts w:eastAsia="Times New Roman"/>
                <w:b/>
                <w:sz w:val="20"/>
                <w:szCs w:val="20"/>
                <w:lang w:val="en-US" w:eastAsia="zh-CN"/>
              </w:rPr>
              <w:t>158</w:t>
            </w:r>
          </w:p>
          <w:p w14:paraId="59CB5BD9" w14:textId="05890D37" w:rsidR="00D62155" w:rsidRPr="00D62155" w:rsidRDefault="00D62155" w:rsidP="00D62155">
            <w:pPr>
              <w:widowControl w:val="0"/>
              <w:autoSpaceDE w:val="0"/>
              <w:autoSpaceDN w:val="0"/>
              <w:adjustRightInd w:val="0"/>
              <w:spacing w:after="0" w:line="240" w:lineRule="auto"/>
              <w:ind w:left="24"/>
              <w:jc w:val="center"/>
              <w:textAlignment w:val="baseline"/>
              <w:rPr>
                <w:rFonts w:eastAsia="Times New Roman"/>
                <w:b/>
                <w:sz w:val="20"/>
                <w:szCs w:val="20"/>
                <w:lang w:val="en-US" w:eastAsia="zh-CN"/>
              </w:rPr>
            </w:pPr>
            <w:r w:rsidRPr="00D62155">
              <w:rPr>
                <w:rFonts w:eastAsia="Times New Roman"/>
                <w:b/>
                <w:sz w:val="20"/>
                <w:szCs w:val="20"/>
                <w:lang w:val="en-US" w:eastAsia="zh-CN"/>
              </w:rPr>
              <w:t xml:space="preserve">n </w:t>
            </w:r>
            <w:r w:rsidRPr="00D62155">
              <w:rPr>
                <w:rFonts w:eastAsia="Arial" w:cs="Arial"/>
                <w:b/>
                <w:w w:val="114"/>
                <w:sz w:val="20"/>
                <w:szCs w:val="20"/>
                <w:lang w:val="en-US" w:eastAsia="zh-CN"/>
              </w:rPr>
              <w:t>(%)</w:t>
            </w:r>
          </w:p>
        </w:tc>
        <w:tc>
          <w:tcPr>
            <w:tcW w:w="1260" w:type="dxa"/>
            <w:tcBorders>
              <w:top w:val="single" w:sz="6" w:space="0" w:color="auto"/>
              <w:left w:val="single" w:sz="6" w:space="0" w:color="auto"/>
              <w:right w:val="single" w:sz="6" w:space="0" w:color="auto"/>
            </w:tcBorders>
            <w:vAlign w:val="center"/>
          </w:tcPr>
          <w:p w14:paraId="6AA6B2F6" w14:textId="77777777" w:rsidR="00D62155" w:rsidRPr="00D62155" w:rsidRDefault="00D62155" w:rsidP="009B153D">
            <w:pPr>
              <w:widowControl w:val="0"/>
              <w:autoSpaceDE w:val="0"/>
              <w:autoSpaceDN w:val="0"/>
              <w:adjustRightInd w:val="0"/>
              <w:spacing w:after="0" w:line="240" w:lineRule="auto"/>
              <w:ind w:left="24"/>
              <w:jc w:val="center"/>
              <w:textAlignment w:val="baseline"/>
              <w:rPr>
                <w:rFonts w:eastAsia="Times New Roman"/>
                <w:b/>
                <w:sz w:val="20"/>
                <w:szCs w:val="20"/>
                <w:lang w:val="en-US" w:eastAsia="zh-CN"/>
              </w:rPr>
            </w:pPr>
            <w:r w:rsidRPr="00D62155">
              <w:rPr>
                <w:rFonts w:eastAsia="Times New Roman"/>
                <w:b/>
                <w:sz w:val="20"/>
                <w:szCs w:val="20"/>
                <w:lang w:val="en-US" w:eastAsia="zh-CN"/>
              </w:rPr>
              <w:t xml:space="preserve">BKZ Total </w:t>
            </w:r>
          </w:p>
          <w:p w14:paraId="182C846D" w14:textId="1153F0D4" w:rsidR="00D62155" w:rsidRPr="00D62155" w:rsidRDefault="001D2CFA" w:rsidP="009B153D">
            <w:pPr>
              <w:widowControl w:val="0"/>
              <w:autoSpaceDE w:val="0"/>
              <w:autoSpaceDN w:val="0"/>
              <w:adjustRightInd w:val="0"/>
              <w:spacing w:after="0" w:line="240" w:lineRule="auto"/>
              <w:ind w:left="24"/>
              <w:jc w:val="center"/>
              <w:textAlignment w:val="baseline"/>
              <w:rPr>
                <w:rFonts w:eastAsia="Times New Roman"/>
                <w:b/>
                <w:sz w:val="20"/>
                <w:szCs w:val="20"/>
                <w:lang w:val="en-US" w:eastAsia="zh-CN"/>
              </w:rPr>
            </w:pPr>
            <w:r>
              <w:rPr>
                <w:rFonts w:eastAsia="Times New Roman"/>
                <w:b/>
                <w:sz w:val="20"/>
                <w:szCs w:val="20"/>
                <w:lang w:val="en-US" w:eastAsia="zh-CN"/>
              </w:rPr>
              <w:t xml:space="preserve">N = </w:t>
            </w:r>
            <w:r w:rsidR="00D62155" w:rsidRPr="00D62155">
              <w:rPr>
                <w:rFonts w:eastAsia="Times New Roman"/>
                <w:b/>
                <w:sz w:val="20"/>
                <w:szCs w:val="20"/>
                <w:lang w:val="en-US" w:eastAsia="zh-CN"/>
              </w:rPr>
              <w:t xml:space="preserve">319 </w:t>
            </w:r>
          </w:p>
          <w:p w14:paraId="698F7ADB" w14:textId="7EE10324" w:rsidR="00D62155" w:rsidRPr="00D62155" w:rsidRDefault="00D62155" w:rsidP="009B153D">
            <w:pPr>
              <w:widowControl w:val="0"/>
              <w:autoSpaceDE w:val="0"/>
              <w:autoSpaceDN w:val="0"/>
              <w:adjustRightInd w:val="0"/>
              <w:spacing w:after="0" w:line="240" w:lineRule="auto"/>
              <w:ind w:left="24"/>
              <w:jc w:val="center"/>
              <w:textAlignment w:val="baseline"/>
              <w:rPr>
                <w:rFonts w:eastAsia="Times New Roman"/>
                <w:b/>
                <w:sz w:val="20"/>
                <w:szCs w:val="20"/>
                <w:lang w:val="en-US" w:eastAsia="zh-CN"/>
              </w:rPr>
            </w:pPr>
            <w:r w:rsidRPr="00D62155">
              <w:rPr>
                <w:rFonts w:eastAsia="Times New Roman"/>
                <w:b/>
                <w:sz w:val="20"/>
                <w:szCs w:val="20"/>
                <w:lang w:val="en-US" w:eastAsia="zh-CN"/>
              </w:rPr>
              <w:t xml:space="preserve">n </w:t>
            </w:r>
            <w:r w:rsidRPr="00D62155">
              <w:rPr>
                <w:rFonts w:eastAsia="Arial" w:cs="Arial"/>
                <w:b/>
                <w:w w:val="114"/>
                <w:sz w:val="20"/>
                <w:szCs w:val="20"/>
                <w:lang w:val="en-US" w:eastAsia="zh-CN"/>
              </w:rPr>
              <w:t xml:space="preserve">(%) </w:t>
            </w:r>
          </w:p>
        </w:tc>
        <w:tc>
          <w:tcPr>
            <w:tcW w:w="1350" w:type="dxa"/>
            <w:tcBorders>
              <w:top w:val="single" w:sz="6" w:space="0" w:color="auto"/>
              <w:left w:val="single" w:sz="6" w:space="0" w:color="auto"/>
              <w:right w:val="single" w:sz="6" w:space="0" w:color="auto"/>
            </w:tcBorders>
            <w:vAlign w:val="center"/>
          </w:tcPr>
          <w:p w14:paraId="640B0A2D" w14:textId="46D3E643" w:rsidR="00D62155" w:rsidRPr="00D62155" w:rsidRDefault="00D62155" w:rsidP="00D62155">
            <w:pPr>
              <w:widowControl w:val="0"/>
              <w:autoSpaceDE w:val="0"/>
              <w:autoSpaceDN w:val="0"/>
              <w:adjustRightInd w:val="0"/>
              <w:spacing w:after="0" w:line="240" w:lineRule="auto"/>
              <w:ind w:left="34"/>
              <w:jc w:val="center"/>
              <w:textAlignment w:val="baseline"/>
              <w:rPr>
                <w:rFonts w:eastAsia="Times New Roman"/>
                <w:b/>
                <w:sz w:val="20"/>
                <w:szCs w:val="20"/>
                <w:lang w:val="en-US" w:eastAsia="zh-CN"/>
              </w:rPr>
            </w:pPr>
            <w:r w:rsidRPr="00D62155">
              <w:rPr>
                <w:rFonts w:eastAsia="Times New Roman"/>
                <w:b/>
                <w:sz w:val="20"/>
                <w:szCs w:val="20"/>
                <w:lang w:val="en-US" w:eastAsia="zh-CN"/>
              </w:rPr>
              <w:t>ADA/BKZ</w:t>
            </w:r>
          </w:p>
          <w:p w14:paraId="16923B50" w14:textId="66D211DF" w:rsidR="00D62155" w:rsidRPr="00D62155" w:rsidRDefault="001D2CFA" w:rsidP="00D62155">
            <w:pPr>
              <w:widowControl w:val="0"/>
              <w:autoSpaceDE w:val="0"/>
              <w:autoSpaceDN w:val="0"/>
              <w:adjustRightInd w:val="0"/>
              <w:spacing w:after="0" w:line="240" w:lineRule="auto"/>
              <w:ind w:left="34"/>
              <w:jc w:val="center"/>
              <w:textAlignment w:val="baseline"/>
              <w:rPr>
                <w:rFonts w:eastAsia="Times New Roman"/>
                <w:b/>
                <w:sz w:val="20"/>
                <w:szCs w:val="20"/>
                <w:lang w:val="en-US" w:eastAsia="zh-CN"/>
              </w:rPr>
            </w:pPr>
            <w:r>
              <w:rPr>
                <w:rFonts w:eastAsia="Times New Roman"/>
                <w:b/>
                <w:sz w:val="20"/>
                <w:szCs w:val="20"/>
                <w:lang w:val="en-US" w:eastAsia="zh-CN"/>
              </w:rPr>
              <w:t>320 mg</w:t>
            </w:r>
            <w:r w:rsidR="0055007D">
              <w:rPr>
                <w:rFonts w:eastAsia="Times New Roman"/>
                <w:b/>
                <w:sz w:val="20"/>
                <w:szCs w:val="20"/>
                <w:lang w:val="en-US" w:eastAsia="zh-CN"/>
              </w:rPr>
              <w:t xml:space="preserve"> </w:t>
            </w:r>
            <w:r w:rsidR="00F23C97">
              <w:rPr>
                <w:rFonts w:eastAsia="Times New Roman"/>
                <w:b/>
                <w:sz w:val="20"/>
                <w:szCs w:val="20"/>
                <w:lang w:val="en-US" w:eastAsia="zh-CN"/>
              </w:rPr>
              <w:t>every 4 weeks</w:t>
            </w:r>
          </w:p>
          <w:p w14:paraId="02FA332C" w14:textId="361AC7DD" w:rsidR="00D62155" w:rsidRPr="00D62155" w:rsidRDefault="001D2CFA" w:rsidP="00D62155">
            <w:pPr>
              <w:widowControl w:val="0"/>
              <w:autoSpaceDE w:val="0"/>
              <w:autoSpaceDN w:val="0"/>
              <w:adjustRightInd w:val="0"/>
              <w:spacing w:after="0" w:line="240" w:lineRule="auto"/>
              <w:ind w:left="34"/>
              <w:jc w:val="center"/>
              <w:textAlignment w:val="baseline"/>
              <w:rPr>
                <w:rFonts w:eastAsia="Times New Roman"/>
                <w:b/>
                <w:sz w:val="20"/>
                <w:szCs w:val="20"/>
                <w:lang w:val="en-US" w:eastAsia="zh-CN"/>
              </w:rPr>
            </w:pPr>
            <w:r>
              <w:rPr>
                <w:rFonts w:eastAsia="Times New Roman"/>
                <w:b/>
                <w:sz w:val="20"/>
                <w:szCs w:val="20"/>
                <w:lang w:val="en-US" w:eastAsia="zh-CN"/>
              </w:rPr>
              <w:t xml:space="preserve">N = </w:t>
            </w:r>
            <w:r w:rsidR="00D62155" w:rsidRPr="00D62155">
              <w:rPr>
                <w:rFonts w:eastAsia="Times New Roman"/>
                <w:b/>
                <w:sz w:val="20"/>
                <w:szCs w:val="20"/>
                <w:lang w:val="en-US" w:eastAsia="zh-CN"/>
              </w:rPr>
              <w:t>159</w:t>
            </w:r>
          </w:p>
          <w:p w14:paraId="40691A65" w14:textId="211EEC70" w:rsidR="00D62155" w:rsidRPr="00D62155" w:rsidRDefault="00D62155" w:rsidP="00D62155">
            <w:pPr>
              <w:widowControl w:val="0"/>
              <w:autoSpaceDE w:val="0"/>
              <w:autoSpaceDN w:val="0"/>
              <w:adjustRightInd w:val="0"/>
              <w:spacing w:after="0" w:line="240" w:lineRule="auto"/>
              <w:ind w:left="34"/>
              <w:jc w:val="center"/>
              <w:textAlignment w:val="baseline"/>
              <w:rPr>
                <w:rFonts w:eastAsia="Times New Roman"/>
                <w:b/>
                <w:sz w:val="20"/>
                <w:szCs w:val="20"/>
                <w:lang w:val="en-US" w:eastAsia="zh-CN"/>
              </w:rPr>
            </w:pPr>
            <w:r w:rsidRPr="00D62155">
              <w:rPr>
                <w:rFonts w:eastAsia="Times New Roman"/>
                <w:b/>
                <w:sz w:val="20"/>
                <w:szCs w:val="20"/>
                <w:lang w:val="en-US" w:eastAsia="zh-CN"/>
              </w:rPr>
              <w:t xml:space="preserve">n </w:t>
            </w:r>
            <w:r w:rsidRPr="00D62155">
              <w:rPr>
                <w:rFonts w:eastAsia="Arial" w:cs="Arial"/>
                <w:b/>
                <w:w w:val="114"/>
                <w:sz w:val="20"/>
                <w:szCs w:val="20"/>
                <w:lang w:val="en-US" w:eastAsia="zh-CN"/>
              </w:rPr>
              <w:t>(%)</w:t>
            </w:r>
          </w:p>
        </w:tc>
        <w:tc>
          <w:tcPr>
            <w:tcW w:w="1260" w:type="dxa"/>
            <w:tcBorders>
              <w:top w:val="single" w:sz="6" w:space="0" w:color="auto"/>
              <w:left w:val="single" w:sz="6" w:space="0" w:color="auto"/>
              <w:right w:val="single" w:sz="6" w:space="0" w:color="auto"/>
            </w:tcBorders>
            <w:vAlign w:val="center"/>
          </w:tcPr>
          <w:p w14:paraId="1B088ED0" w14:textId="0BB3AE4B" w:rsidR="00D62155" w:rsidRPr="00D62155" w:rsidRDefault="00D62155">
            <w:pPr>
              <w:widowControl w:val="0"/>
              <w:autoSpaceDE w:val="0"/>
              <w:autoSpaceDN w:val="0"/>
              <w:adjustRightInd w:val="0"/>
              <w:spacing w:after="0" w:line="240" w:lineRule="auto"/>
              <w:ind w:left="29"/>
              <w:jc w:val="center"/>
              <w:textAlignment w:val="baseline"/>
              <w:rPr>
                <w:rFonts w:eastAsia="Times New Roman"/>
                <w:b/>
                <w:sz w:val="20"/>
                <w:szCs w:val="20"/>
                <w:lang w:val="en-US" w:eastAsia="zh-CN"/>
              </w:rPr>
            </w:pPr>
            <w:r w:rsidRPr="00D62155">
              <w:rPr>
                <w:rFonts w:eastAsia="Times New Roman"/>
                <w:b/>
                <w:sz w:val="20"/>
                <w:szCs w:val="20"/>
                <w:lang w:val="en-US" w:eastAsia="zh-CN"/>
              </w:rPr>
              <w:t xml:space="preserve">All </w:t>
            </w:r>
            <w:r w:rsidR="0055007D">
              <w:rPr>
                <w:rFonts w:eastAsia="Times New Roman"/>
                <w:b/>
                <w:sz w:val="20"/>
                <w:szCs w:val="20"/>
                <w:lang w:val="en-US" w:eastAsia="zh-CN"/>
              </w:rPr>
              <w:t>s</w:t>
            </w:r>
            <w:r w:rsidRPr="00D62155">
              <w:rPr>
                <w:rFonts w:eastAsia="Times New Roman"/>
                <w:b/>
                <w:sz w:val="20"/>
                <w:szCs w:val="20"/>
                <w:lang w:val="en-US" w:eastAsia="zh-CN"/>
              </w:rPr>
              <w:t>tudy</w:t>
            </w:r>
            <w:r w:rsidR="0055007D">
              <w:rPr>
                <w:rFonts w:eastAsia="Times New Roman"/>
                <w:b/>
                <w:sz w:val="20"/>
                <w:szCs w:val="20"/>
                <w:lang w:val="en-US" w:eastAsia="zh-CN"/>
              </w:rPr>
              <w:t xml:space="preserve"> p</w:t>
            </w:r>
            <w:r w:rsidRPr="00D62155">
              <w:rPr>
                <w:rFonts w:eastAsia="Times New Roman"/>
                <w:b/>
                <w:sz w:val="20"/>
                <w:szCs w:val="20"/>
                <w:lang w:val="en-US" w:eastAsia="zh-CN"/>
              </w:rPr>
              <w:t>articipants</w:t>
            </w:r>
          </w:p>
          <w:p w14:paraId="325B79FC" w14:textId="0280E299" w:rsidR="00D62155" w:rsidRPr="00D62155" w:rsidRDefault="001D2CFA" w:rsidP="00D62155">
            <w:pPr>
              <w:widowControl w:val="0"/>
              <w:autoSpaceDE w:val="0"/>
              <w:autoSpaceDN w:val="0"/>
              <w:adjustRightInd w:val="0"/>
              <w:spacing w:after="0" w:line="240" w:lineRule="auto"/>
              <w:ind w:left="29"/>
              <w:jc w:val="center"/>
              <w:textAlignment w:val="baseline"/>
              <w:rPr>
                <w:rFonts w:eastAsia="Times New Roman"/>
                <w:b/>
                <w:sz w:val="20"/>
                <w:szCs w:val="20"/>
                <w:lang w:val="en-US" w:eastAsia="zh-CN"/>
              </w:rPr>
            </w:pPr>
            <w:r>
              <w:rPr>
                <w:rFonts w:eastAsia="Times New Roman"/>
                <w:b/>
                <w:sz w:val="20"/>
                <w:szCs w:val="20"/>
                <w:lang w:val="en-US" w:eastAsia="zh-CN"/>
              </w:rPr>
              <w:t xml:space="preserve">N = </w:t>
            </w:r>
            <w:r w:rsidR="00D62155" w:rsidRPr="00D62155">
              <w:rPr>
                <w:rFonts w:eastAsia="Times New Roman"/>
                <w:b/>
                <w:sz w:val="20"/>
                <w:szCs w:val="20"/>
                <w:lang w:val="en-US" w:eastAsia="zh-CN"/>
              </w:rPr>
              <w:t>478</w:t>
            </w:r>
          </w:p>
          <w:p w14:paraId="1B2671AE" w14:textId="542D99ED" w:rsidR="00D62155" w:rsidRPr="00D62155" w:rsidRDefault="00D62155" w:rsidP="00D62155">
            <w:pPr>
              <w:widowControl w:val="0"/>
              <w:autoSpaceDE w:val="0"/>
              <w:autoSpaceDN w:val="0"/>
              <w:adjustRightInd w:val="0"/>
              <w:spacing w:after="0" w:line="240" w:lineRule="auto"/>
              <w:ind w:left="29"/>
              <w:jc w:val="center"/>
              <w:textAlignment w:val="baseline"/>
              <w:rPr>
                <w:rFonts w:eastAsia="Times New Roman"/>
                <w:b/>
                <w:sz w:val="20"/>
                <w:szCs w:val="20"/>
                <w:lang w:val="en-US" w:eastAsia="zh-CN"/>
              </w:rPr>
            </w:pPr>
            <w:r w:rsidRPr="00D62155">
              <w:rPr>
                <w:rFonts w:eastAsia="Times New Roman"/>
                <w:b/>
                <w:sz w:val="20"/>
                <w:szCs w:val="20"/>
                <w:lang w:val="en-US" w:eastAsia="zh-CN"/>
              </w:rPr>
              <w:t xml:space="preserve">n </w:t>
            </w:r>
            <w:r w:rsidRPr="00D62155">
              <w:rPr>
                <w:rFonts w:eastAsia="Arial" w:cs="Arial"/>
                <w:b/>
                <w:w w:val="114"/>
                <w:sz w:val="20"/>
                <w:szCs w:val="20"/>
                <w:lang w:val="en-US" w:eastAsia="zh-CN"/>
              </w:rPr>
              <w:t>(%)</w:t>
            </w:r>
          </w:p>
        </w:tc>
      </w:tr>
      <w:tr w:rsidR="0055007D" w:rsidRPr="00D62155" w14:paraId="0FB84D84" w14:textId="77777777" w:rsidTr="006E7089">
        <w:trPr>
          <w:trHeight w:hRule="exact" w:val="384"/>
          <w:jc w:val="center"/>
        </w:trPr>
        <w:tc>
          <w:tcPr>
            <w:tcW w:w="2070" w:type="dxa"/>
            <w:tcBorders>
              <w:top w:val="single" w:sz="6" w:space="0" w:color="auto"/>
              <w:left w:val="single" w:sz="6" w:space="0" w:color="auto"/>
              <w:bottom w:val="single" w:sz="6" w:space="0" w:color="auto"/>
              <w:right w:val="single" w:sz="6" w:space="0" w:color="auto"/>
            </w:tcBorders>
            <w:vAlign w:val="center"/>
          </w:tcPr>
          <w:p w14:paraId="6A1FE5A0" w14:textId="0732266D" w:rsidR="00D62155" w:rsidRPr="00D62155" w:rsidRDefault="0055007D" w:rsidP="009B153D">
            <w:pPr>
              <w:widowControl w:val="0"/>
              <w:autoSpaceDE w:val="0"/>
              <w:autoSpaceDN w:val="0"/>
              <w:adjustRightInd w:val="0"/>
              <w:spacing w:after="0" w:line="240" w:lineRule="auto"/>
              <w:ind w:left="115"/>
              <w:textAlignment w:val="baseline"/>
              <w:rPr>
                <w:rFonts w:eastAsia="Times New Roman"/>
                <w:sz w:val="20"/>
                <w:szCs w:val="20"/>
                <w:lang w:val="en-US" w:eastAsia="zh-CN"/>
              </w:rPr>
            </w:pPr>
            <w:proofErr w:type="spellStart"/>
            <w:r>
              <w:rPr>
                <w:rFonts w:eastAsia="Times New Roman"/>
                <w:sz w:val="20"/>
                <w:szCs w:val="20"/>
                <w:lang w:val="en-US" w:eastAsia="zh-CN"/>
              </w:rPr>
              <w:t>Randomised</w:t>
            </w:r>
            <w:proofErr w:type="spellEnd"/>
          </w:p>
        </w:tc>
        <w:tc>
          <w:tcPr>
            <w:tcW w:w="1350" w:type="dxa"/>
            <w:tcBorders>
              <w:top w:val="single" w:sz="6" w:space="0" w:color="auto"/>
              <w:left w:val="single" w:sz="6" w:space="0" w:color="auto"/>
              <w:bottom w:val="single" w:sz="6" w:space="0" w:color="auto"/>
              <w:right w:val="single" w:sz="6" w:space="0" w:color="auto"/>
            </w:tcBorders>
            <w:vAlign w:val="center"/>
          </w:tcPr>
          <w:p w14:paraId="64B92854" w14:textId="77777777" w:rsidR="00D62155" w:rsidRPr="00D62155" w:rsidRDefault="00D62155" w:rsidP="009B153D">
            <w:pPr>
              <w:widowControl w:val="0"/>
              <w:autoSpaceDE w:val="0"/>
              <w:autoSpaceDN w:val="0"/>
              <w:adjustRightInd w:val="0"/>
              <w:spacing w:after="0" w:line="240" w:lineRule="auto"/>
              <w:ind w:left="19"/>
              <w:jc w:val="center"/>
              <w:textAlignment w:val="baseline"/>
              <w:rPr>
                <w:rFonts w:eastAsia="Times New Roman"/>
                <w:sz w:val="20"/>
                <w:szCs w:val="20"/>
                <w:lang w:val="en-US" w:eastAsia="zh-CN"/>
              </w:rPr>
            </w:pPr>
            <w:r w:rsidRPr="00D62155">
              <w:rPr>
                <w:rFonts w:eastAsia="Times New Roman"/>
                <w:sz w:val="20"/>
                <w:szCs w:val="20"/>
                <w:lang w:val="en-US" w:eastAsia="zh-CN"/>
              </w:rPr>
              <w:t xml:space="preserve">161 (100) </w:t>
            </w:r>
          </w:p>
        </w:tc>
        <w:tc>
          <w:tcPr>
            <w:tcW w:w="1350" w:type="dxa"/>
            <w:tcBorders>
              <w:top w:val="single" w:sz="6" w:space="0" w:color="auto"/>
              <w:left w:val="single" w:sz="6" w:space="0" w:color="auto"/>
              <w:bottom w:val="single" w:sz="6" w:space="0" w:color="auto"/>
              <w:right w:val="single" w:sz="6" w:space="0" w:color="auto"/>
            </w:tcBorders>
            <w:vAlign w:val="center"/>
          </w:tcPr>
          <w:p w14:paraId="2E4D0C5D" w14:textId="77777777" w:rsidR="00D62155" w:rsidRPr="00D62155" w:rsidRDefault="00D62155" w:rsidP="009B153D">
            <w:pPr>
              <w:widowControl w:val="0"/>
              <w:autoSpaceDE w:val="0"/>
              <w:autoSpaceDN w:val="0"/>
              <w:adjustRightInd w:val="0"/>
              <w:spacing w:after="0" w:line="240" w:lineRule="auto"/>
              <w:ind w:left="24"/>
              <w:jc w:val="center"/>
              <w:textAlignment w:val="baseline"/>
              <w:rPr>
                <w:rFonts w:eastAsia="Times New Roman"/>
                <w:sz w:val="20"/>
                <w:szCs w:val="20"/>
                <w:lang w:val="en-US" w:eastAsia="zh-CN"/>
              </w:rPr>
            </w:pPr>
            <w:r w:rsidRPr="00D62155">
              <w:rPr>
                <w:rFonts w:eastAsia="Times New Roman"/>
                <w:sz w:val="20"/>
                <w:szCs w:val="20"/>
                <w:lang w:val="en-US" w:eastAsia="zh-CN"/>
              </w:rPr>
              <w:t xml:space="preserve">158 (100) </w:t>
            </w:r>
          </w:p>
        </w:tc>
        <w:tc>
          <w:tcPr>
            <w:tcW w:w="1260" w:type="dxa"/>
            <w:tcBorders>
              <w:top w:val="single" w:sz="6" w:space="0" w:color="auto"/>
              <w:left w:val="single" w:sz="6" w:space="0" w:color="auto"/>
              <w:bottom w:val="single" w:sz="6" w:space="0" w:color="auto"/>
              <w:right w:val="single" w:sz="6" w:space="0" w:color="auto"/>
            </w:tcBorders>
            <w:vAlign w:val="center"/>
          </w:tcPr>
          <w:p w14:paraId="5CE00A33" w14:textId="77777777" w:rsidR="00D62155" w:rsidRPr="00D62155" w:rsidRDefault="00D62155" w:rsidP="009B153D">
            <w:pPr>
              <w:widowControl w:val="0"/>
              <w:autoSpaceDE w:val="0"/>
              <w:autoSpaceDN w:val="0"/>
              <w:adjustRightInd w:val="0"/>
              <w:spacing w:after="0" w:line="240" w:lineRule="auto"/>
              <w:ind w:left="24"/>
              <w:jc w:val="center"/>
              <w:textAlignment w:val="baseline"/>
              <w:rPr>
                <w:rFonts w:eastAsia="Times New Roman"/>
                <w:sz w:val="20"/>
                <w:szCs w:val="20"/>
                <w:lang w:val="en-US" w:eastAsia="zh-CN"/>
              </w:rPr>
            </w:pPr>
            <w:r w:rsidRPr="00D62155">
              <w:rPr>
                <w:rFonts w:eastAsia="Times New Roman"/>
                <w:sz w:val="20"/>
                <w:szCs w:val="20"/>
                <w:lang w:val="en-US" w:eastAsia="zh-CN"/>
              </w:rPr>
              <w:t xml:space="preserve">319(100) </w:t>
            </w:r>
          </w:p>
        </w:tc>
        <w:tc>
          <w:tcPr>
            <w:tcW w:w="1350" w:type="dxa"/>
            <w:tcBorders>
              <w:top w:val="single" w:sz="6" w:space="0" w:color="auto"/>
              <w:left w:val="single" w:sz="6" w:space="0" w:color="auto"/>
              <w:bottom w:val="single" w:sz="6" w:space="0" w:color="auto"/>
              <w:right w:val="single" w:sz="6" w:space="0" w:color="auto"/>
            </w:tcBorders>
            <w:vAlign w:val="center"/>
          </w:tcPr>
          <w:p w14:paraId="19F42C22" w14:textId="77777777" w:rsidR="00D62155" w:rsidRPr="00D62155" w:rsidRDefault="00D62155" w:rsidP="009B153D">
            <w:pPr>
              <w:widowControl w:val="0"/>
              <w:autoSpaceDE w:val="0"/>
              <w:autoSpaceDN w:val="0"/>
              <w:adjustRightInd w:val="0"/>
              <w:spacing w:after="0" w:line="240" w:lineRule="auto"/>
              <w:ind w:left="34"/>
              <w:jc w:val="center"/>
              <w:textAlignment w:val="baseline"/>
              <w:rPr>
                <w:rFonts w:eastAsia="Times New Roman"/>
                <w:sz w:val="20"/>
                <w:szCs w:val="20"/>
                <w:lang w:val="en-US" w:eastAsia="zh-CN"/>
              </w:rPr>
            </w:pPr>
            <w:r w:rsidRPr="00D62155">
              <w:rPr>
                <w:rFonts w:eastAsia="Times New Roman"/>
                <w:sz w:val="20"/>
                <w:szCs w:val="20"/>
                <w:lang w:val="en-US" w:eastAsia="zh-CN"/>
              </w:rPr>
              <w:t xml:space="preserve">159 (100) </w:t>
            </w:r>
          </w:p>
        </w:tc>
        <w:tc>
          <w:tcPr>
            <w:tcW w:w="1260" w:type="dxa"/>
            <w:tcBorders>
              <w:top w:val="single" w:sz="6" w:space="0" w:color="auto"/>
              <w:left w:val="single" w:sz="6" w:space="0" w:color="auto"/>
              <w:bottom w:val="single" w:sz="6" w:space="0" w:color="auto"/>
              <w:right w:val="single" w:sz="6" w:space="0" w:color="auto"/>
            </w:tcBorders>
            <w:vAlign w:val="center"/>
          </w:tcPr>
          <w:p w14:paraId="474DD384" w14:textId="77777777" w:rsidR="00D62155" w:rsidRPr="00D62155" w:rsidRDefault="00D62155" w:rsidP="009B153D">
            <w:pPr>
              <w:widowControl w:val="0"/>
              <w:autoSpaceDE w:val="0"/>
              <w:autoSpaceDN w:val="0"/>
              <w:adjustRightInd w:val="0"/>
              <w:spacing w:after="0" w:line="240" w:lineRule="auto"/>
              <w:ind w:left="29"/>
              <w:jc w:val="center"/>
              <w:textAlignment w:val="baseline"/>
              <w:rPr>
                <w:rFonts w:eastAsia="Times New Roman"/>
                <w:sz w:val="20"/>
                <w:szCs w:val="20"/>
                <w:lang w:val="en-US" w:eastAsia="zh-CN"/>
              </w:rPr>
            </w:pPr>
            <w:r w:rsidRPr="00D62155">
              <w:rPr>
                <w:rFonts w:eastAsia="Times New Roman"/>
                <w:sz w:val="20"/>
                <w:szCs w:val="20"/>
                <w:lang w:val="en-US" w:eastAsia="zh-CN"/>
              </w:rPr>
              <w:t xml:space="preserve">478 (100) </w:t>
            </w:r>
          </w:p>
        </w:tc>
      </w:tr>
      <w:tr w:rsidR="0055007D" w:rsidRPr="00D62155" w14:paraId="406D2CFF" w14:textId="77777777" w:rsidTr="006E7089">
        <w:trPr>
          <w:trHeight w:hRule="exact" w:val="384"/>
          <w:jc w:val="center"/>
        </w:trPr>
        <w:tc>
          <w:tcPr>
            <w:tcW w:w="2070" w:type="dxa"/>
            <w:tcBorders>
              <w:top w:val="single" w:sz="6" w:space="0" w:color="auto"/>
              <w:left w:val="single" w:sz="6" w:space="0" w:color="auto"/>
              <w:bottom w:val="single" w:sz="6" w:space="0" w:color="auto"/>
              <w:right w:val="single" w:sz="6" w:space="0" w:color="auto"/>
            </w:tcBorders>
            <w:vAlign w:val="center"/>
          </w:tcPr>
          <w:p w14:paraId="2C827D46" w14:textId="29F8D966" w:rsidR="00D62155" w:rsidRPr="00D62155" w:rsidRDefault="0055007D" w:rsidP="009B153D">
            <w:pPr>
              <w:widowControl w:val="0"/>
              <w:autoSpaceDE w:val="0"/>
              <w:autoSpaceDN w:val="0"/>
              <w:adjustRightInd w:val="0"/>
              <w:spacing w:after="0" w:line="240" w:lineRule="auto"/>
              <w:ind w:left="115"/>
              <w:textAlignment w:val="baseline"/>
              <w:rPr>
                <w:rFonts w:eastAsia="Times New Roman"/>
                <w:sz w:val="20"/>
                <w:szCs w:val="20"/>
                <w:lang w:val="en-US" w:eastAsia="zh-CN"/>
              </w:rPr>
            </w:pPr>
            <w:r>
              <w:rPr>
                <w:rFonts w:eastAsia="Times New Roman"/>
                <w:sz w:val="20"/>
                <w:szCs w:val="20"/>
                <w:lang w:val="en-US" w:eastAsia="zh-CN"/>
              </w:rPr>
              <w:t>Safety set</w:t>
            </w:r>
          </w:p>
        </w:tc>
        <w:tc>
          <w:tcPr>
            <w:tcW w:w="1350" w:type="dxa"/>
            <w:tcBorders>
              <w:top w:val="single" w:sz="6" w:space="0" w:color="auto"/>
              <w:left w:val="single" w:sz="6" w:space="0" w:color="auto"/>
              <w:bottom w:val="single" w:sz="6" w:space="0" w:color="auto"/>
              <w:right w:val="single" w:sz="6" w:space="0" w:color="auto"/>
            </w:tcBorders>
            <w:vAlign w:val="center"/>
          </w:tcPr>
          <w:p w14:paraId="250CA260" w14:textId="77777777" w:rsidR="00D62155" w:rsidRPr="00D62155" w:rsidRDefault="00D62155" w:rsidP="009B153D">
            <w:pPr>
              <w:widowControl w:val="0"/>
              <w:autoSpaceDE w:val="0"/>
              <w:autoSpaceDN w:val="0"/>
              <w:adjustRightInd w:val="0"/>
              <w:spacing w:after="0" w:line="240" w:lineRule="auto"/>
              <w:ind w:left="19"/>
              <w:jc w:val="center"/>
              <w:textAlignment w:val="baseline"/>
              <w:rPr>
                <w:rFonts w:eastAsia="Times New Roman"/>
                <w:sz w:val="20"/>
                <w:szCs w:val="20"/>
                <w:lang w:val="en-US" w:eastAsia="zh-CN"/>
              </w:rPr>
            </w:pPr>
            <w:r w:rsidRPr="00D62155">
              <w:rPr>
                <w:rFonts w:eastAsia="Times New Roman"/>
                <w:sz w:val="20"/>
                <w:szCs w:val="20"/>
                <w:lang w:val="en-US" w:eastAsia="zh-CN"/>
              </w:rPr>
              <w:t xml:space="preserve">161 (100) </w:t>
            </w:r>
          </w:p>
        </w:tc>
        <w:tc>
          <w:tcPr>
            <w:tcW w:w="1350" w:type="dxa"/>
            <w:tcBorders>
              <w:top w:val="single" w:sz="6" w:space="0" w:color="auto"/>
              <w:left w:val="single" w:sz="6" w:space="0" w:color="auto"/>
              <w:bottom w:val="single" w:sz="6" w:space="0" w:color="auto"/>
              <w:right w:val="single" w:sz="6" w:space="0" w:color="auto"/>
            </w:tcBorders>
            <w:vAlign w:val="center"/>
          </w:tcPr>
          <w:p w14:paraId="70BDFC56" w14:textId="77777777" w:rsidR="00D62155" w:rsidRPr="00D62155" w:rsidRDefault="00D62155" w:rsidP="009B153D">
            <w:pPr>
              <w:widowControl w:val="0"/>
              <w:autoSpaceDE w:val="0"/>
              <w:autoSpaceDN w:val="0"/>
              <w:adjustRightInd w:val="0"/>
              <w:spacing w:after="0" w:line="240" w:lineRule="auto"/>
              <w:ind w:left="24"/>
              <w:jc w:val="center"/>
              <w:textAlignment w:val="baseline"/>
              <w:rPr>
                <w:rFonts w:eastAsia="Times New Roman"/>
                <w:sz w:val="20"/>
                <w:szCs w:val="20"/>
                <w:lang w:val="en-US" w:eastAsia="zh-CN"/>
              </w:rPr>
            </w:pPr>
            <w:r w:rsidRPr="00D62155">
              <w:rPr>
                <w:rFonts w:eastAsia="Times New Roman"/>
                <w:sz w:val="20"/>
                <w:szCs w:val="20"/>
                <w:lang w:val="en-US" w:eastAsia="zh-CN"/>
              </w:rPr>
              <w:t xml:space="preserve">158 (100) </w:t>
            </w:r>
          </w:p>
        </w:tc>
        <w:tc>
          <w:tcPr>
            <w:tcW w:w="1260" w:type="dxa"/>
            <w:tcBorders>
              <w:top w:val="single" w:sz="6" w:space="0" w:color="auto"/>
              <w:left w:val="single" w:sz="6" w:space="0" w:color="auto"/>
              <w:bottom w:val="single" w:sz="6" w:space="0" w:color="auto"/>
              <w:right w:val="single" w:sz="6" w:space="0" w:color="auto"/>
            </w:tcBorders>
            <w:vAlign w:val="center"/>
          </w:tcPr>
          <w:p w14:paraId="438669AD" w14:textId="77777777" w:rsidR="00D62155" w:rsidRPr="00D62155" w:rsidRDefault="00D62155" w:rsidP="009B153D">
            <w:pPr>
              <w:widowControl w:val="0"/>
              <w:autoSpaceDE w:val="0"/>
              <w:autoSpaceDN w:val="0"/>
              <w:adjustRightInd w:val="0"/>
              <w:spacing w:after="0" w:line="240" w:lineRule="auto"/>
              <w:ind w:left="24"/>
              <w:jc w:val="center"/>
              <w:textAlignment w:val="baseline"/>
              <w:rPr>
                <w:rFonts w:eastAsia="Times New Roman"/>
                <w:sz w:val="20"/>
                <w:szCs w:val="20"/>
                <w:lang w:val="en-US" w:eastAsia="zh-CN"/>
              </w:rPr>
            </w:pPr>
            <w:r w:rsidRPr="00D62155">
              <w:rPr>
                <w:rFonts w:eastAsia="Times New Roman"/>
                <w:sz w:val="20"/>
                <w:szCs w:val="20"/>
                <w:lang w:val="en-US" w:eastAsia="zh-CN"/>
              </w:rPr>
              <w:t xml:space="preserve">319(100) </w:t>
            </w:r>
          </w:p>
        </w:tc>
        <w:tc>
          <w:tcPr>
            <w:tcW w:w="1350" w:type="dxa"/>
            <w:tcBorders>
              <w:top w:val="single" w:sz="6" w:space="0" w:color="auto"/>
              <w:left w:val="single" w:sz="6" w:space="0" w:color="auto"/>
              <w:bottom w:val="single" w:sz="6" w:space="0" w:color="auto"/>
              <w:right w:val="single" w:sz="6" w:space="0" w:color="auto"/>
            </w:tcBorders>
            <w:vAlign w:val="center"/>
          </w:tcPr>
          <w:p w14:paraId="1690E432" w14:textId="77777777" w:rsidR="00D62155" w:rsidRPr="00D62155" w:rsidRDefault="00D62155" w:rsidP="009B153D">
            <w:pPr>
              <w:widowControl w:val="0"/>
              <w:autoSpaceDE w:val="0"/>
              <w:autoSpaceDN w:val="0"/>
              <w:adjustRightInd w:val="0"/>
              <w:spacing w:after="0" w:line="240" w:lineRule="auto"/>
              <w:ind w:left="34"/>
              <w:jc w:val="center"/>
              <w:textAlignment w:val="baseline"/>
              <w:rPr>
                <w:rFonts w:eastAsia="Times New Roman"/>
                <w:sz w:val="20"/>
                <w:szCs w:val="20"/>
                <w:lang w:val="en-US" w:eastAsia="zh-CN"/>
              </w:rPr>
            </w:pPr>
            <w:r w:rsidRPr="00D62155">
              <w:rPr>
                <w:rFonts w:eastAsia="Times New Roman"/>
                <w:sz w:val="20"/>
                <w:szCs w:val="20"/>
                <w:lang w:val="en-US" w:eastAsia="zh-CN"/>
              </w:rPr>
              <w:t xml:space="preserve">159 (100) </w:t>
            </w:r>
          </w:p>
        </w:tc>
        <w:tc>
          <w:tcPr>
            <w:tcW w:w="1260" w:type="dxa"/>
            <w:tcBorders>
              <w:top w:val="single" w:sz="6" w:space="0" w:color="auto"/>
              <w:left w:val="single" w:sz="6" w:space="0" w:color="auto"/>
              <w:bottom w:val="single" w:sz="6" w:space="0" w:color="auto"/>
              <w:right w:val="single" w:sz="6" w:space="0" w:color="auto"/>
            </w:tcBorders>
            <w:vAlign w:val="center"/>
          </w:tcPr>
          <w:p w14:paraId="4F8F1D8B" w14:textId="77777777" w:rsidR="00D62155" w:rsidRPr="00D62155" w:rsidRDefault="00D62155" w:rsidP="009B153D">
            <w:pPr>
              <w:widowControl w:val="0"/>
              <w:autoSpaceDE w:val="0"/>
              <w:autoSpaceDN w:val="0"/>
              <w:adjustRightInd w:val="0"/>
              <w:spacing w:after="0" w:line="240" w:lineRule="auto"/>
              <w:ind w:left="29"/>
              <w:jc w:val="center"/>
              <w:textAlignment w:val="baseline"/>
              <w:rPr>
                <w:rFonts w:eastAsia="Times New Roman"/>
                <w:sz w:val="20"/>
                <w:szCs w:val="20"/>
                <w:lang w:val="en-US" w:eastAsia="zh-CN"/>
              </w:rPr>
            </w:pPr>
            <w:r w:rsidRPr="00D62155">
              <w:rPr>
                <w:rFonts w:eastAsia="Times New Roman"/>
                <w:sz w:val="20"/>
                <w:szCs w:val="20"/>
                <w:lang w:val="en-US" w:eastAsia="zh-CN"/>
              </w:rPr>
              <w:t xml:space="preserve">478 (100) </w:t>
            </w:r>
          </w:p>
        </w:tc>
      </w:tr>
      <w:tr w:rsidR="0055007D" w:rsidRPr="00D62155" w14:paraId="51860A12" w14:textId="77777777" w:rsidTr="006E7089">
        <w:trPr>
          <w:trHeight w:hRule="exact" w:val="394"/>
          <w:jc w:val="center"/>
        </w:trPr>
        <w:tc>
          <w:tcPr>
            <w:tcW w:w="2070" w:type="dxa"/>
            <w:tcBorders>
              <w:top w:val="single" w:sz="6" w:space="0" w:color="auto"/>
              <w:left w:val="single" w:sz="6" w:space="0" w:color="auto"/>
              <w:bottom w:val="single" w:sz="6" w:space="0" w:color="auto"/>
              <w:right w:val="single" w:sz="6" w:space="0" w:color="auto"/>
            </w:tcBorders>
            <w:vAlign w:val="center"/>
          </w:tcPr>
          <w:p w14:paraId="376401C3" w14:textId="4AB8E191" w:rsidR="00D62155" w:rsidRPr="00D62155" w:rsidRDefault="00D62155" w:rsidP="009B153D">
            <w:pPr>
              <w:widowControl w:val="0"/>
              <w:autoSpaceDE w:val="0"/>
              <w:autoSpaceDN w:val="0"/>
              <w:adjustRightInd w:val="0"/>
              <w:spacing w:after="0" w:line="240" w:lineRule="auto"/>
              <w:ind w:left="115"/>
              <w:textAlignment w:val="baseline"/>
              <w:rPr>
                <w:rFonts w:eastAsia="Times New Roman"/>
                <w:sz w:val="20"/>
                <w:szCs w:val="20"/>
                <w:lang w:val="en-US" w:eastAsia="zh-CN"/>
              </w:rPr>
            </w:pPr>
            <w:r w:rsidRPr="00D62155">
              <w:rPr>
                <w:rFonts w:eastAsia="Times New Roman"/>
                <w:sz w:val="20"/>
                <w:szCs w:val="20"/>
                <w:lang w:val="en-US" w:eastAsia="zh-CN"/>
              </w:rPr>
              <w:t>F</w:t>
            </w:r>
            <w:r w:rsidR="0055007D">
              <w:rPr>
                <w:rFonts w:eastAsia="Times New Roman"/>
                <w:sz w:val="20"/>
                <w:szCs w:val="20"/>
                <w:lang w:val="en-US" w:eastAsia="zh-CN"/>
              </w:rPr>
              <w:t>ull analysis set</w:t>
            </w:r>
          </w:p>
        </w:tc>
        <w:tc>
          <w:tcPr>
            <w:tcW w:w="1350" w:type="dxa"/>
            <w:tcBorders>
              <w:top w:val="single" w:sz="6" w:space="0" w:color="auto"/>
              <w:left w:val="single" w:sz="6" w:space="0" w:color="auto"/>
              <w:bottom w:val="single" w:sz="6" w:space="0" w:color="auto"/>
              <w:right w:val="single" w:sz="6" w:space="0" w:color="auto"/>
            </w:tcBorders>
            <w:vAlign w:val="center"/>
          </w:tcPr>
          <w:p w14:paraId="12A4687D" w14:textId="77777777" w:rsidR="00D62155" w:rsidRPr="00D62155" w:rsidRDefault="00D62155" w:rsidP="009B153D">
            <w:pPr>
              <w:widowControl w:val="0"/>
              <w:autoSpaceDE w:val="0"/>
              <w:autoSpaceDN w:val="0"/>
              <w:adjustRightInd w:val="0"/>
              <w:spacing w:after="0" w:line="240" w:lineRule="auto"/>
              <w:ind w:left="19"/>
              <w:jc w:val="center"/>
              <w:textAlignment w:val="baseline"/>
              <w:rPr>
                <w:rFonts w:eastAsia="Times New Roman"/>
                <w:sz w:val="20"/>
                <w:szCs w:val="20"/>
                <w:lang w:val="en-US" w:eastAsia="zh-CN"/>
              </w:rPr>
            </w:pPr>
            <w:r w:rsidRPr="00D62155">
              <w:rPr>
                <w:rFonts w:eastAsia="Times New Roman"/>
                <w:sz w:val="20"/>
                <w:szCs w:val="20"/>
                <w:lang w:val="en-US" w:eastAsia="zh-CN"/>
              </w:rPr>
              <w:t xml:space="preserve">161 (100) </w:t>
            </w:r>
          </w:p>
        </w:tc>
        <w:tc>
          <w:tcPr>
            <w:tcW w:w="1350" w:type="dxa"/>
            <w:tcBorders>
              <w:top w:val="single" w:sz="6" w:space="0" w:color="auto"/>
              <w:left w:val="single" w:sz="6" w:space="0" w:color="auto"/>
              <w:bottom w:val="single" w:sz="6" w:space="0" w:color="auto"/>
              <w:right w:val="single" w:sz="6" w:space="0" w:color="auto"/>
            </w:tcBorders>
            <w:vAlign w:val="center"/>
          </w:tcPr>
          <w:p w14:paraId="4849444C" w14:textId="77777777" w:rsidR="00D62155" w:rsidRPr="00D62155" w:rsidRDefault="00D62155" w:rsidP="009B153D">
            <w:pPr>
              <w:widowControl w:val="0"/>
              <w:autoSpaceDE w:val="0"/>
              <w:autoSpaceDN w:val="0"/>
              <w:adjustRightInd w:val="0"/>
              <w:spacing w:after="0" w:line="240" w:lineRule="auto"/>
              <w:ind w:left="24"/>
              <w:jc w:val="center"/>
              <w:textAlignment w:val="baseline"/>
              <w:rPr>
                <w:rFonts w:eastAsia="Times New Roman"/>
                <w:sz w:val="20"/>
                <w:szCs w:val="20"/>
                <w:lang w:val="en-US" w:eastAsia="zh-CN"/>
              </w:rPr>
            </w:pPr>
            <w:r w:rsidRPr="00D62155">
              <w:rPr>
                <w:rFonts w:eastAsia="Times New Roman"/>
                <w:sz w:val="20"/>
                <w:szCs w:val="20"/>
                <w:lang w:val="en-US" w:eastAsia="zh-CN"/>
              </w:rPr>
              <w:t xml:space="preserve">158 (100) </w:t>
            </w:r>
          </w:p>
        </w:tc>
        <w:tc>
          <w:tcPr>
            <w:tcW w:w="1260" w:type="dxa"/>
            <w:tcBorders>
              <w:top w:val="single" w:sz="6" w:space="0" w:color="auto"/>
              <w:left w:val="single" w:sz="6" w:space="0" w:color="auto"/>
              <w:bottom w:val="single" w:sz="6" w:space="0" w:color="auto"/>
              <w:right w:val="single" w:sz="6" w:space="0" w:color="auto"/>
            </w:tcBorders>
            <w:vAlign w:val="center"/>
          </w:tcPr>
          <w:p w14:paraId="3DCDFCFD" w14:textId="77777777" w:rsidR="00D62155" w:rsidRPr="00D62155" w:rsidRDefault="00D62155" w:rsidP="009B153D">
            <w:pPr>
              <w:widowControl w:val="0"/>
              <w:autoSpaceDE w:val="0"/>
              <w:autoSpaceDN w:val="0"/>
              <w:adjustRightInd w:val="0"/>
              <w:spacing w:after="0" w:line="240" w:lineRule="auto"/>
              <w:ind w:left="24"/>
              <w:jc w:val="center"/>
              <w:textAlignment w:val="baseline"/>
              <w:rPr>
                <w:rFonts w:eastAsia="Times New Roman"/>
                <w:sz w:val="20"/>
                <w:szCs w:val="20"/>
                <w:lang w:val="en-US" w:eastAsia="zh-CN"/>
              </w:rPr>
            </w:pPr>
            <w:r w:rsidRPr="00D62155">
              <w:rPr>
                <w:rFonts w:eastAsia="Times New Roman"/>
                <w:sz w:val="20"/>
                <w:szCs w:val="20"/>
                <w:lang w:val="en-US" w:eastAsia="zh-CN"/>
              </w:rPr>
              <w:t xml:space="preserve">319(100) </w:t>
            </w:r>
          </w:p>
        </w:tc>
        <w:tc>
          <w:tcPr>
            <w:tcW w:w="1350" w:type="dxa"/>
            <w:tcBorders>
              <w:top w:val="single" w:sz="6" w:space="0" w:color="auto"/>
              <w:left w:val="single" w:sz="6" w:space="0" w:color="auto"/>
              <w:bottom w:val="single" w:sz="6" w:space="0" w:color="auto"/>
              <w:right w:val="single" w:sz="6" w:space="0" w:color="auto"/>
            </w:tcBorders>
            <w:vAlign w:val="center"/>
          </w:tcPr>
          <w:p w14:paraId="226F4689" w14:textId="77777777" w:rsidR="00D62155" w:rsidRPr="00D62155" w:rsidRDefault="00D62155" w:rsidP="009B153D">
            <w:pPr>
              <w:widowControl w:val="0"/>
              <w:autoSpaceDE w:val="0"/>
              <w:autoSpaceDN w:val="0"/>
              <w:adjustRightInd w:val="0"/>
              <w:spacing w:after="0" w:line="240" w:lineRule="auto"/>
              <w:ind w:left="34"/>
              <w:jc w:val="center"/>
              <w:textAlignment w:val="baseline"/>
              <w:rPr>
                <w:rFonts w:eastAsia="Times New Roman"/>
                <w:sz w:val="20"/>
                <w:szCs w:val="20"/>
                <w:lang w:val="en-US" w:eastAsia="zh-CN"/>
              </w:rPr>
            </w:pPr>
            <w:r w:rsidRPr="00D62155">
              <w:rPr>
                <w:rFonts w:eastAsia="Times New Roman"/>
                <w:sz w:val="20"/>
                <w:szCs w:val="20"/>
                <w:lang w:val="en-US" w:eastAsia="zh-CN"/>
              </w:rPr>
              <w:t xml:space="preserve">159 (100) </w:t>
            </w:r>
          </w:p>
        </w:tc>
        <w:tc>
          <w:tcPr>
            <w:tcW w:w="1260" w:type="dxa"/>
            <w:tcBorders>
              <w:top w:val="single" w:sz="6" w:space="0" w:color="auto"/>
              <w:left w:val="single" w:sz="6" w:space="0" w:color="auto"/>
              <w:bottom w:val="single" w:sz="6" w:space="0" w:color="auto"/>
              <w:right w:val="single" w:sz="6" w:space="0" w:color="auto"/>
            </w:tcBorders>
            <w:vAlign w:val="center"/>
          </w:tcPr>
          <w:p w14:paraId="21F1BA55" w14:textId="77777777" w:rsidR="00D62155" w:rsidRPr="00D62155" w:rsidRDefault="00D62155" w:rsidP="009B153D">
            <w:pPr>
              <w:widowControl w:val="0"/>
              <w:autoSpaceDE w:val="0"/>
              <w:autoSpaceDN w:val="0"/>
              <w:adjustRightInd w:val="0"/>
              <w:spacing w:after="0" w:line="240" w:lineRule="auto"/>
              <w:ind w:left="29"/>
              <w:jc w:val="center"/>
              <w:textAlignment w:val="baseline"/>
              <w:rPr>
                <w:rFonts w:eastAsia="Times New Roman"/>
                <w:sz w:val="20"/>
                <w:szCs w:val="20"/>
                <w:lang w:val="en-US" w:eastAsia="zh-CN"/>
              </w:rPr>
            </w:pPr>
            <w:r w:rsidRPr="00D62155">
              <w:rPr>
                <w:rFonts w:eastAsia="Times New Roman"/>
                <w:sz w:val="20"/>
                <w:szCs w:val="20"/>
                <w:lang w:val="en-US" w:eastAsia="zh-CN"/>
              </w:rPr>
              <w:t xml:space="preserve">478 (100) </w:t>
            </w:r>
          </w:p>
        </w:tc>
      </w:tr>
      <w:tr w:rsidR="0055007D" w:rsidRPr="00D62155" w14:paraId="587706F3" w14:textId="77777777" w:rsidTr="006E7089">
        <w:trPr>
          <w:trHeight w:hRule="exact" w:val="384"/>
          <w:jc w:val="center"/>
        </w:trPr>
        <w:tc>
          <w:tcPr>
            <w:tcW w:w="2070" w:type="dxa"/>
            <w:tcBorders>
              <w:top w:val="single" w:sz="6" w:space="0" w:color="auto"/>
              <w:left w:val="single" w:sz="6" w:space="0" w:color="auto"/>
              <w:bottom w:val="single" w:sz="6" w:space="0" w:color="auto"/>
              <w:right w:val="single" w:sz="6" w:space="0" w:color="auto"/>
            </w:tcBorders>
            <w:vAlign w:val="center"/>
          </w:tcPr>
          <w:p w14:paraId="1E3D416A" w14:textId="1EF6FD42" w:rsidR="00D62155" w:rsidRPr="00D62155" w:rsidRDefault="0055007D" w:rsidP="009B153D">
            <w:pPr>
              <w:widowControl w:val="0"/>
              <w:autoSpaceDE w:val="0"/>
              <w:autoSpaceDN w:val="0"/>
              <w:adjustRightInd w:val="0"/>
              <w:spacing w:after="0" w:line="240" w:lineRule="auto"/>
              <w:ind w:left="115"/>
              <w:textAlignment w:val="baseline"/>
              <w:rPr>
                <w:rFonts w:eastAsia="Times New Roman"/>
                <w:sz w:val="20"/>
                <w:szCs w:val="20"/>
                <w:lang w:val="en-US" w:eastAsia="zh-CN"/>
              </w:rPr>
            </w:pPr>
            <w:proofErr w:type="spellStart"/>
            <w:r>
              <w:rPr>
                <w:rFonts w:eastAsia="Times New Roman"/>
                <w:sz w:val="20"/>
                <w:szCs w:val="20"/>
                <w:lang w:val="en-US" w:eastAsia="zh-CN"/>
              </w:rPr>
              <w:t>B</w:t>
            </w:r>
            <w:r w:rsidRPr="0055007D">
              <w:rPr>
                <w:rFonts w:eastAsia="Times New Roman"/>
                <w:sz w:val="20"/>
                <w:szCs w:val="20"/>
                <w:lang w:val="en-US" w:eastAsia="zh-CN"/>
              </w:rPr>
              <w:t>imekizumab</w:t>
            </w:r>
            <w:proofErr w:type="spellEnd"/>
            <w:r w:rsidRPr="0055007D" w:rsidDel="0055007D">
              <w:rPr>
                <w:rFonts w:eastAsia="Times New Roman"/>
                <w:sz w:val="20"/>
                <w:szCs w:val="20"/>
                <w:lang w:val="en-US" w:eastAsia="zh-CN"/>
              </w:rPr>
              <w:t xml:space="preserve"> </w:t>
            </w:r>
            <w:r>
              <w:rPr>
                <w:rFonts w:eastAsia="Times New Roman"/>
                <w:sz w:val="20"/>
                <w:szCs w:val="20"/>
                <w:lang w:val="en-US" w:eastAsia="zh-CN"/>
              </w:rPr>
              <w:t>s</w:t>
            </w:r>
            <w:r w:rsidR="00D62155" w:rsidRPr="00D62155">
              <w:rPr>
                <w:rFonts w:eastAsia="Times New Roman"/>
                <w:sz w:val="20"/>
                <w:szCs w:val="20"/>
                <w:lang w:val="en-US" w:eastAsia="zh-CN"/>
              </w:rPr>
              <w:t>et</w:t>
            </w:r>
          </w:p>
        </w:tc>
        <w:tc>
          <w:tcPr>
            <w:tcW w:w="1350" w:type="dxa"/>
            <w:tcBorders>
              <w:top w:val="single" w:sz="6" w:space="0" w:color="auto"/>
              <w:left w:val="single" w:sz="6" w:space="0" w:color="auto"/>
              <w:bottom w:val="single" w:sz="6" w:space="0" w:color="auto"/>
              <w:right w:val="single" w:sz="6" w:space="0" w:color="auto"/>
            </w:tcBorders>
            <w:vAlign w:val="center"/>
          </w:tcPr>
          <w:p w14:paraId="2F033010" w14:textId="77777777" w:rsidR="00D62155" w:rsidRPr="00D62155" w:rsidRDefault="00D62155" w:rsidP="009B153D">
            <w:pPr>
              <w:widowControl w:val="0"/>
              <w:autoSpaceDE w:val="0"/>
              <w:autoSpaceDN w:val="0"/>
              <w:adjustRightInd w:val="0"/>
              <w:spacing w:after="0" w:line="240" w:lineRule="auto"/>
              <w:ind w:left="19"/>
              <w:jc w:val="center"/>
              <w:textAlignment w:val="baseline"/>
              <w:rPr>
                <w:rFonts w:eastAsia="Times New Roman"/>
                <w:sz w:val="20"/>
                <w:szCs w:val="20"/>
                <w:lang w:val="en-US" w:eastAsia="zh-CN"/>
              </w:rPr>
            </w:pPr>
            <w:r w:rsidRPr="00D62155">
              <w:rPr>
                <w:rFonts w:eastAsia="Times New Roman"/>
                <w:sz w:val="20"/>
                <w:szCs w:val="20"/>
                <w:lang w:val="en-US" w:eastAsia="zh-CN"/>
              </w:rPr>
              <w:t xml:space="preserve">161 (100) </w:t>
            </w:r>
          </w:p>
        </w:tc>
        <w:tc>
          <w:tcPr>
            <w:tcW w:w="1350" w:type="dxa"/>
            <w:tcBorders>
              <w:top w:val="single" w:sz="6" w:space="0" w:color="auto"/>
              <w:left w:val="single" w:sz="6" w:space="0" w:color="auto"/>
              <w:bottom w:val="single" w:sz="6" w:space="0" w:color="auto"/>
              <w:right w:val="single" w:sz="6" w:space="0" w:color="auto"/>
            </w:tcBorders>
            <w:vAlign w:val="center"/>
          </w:tcPr>
          <w:p w14:paraId="2857A444" w14:textId="77777777" w:rsidR="00D62155" w:rsidRPr="00D62155" w:rsidRDefault="00D62155" w:rsidP="009B153D">
            <w:pPr>
              <w:widowControl w:val="0"/>
              <w:autoSpaceDE w:val="0"/>
              <w:autoSpaceDN w:val="0"/>
              <w:adjustRightInd w:val="0"/>
              <w:spacing w:after="0" w:line="240" w:lineRule="auto"/>
              <w:ind w:left="24"/>
              <w:jc w:val="center"/>
              <w:textAlignment w:val="baseline"/>
              <w:rPr>
                <w:rFonts w:eastAsia="Times New Roman"/>
                <w:sz w:val="20"/>
                <w:szCs w:val="20"/>
                <w:lang w:val="en-US" w:eastAsia="zh-CN"/>
              </w:rPr>
            </w:pPr>
            <w:r w:rsidRPr="00D62155">
              <w:rPr>
                <w:rFonts w:eastAsia="Times New Roman"/>
                <w:sz w:val="20"/>
                <w:szCs w:val="20"/>
                <w:lang w:val="en-US" w:eastAsia="zh-CN"/>
              </w:rPr>
              <w:t xml:space="preserve">158 (100) </w:t>
            </w:r>
          </w:p>
        </w:tc>
        <w:tc>
          <w:tcPr>
            <w:tcW w:w="1260" w:type="dxa"/>
            <w:tcBorders>
              <w:top w:val="single" w:sz="6" w:space="0" w:color="auto"/>
              <w:left w:val="single" w:sz="6" w:space="0" w:color="auto"/>
              <w:bottom w:val="single" w:sz="6" w:space="0" w:color="auto"/>
              <w:right w:val="single" w:sz="6" w:space="0" w:color="auto"/>
            </w:tcBorders>
            <w:vAlign w:val="center"/>
          </w:tcPr>
          <w:p w14:paraId="45457EFF" w14:textId="77777777" w:rsidR="00D62155" w:rsidRPr="00D62155" w:rsidRDefault="00D62155" w:rsidP="009B153D">
            <w:pPr>
              <w:widowControl w:val="0"/>
              <w:autoSpaceDE w:val="0"/>
              <w:autoSpaceDN w:val="0"/>
              <w:adjustRightInd w:val="0"/>
              <w:spacing w:after="0" w:line="240" w:lineRule="auto"/>
              <w:ind w:left="24"/>
              <w:jc w:val="center"/>
              <w:textAlignment w:val="baseline"/>
              <w:rPr>
                <w:rFonts w:eastAsia="Times New Roman"/>
                <w:sz w:val="20"/>
                <w:szCs w:val="20"/>
                <w:lang w:val="en-US" w:eastAsia="zh-CN"/>
              </w:rPr>
            </w:pPr>
            <w:r w:rsidRPr="00D62155">
              <w:rPr>
                <w:rFonts w:eastAsia="Times New Roman"/>
                <w:sz w:val="20"/>
                <w:szCs w:val="20"/>
                <w:lang w:val="en-US" w:eastAsia="zh-CN"/>
              </w:rPr>
              <w:t xml:space="preserve">319(100) </w:t>
            </w:r>
          </w:p>
        </w:tc>
        <w:tc>
          <w:tcPr>
            <w:tcW w:w="1350" w:type="dxa"/>
            <w:tcBorders>
              <w:top w:val="single" w:sz="6" w:space="0" w:color="auto"/>
              <w:left w:val="single" w:sz="6" w:space="0" w:color="auto"/>
              <w:bottom w:val="single" w:sz="6" w:space="0" w:color="auto"/>
              <w:right w:val="single" w:sz="6" w:space="0" w:color="auto"/>
            </w:tcBorders>
            <w:vAlign w:val="center"/>
          </w:tcPr>
          <w:p w14:paraId="1625E29E" w14:textId="77777777" w:rsidR="00D62155" w:rsidRPr="00D62155" w:rsidRDefault="00D62155" w:rsidP="009B153D">
            <w:pPr>
              <w:widowControl w:val="0"/>
              <w:autoSpaceDE w:val="0"/>
              <w:autoSpaceDN w:val="0"/>
              <w:adjustRightInd w:val="0"/>
              <w:spacing w:after="0" w:line="240" w:lineRule="auto"/>
              <w:ind w:left="34"/>
              <w:jc w:val="center"/>
              <w:textAlignment w:val="baseline"/>
              <w:rPr>
                <w:rFonts w:eastAsia="Times New Roman"/>
                <w:sz w:val="20"/>
                <w:szCs w:val="20"/>
                <w:lang w:val="en-US" w:eastAsia="zh-CN"/>
              </w:rPr>
            </w:pPr>
            <w:r w:rsidRPr="00D62155">
              <w:rPr>
                <w:rFonts w:eastAsia="Times New Roman"/>
                <w:sz w:val="20"/>
                <w:szCs w:val="20"/>
                <w:lang w:val="en-US" w:eastAsia="zh-CN"/>
              </w:rPr>
              <w:t xml:space="preserve">149 (93.7) </w:t>
            </w:r>
          </w:p>
        </w:tc>
        <w:tc>
          <w:tcPr>
            <w:tcW w:w="1260" w:type="dxa"/>
            <w:tcBorders>
              <w:top w:val="single" w:sz="6" w:space="0" w:color="auto"/>
              <w:left w:val="single" w:sz="6" w:space="0" w:color="auto"/>
              <w:bottom w:val="single" w:sz="6" w:space="0" w:color="auto"/>
              <w:right w:val="single" w:sz="6" w:space="0" w:color="auto"/>
            </w:tcBorders>
            <w:vAlign w:val="center"/>
          </w:tcPr>
          <w:p w14:paraId="4673830B" w14:textId="77777777" w:rsidR="00D62155" w:rsidRPr="00D62155" w:rsidRDefault="00D62155" w:rsidP="009B153D">
            <w:pPr>
              <w:widowControl w:val="0"/>
              <w:autoSpaceDE w:val="0"/>
              <w:autoSpaceDN w:val="0"/>
              <w:adjustRightInd w:val="0"/>
              <w:spacing w:after="0" w:line="240" w:lineRule="auto"/>
              <w:ind w:left="29"/>
              <w:jc w:val="center"/>
              <w:textAlignment w:val="baseline"/>
              <w:rPr>
                <w:rFonts w:eastAsia="Times New Roman"/>
                <w:sz w:val="20"/>
                <w:szCs w:val="20"/>
                <w:lang w:val="en-US" w:eastAsia="zh-CN"/>
              </w:rPr>
            </w:pPr>
            <w:r w:rsidRPr="00D62155">
              <w:rPr>
                <w:rFonts w:eastAsia="Times New Roman"/>
                <w:sz w:val="20"/>
                <w:szCs w:val="20"/>
                <w:lang w:val="en-US" w:eastAsia="zh-CN"/>
              </w:rPr>
              <w:t xml:space="preserve">468 (97.9) </w:t>
            </w:r>
          </w:p>
        </w:tc>
      </w:tr>
      <w:tr w:rsidR="0055007D" w:rsidRPr="00D62155" w14:paraId="63C5E343" w14:textId="77777777" w:rsidTr="006E7089">
        <w:trPr>
          <w:trHeight w:hRule="exact" w:val="594"/>
          <w:jc w:val="center"/>
        </w:trPr>
        <w:tc>
          <w:tcPr>
            <w:tcW w:w="2070" w:type="dxa"/>
            <w:tcBorders>
              <w:top w:val="single" w:sz="6" w:space="0" w:color="auto"/>
              <w:left w:val="single" w:sz="6" w:space="0" w:color="auto"/>
              <w:bottom w:val="single" w:sz="6" w:space="0" w:color="auto"/>
              <w:right w:val="single" w:sz="6" w:space="0" w:color="auto"/>
            </w:tcBorders>
            <w:vAlign w:val="center"/>
          </w:tcPr>
          <w:p w14:paraId="69527CD4" w14:textId="3C41BDE4" w:rsidR="00D62155" w:rsidRPr="00D62155" w:rsidRDefault="0055007D" w:rsidP="009B153D">
            <w:pPr>
              <w:widowControl w:val="0"/>
              <w:autoSpaceDE w:val="0"/>
              <w:autoSpaceDN w:val="0"/>
              <w:adjustRightInd w:val="0"/>
              <w:spacing w:after="0" w:line="240" w:lineRule="auto"/>
              <w:ind w:left="115"/>
              <w:textAlignment w:val="baseline"/>
              <w:rPr>
                <w:rFonts w:eastAsia="Times New Roman"/>
                <w:sz w:val="20"/>
                <w:szCs w:val="20"/>
                <w:lang w:val="en-US" w:eastAsia="zh-CN"/>
              </w:rPr>
            </w:pPr>
            <w:proofErr w:type="spellStart"/>
            <w:r>
              <w:rPr>
                <w:rFonts w:eastAsia="Times New Roman"/>
                <w:sz w:val="20"/>
                <w:szCs w:val="20"/>
                <w:lang w:val="en-US" w:eastAsia="zh-CN"/>
              </w:rPr>
              <w:t>B</w:t>
            </w:r>
            <w:r w:rsidRPr="0055007D">
              <w:rPr>
                <w:rFonts w:eastAsia="Times New Roman"/>
                <w:sz w:val="20"/>
                <w:szCs w:val="20"/>
                <w:lang w:val="en-US" w:eastAsia="zh-CN"/>
              </w:rPr>
              <w:t>imekizumab</w:t>
            </w:r>
            <w:proofErr w:type="spellEnd"/>
            <w:r w:rsidRPr="0055007D" w:rsidDel="0055007D">
              <w:rPr>
                <w:rFonts w:eastAsia="Times New Roman"/>
                <w:sz w:val="20"/>
                <w:szCs w:val="20"/>
                <w:lang w:val="en-US" w:eastAsia="zh-CN"/>
              </w:rPr>
              <w:t xml:space="preserve"> </w:t>
            </w:r>
            <w:r w:rsidR="00D62155" w:rsidRPr="00D62155">
              <w:rPr>
                <w:rFonts w:eastAsia="Times New Roman"/>
                <w:sz w:val="20"/>
                <w:szCs w:val="20"/>
                <w:lang w:val="en-US" w:eastAsia="zh-CN"/>
              </w:rPr>
              <w:t>Week</w:t>
            </w:r>
            <w:r w:rsidR="00AE6640">
              <w:rPr>
                <w:rFonts w:eastAsia="Times New Roman"/>
                <w:sz w:val="20"/>
                <w:szCs w:val="20"/>
                <w:lang w:val="en-US" w:eastAsia="zh-CN"/>
              </w:rPr>
              <w:t> </w:t>
            </w:r>
            <w:r w:rsidR="00D62155" w:rsidRPr="00D62155">
              <w:rPr>
                <w:rFonts w:eastAsia="Times New Roman"/>
                <w:sz w:val="20"/>
                <w:szCs w:val="20"/>
                <w:lang w:val="en-US" w:eastAsia="zh-CN"/>
              </w:rPr>
              <w:t xml:space="preserve">24 </w:t>
            </w:r>
            <w:r>
              <w:rPr>
                <w:rFonts w:eastAsia="Times New Roman"/>
                <w:sz w:val="20"/>
                <w:szCs w:val="20"/>
                <w:lang w:val="en-US" w:eastAsia="zh-CN"/>
              </w:rPr>
              <w:t>s</w:t>
            </w:r>
            <w:r w:rsidR="00D62155" w:rsidRPr="00D62155">
              <w:rPr>
                <w:rFonts w:eastAsia="Times New Roman"/>
                <w:sz w:val="20"/>
                <w:szCs w:val="20"/>
                <w:lang w:val="en-US" w:eastAsia="zh-CN"/>
              </w:rPr>
              <w:t xml:space="preserve">et </w:t>
            </w:r>
          </w:p>
        </w:tc>
        <w:tc>
          <w:tcPr>
            <w:tcW w:w="1350" w:type="dxa"/>
            <w:tcBorders>
              <w:top w:val="single" w:sz="6" w:space="0" w:color="auto"/>
              <w:left w:val="single" w:sz="6" w:space="0" w:color="auto"/>
              <w:bottom w:val="single" w:sz="6" w:space="0" w:color="auto"/>
              <w:right w:val="single" w:sz="6" w:space="0" w:color="auto"/>
            </w:tcBorders>
            <w:vAlign w:val="center"/>
          </w:tcPr>
          <w:p w14:paraId="1C8BC814" w14:textId="77777777" w:rsidR="00D62155" w:rsidRPr="00D62155" w:rsidRDefault="00D62155" w:rsidP="009B153D">
            <w:pPr>
              <w:widowControl w:val="0"/>
              <w:autoSpaceDE w:val="0"/>
              <w:autoSpaceDN w:val="0"/>
              <w:adjustRightInd w:val="0"/>
              <w:spacing w:after="0" w:line="240" w:lineRule="auto"/>
              <w:ind w:left="19"/>
              <w:jc w:val="center"/>
              <w:textAlignment w:val="baseline"/>
              <w:rPr>
                <w:rFonts w:eastAsia="Times New Roman"/>
                <w:sz w:val="20"/>
                <w:szCs w:val="20"/>
                <w:lang w:val="en-US" w:eastAsia="zh-CN"/>
              </w:rPr>
            </w:pPr>
            <w:r w:rsidRPr="00D62155">
              <w:rPr>
                <w:rFonts w:eastAsia="Times New Roman"/>
                <w:sz w:val="20"/>
                <w:szCs w:val="20"/>
                <w:lang w:val="en-US" w:eastAsia="zh-CN"/>
              </w:rPr>
              <w:t xml:space="preserve">149 (92.5) </w:t>
            </w:r>
          </w:p>
        </w:tc>
        <w:tc>
          <w:tcPr>
            <w:tcW w:w="1350" w:type="dxa"/>
            <w:tcBorders>
              <w:top w:val="single" w:sz="6" w:space="0" w:color="auto"/>
              <w:left w:val="single" w:sz="6" w:space="0" w:color="auto"/>
              <w:bottom w:val="single" w:sz="6" w:space="0" w:color="auto"/>
              <w:right w:val="single" w:sz="6" w:space="0" w:color="auto"/>
            </w:tcBorders>
            <w:vAlign w:val="center"/>
          </w:tcPr>
          <w:p w14:paraId="398772CB" w14:textId="77777777" w:rsidR="00D62155" w:rsidRPr="00D62155" w:rsidRDefault="00D62155" w:rsidP="009B153D">
            <w:pPr>
              <w:widowControl w:val="0"/>
              <w:autoSpaceDE w:val="0"/>
              <w:autoSpaceDN w:val="0"/>
              <w:adjustRightInd w:val="0"/>
              <w:spacing w:after="0" w:line="240" w:lineRule="auto"/>
              <w:ind w:left="24"/>
              <w:jc w:val="center"/>
              <w:textAlignment w:val="baseline"/>
              <w:rPr>
                <w:rFonts w:eastAsia="Times New Roman"/>
                <w:sz w:val="20"/>
                <w:szCs w:val="20"/>
                <w:lang w:val="en-US" w:eastAsia="zh-CN"/>
              </w:rPr>
            </w:pPr>
            <w:r w:rsidRPr="00D62155">
              <w:rPr>
                <w:rFonts w:eastAsia="Times New Roman"/>
                <w:sz w:val="20"/>
                <w:szCs w:val="20"/>
                <w:lang w:val="en-US" w:eastAsia="zh-CN"/>
              </w:rPr>
              <w:t xml:space="preserve">152 (96.2) </w:t>
            </w:r>
          </w:p>
        </w:tc>
        <w:tc>
          <w:tcPr>
            <w:tcW w:w="1260" w:type="dxa"/>
            <w:tcBorders>
              <w:top w:val="single" w:sz="6" w:space="0" w:color="auto"/>
              <w:left w:val="single" w:sz="6" w:space="0" w:color="auto"/>
              <w:bottom w:val="single" w:sz="6" w:space="0" w:color="auto"/>
              <w:right w:val="single" w:sz="6" w:space="0" w:color="auto"/>
            </w:tcBorders>
            <w:vAlign w:val="center"/>
          </w:tcPr>
          <w:p w14:paraId="1C4BB32F" w14:textId="77777777" w:rsidR="00D62155" w:rsidRPr="00D62155" w:rsidRDefault="00D62155" w:rsidP="009B153D">
            <w:pPr>
              <w:widowControl w:val="0"/>
              <w:autoSpaceDE w:val="0"/>
              <w:autoSpaceDN w:val="0"/>
              <w:adjustRightInd w:val="0"/>
              <w:spacing w:after="0" w:line="240" w:lineRule="auto"/>
              <w:ind w:left="24"/>
              <w:jc w:val="center"/>
              <w:textAlignment w:val="baseline"/>
              <w:rPr>
                <w:rFonts w:eastAsia="Times New Roman"/>
                <w:sz w:val="20"/>
                <w:szCs w:val="20"/>
                <w:lang w:val="en-US" w:eastAsia="zh-CN"/>
              </w:rPr>
            </w:pPr>
            <w:r w:rsidRPr="00D62155">
              <w:rPr>
                <w:rFonts w:eastAsia="Times New Roman"/>
                <w:sz w:val="20"/>
                <w:szCs w:val="20"/>
                <w:lang w:val="en-US" w:eastAsia="zh-CN"/>
              </w:rPr>
              <w:t xml:space="preserve">301 (94.4) </w:t>
            </w:r>
          </w:p>
        </w:tc>
        <w:tc>
          <w:tcPr>
            <w:tcW w:w="1350" w:type="dxa"/>
            <w:tcBorders>
              <w:top w:val="single" w:sz="6" w:space="0" w:color="auto"/>
              <w:left w:val="single" w:sz="6" w:space="0" w:color="auto"/>
              <w:bottom w:val="single" w:sz="6" w:space="0" w:color="auto"/>
              <w:right w:val="single" w:sz="6" w:space="0" w:color="auto"/>
            </w:tcBorders>
            <w:vAlign w:val="center"/>
          </w:tcPr>
          <w:p w14:paraId="1F25D8F5" w14:textId="77777777" w:rsidR="00D62155" w:rsidRPr="00D62155" w:rsidRDefault="00D62155" w:rsidP="009B153D">
            <w:pPr>
              <w:widowControl w:val="0"/>
              <w:autoSpaceDE w:val="0"/>
              <w:autoSpaceDN w:val="0"/>
              <w:adjustRightInd w:val="0"/>
              <w:spacing w:after="0" w:line="240" w:lineRule="auto"/>
              <w:ind w:left="34"/>
              <w:jc w:val="center"/>
              <w:textAlignment w:val="baseline"/>
              <w:rPr>
                <w:rFonts w:eastAsia="Times New Roman"/>
                <w:sz w:val="20"/>
                <w:szCs w:val="20"/>
                <w:lang w:val="en-US" w:eastAsia="zh-CN"/>
              </w:rPr>
            </w:pPr>
            <w:r w:rsidRPr="00D62155">
              <w:rPr>
                <w:rFonts w:eastAsia="Times New Roman"/>
                <w:sz w:val="20"/>
                <w:szCs w:val="20"/>
                <w:lang w:val="en-US" w:eastAsia="zh-CN"/>
              </w:rPr>
              <w:t xml:space="preserve">149 (93.7) </w:t>
            </w:r>
          </w:p>
        </w:tc>
        <w:tc>
          <w:tcPr>
            <w:tcW w:w="1260" w:type="dxa"/>
            <w:tcBorders>
              <w:top w:val="single" w:sz="6" w:space="0" w:color="auto"/>
              <w:left w:val="single" w:sz="6" w:space="0" w:color="auto"/>
              <w:bottom w:val="single" w:sz="6" w:space="0" w:color="auto"/>
              <w:right w:val="single" w:sz="6" w:space="0" w:color="auto"/>
            </w:tcBorders>
            <w:vAlign w:val="center"/>
          </w:tcPr>
          <w:p w14:paraId="0A010267" w14:textId="77777777" w:rsidR="00D62155" w:rsidRPr="00D62155" w:rsidRDefault="00D62155" w:rsidP="009B153D">
            <w:pPr>
              <w:widowControl w:val="0"/>
              <w:autoSpaceDE w:val="0"/>
              <w:autoSpaceDN w:val="0"/>
              <w:adjustRightInd w:val="0"/>
              <w:spacing w:after="0" w:line="240" w:lineRule="auto"/>
              <w:ind w:left="29"/>
              <w:jc w:val="center"/>
              <w:textAlignment w:val="baseline"/>
              <w:rPr>
                <w:rFonts w:eastAsia="Times New Roman"/>
                <w:sz w:val="20"/>
                <w:szCs w:val="20"/>
                <w:lang w:val="en-US" w:eastAsia="zh-CN"/>
              </w:rPr>
            </w:pPr>
            <w:r w:rsidRPr="00D62155">
              <w:rPr>
                <w:rFonts w:eastAsia="Times New Roman"/>
                <w:sz w:val="20"/>
                <w:szCs w:val="20"/>
                <w:lang w:val="en-US" w:eastAsia="zh-CN"/>
              </w:rPr>
              <w:t xml:space="preserve">450 (94.1) </w:t>
            </w:r>
          </w:p>
        </w:tc>
      </w:tr>
      <w:tr w:rsidR="0055007D" w:rsidRPr="00D62155" w14:paraId="240D4187" w14:textId="77777777" w:rsidTr="006E7089">
        <w:trPr>
          <w:trHeight w:hRule="exact" w:val="384"/>
          <w:jc w:val="center"/>
        </w:trPr>
        <w:tc>
          <w:tcPr>
            <w:tcW w:w="2070" w:type="dxa"/>
            <w:tcBorders>
              <w:top w:val="single" w:sz="6" w:space="0" w:color="auto"/>
              <w:left w:val="single" w:sz="6" w:space="0" w:color="auto"/>
              <w:bottom w:val="single" w:sz="6" w:space="0" w:color="auto"/>
              <w:right w:val="single" w:sz="6" w:space="0" w:color="auto"/>
            </w:tcBorders>
            <w:vAlign w:val="center"/>
          </w:tcPr>
          <w:p w14:paraId="39AC63DF" w14:textId="411E9F95" w:rsidR="00D62155" w:rsidRPr="00D62155" w:rsidRDefault="00D62155" w:rsidP="009B153D">
            <w:pPr>
              <w:widowControl w:val="0"/>
              <w:autoSpaceDE w:val="0"/>
              <w:autoSpaceDN w:val="0"/>
              <w:adjustRightInd w:val="0"/>
              <w:spacing w:after="0" w:line="240" w:lineRule="auto"/>
              <w:ind w:left="115"/>
              <w:textAlignment w:val="baseline"/>
              <w:rPr>
                <w:rFonts w:eastAsia="Times New Roman"/>
                <w:sz w:val="20"/>
                <w:szCs w:val="20"/>
                <w:lang w:val="en-US" w:eastAsia="zh-CN"/>
              </w:rPr>
            </w:pPr>
            <w:r w:rsidRPr="00D62155">
              <w:rPr>
                <w:rFonts w:eastAsia="Times New Roman"/>
                <w:sz w:val="20"/>
                <w:szCs w:val="20"/>
                <w:lang w:val="en-US" w:eastAsia="zh-CN"/>
              </w:rPr>
              <w:t>P</w:t>
            </w:r>
            <w:r w:rsidR="0055007D">
              <w:rPr>
                <w:rFonts w:eastAsia="Times New Roman"/>
                <w:sz w:val="20"/>
                <w:szCs w:val="20"/>
                <w:lang w:val="en-US" w:eastAsia="zh-CN"/>
              </w:rPr>
              <w:t>er protocol set</w:t>
            </w:r>
          </w:p>
        </w:tc>
        <w:tc>
          <w:tcPr>
            <w:tcW w:w="1350" w:type="dxa"/>
            <w:tcBorders>
              <w:top w:val="single" w:sz="6" w:space="0" w:color="auto"/>
              <w:left w:val="single" w:sz="6" w:space="0" w:color="auto"/>
              <w:bottom w:val="single" w:sz="6" w:space="0" w:color="auto"/>
              <w:right w:val="single" w:sz="6" w:space="0" w:color="auto"/>
            </w:tcBorders>
            <w:vAlign w:val="center"/>
          </w:tcPr>
          <w:p w14:paraId="25803662" w14:textId="77777777" w:rsidR="00D62155" w:rsidRPr="00D62155" w:rsidRDefault="00D62155" w:rsidP="009B153D">
            <w:pPr>
              <w:widowControl w:val="0"/>
              <w:autoSpaceDE w:val="0"/>
              <w:autoSpaceDN w:val="0"/>
              <w:adjustRightInd w:val="0"/>
              <w:spacing w:after="0" w:line="240" w:lineRule="auto"/>
              <w:ind w:left="19"/>
              <w:jc w:val="center"/>
              <w:textAlignment w:val="baseline"/>
              <w:rPr>
                <w:rFonts w:eastAsia="Times New Roman"/>
                <w:sz w:val="20"/>
                <w:szCs w:val="20"/>
                <w:lang w:val="en-US" w:eastAsia="zh-CN"/>
              </w:rPr>
            </w:pPr>
            <w:r w:rsidRPr="00D62155">
              <w:rPr>
                <w:rFonts w:eastAsia="Times New Roman"/>
                <w:sz w:val="20"/>
                <w:szCs w:val="20"/>
                <w:lang w:val="en-US" w:eastAsia="zh-CN"/>
              </w:rPr>
              <w:t xml:space="preserve">156 (96.9) </w:t>
            </w:r>
          </w:p>
        </w:tc>
        <w:tc>
          <w:tcPr>
            <w:tcW w:w="1350" w:type="dxa"/>
            <w:tcBorders>
              <w:top w:val="single" w:sz="6" w:space="0" w:color="auto"/>
              <w:left w:val="single" w:sz="6" w:space="0" w:color="auto"/>
              <w:bottom w:val="single" w:sz="6" w:space="0" w:color="auto"/>
              <w:right w:val="single" w:sz="6" w:space="0" w:color="auto"/>
            </w:tcBorders>
            <w:vAlign w:val="center"/>
          </w:tcPr>
          <w:p w14:paraId="42B3154F" w14:textId="77777777" w:rsidR="00D62155" w:rsidRPr="00D62155" w:rsidRDefault="00D62155" w:rsidP="009B153D">
            <w:pPr>
              <w:widowControl w:val="0"/>
              <w:autoSpaceDE w:val="0"/>
              <w:autoSpaceDN w:val="0"/>
              <w:adjustRightInd w:val="0"/>
              <w:spacing w:after="0" w:line="240" w:lineRule="auto"/>
              <w:ind w:left="24"/>
              <w:jc w:val="center"/>
              <w:textAlignment w:val="baseline"/>
              <w:rPr>
                <w:rFonts w:eastAsia="Times New Roman"/>
                <w:sz w:val="20"/>
                <w:szCs w:val="20"/>
                <w:lang w:val="en-US" w:eastAsia="zh-CN"/>
              </w:rPr>
            </w:pPr>
            <w:r w:rsidRPr="00D62155">
              <w:rPr>
                <w:rFonts w:eastAsia="Times New Roman"/>
                <w:sz w:val="20"/>
                <w:szCs w:val="20"/>
                <w:lang w:val="en-US" w:eastAsia="zh-CN"/>
              </w:rPr>
              <w:t xml:space="preserve">157 (99.4) </w:t>
            </w:r>
          </w:p>
        </w:tc>
        <w:tc>
          <w:tcPr>
            <w:tcW w:w="1260" w:type="dxa"/>
            <w:tcBorders>
              <w:top w:val="single" w:sz="6" w:space="0" w:color="auto"/>
              <w:left w:val="single" w:sz="6" w:space="0" w:color="auto"/>
              <w:bottom w:val="single" w:sz="6" w:space="0" w:color="auto"/>
              <w:right w:val="single" w:sz="6" w:space="0" w:color="auto"/>
            </w:tcBorders>
            <w:vAlign w:val="center"/>
          </w:tcPr>
          <w:p w14:paraId="6B454B04" w14:textId="77777777" w:rsidR="00D62155" w:rsidRPr="00D62155" w:rsidRDefault="00D62155" w:rsidP="009B153D">
            <w:pPr>
              <w:widowControl w:val="0"/>
              <w:autoSpaceDE w:val="0"/>
              <w:autoSpaceDN w:val="0"/>
              <w:adjustRightInd w:val="0"/>
              <w:spacing w:after="0" w:line="240" w:lineRule="auto"/>
              <w:ind w:left="24"/>
              <w:jc w:val="center"/>
              <w:textAlignment w:val="baseline"/>
              <w:rPr>
                <w:rFonts w:eastAsia="Times New Roman"/>
                <w:sz w:val="20"/>
                <w:szCs w:val="20"/>
                <w:lang w:val="en-US" w:eastAsia="zh-CN"/>
              </w:rPr>
            </w:pPr>
            <w:r w:rsidRPr="00D62155">
              <w:rPr>
                <w:rFonts w:eastAsia="Times New Roman"/>
                <w:sz w:val="20"/>
                <w:szCs w:val="20"/>
                <w:lang w:val="en-US" w:eastAsia="zh-CN"/>
              </w:rPr>
              <w:t xml:space="preserve">313 (98.1) </w:t>
            </w:r>
          </w:p>
        </w:tc>
        <w:tc>
          <w:tcPr>
            <w:tcW w:w="1350" w:type="dxa"/>
            <w:tcBorders>
              <w:top w:val="single" w:sz="6" w:space="0" w:color="auto"/>
              <w:left w:val="single" w:sz="6" w:space="0" w:color="auto"/>
              <w:bottom w:val="single" w:sz="6" w:space="0" w:color="auto"/>
              <w:right w:val="single" w:sz="6" w:space="0" w:color="auto"/>
            </w:tcBorders>
            <w:vAlign w:val="center"/>
          </w:tcPr>
          <w:p w14:paraId="5C5BD80E" w14:textId="77777777" w:rsidR="00D62155" w:rsidRPr="00D62155" w:rsidRDefault="00D62155" w:rsidP="009B153D">
            <w:pPr>
              <w:widowControl w:val="0"/>
              <w:autoSpaceDE w:val="0"/>
              <w:autoSpaceDN w:val="0"/>
              <w:adjustRightInd w:val="0"/>
              <w:spacing w:after="0" w:line="240" w:lineRule="auto"/>
              <w:ind w:left="34"/>
              <w:jc w:val="center"/>
              <w:textAlignment w:val="baseline"/>
              <w:rPr>
                <w:rFonts w:eastAsia="Times New Roman"/>
                <w:sz w:val="20"/>
                <w:szCs w:val="20"/>
                <w:lang w:val="en-US" w:eastAsia="zh-CN"/>
              </w:rPr>
            </w:pPr>
            <w:r w:rsidRPr="00D62155">
              <w:rPr>
                <w:rFonts w:eastAsia="Times New Roman"/>
                <w:sz w:val="20"/>
                <w:szCs w:val="20"/>
                <w:lang w:val="en-US" w:eastAsia="zh-CN"/>
              </w:rPr>
              <w:t xml:space="preserve">156 (98.1) </w:t>
            </w:r>
          </w:p>
        </w:tc>
        <w:tc>
          <w:tcPr>
            <w:tcW w:w="1260" w:type="dxa"/>
            <w:tcBorders>
              <w:top w:val="single" w:sz="6" w:space="0" w:color="auto"/>
              <w:left w:val="single" w:sz="6" w:space="0" w:color="auto"/>
              <w:bottom w:val="single" w:sz="6" w:space="0" w:color="auto"/>
              <w:right w:val="single" w:sz="6" w:space="0" w:color="auto"/>
            </w:tcBorders>
            <w:vAlign w:val="center"/>
          </w:tcPr>
          <w:p w14:paraId="4A7C77D0" w14:textId="77777777" w:rsidR="00D62155" w:rsidRPr="00D62155" w:rsidRDefault="00D62155" w:rsidP="009B153D">
            <w:pPr>
              <w:widowControl w:val="0"/>
              <w:autoSpaceDE w:val="0"/>
              <w:autoSpaceDN w:val="0"/>
              <w:adjustRightInd w:val="0"/>
              <w:spacing w:after="0" w:line="240" w:lineRule="auto"/>
              <w:ind w:left="29"/>
              <w:jc w:val="center"/>
              <w:textAlignment w:val="baseline"/>
              <w:rPr>
                <w:rFonts w:eastAsia="Times New Roman"/>
                <w:sz w:val="20"/>
                <w:szCs w:val="20"/>
                <w:lang w:val="en-US" w:eastAsia="zh-CN"/>
              </w:rPr>
            </w:pPr>
            <w:r w:rsidRPr="00D62155">
              <w:rPr>
                <w:rFonts w:eastAsia="Times New Roman"/>
                <w:sz w:val="20"/>
                <w:szCs w:val="20"/>
                <w:lang w:val="en-US" w:eastAsia="zh-CN"/>
              </w:rPr>
              <w:t xml:space="preserve">469 (98.1) </w:t>
            </w:r>
          </w:p>
        </w:tc>
      </w:tr>
      <w:tr w:rsidR="0055007D" w:rsidRPr="00D62155" w14:paraId="6FE41ACB" w14:textId="77777777" w:rsidTr="006E7089">
        <w:trPr>
          <w:trHeight w:hRule="exact" w:val="603"/>
          <w:jc w:val="center"/>
        </w:trPr>
        <w:tc>
          <w:tcPr>
            <w:tcW w:w="2070" w:type="dxa"/>
            <w:tcBorders>
              <w:top w:val="single" w:sz="6" w:space="0" w:color="auto"/>
              <w:left w:val="single" w:sz="6" w:space="0" w:color="auto"/>
              <w:bottom w:val="single" w:sz="6" w:space="0" w:color="auto"/>
              <w:right w:val="single" w:sz="6" w:space="0" w:color="auto"/>
            </w:tcBorders>
            <w:vAlign w:val="center"/>
          </w:tcPr>
          <w:p w14:paraId="2B979F27" w14:textId="4EDCE31B" w:rsidR="00D62155" w:rsidRPr="00D62155" w:rsidRDefault="0055007D" w:rsidP="009B153D">
            <w:pPr>
              <w:widowControl w:val="0"/>
              <w:autoSpaceDE w:val="0"/>
              <w:autoSpaceDN w:val="0"/>
              <w:adjustRightInd w:val="0"/>
              <w:spacing w:after="0" w:line="240" w:lineRule="auto"/>
              <w:ind w:left="115"/>
              <w:textAlignment w:val="baseline"/>
              <w:rPr>
                <w:rFonts w:eastAsia="Times New Roman"/>
                <w:sz w:val="20"/>
                <w:szCs w:val="20"/>
                <w:lang w:val="en-US" w:eastAsia="zh-CN"/>
              </w:rPr>
            </w:pPr>
            <w:r>
              <w:rPr>
                <w:rFonts w:eastAsia="Times New Roman"/>
                <w:sz w:val="20"/>
                <w:szCs w:val="20"/>
                <w:lang w:val="en-US" w:eastAsia="zh-CN"/>
              </w:rPr>
              <w:t>Pharmacokinetics per protocol set</w:t>
            </w:r>
          </w:p>
        </w:tc>
        <w:tc>
          <w:tcPr>
            <w:tcW w:w="1350" w:type="dxa"/>
            <w:tcBorders>
              <w:top w:val="single" w:sz="6" w:space="0" w:color="auto"/>
              <w:left w:val="single" w:sz="6" w:space="0" w:color="auto"/>
              <w:bottom w:val="single" w:sz="6" w:space="0" w:color="auto"/>
              <w:right w:val="single" w:sz="6" w:space="0" w:color="auto"/>
            </w:tcBorders>
            <w:vAlign w:val="center"/>
          </w:tcPr>
          <w:p w14:paraId="72C15D1A" w14:textId="77777777" w:rsidR="00D62155" w:rsidRPr="00D62155" w:rsidRDefault="00D62155" w:rsidP="009B153D">
            <w:pPr>
              <w:widowControl w:val="0"/>
              <w:autoSpaceDE w:val="0"/>
              <w:autoSpaceDN w:val="0"/>
              <w:adjustRightInd w:val="0"/>
              <w:spacing w:after="0" w:line="240" w:lineRule="auto"/>
              <w:ind w:left="19"/>
              <w:jc w:val="center"/>
              <w:textAlignment w:val="baseline"/>
              <w:rPr>
                <w:rFonts w:eastAsia="Times New Roman"/>
                <w:sz w:val="20"/>
                <w:szCs w:val="20"/>
                <w:lang w:val="en-US" w:eastAsia="zh-CN"/>
              </w:rPr>
            </w:pPr>
            <w:r w:rsidRPr="00D62155">
              <w:rPr>
                <w:rFonts w:eastAsia="Times New Roman"/>
                <w:sz w:val="20"/>
                <w:szCs w:val="20"/>
                <w:lang w:val="en-US" w:eastAsia="zh-CN"/>
              </w:rPr>
              <w:t xml:space="preserve">161 (100) </w:t>
            </w:r>
          </w:p>
        </w:tc>
        <w:tc>
          <w:tcPr>
            <w:tcW w:w="1350" w:type="dxa"/>
            <w:tcBorders>
              <w:top w:val="single" w:sz="6" w:space="0" w:color="auto"/>
              <w:left w:val="single" w:sz="6" w:space="0" w:color="auto"/>
              <w:bottom w:val="single" w:sz="6" w:space="0" w:color="auto"/>
              <w:right w:val="single" w:sz="6" w:space="0" w:color="auto"/>
            </w:tcBorders>
            <w:vAlign w:val="center"/>
          </w:tcPr>
          <w:p w14:paraId="7F1DA8A6" w14:textId="77777777" w:rsidR="00D62155" w:rsidRPr="00D62155" w:rsidRDefault="00D62155" w:rsidP="009B153D">
            <w:pPr>
              <w:widowControl w:val="0"/>
              <w:autoSpaceDE w:val="0"/>
              <w:autoSpaceDN w:val="0"/>
              <w:adjustRightInd w:val="0"/>
              <w:spacing w:after="0" w:line="240" w:lineRule="auto"/>
              <w:ind w:left="24"/>
              <w:jc w:val="center"/>
              <w:textAlignment w:val="baseline"/>
              <w:rPr>
                <w:rFonts w:eastAsia="Times New Roman"/>
                <w:sz w:val="20"/>
                <w:szCs w:val="20"/>
                <w:lang w:val="en-US" w:eastAsia="zh-CN"/>
              </w:rPr>
            </w:pPr>
            <w:r w:rsidRPr="00D62155">
              <w:rPr>
                <w:rFonts w:eastAsia="Times New Roman"/>
                <w:sz w:val="20"/>
                <w:szCs w:val="20"/>
                <w:lang w:val="en-US" w:eastAsia="zh-CN"/>
              </w:rPr>
              <w:t xml:space="preserve">158 (100) </w:t>
            </w:r>
          </w:p>
        </w:tc>
        <w:tc>
          <w:tcPr>
            <w:tcW w:w="1260" w:type="dxa"/>
            <w:tcBorders>
              <w:top w:val="single" w:sz="6" w:space="0" w:color="auto"/>
              <w:left w:val="single" w:sz="6" w:space="0" w:color="auto"/>
              <w:bottom w:val="single" w:sz="6" w:space="0" w:color="auto"/>
              <w:right w:val="single" w:sz="6" w:space="0" w:color="auto"/>
            </w:tcBorders>
            <w:vAlign w:val="center"/>
          </w:tcPr>
          <w:p w14:paraId="2FDBF266" w14:textId="77777777" w:rsidR="00D62155" w:rsidRPr="00D62155" w:rsidRDefault="00D62155" w:rsidP="009B153D">
            <w:pPr>
              <w:widowControl w:val="0"/>
              <w:autoSpaceDE w:val="0"/>
              <w:autoSpaceDN w:val="0"/>
              <w:adjustRightInd w:val="0"/>
              <w:spacing w:after="0" w:line="240" w:lineRule="auto"/>
              <w:ind w:left="24"/>
              <w:jc w:val="center"/>
              <w:textAlignment w:val="baseline"/>
              <w:rPr>
                <w:rFonts w:eastAsia="Times New Roman"/>
                <w:sz w:val="20"/>
                <w:szCs w:val="20"/>
                <w:lang w:val="en-US" w:eastAsia="zh-CN"/>
              </w:rPr>
            </w:pPr>
            <w:r w:rsidRPr="00D62155">
              <w:rPr>
                <w:rFonts w:eastAsia="Times New Roman"/>
                <w:sz w:val="20"/>
                <w:szCs w:val="20"/>
                <w:lang w:val="en-US" w:eastAsia="zh-CN"/>
              </w:rPr>
              <w:t xml:space="preserve">319(100) </w:t>
            </w:r>
          </w:p>
        </w:tc>
        <w:tc>
          <w:tcPr>
            <w:tcW w:w="1350" w:type="dxa"/>
            <w:tcBorders>
              <w:top w:val="single" w:sz="6" w:space="0" w:color="auto"/>
              <w:left w:val="single" w:sz="6" w:space="0" w:color="auto"/>
              <w:bottom w:val="single" w:sz="6" w:space="0" w:color="auto"/>
              <w:right w:val="single" w:sz="6" w:space="0" w:color="auto"/>
            </w:tcBorders>
            <w:vAlign w:val="center"/>
          </w:tcPr>
          <w:p w14:paraId="23EF03E8" w14:textId="77777777" w:rsidR="00D62155" w:rsidRPr="00D62155" w:rsidRDefault="00D62155" w:rsidP="009B153D">
            <w:pPr>
              <w:widowControl w:val="0"/>
              <w:autoSpaceDE w:val="0"/>
              <w:autoSpaceDN w:val="0"/>
              <w:adjustRightInd w:val="0"/>
              <w:spacing w:after="0" w:line="240" w:lineRule="auto"/>
              <w:ind w:left="34"/>
              <w:jc w:val="center"/>
              <w:textAlignment w:val="baseline"/>
              <w:rPr>
                <w:rFonts w:eastAsia="Times New Roman"/>
                <w:sz w:val="20"/>
                <w:szCs w:val="20"/>
                <w:lang w:val="en-US" w:eastAsia="zh-CN"/>
              </w:rPr>
            </w:pPr>
            <w:r w:rsidRPr="00D62155">
              <w:rPr>
                <w:rFonts w:eastAsia="Times New Roman"/>
                <w:sz w:val="20"/>
                <w:szCs w:val="20"/>
                <w:lang w:val="en-US" w:eastAsia="zh-CN"/>
              </w:rPr>
              <w:t xml:space="preserve">146 (91.8) </w:t>
            </w:r>
          </w:p>
        </w:tc>
        <w:tc>
          <w:tcPr>
            <w:tcW w:w="1260" w:type="dxa"/>
            <w:tcBorders>
              <w:top w:val="single" w:sz="6" w:space="0" w:color="auto"/>
              <w:left w:val="single" w:sz="6" w:space="0" w:color="auto"/>
              <w:bottom w:val="single" w:sz="6" w:space="0" w:color="auto"/>
              <w:right w:val="single" w:sz="6" w:space="0" w:color="auto"/>
            </w:tcBorders>
            <w:vAlign w:val="center"/>
          </w:tcPr>
          <w:p w14:paraId="23758E62" w14:textId="77777777" w:rsidR="00D62155" w:rsidRPr="00D62155" w:rsidRDefault="00D62155" w:rsidP="009B153D">
            <w:pPr>
              <w:widowControl w:val="0"/>
              <w:autoSpaceDE w:val="0"/>
              <w:autoSpaceDN w:val="0"/>
              <w:adjustRightInd w:val="0"/>
              <w:spacing w:after="0" w:line="240" w:lineRule="auto"/>
              <w:ind w:left="29"/>
              <w:jc w:val="center"/>
              <w:textAlignment w:val="baseline"/>
              <w:rPr>
                <w:rFonts w:eastAsia="Times New Roman"/>
                <w:sz w:val="20"/>
                <w:szCs w:val="20"/>
                <w:lang w:val="en-US" w:eastAsia="zh-CN"/>
              </w:rPr>
            </w:pPr>
            <w:r w:rsidRPr="00D62155">
              <w:rPr>
                <w:rFonts w:eastAsia="Times New Roman"/>
                <w:sz w:val="20"/>
                <w:szCs w:val="20"/>
                <w:lang w:val="en-US" w:eastAsia="zh-CN"/>
              </w:rPr>
              <w:t xml:space="preserve">465 (97.3) </w:t>
            </w:r>
          </w:p>
        </w:tc>
      </w:tr>
      <w:tr w:rsidR="0055007D" w:rsidRPr="00D62155" w14:paraId="110EBF73" w14:textId="77777777" w:rsidTr="006E7089">
        <w:trPr>
          <w:trHeight w:hRule="exact" w:val="389"/>
          <w:jc w:val="center"/>
        </w:trPr>
        <w:tc>
          <w:tcPr>
            <w:tcW w:w="2070" w:type="dxa"/>
            <w:tcBorders>
              <w:top w:val="single" w:sz="6" w:space="0" w:color="auto"/>
              <w:left w:val="single" w:sz="6" w:space="0" w:color="auto"/>
              <w:bottom w:val="single" w:sz="6" w:space="0" w:color="auto"/>
              <w:right w:val="single" w:sz="6" w:space="0" w:color="auto"/>
            </w:tcBorders>
            <w:vAlign w:val="center"/>
          </w:tcPr>
          <w:p w14:paraId="1CE4CBBE" w14:textId="0B0163B2" w:rsidR="00D62155" w:rsidRPr="00D62155" w:rsidRDefault="00D62155" w:rsidP="009B153D">
            <w:pPr>
              <w:widowControl w:val="0"/>
              <w:autoSpaceDE w:val="0"/>
              <w:autoSpaceDN w:val="0"/>
              <w:adjustRightInd w:val="0"/>
              <w:spacing w:after="0" w:line="240" w:lineRule="auto"/>
              <w:ind w:left="115"/>
              <w:textAlignment w:val="baseline"/>
              <w:rPr>
                <w:rFonts w:eastAsia="Times New Roman"/>
                <w:sz w:val="20"/>
                <w:szCs w:val="20"/>
                <w:lang w:val="en-US" w:eastAsia="zh-CN"/>
              </w:rPr>
            </w:pPr>
            <w:r w:rsidRPr="00D62155">
              <w:rPr>
                <w:rFonts w:eastAsia="Times New Roman"/>
                <w:sz w:val="20"/>
                <w:szCs w:val="20"/>
                <w:lang w:val="en-US" w:eastAsia="zh-CN"/>
              </w:rPr>
              <w:t>M</w:t>
            </w:r>
            <w:r w:rsidR="00AE6640">
              <w:rPr>
                <w:rFonts w:eastAsia="Times New Roman"/>
                <w:sz w:val="20"/>
                <w:szCs w:val="20"/>
                <w:lang w:val="en-US" w:eastAsia="zh-CN"/>
              </w:rPr>
              <w:t>aintenance set</w:t>
            </w:r>
          </w:p>
        </w:tc>
        <w:tc>
          <w:tcPr>
            <w:tcW w:w="1350" w:type="dxa"/>
            <w:tcBorders>
              <w:top w:val="single" w:sz="6" w:space="0" w:color="auto"/>
              <w:left w:val="single" w:sz="6" w:space="0" w:color="auto"/>
              <w:bottom w:val="single" w:sz="6" w:space="0" w:color="auto"/>
              <w:right w:val="single" w:sz="6" w:space="0" w:color="auto"/>
            </w:tcBorders>
            <w:vAlign w:val="center"/>
          </w:tcPr>
          <w:p w14:paraId="10690461" w14:textId="77777777" w:rsidR="00D62155" w:rsidRPr="00D62155" w:rsidRDefault="00D62155" w:rsidP="009B153D">
            <w:pPr>
              <w:widowControl w:val="0"/>
              <w:autoSpaceDE w:val="0"/>
              <w:autoSpaceDN w:val="0"/>
              <w:adjustRightInd w:val="0"/>
              <w:spacing w:after="0" w:line="240" w:lineRule="auto"/>
              <w:ind w:left="19"/>
              <w:jc w:val="center"/>
              <w:textAlignment w:val="baseline"/>
              <w:rPr>
                <w:rFonts w:eastAsia="Times New Roman"/>
                <w:sz w:val="20"/>
                <w:szCs w:val="20"/>
                <w:lang w:val="en-US" w:eastAsia="zh-CN"/>
              </w:rPr>
            </w:pPr>
            <w:r w:rsidRPr="00D62155">
              <w:rPr>
                <w:rFonts w:eastAsia="Times New Roman"/>
                <w:sz w:val="20"/>
                <w:szCs w:val="20"/>
                <w:lang w:val="en-US" w:eastAsia="zh-CN"/>
              </w:rPr>
              <w:t xml:space="preserve">154 (95.7) </w:t>
            </w:r>
          </w:p>
        </w:tc>
        <w:tc>
          <w:tcPr>
            <w:tcW w:w="1350" w:type="dxa"/>
            <w:tcBorders>
              <w:top w:val="single" w:sz="6" w:space="0" w:color="auto"/>
              <w:left w:val="single" w:sz="6" w:space="0" w:color="auto"/>
              <w:bottom w:val="single" w:sz="6" w:space="0" w:color="auto"/>
              <w:right w:val="single" w:sz="6" w:space="0" w:color="auto"/>
            </w:tcBorders>
            <w:vAlign w:val="center"/>
          </w:tcPr>
          <w:p w14:paraId="27D9B43D" w14:textId="77777777" w:rsidR="00D62155" w:rsidRPr="00D62155" w:rsidRDefault="00D62155" w:rsidP="009B153D">
            <w:pPr>
              <w:widowControl w:val="0"/>
              <w:autoSpaceDE w:val="0"/>
              <w:autoSpaceDN w:val="0"/>
              <w:adjustRightInd w:val="0"/>
              <w:spacing w:after="0" w:line="240" w:lineRule="auto"/>
              <w:ind w:left="24"/>
              <w:jc w:val="center"/>
              <w:textAlignment w:val="baseline"/>
              <w:rPr>
                <w:rFonts w:eastAsia="Times New Roman"/>
                <w:sz w:val="20"/>
                <w:szCs w:val="20"/>
                <w:lang w:val="en-US" w:eastAsia="zh-CN"/>
              </w:rPr>
            </w:pPr>
            <w:r w:rsidRPr="00D62155">
              <w:rPr>
                <w:rFonts w:eastAsia="Times New Roman"/>
                <w:sz w:val="20"/>
                <w:szCs w:val="20"/>
                <w:lang w:val="en-US" w:eastAsia="zh-CN"/>
              </w:rPr>
              <w:t xml:space="preserve">153 (96.8) </w:t>
            </w:r>
          </w:p>
        </w:tc>
        <w:tc>
          <w:tcPr>
            <w:tcW w:w="1260" w:type="dxa"/>
            <w:tcBorders>
              <w:top w:val="single" w:sz="6" w:space="0" w:color="auto"/>
              <w:left w:val="single" w:sz="6" w:space="0" w:color="auto"/>
              <w:bottom w:val="single" w:sz="6" w:space="0" w:color="auto"/>
              <w:right w:val="single" w:sz="6" w:space="0" w:color="auto"/>
            </w:tcBorders>
            <w:vAlign w:val="center"/>
          </w:tcPr>
          <w:p w14:paraId="65E44812" w14:textId="77777777" w:rsidR="00D62155" w:rsidRPr="00D62155" w:rsidRDefault="00D62155" w:rsidP="009B153D">
            <w:pPr>
              <w:widowControl w:val="0"/>
              <w:autoSpaceDE w:val="0"/>
              <w:autoSpaceDN w:val="0"/>
              <w:adjustRightInd w:val="0"/>
              <w:spacing w:after="0" w:line="240" w:lineRule="auto"/>
              <w:ind w:left="24"/>
              <w:jc w:val="center"/>
              <w:textAlignment w:val="baseline"/>
              <w:rPr>
                <w:rFonts w:eastAsia="Times New Roman"/>
                <w:sz w:val="20"/>
                <w:szCs w:val="20"/>
                <w:lang w:val="en-US" w:eastAsia="zh-CN"/>
              </w:rPr>
            </w:pPr>
            <w:r w:rsidRPr="00D62155">
              <w:rPr>
                <w:rFonts w:eastAsia="Times New Roman"/>
                <w:sz w:val="20"/>
                <w:szCs w:val="20"/>
                <w:lang w:val="en-US" w:eastAsia="zh-CN"/>
              </w:rPr>
              <w:t xml:space="preserve">307 (96.2) </w:t>
            </w:r>
          </w:p>
        </w:tc>
        <w:tc>
          <w:tcPr>
            <w:tcW w:w="1350" w:type="dxa"/>
            <w:tcBorders>
              <w:top w:val="single" w:sz="6" w:space="0" w:color="auto"/>
              <w:left w:val="single" w:sz="6" w:space="0" w:color="auto"/>
              <w:bottom w:val="single" w:sz="6" w:space="0" w:color="auto"/>
              <w:right w:val="single" w:sz="6" w:space="0" w:color="auto"/>
            </w:tcBorders>
            <w:vAlign w:val="center"/>
          </w:tcPr>
          <w:p w14:paraId="01ADD86C" w14:textId="77777777" w:rsidR="00D62155" w:rsidRPr="00D62155" w:rsidRDefault="00D62155" w:rsidP="009B153D">
            <w:pPr>
              <w:widowControl w:val="0"/>
              <w:autoSpaceDE w:val="0"/>
              <w:autoSpaceDN w:val="0"/>
              <w:adjustRightInd w:val="0"/>
              <w:spacing w:after="0" w:line="240" w:lineRule="auto"/>
              <w:ind w:left="34"/>
              <w:jc w:val="center"/>
              <w:textAlignment w:val="baseline"/>
              <w:rPr>
                <w:rFonts w:eastAsia="Times New Roman"/>
                <w:sz w:val="20"/>
                <w:szCs w:val="20"/>
                <w:lang w:val="en-US" w:eastAsia="zh-CN"/>
              </w:rPr>
            </w:pPr>
            <w:r w:rsidRPr="00D62155">
              <w:rPr>
                <w:rFonts w:eastAsia="Times New Roman"/>
                <w:sz w:val="20"/>
                <w:szCs w:val="20"/>
                <w:lang w:val="en-US" w:eastAsia="zh-CN"/>
              </w:rPr>
              <w:t xml:space="preserve">149 (93.7) </w:t>
            </w:r>
          </w:p>
        </w:tc>
        <w:tc>
          <w:tcPr>
            <w:tcW w:w="1260" w:type="dxa"/>
            <w:tcBorders>
              <w:top w:val="single" w:sz="6" w:space="0" w:color="auto"/>
              <w:left w:val="single" w:sz="6" w:space="0" w:color="auto"/>
              <w:bottom w:val="single" w:sz="6" w:space="0" w:color="auto"/>
              <w:right w:val="single" w:sz="6" w:space="0" w:color="auto"/>
            </w:tcBorders>
            <w:vAlign w:val="center"/>
          </w:tcPr>
          <w:p w14:paraId="055460B5" w14:textId="77777777" w:rsidR="00D62155" w:rsidRPr="00D62155" w:rsidRDefault="00D62155" w:rsidP="009B153D">
            <w:pPr>
              <w:widowControl w:val="0"/>
              <w:autoSpaceDE w:val="0"/>
              <w:autoSpaceDN w:val="0"/>
              <w:adjustRightInd w:val="0"/>
              <w:spacing w:after="0" w:line="240" w:lineRule="auto"/>
              <w:ind w:left="29"/>
              <w:jc w:val="center"/>
              <w:textAlignment w:val="baseline"/>
              <w:rPr>
                <w:rFonts w:eastAsia="Times New Roman"/>
                <w:sz w:val="20"/>
                <w:szCs w:val="20"/>
                <w:lang w:val="en-US" w:eastAsia="zh-CN"/>
              </w:rPr>
            </w:pPr>
            <w:r w:rsidRPr="00D62155">
              <w:rPr>
                <w:rFonts w:eastAsia="Times New Roman"/>
                <w:sz w:val="20"/>
                <w:szCs w:val="20"/>
                <w:lang w:val="en-US" w:eastAsia="zh-CN"/>
              </w:rPr>
              <w:t xml:space="preserve">456 (95.4) </w:t>
            </w:r>
          </w:p>
        </w:tc>
      </w:tr>
    </w:tbl>
    <w:p w14:paraId="786158B1" w14:textId="438BC272" w:rsidR="00FE69B5" w:rsidRDefault="00FE69B5" w:rsidP="00FE69B5">
      <w:pPr>
        <w:pStyle w:val="TableDescription"/>
      </w:pPr>
      <w:r>
        <w:t xml:space="preserve">Abbreviation: </w:t>
      </w:r>
      <w:r w:rsidR="00697067">
        <w:t xml:space="preserve">BKZ = </w:t>
      </w:r>
      <w:proofErr w:type="spellStart"/>
      <w:r w:rsidR="00697067">
        <w:rPr>
          <w:lang w:eastAsia="ja-JP"/>
        </w:rPr>
        <w:t>bimekizumab</w:t>
      </w:r>
      <w:proofErr w:type="spellEnd"/>
      <w:r w:rsidR="00697067">
        <w:rPr>
          <w:lang w:eastAsia="ja-JP"/>
        </w:rPr>
        <w:t>; FAS = full analysis set; MS = maintenance set; PK-PPS = pharmacokinetics per protocol set; PPS = per protocol set;</w:t>
      </w:r>
      <w:r w:rsidR="00697067">
        <w:t xml:space="preserve"> RS = randomised set; SS = safety set.</w:t>
      </w:r>
    </w:p>
    <w:p w14:paraId="431848E7" w14:textId="6D25FD0E" w:rsidR="00D62155" w:rsidRPr="00D906BD" w:rsidRDefault="00D62155" w:rsidP="00D62155">
      <w:pPr>
        <w:pStyle w:val="Heading6"/>
      </w:pPr>
      <w:r w:rsidRPr="00D906BD">
        <w:t>Sample si</w:t>
      </w:r>
      <w:r w:rsidR="00697067">
        <w:t>ze</w:t>
      </w:r>
    </w:p>
    <w:p w14:paraId="57C9A3FD" w14:textId="73E634EE" w:rsidR="00D62155" w:rsidRPr="00D906BD" w:rsidRDefault="00D62155" w:rsidP="00D62155">
      <w:pPr>
        <w:rPr>
          <w:lang w:eastAsia="ja-JP"/>
        </w:rPr>
      </w:pPr>
      <w:r w:rsidRPr="00D906BD">
        <w:rPr>
          <w:lang w:eastAsia="ja-JP"/>
        </w:rPr>
        <w:t xml:space="preserve">Sample size calculations were based on the testing of superiority to adalimumab for </w:t>
      </w:r>
      <w:r w:rsidR="005960C5">
        <w:rPr>
          <w:lang w:eastAsia="ja-JP"/>
        </w:rPr>
        <w:t>PASI</w:t>
      </w:r>
      <w:r w:rsidR="00697067">
        <w:rPr>
          <w:lang w:eastAsia="ja-JP"/>
        </w:rPr>
        <w:t> </w:t>
      </w:r>
      <w:r w:rsidR="005960C5">
        <w:rPr>
          <w:lang w:eastAsia="ja-JP"/>
        </w:rPr>
        <w:t>90</w:t>
      </w:r>
      <w:r w:rsidRPr="00D906BD">
        <w:rPr>
          <w:lang w:eastAsia="ja-JP"/>
        </w:rPr>
        <w:t xml:space="preserve"> and IGA 0/1 at Week 16.</w:t>
      </w:r>
    </w:p>
    <w:p w14:paraId="6DA4F893" w14:textId="4F5A51D2" w:rsidR="00D62155" w:rsidRPr="00D906BD" w:rsidRDefault="00D62155" w:rsidP="00D62155">
      <w:pPr>
        <w:rPr>
          <w:lang w:eastAsia="ja-JP"/>
        </w:rPr>
      </w:pPr>
      <w:r w:rsidRPr="00D906BD">
        <w:rPr>
          <w:lang w:eastAsia="ja-JP"/>
        </w:rPr>
        <w:t xml:space="preserve">Given the above assumptions and a sample size of 150 in the adalimumab arm and 300 in the pooled </w:t>
      </w:r>
      <w:proofErr w:type="spellStart"/>
      <w:r w:rsidRPr="00D906BD">
        <w:rPr>
          <w:lang w:eastAsia="ja-JP"/>
        </w:rPr>
        <w:t>bimekizumab</w:t>
      </w:r>
      <w:proofErr w:type="spellEnd"/>
      <w:r w:rsidRPr="00D906BD">
        <w:rPr>
          <w:lang w:eastAsia="ja-JP"/>
        </w:rPr>
        <w:t xml:space="preserve"> arms, the power to detect a statistically significant difference between </w:t>
      </w:r>
      <w:proofErr w:type="spellStart"/>
      <w:r w:rsidRPr="00D906BD">
        <w:rPr>
          <w:lang w:eastAsia="ja-JP"/>
        </w:rPr>
        <w:t>bimekizumab</w:t>
      </w:r>
      <w:proofErr w:type="spellEnd"/>
      <w:r w:rsidRPr="00D906BD">
        <w:rPr>
          <w:lang w:eastAsia="ja-JP"/>
        </w:rPr>
        <w:t xml:space="preserve"> and adalimumab was </w:t>
      </w:r>
      <w:r w:rsidR="00697067">
        <w:rPr>
          <w:lang w:eastAsia="ja-JP"/>
        </w:rPr>
        <w:t xml:space="preserve">greater than </w:t>
      </w:r>
      <w:r w:rsidRPr="00D906BD">
        <w:rPr>
          <w:lang w:eastAsia="ja-JP"/>
        </w:rPr>
        <w:t>99% for PASI 90 response and 97% for IGA</w:t>
      </w:r>
      <w:r w:rsidR="00697067">
        <w:rPr>
          <w:lang w:eastAsia="ja-JP"/>
        </w:rPr>
        <w:t> </w:t>
      </w:r>
      <w:r w:rsidRPr="00D906BD">
        <w:rPr>
          <w:lang w:eastAsia="ja-JP"/>
        </w:rPr>
        <w:t xml:space="preserve">0/1 response. This assumed a </w:t>
      </w:r>
      <w:r w:rsidR="00697067">
        <w:rPr>
          <w:lang w:eastAsia="ja-JP"/>
        </w:rPr>
        <w:t>two</w:t>
      </w:r>
      <w:r w:rsidR="00AE6640">
        <w:rPr>
          <w:lang w:eastAsia="ja-JP"/>
        </w:rPr>
        <w:t>-</w:t>
      </w:r>
      <w:r w:rsidRPr="00D906BD">
        <w:rPr>
          <w:lang w:eastAsia="ja-JP"/>
        </w:rPr>
        <w:t>sided significance level of 0.05. Because both co-primary endpoints were highly powered independently, and because PASI and IGA</w:t>
      </w:r>
      <w:r w:rsidR="00697067">
        <w:rPr>
          <w:lang w:eastAsia="ja-JP"/>
        </w:rPr>
        <w:t> </w:t>
      </w:r>
      <w:r w:rsidRPr="00D906BD">
        <w:rPr>
          <w:lang w:eastAsia="ja-JP"/>
        </w:rPr>
        <w:t>0/1 responses tend to be highly correlated, the overall power for achieving superiority on both co-primary endpoints was not calculated.</w:t>
      </w:r>
    </w:p>
    <w:p w14:paraId="6CE10D2B" w14:textId="1A726B2F" w:rsidR="00D62155" w:rsidRDefault="00697067" w:rsidP="00D62155">
      <w:pPr>
        <w:rPr>
          <w:lang w:eastAsia="ja-JP"/>
        </w:rPr>
      </w:pPr>
      <w:r>
        <w:rPr>
          <w:lang w:eastAsia="ja-JP"/>
        </w:rPr>
        <w:t>The clinical evaluator n</w:t>
      </w:r>
      <w:r w:rsidR="00D62155" w:rsidRPr="00D906BD">
        <w:rPr>
          <w:lang w:eastAsia="ja-JP"/>
        </w:rPr>
        <w:t>ote</w:t>
      </w:r>
      <w:r>
        <w:rPr>
          <w:lang w:eastAsia="ja-JP"/>
        </w:rPr>
        <w:t>d</w:t>
      </w:r>
      <w:r w:rsidR="00D62155" w:rsidRPr="00D906BD">
        <w:rPr>
          <w:lang w:eastAsia="ja-JP"/>
        </w:rPr>
        <w:t xml:space="preserve"> that the noninferiority testing procedure was based on a </w:t>
      </w:r>
      <w:proofErr w:type="gramStart"/>
      <w:r>
        <w:rPr>
          <w:lang w:eastAsia="ja-JP"/>
        </w:rPr>
        <w:t xml:space="preserve">one </w:t>
      </w:r>
      <w:r w:rsidR="00D62155" w:rsidRPr="00D906BD">
        <w:rPr>
          <w:lang w:eastAsia="ja-JP"/>
        </w:rPr>
        <w:t>sided</w:t>
      </w:r>
      <w:proofErr w:type="gramEnd"/>
      <w:r w:rsidR="00D62155" w:rsidRPr="00D906BD">
        <w:rPr>
          <w:lang w:eastAsia="ja-JP"/>
        </w:rPr>
        <w:t xml:space="preserve"> significance level of 0.025 and a noninferiority margin of 10%. The power to demonstrate noninferiority to adalimumab was </w:t>
      </w:r>
      <w:r>
        <w:rPr>
          <w:lang w:eastAsia="ja-JP"/>
        </w:rPr>
        <w:t xml:space="preserve">greater than </w:t>
      </w:r>
      <w:r w:rsidR="00D62155" w:rsidRPr="00D906BD">
        <w:rPr>
          <w:lang w:eastAsia="ja-JP"/>
        </w:rPr>
        <w:t>99% for both PASI</w:t>
      </w:r>
      <w:r>
        <w:rPr>
          <w:lang w:eastAsia="ja-JP"/>
        </w:rPr>
        <w:t> </w:t>
      </w:r>
      <w:r w:rsidR="00D62155" w:rsidRPr="00D906BD">
        <w:rPr>
          <w:lang w:eastAsia="ja-JP"/>
        </w:rPr>
        <w:t>90 and IGA</w:t>
      </w:r>
      <w:r>
        <w:rPr>
          <w:lang w:eastAsia="ja-JP"/>
        </w:rPr>
        <w:t> </w:t>
      </w:r>
      <w:r w:rsidR="00D62155" w:rsidRPr="00D906BD">
        <w:rPr>
          <w:lang w:eastAsia="ja-JP"/>
        </w:rPr>
        <w:t>0/1 responses.</w:t>
      </w:r>
    </w:p>
    <w:p w14:paraId="2AE9EB6B" w14:textId="5701BAEE" w:rsidR="00D62155" w:rsidRPr="00D906BD" w:rsidRDefault="00D62155" w:rsidP="00D62155">
      <w:pPr>
        <w:rPr>
          <w:lang w:eastAsia="ja-JP"/>
        </w:rPr>
      </w:pPr>
      <w:r>
        <w:rPr>
          <w:lang w:eastAsia="ja-JP"/>
        </w:rPr>
        <w:lastRenderedPageBreak/>
        <w:t xml:space="preserve">The </w:t>
      </w:r>
      <w:r w:rsidR="00AE6640">
        <w:t xml:space="preserve">TGA’s clinical evaluation noted </w:t>
      </w:r>
      <w:r>
        <w:rPr>
          <w:lang w:eastAsia="ja-JP"/>
        </w:rPr>
        <w:t xml:space="preserve">that the study </w:t>
      </w:r>
      <w:r w:rsidRPr="00D906BD">
        <w:rPr>
          <w:lang w:eastAsia="ja-JP"/>
        </w:rPr>
        <w:t>was adequately powered</w:t>
      </w:r>
    </w:p>
    <w:p w14:paraId="6AF92982" w14:textId="77777777" w:rsidR="00D62155" w:rsidRPr="00013844" w:rsidRDefault="00D62155" w:rsidP="00D62155">
      <w:pPr>
        <w:pStyle w:val="Heading6"/>
      </w:pPr>
      <w:r w:rsidRPr="00013844">
        <w:t>Statistical methods</w:t>
      </w:r>
    </w:p>
    <w:p w14:paraId="4AFEE82A" w14:textId="5057B435" w:rsidR="00D62155" w:rsidRPr="00013844" w:rsidRDefault="00D62155" w:rsidP="00D62155">
      <w:pPr>
        <w:rPr>
          <w:i/>
          <w:iCs/>
          <w:lang w:eastAsia="ja-JP"/>
        </w:rPr>
      </w:pPr>
      <w:r w:rsidRPr="00013844">
        <w:rPr>
          <w:lang w:eastAsia="ja-JP"/>
        </w:rPr>
        <w:t xml:space="preserve">The statistical analysis of the co-primary efficacy variables and selected secondary efficacy variables accounted for multiplicity and control, the familywise Type I error rate at a </w:t>
      </w:r>
      <w:proofErr w:type="gramStart"/>
      <w:r w:rsidR="00697067">
        <w:rPr>
          <w:lang w:eastAsia="ja-JP"/>
        </w:rPr>
        <w:t xml:space="preserve">two </w:t>
      </w:r>
      <w:r w:rsidRPr="00013844">
        <w:rPr>
          <w:lang w:eastAsia="ja-JP"/>
        </w:rPr>
        <w:t>sided</w:t>
      </w:r>
      <w:proofErr w:type="gramEnd"/>
      <w:r w:rsidRPr="00013844">
        <w:rPr>
          <w:lang w:eastAsia="ja-JP"/>
        </w:rPr>
        <w:t xml:space="preserve"> alpha level of 0.05 by using a fixed sequence testing procedure.</w:t>
      </w:r>
    </w:p>
    <w:p w14:paraId="725CBBDB" w14:textId="786D2DE6" w:rsidR="00D62155" w:rsidRDefault="00D62155" w:rsidP="00D62155">
      <w:pPr>
        <w:rPr>
          <w:lang w:eastAsia="ja-JP"/>
        </w:rPr>
      </w:pPr>
      <w:r w:rsidRPr="00013844">
        <w:rPr>
          <w:lang w:eastAsia="ja-JP"/>
        </w:rPr>
        <w:t xml:space="preserve">The hypotheses comparing </w:t>
      </w:r>
      <w:proofErr w:type="spellStart"/>
      <w:r w:rsidRPr="00013844">
        <w:rPr>
          <w:lang w:eastAsia="ja-JP"/>
        </w:rPr>
        <w:t>bimekizumab</w:t>
      </w:r>
      <w:proofErr w:type="spellEnd"/>
      <w:r w:rsidRPr="00013844">
        <w:rPr>
          <w:lang w:eastAsia="ja-JP"/>
        </w:rPr>
        <w:t xml:space="preserve"> </w:t>
      </w:r>
      <w:r w:rsidR="004858E7">
        <w:rPr>
          <w:lang w:eastAsia="ja-JP"/>
        </w:rPr>
        <w:t>versus</w:t>
      </w:r>
      <w:r w:rsidRPr="00013844">
        <w:rPr>
          <w:lang w:eastAsia="ja-JP"/>
        </w:rPr>
        <w:t xml:space="preserve"> placebo or </w:t>
      </w:r>
      <w:proofErr w:type="spellStart"/>
      <w:r w:rsidRPr="00013844">
        <w:rPr>
          <w:lang w:eastAsia="ja-JP"/>
        </w:rPr>
        <w:t>bimekizumab</w:t>
      </w:r>
      <w:proofErr w:type="spellEnd"/>
      <w:r w:rsidRPr="00013844">
        <w:rPr>
          <w:lang w:eastAsia="ja-JP"/>
        </w:rPr>
        <w:t xml:space="preserve"> </w:t>
      </w:r>
      <w:r w:rsidR="004858E7">
        <w:rPr>
          <w:lang w:eastAsia="ja-JP"/>
        </w:rPr>
        <w:t>versus</w:t>
      </w:r>
      <w:r w:rsidRPr="00013844">
        <w:rPr>
          <w:lang w:eastAsia="ja-JP"/>
        </w:rPr>
        <w:t xml:space="preserve"> </w:t>
      </w:r>
      <w:r w:rsidR="00FF3058">
        <w:rPr>
          <w:lang w:eastAsia="ja-JP"/>
        </w:rPr>
        <w:t>adalimumab</w:t>
      </w:r>
      <w:r w:rsidR="00FF3058" w:rsidRPr="00013844">
        <w:rPr>
          <w:lang w:eastAsia="ja-JP"/>
        </w:rPr>
        <w:t xml:space="preserve"> </w:t>
      </w:r>
      <w:r w:rsidRPr="00013844">
        <w:rPr>
          <w:lang w:eastAsia="ja-JP"/>
        </w:rPr>
        <w:t xml:space="preserve">were tested at a </w:t>
      </w:r>
      <w:proofErr w:type="gramStart"/>
      <w:r w:rsidR="00697067">
        <w:rPr>
          <w:lang w:eastAsia="ja-JP"/>
        </w:rPr>
        <w:t xml:space="preserve">two </w:t>
      </w:r>
      <w:r w:rsidRPr="00013844">
        <w:rPr>
          <w:lang w:eastAsia="ja-JP"/>
        </w:rPr>
        <w:t>sided</w:t>
      </w:r>
      <w:proofErr w:type="gramEnd"/>
      <w:r w:rsidRPr="00013844">
        <w:rPr>
          <w:lang w:eastAsia="ja-JP"/>
        </w:rPr>
        <w:t xml:space="preserve"> alpha level of 0.05. The pairwise comparisons followed the sequential testing sequence in figure below and, the formal evaluation of statistical significance of each comparison was dependent upon the previous comparison achieving statistical significance at the 5%, </w:t>
      </w:r>
      <w:proofErr w:type="gramStart"/>
      <w:r w:rsidR="00697067">
        <w:rPr>
          <w:lang w:eastAsia="ja-JP"/>
        </w:rPr>
        <w:t xml:space="preserve">two </w:t>
      </w:r>
      <w:r w:rsidRPr="00013844">
        <w:rPr>
          <w:lang w:eastAsia="ja-JP"/>
        </w:rPr>
        <w:t>sided</w:t>
      </w:r>
      <w:proofErr w:type="gramEnd"/>
      <w:r w:rsidRPr="00013844">
        <w:rPr>
          <w:lang w:eastAsia="ja-JP"/>
        </w:rPr>
        <w:t xml:space="preserve"> level.</w:t>
      </w:r>
    </w:p>
    <w:p w14:paraId="47239351" w14:textId="177751D0" w:rsidR="00EC7D51" w:rsidRDefault="00EC7D51" w:rsidP="00697067">
      <w:pPr>
        <w:pStyle w:val="FigureTitle"/>
      </w:pPr>
      <w:r w:rsidRPr="00697067">
        <w:t xml:space="preserve">Figure </w:t>
      </w:r>
      <w:r w:rsidR="00172397">
        <w:fldChar w:fldCharType="begin"/>
      </w:r>
      <w:r w:rsidR="00172397">
        <w:instrText xml:space="preserve"> SEQ Figure \* ARABIC </w:instrText>
      </w:r>
      <w:r w:rsidR="00172397">
        <w:fldChar w:fldCharType="separate"/>
      </w:r>
      <w:r w:rsidR="00B54079">
        <w:rPr>
          <w:noProof/>
        </w:rPr>
        <w:t>16</w:t>
      </w:r>
      <w:r w:rsidR="00172397">
        <w:rPr>
          <w:noProof/>
        </w:rPr>
        <w:fldChar w:fldCharType="end"/>
      </w:r>
      <w:r>
        <w:t>:</w:t>
      </w:r>
      <w:r w:rsidR="00697067">
        <w:t xml:space="preserve"> </w:t>
      </w:r>
      <w:r w:rsidR="00697067" w:rsidRPr="00697067">
        <w:t>Study PS0008</w:t>
      </w:r>
      <w:r w:rsidR="00697067">
        <w:t xml:space="preserve"> </w:t>
      </w:r>
      <w:r w:rsidR="00697067" w:rsidRPr="00697067">
        <w:t>Sequence of hypothesis testing</w:t>
      </w:r>
    </w:p>
    <w:p w14:paraId="0C13D5F2" w14:textId="2BC9F50B" w:rsidR="00EC7D51" w:rsidRDefault="00EC7D51" w:rsidP="00EC7D51">
      <w:r w:rsidRPr="00EC7D51">
        <w:rPr>
          <w:noProof/>
          <w:lang w:val="en-GB" w:eastAsia="en-GB"/>
        </w:rPr>
        <w:drawing>
          <wp:inline distT="0" distB="0" distL="0" distR="0" wp14:anchorId="005D47A7" wp14:editId="47C693A7">
            <wp:extent cx="5241014" cy="3558540"/>
            <wp:effectExtent l="0" t="0" r="0" b="3810"/>
            <wp:docPr id="10" name="Picture 10" descr="Study PS0008 Sequence of hypothesis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tudy PS0008 Sequence of hypothesis testing"/>
                    <pic:cNvPicPr/>
                  </pic:nvPicPr>
                  <pic:blipFill rotWithShape="1">
                    <a:blip r:embed="rId33"/>
                    <a:srcRect l="2945"/>
                    <a:stretch/>
                  </pic:blipFill>
                  <pic:spPr bwMode="auto">
                    <a:xfrm>
                      <a:off x="0" y="0"/>
                      <a:ext cx="5241014" cy="3558540"/>
                    </a:xfrm>
                    <a:prstGeom prst="rect">
                      <a:avLst/>
                    </a:prstGeom>
                    <a:ln>
                      <a:noFill/>
                    </a:ln>
                    <a:extLst>
                      <a:ext uri="{53640926-AAD7-44D8-BBD7-CCE9431645EC}">
                        <a14:shadowObscured xmlns:a14="http://schemas.microsoft.com/office/drawing/2010/main"/>
                      </a:ext>
                    </a:extLst>
                  </pic:spPr>
                </pic:pic>
              </a:graphicData>
            </a:graphic>
          </wp:inline>
        </w:drawing>
      </w:r>
    </w:p>
    <w:p w14:paraId="1FAE2AB2" w14:textId="4A68B34E" w:rsidR="00EC7D51" w:rsidRDefault="00EC7D51" w:rsidP="00EC7D51">
      <w:r>
        <w:t xml:space="preserve">The co-primary efficacy variables’ analyses for this study were based on the </w:t>
      </w:r>
      <w:r w:rsidR="00697067">
        <w:t>randomised set.</w:t>
      </w:r>
    </w:p>
    <w:p w14:paraId="77A8AD00" w14:textId="77777777" w:rsidR="00EC7D51" w:rsidRDefault="00EC7D51" w:rsidP="00EC7D51">
      <w:r>
        <w:t>The primary efficacy analysis was based on the stratified Cochran-Mantel-Haenszel (CMH) test, where region and prior biologic exposure (yes/no) were used as stratification variables. The odds ratio and associated CI based on the Wald test were presented.</w:t>
      </w:r>
    </w:p>
    <w:p w14:paraId="1D01DE00" w14:textId="10BE68DF" w:rsidR="00EC7D51" w:rsidRDefault="00EC7D51" w:rsidP="00EC7D51">
      <w:r>
        <w:t>Non</w:t>
      </w:r>
      <w:r w:rsidR="00697067">
        <w:t>-</w:t>
      </w:r>
      <w:r>
        <w:t>responder imputation was used to account for missing data in the primary analysis. Specifically, any study participant who withdrew from IMP prior to Week 16 or who had missing data for the co-primary efficacy variables at the Week 16 time point, was considered as a non-responder.</w:t>
      </w:r>
    </w:p>
    <w:p w14:paraId="1D0CD394" w14:textId="40726114" w:rsidR="00EC7D51" w:rsidRDefault="00EC7D51" w:rsidP="00EC7D51">
      <w:r>
        <w:t>The clinical evaluator commented that the statistical method is adequate and follows intention to treat principles.</w:t>
      </w:r>
    </w:p>
    <w:p w14:paraId="101D90A3" w14:textId="7F030DA2" w:rsidR="00EC7D51" w:rsidRDefault="00EC7D51" w:rsidP="00EC7D51">
      <w:pPr>
        <w:pStyle w:val="Heading6"/>
      </w:pPr>
      <w:r>
        <w:t>Baseline demographic characteristics</w:t>
      </w:r>
    </w:p>
    <w:p w14:paraId="135D4ECF" w14:textId="2C95380F" w:rsidR="001E1900" w:rsidRDefault="00EC7D51" w:rsidP="001E1900">
      <w:bookmarkStart w:id="91" w:name="_Ref129080633"/>
      <w:r>
        <w:t xml:space="preserve">The age range across the study participants was 18 to </w:t>
      </w:r>
      <w:r w:rsidR="00E04D0B">
        <w:t>younger than</w:t>
      </w:r>
      <w:r>
        <w:t xml:space="preserve"> 85 years, with a mean ± </w:t>
      </w:r>
      <w:r w:rsidR="00E04D0B">
        <w:t>standard deviation (SD)</w:t>
      </w:r>
      <w:r>
        <w:t xml:space="preserve"> of 44.9 ± 13.6. There were more males 328 (68.6%) than females 150 (31.4%),</w:t>
      </w:r>
      <w:bookmarkEnd w:id="91"/>
      <w:r w:rsidR="001E1900">
        <w:t xml:space="preserve"> as per </w:t>
      </w:r>
      <w:r w:rsidR="001E1900">
        <w:fldChar w:fldCharType="begin"/>
      </w:r>
      <w:r w:rsidR="001E1900">
        <w:instrText xml:space="preserve"> REF _Ref129080662 \h </w:instrText>
      </w:r>
      <w:r w:rsidR="001E1900">
        <w:fldChar w:fldCharType="separate"/>
      </w:r>
      <w:r w:rsidR="00B54079" w:rsidRPr="00697067">
        <w:t xml:space="preserve">Table </w:t>
      </w:r>
      <w:r w:rsidR="00B54079">
        <w:rPr>
          <w:noProof/>
        </w:rPr>
        <w:t>15</w:t>
      </w:r>
      <w:r w:rsidR="001E1900">
        <w:fldChar w:fldCharType="end"/>
      </w:r>
      <w:r w:rsidR="001E1900">
        <w:t xml:space="preserve">. </w:t>
      </w:r>
      <w:r w:rsidR="001E1900" w:rsidRPr="001E1900">
        <w:t>There were also more Caucasian</w:t>
      </w:r>
      <w:r w:rsidR="00AE6640">
        <w:t xml:space="preserve"> subjects</w:t>
      </w:r>
      <w:r w:rsidR="001E1900" w:rsidRPr="001E1900">
        <w:t xml:space="preserve"> </w:t>
      </w:r>
      <w:r w:rsidR="00AE6640">
        <w:t>(</w:t>
      </w:r>
      <w:r w:rsidR="001E1900" w:rsidRPr="001E1900">
        <w:t>421 (88.1%)</w:t>
      </w:r>
      <w:r w:rsidR="00AE6640">
        <w:t>)</w:t>
      </w:r>
      <w:r w:rsidR="001E1900" w:rsidRPr="001E1900">
        <w:t xml:space="preserve"> than </w:t>
      </w:r>
      <w:r w:rsidR="00AE6640">
        <w:t xml:space="preserve">subjects of </w:t>
      </w:r>
      <w:r w:rsidR="001E1900" w:rsidRPr="001E1900">
        <w:t>all other race</w:t>
      </w:r>
      <w:r w:rsidR="00AE6640">
        <w:t>s</w:t>
      </w:r>
      <w:r w:rsidR="001E1900" w:rsidRPr="001E1900">
        <w:t xml:space="preserve"> (11.9%)</w:t>
      </w:r>
      <w:r w:rsidR="001E1900">
        <w:t xml:space="preserve"> (</w:t>
      </w:r>
      <w:r w:rsidR="001E1900">
        <w:fldChar w:fldCharType="begin"/>
      </w:r>
      <w:r w:rsidR="001E1900">
        <w:instrText xml:space="preserve"> REF _Ref129080662 \h </w:instrText>
      </w:r>
      <w:r w:rsidR="001E1900">
        <w:fldChar w:fldCharType="separate"/>
      </w:r>
      <w:r w:rsidR="00B54079" w:rsidRPr="00697067">
        <w:t xml:space="preserve">Table </w:t>
      </w:r>
      <w:r w:rsidR="00B54079">
        <w:rPr>
          <w:noProof/>
        </w:rPr>
        <w:t>15</w:t>
      </w:r>
      <w:r w:rsidR="001E1900">
        <w:fldChar w:fldCharType="end"/>
      </w:r>
      <w:r w:rsidR="001E1900">
        <w:t>)</w:t>
      </w:r>
      <w:r w:rsidR="001E1900" w:rsidRPr="001E1900">
        <w:t>.</w:t>
      </w:r>
    </w:p>
    <w:p w14:paraId="680F24EE" w14:textId="656FF145" w:rsidR="001E1900" w:rsidRDefault="001E1900" w:rsidP="00697067">
      <w:pPr>
        <w:pStyle w:val="TableTitle"/>
      </w:pPr>
      <w:bookmarkStart w:id="92" w:name="_Ref129080662"/>
      <w:r w:rsidRPr="00697067">
        <w:lastRenderedPageBreak/>
        <w:t xml:space="preserve">Table </w:t>
      </w:r>
      <w:r w:rsidR="00172397">
        <w:fldChar w:fldCharType="begin"/>
      </w:r>
      <w:r w:rsidR="00172397">
        <w:instrText xml:space="preserve"> SEQ Table \* ARABIC </w:instrText>
      </w:r>
      <w:r w:rsidR="00172397">
        <w:fldChar w:fldCharType="separate"/>
      </w:r>
      <w:r w:rsidR="00B54079">
        <w:rPr>
          <w:noProof/>
        </w:rPr>
        <w:t>15</w:t>
      </w:r>
      <w:r w:rsidR="00172397">
        <w:rPr>
          <w:noProof/>
        </w:rPr>
        <w:fldChar w:fldCharType="end"/>
      </w:r>
      <w:bookmarkEnd w:id="92"/>
      <w:r>
        <w:t xml:space="preserve">: </w:t>
      </w:r>
      <w:r w:rsidR="00697067">
        <w:t xml:space="preserve">Study PS0008 Subject </w:t>
      </w:r>
      <w:r w:rsidR="00B57A0A">
        <w:t>d</w:t>
      </w:r>
      <w:r w:rsidR="00697067">
        <w:t>emographics</w:t>
      </w:r>
    </w:p>
    <w:p w14:paraId="74D8B89D" w14:textId="414773C7" w:rsidR="001E1900" w:rsidRDefault="001E1900" w:rsidP="001E1900">
      <w:r w:rsidRPr="001E1900">
        <w:rPr>
          <w:noProof/>
          <w:lang w:val="en-GB" w:eastAsia="en-GB"/>
        </w:rPr>
        <w:drawing>
          <wp:inline distT="0" distB="0" distL="0" distR="0" wp14:anchorId="39A15C2C" wp14:editId="1B54C189">
            <wp:extent cx="5400040" cy="6558280"/>
            <wp:effectExtent l="0" t="0" r="0" b="0"/>
            <wp:docPr id="11" name="Picture 11" descr="Study PS0008 Subject dem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tudy PS0008 Subject demographics"/>
                    <pic:cNvPicPr/>
                  </pic:nvPicPr>
                  <pic:blipFill>
                    <a:blip r:embed="rId34">
                      <a:extLst>
                        <a:ext uri="{BEBA8EAE-BF5A-486C-A8C5-ECC9F3942E4B}">
                          <a14:imgProps xmlns:a14="http://schemas.microsoft.com/office/drawing/2010/main">
                            <a14:imgLayer r:embed="rId35">
                              <a14:imgEffect>
                                <a14:saturation sat="0"/>
                              </a14:imgEffect>
                            </a14:imgLayer>
                          </a14:imgProps>
                        </a:ext>
                      </a:extLst>
                    </a:blip>
                    <a:stretch>
                      <a:fillRect/>
                    </a:stretch>
                  </pic:blipFill>
                  <pic:spPr>
                    <a:xfrm>
                      <a:off x="0" y="0"/>
                      <a:ext cx="5400040" cy="6558280"/>
                    </a:xfrm>
                    <a:prstGeom prst="rect">
                      <a:avLst/>
                    </a:prstGeom>
                  </pic:spPr>
                </pic:pic>
              </a:graphicData>
            </a:graphic>
          </wp:inline>
        </w:drawing>
      </w:r>
    </w:p>
    <w:p w14:paraId="79821EC2" w14:textId="37FAAEE6" w:rsidR="00850F6B" w:rsidRDefault="00AE6640" w:rsidP="00850F6B">
      <w:pPr>
        <w:pStyle w:val="TableDescription"/>
      </w:pPr>
      <w:r>
        <w:t xml:space="preserve">Abbreviations: </w:t>
      </w:r>
      <w:r w:rsidR="00850F6B">
        <w:t xml:space="preserve">ADA = adalimumab; BKZ = </w:t>
      </w:r>
      <w:proofErr w:type="spellStart"/>
      <w:r w:rsidR="00850F6B">
        <w:t>bimekizumab</w:t>
      </w:r>
      <w:proofErr w:type="spellEnd"/>
      <w:r w:rsidR="00850F6B">
        <w:t>; BMI = body mass index; EudraCT = European Union Drug Regulating Authorities Clinical Trials; max = maximum; mi</w:t>
      </w:r>
      <w:r w:rsidR="001D2CFA">
        <w:t xml:space="preserve">n = </w:t>
      </w:r>
      <w:r w:rsidR="00850F6B">
        <w:t>minimum; Q4W = every 4 weeks; Q8W = every 8 weeks; SD = standard deviation; SS = Safety Set</w:t>
      </w:r>
    </w:p>
    <w:p w14:paraId="0F1DB78C" w14:textId="1DB78A0C" w:rsidR="00850F6B" w:rsidRDefault="00850F6B" w:rsidP="00850F6B">
      <w:pPr>
        <w:pStyle w:val="TableDescription"/>
      </w:pPr>
      <w:r>
        <w:t xml:space="preserve">Note: Study participants were summarized according to </w:t>
      </w:r>
      <w:r w:rsidR="001D2CFA">
        <w:t>randomised</w:t>
      </w:r>
      <w:r>
        <w:t xml:space="preserve"> treatment at Baseline in the Initial Treatment Period.</w:t>
      </w:r>
    </w:p>
    <w:p w14:paraId="021737A7" w14:textId="77777777" w:rsidR="00850F6B" w:rsidRDefault="00850F6B" w:rsidP="00850F6B">
      <w:pPr>
        <w:pStyle w:val="TableDescription"/>
      </w:pPr>
      <w:r>
        <w:t>Note: No study participants were younger than 18 years at time of informed consent.</w:t>
      </w:r>
    </w:p>
    <w:p w14:paraId="6D315D7A" w14:textId="4FBEA136" w:rsidR="00850F6B" w:rsidRDefault="00850F6B" w:rsidP="00850F6B">
      <w:pPr>
        <w:pStyle w:val="TableDescription"/>
      </w:pPr>
      <w:r>
        <w:t>a EudraCT age categories</w:t>
      </w:r>
    </w:p>
    <w:p w14:paraId="6531401D" w14:textId="3F7065AF" w:rsidR="001E1900" w:rsidRDefault="001E1900" w:rsidP="001E1900">
      <w:proofErr w:type="gramStart"/>
      <w:r>
        <w:t xml:space="preserve">The </w:t>
      </w:r>
      <w:r w:rsidR="00AE6640" w:rsidRPr="00AE6640">
        <w:t xml:space="preserve"> </w:t>
      </w:r>
      <w:r w:rsidR="00AE6640">
        <w:t>TGA’s</w:t>
      </w:r>
      <w:proofErr w:type="gramEnd"/>
      <w:r w:rsidR="00AE6640">
        <w:t xml:space="preserve"> clinical evaluation noted</w:t>
      </w:r>
      <w:r>
        <w:t xml:space="preserve"> that p</w:t>
      </w:r>
      <w:r w:rsidRPr="001E1900">
        <w:t>atient demographics were balanced across treatment groups.</w:t>
      </w:r>
    </w:p>
    <w:p w14:paraId="5C39AD2A" w14:textId="4402093C" w:rsidR="001E1900" w:rsidRDefault="001E1900" w:rsidP="00E04D0B">
      <w:pPr>
        <w:pStyle w:val="TableTitle"/>
      </w:pPr>
      <w:bookmarkStart w:id="93" w:name="_Ref129952884"/>
      <w:r w:rsidRPr="00E04D0B">
        <w:lastRenderedPageBreak/>
        <w:t xml:space="preserve">Table </w:t>
      </w:r>
      <w:r w:rsidR="00172397">
        <w:fldChar w:fldCharType="begin"/>
      </w:r>
      <w:r w:rsidR="00172397">
        <w:instrText xml:space="preserve"> SEQ Table \* ARABIC </w:instrText>
      </w:r>
      <w:r w:rsidR="00172397">
        <w:fldChar w:fldCharType="separate"/>
      </w:r>
      <w:r w:rsidR="00B54079">
        <w:rPr>
          <w:noProof/>
        </w:rPr>
        <w:t>16</w:t>
      </w:r>
      <w:r w:rsidR="00172397">
        <w:rPr>
          <w:noProof/>
        </w:rPr>
        <w:fldChar w:fldCharType="end"/>
      </w:r>
      <w:bookmarkEnd w:id="93"/>
      <w:r>
        <w:t>:</w:t>
      </w:r>
      <w:r w:rsidR="00E04D0B">
        <w:t xml:space="preserve"> </w:t>
      </w:r>
      <w:r w:rsidR="00E04D0B" w:rsidRPr="00E04D0B">
        <w:t>Study PS0008</w:t>
      </w:r>
      <w:r w:rsidR="00E04D0B">
        <w:t xml:space="preserve"> </w:t>
      </w:r>
      <w:r w:rsidR="00E04D0B" w:rsidRPr="00E04D0B">
        <w:t xml:space="preserve">Baseline disease </w:t>
      </w:r>
      <w:r w:rsidR="00B57A0A" w:rsidRPr="00E04D0B">
        <w:t>characteristics</w:t>
      </w:r>
    </w:p>
    <w:tbl>
      <w:tblPr>
        <w:tblW w:w="5000" w:type="pct"/>
        <w:tblCellMar>
          <w:left w:w="0" w:type="dxa"/>
          <w:right w:w="0" w:type="dxa"/>
        </w:tblCellMar>
        <w:tblLook w:val="0000" w:firstRow="0" w:lastRow="0" w:firstColumn="0" w:lastColumn="0" w:noHBand="0" w:noVBand="0"/>
      </w:tblPr>
      <w:tblGrid>
        <w:gridCol w:w="16"/>
        <w:gridCol w:w="1541"/>
        <w:gridCol w:w="63"/>
        <w:gridCol w:w="1468"/>
        <w:gridCol w:w="39"/>
        <w:gridCol w:w="1509"/>
        <w:gridCol w:w="54"/>
        <w:gridCol w:w="1268"/>
        <w:gridCol w:w="46"/>
        <w:gridCol w:w="1226"/>
        <w:gridCol w:w="46"/>
        <w:gridCol w:w="1195"/>
        <w:gridCol w:w="17"/>
      </w:tblGrid>
      <w:tr w:rsidR="001E1900" w:rsidRPr="00E04D0B" w14:paraId="16F529EC" w14:textId="77777777" w:rsidTr="00D23C64">
        <w:trPr>
          <w:gridAfter w:val="1"/>
          <w:wAfter w:w="10" w:type="pct"/>
          <w:trHeight w:val="1146"/>
        </w:trPr>
        <w:tc>
          <w:tcPr>
            <w:tcW w:w="954" w:type="pct"/>
            <w:gridSpan w:val="3"/>
            <w:tcBorders>
              <w:top w:val="single" w:sz="6" w:space="0" w:color="auto"/>
              <w:left w:val="single" w:sz="6" w:space="0" w:color="auto"/>
              <w:right w:val="single" w:sz="6" w:space="0" w:color="auto"/>
            </w:tcBorders>
            <w:vAlign w:val="center"/>
          </w:tcPr>
          <w:p w14:paraId="3F632C7D" w14:textId="59CDF0D4" w:rsidR="001E1900" w:rsidRPr="00E04D0B" w:rsidRDefault="001E1900" w:rsidP="001E1900">
            <w:pPr>
              <w:pStyle w:val="Style"/>
              <w:textAlignment w:val="baseline"/>
              <w:rPr>
                <w:rFonts w:ascii="Cambria" w:hAnsi="Cambria"/>
                <w:sz w:val="20"/>
                <w:szCs w:val="20"/>
              </w:rPr>
            </w:pPr>
            <w:r w:rsidRPr="00E04D0B">
              <w:rPr>
                <w:rFonts w:ascii="Cambria" w:hAnsi="Cambria"/>
                <w:b/>
                <w:sz w:val="20"/>
                <w:szCs w:val="20"/>
              </w:rPr>
              <w:t>Variable</w:t>
            </w:r>
          </w:p>
        </w:tc>
        <w:tc>
          <w:tcPr>
            <w:tcW w:w="865" w:type="pct"/>
            <w:tcBorders>
              <w:top w:val="single" w:sz="6" w:space="0" w:color="auto"/>
              <w:left w:val="single" w:sz="6" w:space="0" w:color="auto"/>
              <w:right w:val="single" w:sz="6" w:space="0" w:color="auto"/>
            </w:tcBorders>
            <w:vAlign w:val="center"/>
          </w:tcPr>
          <w:p w14:paraId="726DB0F8" w14:textId="47816F86" w:rsidR="001E1900" w:rsidRPr="00E04D0B" w:rsidRDefault="001E1900" w:rsidP="009B153D">
            <w:pPr>
              <w:pStyle w:val="Style"/>
              <w:ind w:left="24"/>
              <w:textAlignment w:val="baseline"/>
              <w:rPr>
                <w:rFonts w:ascii="Cambria" w:hAnsi="Cambria"/>
                <w:sz w:val="20"/>
                <w:szCs w:val="20"/>
              </w:rPr>
            </w:pPr>
            <w:r w:rsidRPr="00E04D0B">
              <w:rPr>
                <w:rFonts w:ascii="Cambria" w:hAnsi="Cambria"/>
                <w:b/>
                <w:sz w:val="20"/>
                <w:szCs w:val="20"/>
              </w:rPr>
              <w:t>BKZ</w:t>
            </w:r>
            <w:r w:rsidR="00E04D0B" w:rsidRPr="00E04D0B">
              <w:rPr>
                <w:rFonts w:ascii="Cambria" w:hAnsi="Cambria"/>
                <w:b/>
                <w:sz w:val="20"/>
                <w:szCs w:val="20"/>
              </w:rPr>
              <w:t xml:space="preserve"> </w:t>
            </w:r>
            <w:r w:rsidRPr="00E04D0B">
              <w:rPr>
                <w:rFonts w:ascii="Cambria" w:hAnsi="Cambria"/>
                <w:b/>
                <w:sz w:val="20"/>
                <w:szCs w:val="20"/>
              </w:rPr>
              <w:t>320</w:t>
            </w:r>
            <w:r w:rsidR="00E04D0B" w:rsidRPr="00E04D0B">
              <w:rPr>
                <w:rFonts w:ascii="Cambria" w:hAnsi="Cambria"/>
                <w:b/>
                <w:sz w:val="20"/>
                <w:szCs w:val="20"/>
              </w:rPr>
              <w:t xml:space="preserve"> </w:t>
            </w:r>
            <w:r w:rsidRPr="00E04D0B">
              <w:rPr>
                <w:rFonts w:ascii="Cambria" w:hAnsi="Cambria"/>
                <w:b/>
                <w:sz w:val="20"/>
                <w:szCs w:val="20"/>
              </w:rPr>
              <w:t>mg</w:t>
            </w:r>
          </w:p>
          <w:p w14:paraId="752B1666" w14:textId="499CF24E" w:rsidR="001E1900" w:rsidRPr="00E04D0B" w:rsidRDefault="00F23C97" w:rsidP="009B153D">
            <w:pPr>
              <w:pStyle w:val="Style"/>
              <w:ind w:left="24"/>
              <w:textAlignment w:val="baseline"/>
              <w:rPr>
                <w:rFonts w:ascii="Cambria" w:hAnsi="Cambria"/>
                <w:sz w:val="20"/>
                <w:szCs w:val="20"/>
              </w:rPr>
            </w:pPr>
            <w:r w:rsidRPr="00E04D0B">
              <w:rPr>
                <w:rFonts w:ascii="Cambria" w:hAnsi="Cambria"/>
                <w:b/>
                <w:sz w:val="20"/>
                <w:szCs w:val="20"/>
              </w:rPr>
              <w:t>every 4 weeks</w:t>
            </w:r>
            <w:r w:rsidR="001E1900" w:rsidRPr="00E04D0B">
              <w:rPr>
                <w:rFonts w:ascii="Cambria" w:hAnsi="Cambria"/>
                <w:b/>
                <w:sz w:val="20"/>
                <w:szCs w:val="20"/>
              </w:rPr>
              <w:t>/</w:t>
            </w:r>
            <w:r w:rsidRPr="00E04D0B">
              <w:rPr>
                <w:rFonts w:ascii="Cambria" w:hAnsi="Cambria"/>
                <w:b/>
                <w:sz w:val="20"/>
                <w:szCs w:val="20"/>
              </w:rPr>
              <w:t>every 8 weeks</w:t>
            </w:r>
          </w:p>
          <w:p w14:paraId="11072E16" w14:textId="7F8162A2" w:rsidR="001E1900" w:rsidRPr="00E04D0B" w:rsidRDefault="001D2CFA" w:rsidP="009B153D">
            <w:pPr>
              <w:pStyle w:val="Style"/>
              <w:ind w:left="24"/>
              <w:textAlignment w:val="baseline"/>
              <w:rPr>
                <w:rFonts w:ascii="Cambria" w:hAnsi="Cambria"/>
                <w:sz w:val="20"/>
                <w:szCs w:val="20"/>
              </w:rPr>
            </w:pPr>
            <w:r>
              <w:rPr>
                <w:rFonts w:ascii="Cambria" w:hAnsi="Cambria"/>
                <w:b/>
                <w:sz w:val="20"/>
                <w:szCs w:val="20"/>
              </w:rPr>
              <w:t xml:space="preserve">N = </w:t>
            </w:r>
            <w:r w:rsidR="001E1900" w:rsidRPr="00E04D0B">
              <w:rPr>
                <w:rFonts w:ascii="Cambria" w:hAnsi="Cambria"/>
                <w:b/>
                <w:sz w:val="20"/>
                <w:szCs w:val="20"/>
              </w:rPr>
              <w:t>161</w:t>
            </w:r>
          </w:p>
          <w:p w14:paraId="5AAE893B" w14:textId="5B7FAC2D" w:rsidR="001E1900" w:rsidRPr="00E04D0B" w:rsidRDefault="001E1900" w:rsidP="009B153D">
            <w:pPr>
              <w:pStyle w:val="Style"/>
              <w:ind w:left="24"/>
              <w:textAlignment w:val="baseline"/>
              <w:rPr>
                <w:rFonts w:ascii="Cambria" w:hAnsi="Cambria"/>
                <w:sz w:val="20"/>
                <w:szCs w:val="20"/>
              </w:rPr>
            </w:pPr>
            <w:r w:rsidRPr="00E04D0B">
              <w:rPr>
                <w:rFonts w:ascii="Cambria" w:hAnsi="Cambria"/>
                <w:b/>
                <w:sz w:val="20"/>
                <w:szCs w:val="20"/>
              </w:rPr>
              <w:t xml:space="preserve">n </w:t>
            </w:r>
            <w:r w:rsidRPr="00E04D0B">
              <w:rPr>
                <w:rFonts w:ascii="Cambria" w:eastAsia="Arial" w:hAnsi="Cambria" w:cs="Arial"/>
                <w:w w:val="114"/>
                <w:sz w:val="20"/>
                <w:szCs w:val="20"/>
              </w:rPr>
              <w:t>(%)</w:t>
            </w:r>
          </w:p>
        </w:tc>
        <w:tc>
          <w:tcPr>
            <w:tcW w:w="912" w:type="pct"/>
            <w:gridSpan w:val="2"/>
            <w:tcBorders>
              <w:top w:val="single" w:sz="6" w:space="0" w:color="auto"/>
              <w:left w:val="single" w:sz="6" w:space="0" w:color="auto"/>
              <w:right w:val="single" w:sz="6" w:space="0" w:color="auto"/>
            </w:tcBorders>
            <w:vAlign w:val="center"/>
          </w:tcPr>
          <w:p w14:paraId="00F47A66" w14:textId="0AB471E1" w:rsidR="001E1900" w:rsidRPr="00E04D0B" w:rsidRDefault="001E1900" w:rsidP="009B153D">
            <w:pPr>
              <w:pStyle w:val="Style"/>
              <w:ind w:left="14"/>
              <w:textAlignment w:val="baseline"/>
              <w:rPr>
                <w:rFonts w:ascii="Cambria" w:hAnsi="Cambria"/>
                <w:sz w:val="20"/>
                <w:szCs w:val="20"/>
              </w:rPr>
            </w:pPr>
            <w:r w:rsidRPr="00E04D0B">
              <w:rPr>
                <w:rFonts w:ascii="Cambria" w:hAnsi="Cambria"/>
                <w:b/>
                <w:sz w:val="20"/>
                <w:szCs w:val="20"/>
              </w:rPr>
              <w:t>BKZ</w:t>
            </w:r>
            <w:r w:rsidR="00E04D0B" w:rsidRPr="00E04D0B">
              <w:rPr>
                <w:rFonts w:ascii="Cambria" w:hAnsi="Cambria"/>
                <w:b/>
                <w:sz w:val="20"/>
                <w:szCs w:val="20"/>
              </w:rPr>
              <w:t xml:space="preserve"> </w:t>
            </w:r>
            <w:r w:rsidRPr="00E04D0B">
              <w:rPr>
                <w:rFonts w:ascii="Cambria" w:hAnsi="Cambria"/>
                <w:b/>
                <w:sz w:val="20"/>
                <w:szCs w:val="20"/>
              </w:rPr>
              <w:t>320</w:t>
            </w:r>
            <w:r w:rsidR="00E04D0B" w:rsidRPr="00E04D0B">
              <w:rPr>
                <w:rFonts w:ascii="Cambria" w:hAnsi="Cambria"/>
                <w:b/>
                <w:sz w:val="20"/>
                <w:szCs w:val="20"/>
              </w:rPr>
              <w:t xml:space="preserve"> </w:t>
            </w:r>
            <w:r w:rsidRPr="00E04D0B">
              <w:rPr>
                <w:rFonts w:ascii="Cambria" w:hAnsi="Cambria"/>
                <w:b/>
                <w:sz w:val="20"/>
                <w:szCs w:val="20"/>
              </w:rPr>
              <w:t>mg</w:t>
            </w:r>
          </w:p>
          <w:p w14:paraId="3E084EC1" w14:textId="63AD536D" w:rsidR="001E1900" w:rsidRPr="00E04D0B" w:rsidRDefault="00F23C97" w:rsidP="009B153D">
            <w:pPr>
              <w:pStyle w:val="Style"/>
              <w:ind w:left="14"/>
              <w:textAlignment w:val="baseline"/>
              <w:rPr>
                <w:rFonts w:ascii="Cambria" w:hAnsi="Cambria"/>
                <w:sz w:val="20"/>
                <w:szCs w:val="20"/>
              </w:rPr>
            </w:pPr>
            <w:r w:rsidRPr="00E04D0B">
              <w:rPr>
                <w:rFonts w:ascii="Cambria" w:hAnsi="Cambria"/>
                <w:b/>
                <w:sz w:val="20"/>
                <w:szCs w:val="20"/>
              </w:rPr>
              <w:t>every 4 weeks</w:t>
            </w:r>
          </w:p>
          <w:p w14:paraId="5FC228B1" w14:textId="40A0816C" w:rsidR="001E1900" w:rsidRPr="00E04D0B" w:rsidRDefault="001D2CFA" w:rsidP="009B153D">
            <w:pPr>
              <w:pStyle w:val="Style"/>
              <w:ind w:left="14"/>
              <w:textAlignment w:val="baseline"/>
              <w:rPr>
                <w:rFonts w:ascii="Cambria" w:hAnsi="Cambria"/>
                <w:sz w:val="20"/>
                <w:szCs w:val="20"/>
              </w:rPr>
            </w:pPr>
            <w:r>
              <w:rPr>
                <w:rFonts w:ascii="Cambria" w:hAnsi="Cambria"/>
                <w:b/>
                <w:sz w:val="20"/>
                <w:szCs w:val="20"/>
              </w:rPr>
              <w:t xml:space="preserve">N = </w:t>
            </w:r>
            <w:r w:rsidR="001E1900" w:rsidRPr="00E04D0B">
              <w:rPr>
                <w:rFonts w:ascii="Cambria" w:hAnsi="Cambria"/>
                <w:b/>
                <w:sz w:val="20"/>
                <w:szCs w:val="20"/>
              </w:rPr>
              <w:t>158</w:t>
            </w:r>
          </w:p>
          <w:p w14:paraId="74D383C2" w14:textId="369FE6CB" w:rsidR="001E1900" w:rsidRPr="00E04D0B" w:rsidRDefault="001E1900" w:rsidP="009B153D">
            <w:pPr>
              <w:pStyle w:val="Style"/>
              <w:ind w:left="14"/>
              <w:textAlignment w:val="baseline"/>
              <w:rPr>
                <w:rFonts w:ascii="Cambria" w:hAnsi="Cambria"/>
                <w:sz w:val="20"/>
                <w:szCs w:val="20"/>
              </w:rPr>
            </w:pPr>
            <w:r w:rsidRPr="00E04D0B">
              <w:rPr>
                <w:rFonts w:ascii="Cambria" w:hAnsi="Cambria"/>
                <w:b/>
                <w:sz w:val="20"/>
                <w:szCs w:val="20"/>
              </w:rPr>
              <w:t xml:space="preserve">n </w:t>
            </w:r>
            <w:r w:rsidRPr="00E04D0B">
              <w:rPr>
                <w:rFonts w:ascii="Cambria" w:eastAsia="Arial" w:hAnsi="Cambria" w:cs="Arial"/>
                <w:w w:val="114"/>
                <w:sz w:val="20"/>
                <w:szCs w:val="20"/>
              </w:rPr>
              <w:t>(%)</w:t>
            </w:r>
          </w:p>
        </w:tc>
        <w:tc>
          <w:tcPr>
            <w:tcW w:w="806" w:type="pct"/>
            <w:gridSpan w:val="3"/>
            <w:tcBorders>
              <w:top w:val="single" w:sz="6" w:space="0" w:color="auto"/>
              <w:left w:val="single" w:sz="6" w:space="0" w:color="auto"/>
              <w:right w:val="single" w:sz="6" w:space="0" w:color="auto"/>
            </w:tcBorders>
            <w:vAlign w:val="center"/>
          </w:tcPr>
          <w:p w14:paraId="4D1365A8" w14:textId="77777777" w:rsidR="001E1900" w:rsidRPr="00E04D0B" w:rsidRDefault="001E1900" w:rsidP="009B153D">
            <w:pPr>
              <w:pStyle w:val="Style"/>
              <w:ind w:left="5"/>
              <w:textAlignment w:val="baseline"/>
              <w:rPr>
                <w:rFonts w:ascii="Cambria" w:hAnsi="Cambria"/>
                <w:sz w:val="20"/>
                <w:szCs w:val="20"/>
              </w:rPr>
            </w:pPr>
            <w:r w:rsidRPr="00E04D0B">
              <w:rPr>
                <w:rFonts w:ascii="Cambria" w:hAnsi="Cambria"/>
                <w:b/>
                <w:sz w:val="20"/>
                <w:szCs w:val="20"/>
              </w:rPr>
              <w:t>BKZ Total</w:t>
            </w:r>
          </w:p>
          <w:p w14:paraId="7C2FAD74" w14:textId="3E9EEACF" w:rsidR="001E1900" w:rsidRPr="00E04D0B" w:rsidRDefault="001D2CFA" w:rsidP="009B153D">
            <w:pPr>
              <w:pStyle w:val="Style"/>
              <w:ind w:left="5"/>
              <w:textAlignment w:val="baseline"/>
              <w:rPr>
                <w:rFonts w:ascii="Cambria" w:hAnsi="Cambria"/>
                <w:sz w:val="20"/>
                <w:szCs w:val="20"/>
              </w:rPr>
            </w:pPr>
            <w:r>
              <w:rPr>
                <w:rFonts w:ascii="Cambria" w:hAnsi="Cambria"/>
                <w:b/>
                <w:sz w:val="20"/>
                <w:szCs w:val="20"/>
              </w:rPr>
              <w:t xml:space="preserve">N = </w:t>
            </w:r>
            <w:r w:rsidR="001E1900" w:rsidRPr="00E04D0B">
              <w:rPr>
                <w:rFonts w:ascii="Cambria" w:hAnsi="Cambria"/>
                <w:b/>
                <w:sz w:val="20"/>
                <w:szCs w:val="20"/>
              </w:rPr>
              <w:t>319</w:t>
            </w:r>
          </w:p>
          <w:p w14:paraId="717295D2" w14:textId="4C1E29A9" w:rsidR="001E1900" w:rsidRPr="00E04D0B" w:rsidRDefault="001E1900" w:rsidP="009B153D">
            <w:pPr>
              <w:pStyle w:val="Style"/>
              <w:ind w:left="5"/>
              <w:textAlignment w:val="baseline"/>
              <w:rPr>
                <w:rFonts w:ascii="Cambria" w:hAnsi="Cambria"/>
                <w:sz w:val="20"/>
                <w:szCs w:val="20"/>
              </w:rPr>
            </w:pPr>
            <w:r w:rsidRPr="00E04D0B">
              <w:rPr>
                <w:rFonts w:ascii="Cambria" w:hAnsi="Cambria"/>
                <w:b/>
                <w:sz w:val="20"/>
                <w:szCs w:val="20"/>
              </w:rPr>
              <w:t xml:space="preserve">n </w:t>
            </w:r>
            <w:r w:rsidRPr="00E04D0B">
              <w:rPr>
                <w:rFonts w:ascii="Cambria" w:eastAsia="Arial" w:hAnsi="Cambria" w:cs="Arial"/>
                <w:w w:val="114"/>
                <w:sz w:val="20"/>
                <w:szCs w:val="20"/>
              </w:rPr>
              <w:t>(%)</w:t>
            </w:r>
          </w:p>
        </w:tc>
        <w:tc>
          <w:tcPr>
            <w:tcW w:w="749" w:type="pct"/>
            <w:gridSpan w:val="2"/>
            <w:tcBorders>
              <w:top w:val="single" w:sz="6" w:space="0" w:color="auto"/>
              <w:left w:val="single" w:sz="6" w:space="0" w:color="auto"/>
              <w:right w:val="single" w:sz="6" w:space="0" w:color="auto"/>
            </w:tcBorders>
            <w:vAlign w:val="center"/>
          </w:tcPr>
          <w:p w14:paraId="3AC6EFC6" w14:textId="77777777" w:rsidR="001E1900" w:rsidRPr="00E04D0B" w:rsidRDefault="001E1900" w:rsidP="009B153D">
            <w:pPr>
              <w:pStyle w:val="Style"/>
              <w:ind w:left="24"/>
              <w:textAlignment w:val="baseline"/>
              <w:rPr>
                <w:rFonts w:ascii="Cambria" w:hAnsi="Cambria"/>
                <w:sz w:val="20"/>
                <w:szCs w:val="20"/>
              </w:rPr>
            </w:pPr>
            <w:r w:rsidRPr="00E04D0B">
              <w:rPr>
                <w:rFonts w:ascii="Cambria" w:hAnsi="Cambria"/>
                <w:b/>
                <w:sz w:val="20"/>
                <w:szCs w:val="20"/>
              </w:rPr>
              <w:t>ADA/BKZ</w:t>
            </w:r>
          </w:p>
          <w:p w14:paraId="7CE94A14" w14:textId="0C603528" w:rsidR="001E1900" w:rsidRPr="00E04D0B" w:rsidRDefault="00E04D0B" w:rsidP="009B153D">
            <w:pPr>
              <w:pStyle w:val="Style"/>
              <w:ind w:left="24"/>
              <w:textAlignment w:val="baseline"/>
              <w:rPr>
                <w:rFonts w:ascii="Cambria" w:hAnsi="Cambria"/>
                <w:sz w:val="20"/>
                <w:szCs w:val="20"/>
              </w:rPr>
            </w:pPr>
            <w:r w:rsidRPr="00E04D0B">
              <w:rPr>
                <w:rFonts w:ascii="Cambria" w:hAnsi="Cambria"/>
                <w:b/>
                <w:sz w:val="20"/>
                <w:szCs w:val="20"/>
              </w:rPr>
              <w:t xml:space="preserve"> </w:t>
            </w:r>
            <w:r w:rsidR="001E1900" w:rsidRPr="00E04D0B">
              <w:rPr>
                <w:rFonts w:ascii="Cambria" w:hAnsi="Cambria"/>
                <w:b/>
                <w:sz w:val="20"/>
                <w:szCs w:val="20"/>
              </w:rPr>
              <w:t>320</w:t>
            </w:r>
            <w:r w:rsidRPr="00E04D0B">
              <w:rPr>
                <w:rFonts w:ascii="Cambria" w:hAnsi="Cambria"/>
                <w:b/>
                <w:sz w:val="20"/>
                <w:szCs w:val="20"/>
              </w:rPr>
              <w:t xml:space="preserve"> </w:t>
            </w:r>
            <w:r w:rsidR="001E1900" w:rsidRPr="00E04D0B">
              <w:rPr>
                <w:rFonts w:ascii="Cambria" w:hAnsi="Cambria"/>
                <w:b/>
                <w:sz w:val="20"/>
                <w:szCs w:val="20"/>
              </w:rPr>
              <w:t>mg</w:t>
            </w:r>
            <w:r w:rsidRPr="00E04D0B">
              <w:rPr>
                <w:rFonts w:ascii="Cambria" w:hAnsi="Cambria"/>
                <w:b/>
                <w:sz w:val="20"/>
                <w:szCs w:val="20"/>
              </w:rPr>
              <w:t xml:space="preserve"> </w:t>
            </w:r>
            <w:r w:rsidR="00F23C97" w:rsidRPr="00E04D0B">
              <w:rPr>
                <w:rFonts w:ascii="Cambria" w:hAnsi="Cambria"/>
                <w:b/>
                <w:sz w:val="20"/>
                <w:szCs w:val="20"/>
              </w:rPr>
              <w:t>every 4 weeks</w:t>
            </w:r>
          </w:p>
          <w:p w14:paraId="1CCBE897" w14:textId="11666562" w:rsidR="001E1900" w:rsidRPr="00E04D0B" w:rsidRDefault="001D2CFA" w:rsidP="009B153D">
            <w:pPr>
              <w:pStyle w:val="Style"/>
              <w:ind w:left="24"/>
              <w:textAlignment w:val="baseline"/>
              <w:rPr>
                <w:rFonts w:ascii="Cambria" w:hAnsi="Cambria"/>
                <w:sz w:val="20"/>
                <w:szCs w:val="20"/>
              </w:rPr>
            </w:pPr>
            <w:r>
              <w:rPr>
                <w:rFonts w:ascii="Cambria" w:hAnsi="Cambria"/>
                <w:b/>
                <w:sz w:val="20"/>
                <w:szCs w:val="20"/>
              </w:rPr>
              <w:t xml:space="preserve">N = </w:t>
            </w:r>
            <w:r w:rsidR="001E1900" w:rsidRPr="00E04D0B">
              <w:rPr>
                <w:rFonts w:ascii="Cambria" w:hAnsi="Cambria"/>
                <w:b/>
                <w:sz w:val="20"/>
                <w:szCs w:val="20"/>
              </w:rPr>
              <w:t>159</w:t>
            </w:r>
          </w:p>
          <w:p w14:paraId="53EA8C4E" w14:textId="55A69E21" w:rsidR="001E1900" w:rsidRPr="00E04D0B" w:rsidRDefault="001E1900" w:rsidP="009B153D">
            <w:pPr>
              <w:pStyle w:val="Style"/>
              <w:ind w:left="24"/>
              <w:textAlignment w:val="baseline"/>
              <w:rPr>
                <w:rFonts w:ascii="Cambria" w:hAnsi="Cambria"/>
                <w:sz w:val="20"/>
                <w:szCs w:val="20"/>
              </w:rPr>
            </w:pPr>
            <w:r w:rsidRPr="00E04D0B">
              <w:rPr>
                <w:rFonts w:ascii="Cambria" w:hAnsi="Cambria"/>
                <w:b/>
                <w:sz w:val="20"/>
                <w:szCs w:val="20"/>
              </w:rPr>
              <w:t xml:space="preserve">n </w:t>
            </w:r>
            <w:r w:rsidRPr="00E04D0B">
              <w:rPr>
                <w:rFonts w:ascii="Cambria" w:eastAsia="Arial" w:hAnsi="Cambria" w:cs="Arial"/>
                <w:w w:val="114"/>
                <w:sz w:val="20"/>
                <w:szCs w:val="20"/>
              </w:rPr>
              <w:t>(%)</w:t>
            </w:r>
          </w:p>
        </w:tc>
        <w:tc>
          <w:tcPr>
            <w:tcW w:w="704" w:type="pct"/>
            <w:tcBorders>
              <w:top w:val="single" w:sz="6" w:space="0" w:color="auto"/>
              <w:left w:val="single" w:sz="6" w:space="0" w:color="auto"/>
              <w:right w:val="single" w:sz="6" w:space="0" w:color="auto"/>
            </w:tcBorders>
            <w:vAlign w:val="center"/>
          </w:tcPr>
          <w:p w14:paraId="7A7E852C" w14:textId="77777777" w:rsidR="001E1900" w:rsidRPr="00E04D0B" w:rsidRDefault="001E1900" w:rsidP="009B153D">
            <w:pPr>
              <w:pStyle w:val="Style"/>
              <w:ind w:left="19"/>
              <w:textAlignment w:val="baseline"/>
              <w:rPr>
                <w:rFonts w:ascii="Cambria" w:hAnsi="Cambria"/>
                <w:sz w:val="20"/>
                <w:szCs w:val="20"/>
              </w:rPr>
            </w:pPr>
            <w:r w:rsidRPr="00E04D0B">
              <w:rPr>
                <w:rFonts w:ascii="Cambria" w:hAnsi="Cambria"/>
                <w:b/>
                <w:sz w:val="20"/>
                <w:szCs w:val="20"/>
              </w:rPr>
              <w:t>All Study</w:t>
            </w:r>
          </w:p>
          <w:p w14:paraId="62C7F40D" w14:textId="667CC670" w:rsidR="001E1900" w:rsidRPr="00E04D0B" w:rsidRDefault="001E1900" w:rsidP="009B153D">
            <w:pPr>
              <w:pStyle w:val="Style"/>
              <w:ind w:left="19"/>
              <w:textAlignment w:val="baseline"/>
              <w:rPr>
                <w:rFonts w:ascii="Cambria" w:hAnsi="Cambria"/>
                <w:sz w:val="20"/>
                <w:szCs w:val="20"/>
              </w:rPr>
            </w:pPr>
            <w:r w:rsidRPr="00E04D0B">
              <w:rPr>
                <w:rFonts w:ascii="Cambria" w:hAnsi="Cambria"/>
                <w:b/>
                <w:sz w:val="20"/>
                <w:szCs w:val="20"/>
              </w:rPr>
              <w:t>Participant</w:t>
            </w:r>
          </w:p>
          <w:p w14:paraId="2BEA755C" w14:textId="24FDEEA9" w:rsidR="001E1900" w:rsidRPr="00E04D0B" w:rsidRDefault="001D2CFA" w:rsidP="009B153D">
            <w:pPr>
              <w:pStyle w:val="Style"/>
              <w:ind w:left="19"/>
              <w:textAlignment w:val="baseline"/>
              <w:rPr>
                <w:rFonts w:ascii="Cambria" w:hAnsi="Cambria"/>
                <w:sz w:val="20"/>
                <w:szCs w:val="20"/>
              </w:rPr>
            </w:pPr>
            <w:r>
              <w:rPr>
                <w:rFonts w:ascii="Cambria" w:hAnsi="Cambria"/>
                <w:b/>
                <w:sz w:val="20"/>
                <w:szCs w:val="20"/>
              </w:rPr>
              <w:t xml:space="preserve">N = </w:t>
            </w:r>
            <w:r w:rsidR="001E1900" w:rsidRPr="00E04D0B">
              <w:rPr>
                <w:rFonts w:ascii="Cambria" w:hAnsi="Cambria"/>
                <w:b/>
                <w:sz w:val="20"/>
                <w:szCs w:val="20"/>
              </w:rPr>
              <w:t>478</w:t>
            </w:r>
          </w:p>
          <w:p w14:paraId="68155F48" w14:textId="5CA50DB5" w:rsidR="001E1900" w:rsidRPr="00E04D0B" w:rsidRDefault="001E1900" w:rsidP="009B153D">
            <w:pPr>
              <w:pStyle w:val="Style"/>
              <w:ind w:left="19"/>
              <w:textAlignment w:val="baseline"/>
              <w:rPr>
                <w:rFonts w:ascii="Cambria" w:hAnsi="Cambria"/>
                <w:sz w:val="20"/>
                <w:szCs w:val="20"/>
              </w:rPr>
            </w:pPr>
            <w:r w:rsidRPr="00E04D0B">
              <w:rPr>
                <w:rFonts w:ascii="Cambria" w:hAnsi="Cambria"/>
                <w:b/>
                <w:sz w:val="20"/>
                <w:szCs w:val="20"/>
              </w:rPr>
              <w:t xml:space="preserve">n </w:t>
            </w:r>
            <w:r w:rsidRPr="00E04D0B">
              <w:rPr>
                <w:rFonts w:ascii="Cambria" w:eastAsia="Arial" w:hAnsi="Cambria" w:cs="Arial"/>
                <w:w w:val="114"/>
                <w:sz w:val="20"/>
                <w:szCs w:val="20"/>
              </w:rPr>
              <w:t>(%)</w:t>
            </w:r>
          </w:p>
        </w:tc>
      </w:tr>
      <w:tr w:rsidR="001E1900" w:rsidRPr="00E04D0B" w14:paraId="3B13934B" w14:textId="77777777" w:rsidTr="00850F6B">
        <w:trPr>
          <w:gridAfter w:val="1"/>
          <w:wAfter w:w="10" w:type="pct"/>
          <w:trHeight w:hRule="exact" w:val="389"/>
        </w:trPr>
        <w:tc>
          <w:tcPr>
            <w:tcW w:w="4990" w:type="pct"/>
            <w:gridSpan w:val="12"/>
            <w:tcBorders>
              <w:top w:val="single" w:sz="6" w:space="0" w:color="auto"/>
              <w:left w:val="single" w:sz="6" w:space="0" w:color="auto"/>
              <w:bottom w:val="single" w:sz="6" w:space="0" w:color="auto"/>
              <w:right w:val="single" w:sz="6" w:space="0" w:color="auto"/>
            </w:tcBorders>
            <w:vAlign w:val="center"/>
          </w:tcPr>
          <w:p w14:paraId="33EA3582" w14:textId="5A72D715" w:rsidR="001E1900" w:rsidRPr="00E04D0B" w:rsidRDefault="001E1900" w:rsidP="009B153D">
            <w:pPr>
              <w:pStyle w:val="Style"/>
              <w:textAlignment w:val="baseline"/>
              <w:rPr>
                <w:rFonts w:ascii="Cambria" w:hAnsi="Cambria"/>
                <w:sz w:val="20"/>
                <w:szCs w:val="20"/>
              </w:rPr>
            </w:pPr>
            <w:r w:rsidRPr="00E04D0B">
              <w:rPr>
                <w:rFonts w:ascii="Cambria" w:hAnsi="Cambria"/>
                <w:sz w:val="20"/>
                <w:szCs w:val="20"/>
              </w:rPr>
              <w:t>B</w:t>
            </w:r>
            <w:r w:rsidR="00E04D0B">
              <w:rPr>
                <w:rFonts w:ascii="Cambria" w:hAnsi="Cambria"/>
                <w:sz w:val="20"/>
                <w:szCs w:val="20"/>
              </w:rPr>
              <w:t>ody surface area</w:t>
            </w:r>
            <w:r w:rsidRPr="00E04D0B">
              <w:rPr>
                <w:rFonts w:ascii="Cambria" w:hAnsi="Cambria"/>
                <w:sz w:val="20"/>
                <w:szCs w:val="20"/>
              </w:rPr>
              <w:t xml:space="preserve"> (%)</w:t>
            </w:r>
          </w:p>
        </w:tc>
      </w:tr>
      <w:tr w:rsidR="001E1900" w:rsidRPr="00E04D0B" w14:paraId="2616BDA6" w14:textId="77777777" w:rsidTr="00D23C64">
        <w:trPr>
          <w:gridAfter w:val="1"/>
          <w:wAfter w:w="10" w:type="pct"/>
          <w:trHeight w:hRule="exact" w:val="384"/>
        </w:trPr>
        <w:tc>
          <w:tcPr>
            <w:tcW w:w="954" w:type="pct"/>
            <w:gridSpan w:val="3"/>
            <w:tcBorders>
              <w:top w:val="single" w:sz="6" w:space="0" w:color="auto"/>
              <w:left w:val="single" w:sz="6" w:space="0" w:color="auto"/>
              <w:bottom w:val="single" w:sz="6" w:space="0" w:color="auto"/>
              <w:right w:val="single" w:sz="6" w:space="0" w:color="auto"/>
            </w:tcBorders>
            <w:vAlign w:val="center"/>
          </w:tcPr>
          <w:p w14:paraId="790680A1" w14:textId="77777777" w:rsidR="001E1900" w:rsidRPr="00E04D0B" w:rsidRDefault="001E1900" w:rsidP="001E1900">
            <w:pPr>
              <w:pStyle w:val="Style"/>
              <w:ind w:left="298"/>
              <w:jc w:val="center"/>
              <w:textAlignment w:val="baseline"/>
              <w:rPr>
                <w:rFonts w:ascii="Cambria" w:hAnsi="Cambria"/>
                <w:sz w:val="20"/>
                <w:szCs w:val="20"/>
              </w:rPr>
            </w:pPr>
            <w:r w:rsidRPr="00E04D0B">
              <w:rPr>
                <w:rFonts w:ascii="Cambria" w:hAnsi="Cambria"/>
                <w:sz w:val="20"/>
                <w:szCs w:val="20"/>
              </w:rPr>
              <w:t>n</w:t>
            </w:r>
          </w:p>
        </w:tc>
        <w:tc>
          <w:tcPr>
            <w:tcW w:w="865" w:type="pct"/>
            <w:tcBorders>
              <w:top w:val="single" w:sz="6" w:space="0" w:color="auto"/>
              <w:left w:val="single" w:sz="6" w:space="0" w:color="auto"/>
              <w:bottom w:val="single" w:sz="6" w:space="0" w:color="auto"/>
              <w:right w:val="single" w:sz="6" w:space="0" w:color="auto"/>
            </w:tcBorders>
            <w:vAlign w:val="center"/>
          </w:tcPr>
          <w:p w14:paraId="09819F45" w14:textId="77777777" w:rsidR="001E1900" w:rsidRPr="00E04D0B" w:rsidRDefault="001E1900" w:rsidP="001E1900">
            <w:pPr>
              <w:pStyle w:val="Style"/>
              <w:ind w:left="24"/>
              <w:jc w:val="center"/>
              <w:textAlignment w:val="baseline"/>
              <w:rPr>
                <w:rFonts w:ascii="Cambria" w:hAnsi="Cambria"/>
                <w:sz w:val="20"/>
                <w:szCs w:val="20"/>
              </w:rPr>
            </w:pPr>
            <w:r w:rsidRPr="00E04D0B">
              <w:rPr>
                <w:rFonts w:ascii="Cambria" w:hAnsi="Cambria"/>
                <w:sz w:val="20"/>
                <w:szCs w:val="20"/>
              </w:rPr>
              <w:t>161</w:t>
            </w:r>
          </w:p>
        </w:tc>
        <w:tc>
          <w:tcPr>
            <w:tcW w:w="912" w:type="pct"/>
            <w:gridSpan w:val="2"/>
            <w:tcBorders>
              <w:top w:val="single" w:sz="6" w:space="0" w:color="auto"/>
              <w:left w:val="single" w:sz="6" w:space="0" w:color="auto"/>
              <w:bottom w:val="single" w:sz="6" w:space="0" w:color="auto"/>
              <w:right w:val="single" w:sz="6" w:space="0" w:color="auto"/>
            </w:tcBorders>
            <w:vAlign w:val="center"/>
          </w:tcPr>
          <w:p w14:paraId="4CC7DA6E" w14:textId="77777777" w:rsidR="001E1900" w:rsidRPr="00E04D0B" w:rsidRDefault="001E1900" w:rsidP="001E1900">
            <w:pPr>
              <w:pStyle w:val="Style"/>
              <w:ind w:left="14"/>
              <w:jc w:val="center"/>
              <w:textAlignment w:val="baseline"/>
              <w:rPr>
                <w:rFonts w:ascii="Cambria" w:hAnsi="Cambria"/>
                <w:sz w:val="20"/>
                <w:szCs w:val="20"/>
              </w:rPr>
            </w:pPr>
            <w:r w:rsidRPr="00E04D0B">
              <w:rPr>
                <w:rFonts w:ascii="Cambria" w:hAnsi="Cambria"/>
                <w:sz w:val="20"/>
                <w:szCs w:val="20"/>
              </w:rPr>
              <w:t>158</w:t>
            </w:r>
          </w:p>
        </w:tc>
        <w:tc>
          <w:tcPr>
            <w:tcW w:w="806" w:type="pct"/>
            <w:gridSpan w:val="3"/>
            <w:tcBorders>
              <w:top w:val="single" w:sz="6" w:space="0" w:color="auto"/>
              <w:left w:val="single" w:sz="6" w:space="0" w:color="auto"/>
              <w:bottom w:val="single" w:sz="6" w:space="0" w:color="auto"/>
              <w:right w:val="single" w:sz="6" w:space="0" w:color="auto"/>
            </w:tcBorders>
            <w:vAlign w:val="center"/>
          </w:tcPr>
          <w:p w14:paraId="2A1388ED" w14:textId="77777777" w:rsidR="001E1900" w:rsidRPr="00E04D0B" w:rsidRDefault="001E1900" w:rsidP="001E1900">
            <w:pPr>
              <w:pStyle w:val="Style"/>
              <w:ind w:left="5"/>
              <w:jc w:val="center"/>
              <w:textAlignment w:val="baseline"/>
              <w:rPr>
                <w:rFonts w:ascii="Cambria" w:hAnsi="Cambria"/>
                <w:sz w:val="20"/>
                <w:szCs w:val="20"/>
              </w:rPr>
            </w:pPr>
            <w:r w:rsidRPr="00E04D0B">
              <w:rPr>
                <w:rFonts w:ascii="Cambria" w:hAnsi="Cambria"/>
                <w:sz w:val="20"/>
                <w:szCs w:val="20"/>
              </w:rPr>
              <w:t>319</w:t>
            </w:r>
          </w:p>
        </w:tc>
        <w:tc>
          <w:tcPr>
            <w:tcW w:w="749" w:type="pct"/>
            <w:gridSpan w:val="2"/>
            <w:tcBorders>
              <w:top w:val="single" w:sz="6" w:space="0" w:color="auto"/>
              <w:left w:val="single" w:sz="6" w:space="0" w:color="auto"/>
              <w:bottom w:val="single" w:sz="6" w:space="0" w:color="auto"/>
              <w:right w:val="single" w:sz="6" w:space="0" w:color="auto"/>
            </w:tcBorders>
            <w:vAlign w:val="center"/>
          </w:tcPr>
          <w:p w14:paraId="4A78B334" w14:textId="77777777" w:rsidR="001E1900" w:rsidRPr="00E04D0B" w:rsidRDefault="001E1900" w:rsidP="001E1900">
            <w:pPr>
              <w:pStyle w:val="Style"/>
              <w:ind w:left="24"/>
              <w:jc w:val="center"/>
              <w:textAlignment w:val="baseline"/>
              <w:rPr>
                <w:rFonts w:ascii="Cambria" w:hAnsi="Cambria"/>
                <w:sz w:val="20"/>
                <w:szCs w:val="20"/>
              </w:rPr>
            </w:pPr>
            <w:r w:rsidRPr="00E04D0B">
              <w:rPr>
                <w:rFonts w:ascii="Cambria" w:hAnsi="Cambria"/>
                <w:sz w:val="20"/>
                <w:szCs w:val="20"/>
              </w:rPr>
              <w:t>159</w:t>
            </w:r>
          </w:p>
        </w:tc>
        <w:tc>
          <w:tcPr>
            <w:tcW w:w="704" w:type="pct"/>
            <w:tcBorders>
              <w:top w:val="single" w:sz="6" w:space="0" w:color="auto"/>
              <w:left w:val="single" w:sz="6" w:space="0" w:color="auto"/>
              <w:bottom w:val="single" w:sz="6" w:space="0" w:color="auto"/>
              <w:right w:val="single" w:sz="6" w:space="0" w:color="auto"/>
            </w:tcBorders>
            <w:vAlign w:val="center"/>
          </w:tcPr>
          <w:p w14:paraId="137FBA32" w14:textId="77777777" w:rsidR="001E1900" w:rsidRPr="00E04D0B" w:rsidRDefault="001E1900" w:rsidP="001E1900">
            <w:pPr>
              <w:pStyle w:val="Style"/>
              <w:ind w:left="19"/>
              <w:jc w:val="center"/>
              <w:textAlignment w:val="baseline"/>
              <w:rPr>
                <w:rFonts w:ascii="Cambria" w:hAnsi="Cambria"/>
                <w:sz w:val="20"/>
                <w:szCs w:val="20"/>
              </w:rPr>
            </w:pPr>
            <w:r w:rsidRPr="00E04D0B">
              <w:rPr>
                <w:rFonts w:ascii="Cambria" w:hAnsi="Cambria"/>
                <w:sz w:val="20"/>
                <w:szCs w:val="20"/>
              </w:rPr>
              <w:t>478</w:t>
            </w:r>
          </w:p>
        </w:tc>
      </w:tr>
      <w:tr w:rsidR="001E1900" w:rsidRPr="00E04D0B" w14:paraId="214D8BC1" w14:textId="77777777" w:rsidTr="00D23C64">
        <w:trPr>
          <w:gridAfter w:val="1"/>
          <w:wAfter w:w="10" w:type="pct"/>
          <w:trHeight w:hRule="exact" w:val="384"/>
        </w:trPr>
        <w:tc>
          <w:tcPr>
            <w:tcW w:w="954" w:type="pct"/>
            <w:gridSpan w:val="3"/>
            <w:tcBorders>
              <w:top w:val="single" w:sz="6" w:space="0" w:color="auto"/>
              <w:left w:val="single" w:sz="6" w:space="0" w:color="auto"/>
              <w:bottom w:val="single" w:sz="6" w:space="0" w:color="auto"/>
              <w:right w:val="single" w:sz="6" w:space="0" w:color="auto"/>
            </w:tcBorders>
            <w:vAlign w:val="center"/>
          </w:tcPr>
          <w:p w14:paraId="51764698" w14:textId="77777777" w:rsidR="001E1900" w:rsidRPr="00E04D0B" w:rsidRDefault="001E1900" w:rsidP="001E1900">
            <w:pPr>
              <w:pStyle w:val="Style"/>
              <w:ind w:left="298"/>
              <w:jc w:val="center"/>
              <w:textAlignment w:val="baseline"/>
              <w:rPr>
                <w:rFonts w:ascii="Cambria" w:hAnsi="Cambria"/>
                <w:sz w:val="20"/>
                <w:szCs w:val="20"/>
              </w:rPr>
            </w:pPr>
            <w:r w:rsidRPr="00E04D0B">
              <w:rPr>
                <w:rFonts w:ascii="Cambria" w:hAnsi="Cambria"/>
                <w:sz w:val="20"/>
                <w:szCs w:val="20"/>
              </w:rPr>
              <w:t>Mean (SD)</w:t>
            </w:r>
          </w:p>
        </w:tc>
        <w:tc>
          <w:tcPr>
            <w:tcW w:w="865" w:type="pct"/>
            <w:tcBorders>
              <w:top w:val="single" w:sz="6" w:space="0" w:color="auto"/>
              <w:left w:val="single" w:sz="6" w:space="0" w:color="auto"/>
              <w:bottom w:val="single" w:sz="6" w:space="0" w:color="auto"/>
              <w:right w:val="single" w:sz="6" w:space="0" w:color="auto"/>
            </w:tcBorders>
            <w:vAlign w:val="center"/>
          </w:tcPr>
          <w:p w14:paraId="417F2563" w14:textId="77777777" w:rsidR="001E1900" w:rsidRPr="00E04D0B" w:rsidRDefault="001E1900" w:rsidP="001E1900">
            <w:pPr>
              <w:pStyle w:val="Style"/>
              <w:ind w:left="24"/>
              <w:jc w:val="center"/>
              <w:textAlignment w:val="baseline"/>
              <w:rPr>
                <w:rFonts w:ascii="Cambria" w:hAnsi="Cambria"/>
                <w:sz w:val="20"/>
                <w:szCs w:val="20"/>
              </w:rPr>
            </w:pPr>
            <w:r w:rsidRPr="00E04D0B">
              <w:rPr>
                <w:rFonts w:ascii="Cambria" w:hAnsi="Cambria"/>
                <w:sz w:val="20"/>
                <w:szCs w:val="20"/>
              </w:rPr>
              <w:t>25.2 (12.4)</w:t>
            </w:r>
          </w:p>
        </w:tc>
        <w:tc>
          <w:tcPr>
            <w:tcW w:w="912" w:type="pct"/>
            <w:gridSpan w:val="2"/>
            <w:tcBorders>
              <w:top w:val="single" w:sz="6" w:space="0" w:color="auto"/>
              <w:left w:val="single" w:sz="6" w:space="0" w:color="auto"/>
              <w:bottom w:val="single" w:sz="6" w:space="0" w:color="auto"/>
              <w:right w:val="single" w:sz="6" w:space="0" w:color="auto"/>
            </w:tcBorders>
            <w:vAlign w:val="center"/>
          </w:tcPr>
          <w:p w14:paraId="45CA1D95" w14:textId="77777777" w:rsidR="001E1900" w:rsidRPr="00E04D0B" w:rsidRDefault="001E1900" w:rsidP="001E1900">
            <w:pPr>
              <w:pStyle w:val="Style"/>
              <w:ind w:left="14"/>
              <w:jc w:val="center"/>
              <w:textAlignment w:val="baseline"/>
              <w:rPr>
                <w:rFonts w:ascii="Cambria" w:hAnsi="Cambria"/>
                <w:sz w:val="20"/>
                <w:szCs w:val="20"/>
              </w:rPr>
            </w:pPr>
            <w:r w:rsidRPr="00E04D0B">
              <w:rPr>
                <w:rFonts w:ascii="Cambria" w:hAnsi="Cambria"/>
                <w:sz w:val="20"/>
                <w:szCs w:val="20"/>
              </w:rPr>
              <w:t>26.5 (15.9)</w:t>
            </w:r>
          </w:p>
        </w:tc>
        <w:tc>
          <w:tcPr>
            <w:tcW w:w="806" w:type="pct"/>
            <w:gridSpan w:val="3"/>
            <w:tcBorders>
              <w:top w:val="single" w:sz="6" w:space="0" w:color="auto"/>
              <w:left w:val="single" w:sz="6" w:space="0" w:color="auto"/>
              <w:bottom w:val="single" w:sz="6" w:space="0" w:color="auto"/>
              <w:right w:val="single" w:sz="6" w:space="0" w:color="auto"/>
            </w:tcBorders>
            <w:vAlign w:val="center"/>
          </w:tcPr>
          <w:p w14:paraId="75DDB611" w14:textId="77777777" w:rsidR="001E1900" w:rsidRPr="00E04D0B" w:rsidRDefault="001E1900" w:rsidP="001E1900">
            <w:pPr>
              <w:pStyle w:val="Style"/>
              <w:ind w:left="5"/>
              <w:jc w:val="center"/>
              <w:textAlignment w:val="baseline"/>
              <w:rPr>
                <w:rFonts w:ascii="Cambria" w:hAnsi="Cambria"/>
                <w:sz w:val="20"/>
                <w:szCs w:val="20"/>
              </w:rPr>
            </w:pPr>
            <w:r w:rsidRPr="00E04D0B">
              <w:rPr>
                <w:rFonts w:ascii="Cambria" w:hAnsi="Cambria"/>
                <w:sz w:val="20"/>
                <w:szCs w:val="20"/>
              </w:rPr>
              <w:t>25.9 (14.2)</w:t>
            </w:r>
          </w:p>
        </w:tc>
        <w:tc>
          <w:tcPr>
            <w:tcW w:w="749" w:type="pct"/>
            <w:gridSpan w:val="2"/>
            <w:tcBorders>
              <w:top w:val="single" w:sz="6" w:space="0" w:color="auto"/>
              <w:left w:val="single" w:sz="6" w:space="0" w:color="auto"/>
              <w:bottom w:val="single" w:sz="6" w:space="0" w:color="auto"/>
              <w:right w:val="single" w:sz="6" w:space="0" w:color="auto"/>
            </w:tcBorders>
            <w:vAlign w:val="center"/>
          </w:tcPr>
          <w:p w14:paraId="559E9B51" w14:textId="77777777" w:rsidR="001E1900" w:rsidRPr="00E04D0B" w:rsidRDefault="001E1900" w:rsidP="001E1900">
            <w:pPr>
              <w:pStyle w:val="Style"/>
              <w:ind w:left="24"/>
              <w:jc w:val="center"/>
              <w:textAlignment w:val="baseline"/>
              <w:rPr>
                <w:rFonts w:ascii="Cambria" w:hAnsi="Cambria"/>
                <w:sz w:val="20"/>
                <w:szCs w:val="20"/>
              </w:rPr>
            </w:pPr>
            <w:r w:rsidRPr="00E04D0B">
              <w:rPr>
                <w:rFonts w:ascii="Cambria" w:hAnsi="Cambria"/>
                <w:sz w:val="20"/>
                <w:szCs w:val="20"/>
              </w:rPr>
              <w:t>25.0 (14.4)</w:t>
            </w:r>
          </w:p>
        </w:tc>
        <w:tc>
          <w:tcPr>
            <w:tcW w:w="704" w:type="pct"/>
            <w:tcBorders>
              <w:top w:val="single" w:sz="6" w:space="0" w:color="auto"/>
              <w:left w:val="single" w:sz="6" w:space="0" w:color="auto"/>
              <w:bottom w:val="single" w:sz="6" w:space="0" w:color="auto"/>
              <w:right w:val="single" w:sz="6" w:space="0" w:color="auto"/>
            </w:tcBorders>
            <w:vAlign w:val="center"/>
          </w:tcPr>
          <w:p w14:paraId="40B9570E" w14:textId="77777777" w:rsidR="001E1900" w:rsidRPr="00E04D0B" w:rsidRDefault="001E1900" w:rsidP="001E1900">
            <w:pPr>
              <w:pStyle w:val="Style"/>
              <w:ind w:left="19"/>
              <w:jc w:val="center"/>
              <w:textAlignment w:val="baseline"/>
              <w:rPr>
                <w:rFonts w:ascii="Cambria" w:hAnsi="Cambria"/>
                <w:sz w:val="20"/>
                <w:szCs w:val="20"/>
              </w:rPr>
            </w:pPr>
            <w:r w:rsidRPr="00E04D0B">
              <w:rPr>
                <w:rFonts w:ascii="Cambria" w:hAnsi="Cambria"/>
                <w:sz w:val="20"/>
                <w:szCs w:val="20"/>
              </w:rPr>
              <w:t>25.6 (14.3)</w:t>
            </w:r>
          </w:p>
        </w:tc>
      </w:tr>
      <w:tr w:rsidR="001E1900" w:rsidRPr="00E04D0B" w14:paraId="6ED25E13" w14:textId="77777777" w:rsidTr="00D23C64">
        <w:trPr>
          <w:gridAfter w:val="1"/>
          <w:wAfter w:w="10" w:type="pct"/>
          <w:trHeight w:hRule="exact" w:val="384"/>
        </w:trPr>
        <w:tc>
          <w:tcPr>
            <w:tcW w:w="954" w:type="pct"/>
            <w:gridSpan w:val="3"/>
            <w:tcBorders>
              <w:top w:val="single" w:sz="6" w:space="0" w:color="auto"/>
              <w:left w:val="single" w:sz="6" w:space="0" w:color="auto"/>
              <w:bottom w:val="single" w:sz="6" w:space="0" w:color="auto"/>
              <w:right w:val="single" w:sz="6" w:space="0" w:color="auto"/>
            </w:tcBorders>
            <w:vAlign w:val="center"/>
          </w:tcPr>
          <w:p w14:paraId="36F73285" w14:textId="77777777" w:rsidR="001E1900" w:rsidRPr="00E04D0B" w:rsidRDefault="001E1900" w:rsidP="001E1900">
            <w:pPr>
              <w:pStyle w:val="Style"/>
              <w:ind w:left="298"/>
              <w:jc w:val="center"/>
              <w:textAlignment w:val="baseline"/>
              <w:rPr>
                <w:rFonts w:ascii="Cambria" w:hAnsi="Cambria"/>
                <w:sz w:val="20"/>
                <w:szCs w:val="20"/>
              </w:rPr>
            </w:pPr>
            <w:r w:rsidRPr="00E04D0B">
              <w:rPr>
                <w:rFonts w:ascii="Cambria" w:hAnsi="Cambria"/>
                <w:sz w:val="20"/>
                <w:szCs w:val="20"/>
              </w:rPr>
              <w:t>Median</w:t>
            </w:r>
          </w:p>
        </w:tc>
        <w:tc>
          <w:tcPr>
            <w:tcW w:w="865" w:type="pct"/>
            <w:tcBorders>
              <w:top w:val="single" w:sz="6" w:space="0" w:color="auto"/>
              <w:left w:val="single" w:sz="6" w:space="0" w:color="auto"/>
              <w:bottom w:val="single" w:sz="6" w:space="0" w:color="auto"/>
              <w:right w:val="single" w:sz="6" w:space="0" w:color="auto"/>
            </w:tcBorders>
            <w:vAlign w:val="center"/>
          </w:tcPr>
          <w:p w14:paraId="4459F620" w14:textId="77777777" w:rsidR="001E1900" w:rsidRPr="00E04D0B" w:rsidRDefault="001E1900" w:rsidP="001E1900">
            <w:pPr>
              <w:pStyle w:val="Style"/>
              <w:ind w:left="24"/>
              <w:jc w:val="center"/>
              <w:textAlignment w:val="baseline"/>
              <w:rPr>
                <w:rFonts w:ascii="Cambria" w:hAnsi="Cambria"/>
                <w:sz w:val="20"/>
                <w:szCs w:val="20"/>
              </w:rPr>
            </w:pPr>
            <w:r w:rsidRPr="00E04D0B">
              <w:rPr>
                <w:rFonts w:ascii="Cambria" w:hAnsi="Cambria"/>
                <w:sz w:val="20"/>
                <w:szCs w:val="20"/>
              </w:rPr>
              <w:t>22.0</w:t>
            </w:r>
          </w:p>
        </w:tc>
        <w:tc>
          <w:tcPr>
            <w:tcW w:w="912" w:type="pct"/>
            <w:gridSpan w:val="2"/>
            <w:tcBorders>
              <w:top w:val="single" w:sz="6" w:space="0" w:color="auto"/>
              <w:left w:val="single" w:sz="6" w:space="0" w:color="auto"/>
              <w:bottom w:val="single" w:sz="6" w:space="0" w:color="auto"/>
              <w:right w:val="single" w:sz="6" w:space="0" w:color="auto"/>
            </w:tcBorders>
            <w:vAlign w:val="center"/>
          </w:tcPr>
          <w:p w14:paraId="4A441359" w14:textId="77777777" w:rsidR="001E1900" w:rsidRPr="00E04D0B" w:rsidRDefault="001E1900" w:rsidP="001E1900">
            <w:pPr>
              <w:pStyle w:val="Style"/>
              <w:ind w:left="14"/>
              <w:jc w:val="center"/>
              <w:textAlignment w:val="baseline"/>
              <w:rPr>
                <w:rFonts w:ascii="Cambria" w:hAnsi="Cambria"/>
                <w:sz w:val="20"/>
                <w:szCs w:val="20"/>
              </w:rPr>
            </w:pPr>
            <w:r w:rsidRPr="00E04D0B">
              <w:rPr>
                <w:rFonts w:ascii="Cambria" w:hAnsi="Cambria"/>
                <w:sz w:val="20"/>
                <w:szCs w:val="20"/>
              </w:rPr>
              <w:t>20.0</w:t>
            </w:r>
          </w:p>
        </w:tc>
        <w:tc>
          <w:tcPr>
            <w:tcW w:w="806" w:type="pct"/>
            <w:gridSpan w:val="3"/>
            <w:tcBorders>
              <w:top w:val="single" w:sz="6" w:space="0" w:color="auto"/>
              <w:left w:val="single" w:sz="6" w:space="0" w:color="auto"/>
              <w:bottom w:val="single" w:sz="6" w:space="0" w:color="auto"/>
              <w:right w:val="single" w:sz="6" w:space="0" w:color="auto"/>
            </w:tcBorders>
            <w:vAlign w:val="center"/>
          </w:tcPr>
          <w:p w14:paraId="30A7227D" w14:textId="77777777" w:rsidR="001E1900" w:rsidRPr="00E04D0B" w:rsidRDefault="001E1900" w:rsidP="001E1900">
            <w:pPr>
              <w:pStyle w:val="Style"/>
              <w:ind w:left="5"/>
              <w:jc w:val="center"/>
              <w:textAlignment w:val="baseline"/>
              <w:rPr>
                <w:rFonts w:ascii="Cambria" w:hAnsi="Cambria"/>
                <w:sz w:val="20"/>
                <w:szCs w:val="20"/>
              </w:rPr>
            </w:pPr>
            <w:r w:rsidRPr="00E04D0B">
              <w:rPr>
                <w:rFonts w:ascii="Cambria" w:hAnsi="Cambria"/>
                <w:sz w:val="20"/>
                <w:szCs w:val="20"/>
              </w:rPr>
              <w:t>20.0</w:t>
            </w:r>
          </w:p>
        </w:tc>
        <w:tc>
          <w:tcPr>
            <w:tcW w:w="749" w:type="pct"/>
            <w:gridSpan w:val="2"/>
            <w:tcBorders>
              <w:top w:val="single" w:sz="6" w:space="0" w:color="auto"/>
              <w:left w:val="single" w:sz="6" w:space="0" w:color="auto"/>
              <w:bottom w:val="single" w:sz="6" w:space="0" w:color="auto"/>
              <w:right w:val="single" w:sz="6" w:space="0" w:color="auto"/>
            </w:tcBorders>
            <w:vAlign w:val="center"/>
          </w:tcPr>
          <w:p w14:paraId="16E2D121" w14:textId="77777777" w:rsidR="001E1900" w:rsidRPr="00E04D0B" w:rsidRDefault="001E1900" w:rsidP="001E1900">
            <w:pPr>
              <w:pStyle w:val="Style"/>
              <w:ind w:left="24"/>
              <w:jc w:val="center"/>
              <w:textAlignment w:val="baseline"/>
              <w:rPr>
                <w:rFonts w:ascii="Cambria" w:hAnsi="Cambria"/>
                <w:sz w:val="20"/>
                <w:szCs w:val="20"/>
              </w:rPr>
            </w:pPr>
            <w:r w:rsidRPr="00E04D0B">
              <w:rPr>
                <w:rFonts w:ascii="Cambria" w:hAnsi="Cambria"/>
                <w:sz w:val="20"/>
                <w:szCs w:val="20"/>
              </w:rPr>
              <w:t>20.0</w:t>
            </w:r>
          </w:p>
        </w:tc>
        <w:tc>
          <w:tcPr>
            <w:tcW w:w="704" w:type="pct"/>
            <w:tcBorders>
              <w:top w:val="single" w:sz="6" w:space="0" w:color="auto"/>
              <w:left w:val="single" w:sz="6" w:space="0" w:color="auto"/>
              <w:bottom w:val="single" w:sz="6" w:space="0" w:color="auto"/>
              <w:right w:val="single" w:sz="6" w:space="0" w:color="auto"/>
            </w:tcBorders>
            <w:vAlign w:val="center"/>
          </w:tcPr>
          <w:p w14:paraId="167DAFEA" w14:textId="77777777" w:rsidR="001E1900" w:rsidRPr="00E04D0B" w:rsidRDefault="001E1900" w:rsidP="001E1900">
            <w:pPr>
              <w:pStyle w:val="Style"/>
              <w:ind w:left="19"/>
              <w:jc w:val="center"/>
              <w:textAlignment w:val="baseline"/>
              <w:rPr>
                <w:rFonts w:ascii="Cambria" w:hAnsi="Cambria"/>
                <w:sz w:val="20"/>
                <w:szCs w:val="20"/>
              </w:rPr>
            </w:pPr>
            <w:r w:rsidRPr="00E04D0B">
              <w:rPr>
                <w:rFonts w:ascii="Cambria" w:hAnsi="Cambria"/>
                <w:sz w:val="20"/>
                <w:szCs w:val="20"/>
              </w:rPr>
              <w:t>20.0</w:t>
            </w:r>
          </w:p>
        </w:tc>
      </w:tr>
      <w:tr w:rsidR="001E1900" w:rsidRPr="00E04D0B" w14:paraId="5260959F" w14:textId="77777777" w:rsidTr="00D23C64">
        <w:trPr>
          <w:gridAfter w:val="1"/>
          <w:wAfter w:w="10" w:type="pct"/>
          <w:trHeight w:hRule="exact" w:val="379"/>
        </w:trPr>
        <w:tc>
          <w:tcPr>
            <w:tcW w:w="954" w:type="pct"/>
            <w:gridSpan w:val="3"/>
            <w:tcBorders>
              <w:top w:val="single" w:sz="6" w:space="0" w:color="auto"/>
              <w:left w:val="single" w:sz="6" w:space="0" w:color="auto"/>
              <w:bottom w:val="single" w:sz="6" w:space="0" w:color="auto"/>
              <w:right w:val="single" w:sz="6" w:space="0" w:color="auto"/>
            </w:tcBorders>
            <w:vAlign w:val="center"/>
          </w:tcPr>
          <w:p w14:paraId="176FF657" w14:textId="77777777" w:rsidR="001E1900" w:rsidRPr="00E04D0B" w:rsidRDefault="001E1900" w:rsidP="001E1900">
            <w:pPr>
              <w:pStyle w:val="Style"/>
              <w:ind w:left="298"/>
              <w:jc w:val="center"/>
              <w:textAlignment w:val="baseline"/>
              <w:rPr>
                <w:rFonts w:ascii="Cambria" w:hAnsi="Cambria"/>
                <w:sz w:val="20"/>
                <w:szCs w:val="20"/>
              </w:rPr>
            </w:pPr>
            <w:r w:rsidRPr="00E04D0B">
              <w:rPr>
                <w:rFonts w:ascii="Cambria" w:hAnsi="Cambria"/>
                <w:sz w:val="20"/>
                <w:szCs w:val="20"/>
              </w:rPr>
              <w:t>Min, max</w:t>
            </w:r>
          </w:p>
        </w:tc>
        <w:tc>
          <w:tcPr>
            <w:tcW w:w="865" w:type="pct"/>
            <w:tcBorders>
              <w:top w:val="single" w:sz="6" w:space="0" w:color="auto"/>
              <w:left w:val="single" w:sz="6" w:space="0" w:color="auto"/>
              <w:bottom w:val="single" w:sz="6" w:space="0" w:color="auto"/>
              <w:right w:val="single" w:sz="6" w:space="0" w:color="auto"/>
            </w:tcBorders>
            <w:vAlign w:val="center"/>
          </w:tcPr>
          <w:p w14:paraId="3D4A2FC3" w14:textId="77777777" w:rsidR="001E1900" w:rsidRPr="00E04D0B" w:rsidRDefault="001E1900" w:rsidP="001E1900">
            <w:pPr>
              <w:pStyle w:val="Style"/>
              <w:ind w:left="24"/>
              <w:jc w:val="center"/>
              <w:textAlignment w:val="baseline"/>
              <w:rPr>
                <w:rFonts w:ascii="Cambria" w:hAnsi="Cambria"/>
                <w:sz w:val="20"/>
                <w:szCs w:val="20"/>
              </w:rPr>
            </w:pPr>
            <w:r w:rsidRPr="00E04D0B">
              <w:rPr>
                <w:rFonts w:ascii="Cambria" w:hAnsi="Cambria"/>
                <w:sz w:val="20"/>
                <w:szCs w:val="20"/>
              </w:rPr>
              <w:t>10, 80</w:t>
            </w:r>
          </w:p>
        </w:tc>
        <w:tc>
          <w:tcPr>
            <w:tcW w:w="912" w:type="pct"/>
            <w:gridSpan w:val="2"/>
            <w:tcBorders>
              <w:top w:val="single" w:sz="6" w:space="0" w:color="auto"/>
              <w:left w:val="single" w:sz="6" w:space="0" w:color="auto"/>
              <w:bottom w:val="single" w:sz="6" w:space="0" w:color="auto"/>
              <w:right w:val="single" w:sz="6" w:space="0" w:color="auto"/>
            </w:tcBorders>
            <w:vAlign w:val="center"/>
          </w:tcPr>
          <w:p w14:paraId="6217229B" w14:textId="77777777" w:rsidR="001E1900" w:rsidRPr="00E04D0B" w:rsidRDefault="001E1900" w:rsidP="001E1900">
            <w:pPr>
              <w:pStyle w:val="Style"/>
              <w:ind w:left="14"/>
              <w:jc w:val="center"/>
              <w:textAlignment w:val="baseline"/>
              <w:rPr>
                <w:rFonts w:ascii="Cambria" w:hAnsi="Cambria"/>
                <w:sz w:val="20"/>
                <w:szCs w:val="20"/>
              </w:rPr>
            </w:pPr>
            <w:r w:rsidRPr="00E04D0B">
              <w:rPr>
                <w:rFonts w:ascii="Cambria" w:hAnsi="Cambria"/>
                <w:sz w:val="20"/>
                <w:szCs w:val="20"/>
              </w:rPr>
              <w:t>10, 81</w:t>
            </w:r>
          </w:p>
        </w:tc>
        <w:tc>
          <w:tcPr>
            <w:tcW w:w="806" w:type="pct"/>
            <w:gridSpan w:val="3"/>
            <w:tcBorders>
              <w:top w:val="single" w:sz="6" w:space="0" w:color="auto"/>
              <w:left w:val="single" w:sz="6" w:space="0" w:color="auto"/>
              <w:bottom w:val="single" w:sz="6" w:space="0" w:color="auto"/>
              <w:right w:val="single" w:sz="6" w:space="0" w:color="auto"/>
            </w:tcBorders>
            <w:vAlign w:val="center"/>
          </w:tcPr>
          <w:p w14:paraId="2C977B30" w14:textId="77777777" w:rsidR="001E1900" w:rsidRPr="00E04D0B" w:rsidRDefault="001E1900" w:rsidP="001E1900">
            <w:pPr>
              <w:pStyle w:val="Style"/>
              <w:ind w:left="5"/>
              <w:jc w:val="center"/>
              <w:textAlignment w:val="baseline"/>
              <w:rPr>
                <w:rFonts w:ascii="Cambria" w:hAnsi="Cambria"/>
                <w:sz w:val="20"/>
                <w:szCs w:val="20"/>
              </w:rPr>
            </w:pPr>
            <w:r w:rsidRPr="00E04D0B">
              <w:rPr>
                <w:rFonts w:ascii="Cambria" w:hAnsi="Cambria"/>
                <w:sz w:val="20"/>
                <w:szCs w:val="20"/>
              </w:rPr>
              <w:t>10, 81</w:t>
            </w:r>
          </w:p>
        </w:tc>
        <w:tc>
          <w:tcPr>
            <w:tcW w:w="749" w:type="pct"/>
            <w:gridSpan w:val="2"/>
            <w:tcBorders>
              <w:top w:val="single" w:sz="6" w:space="0" w:color="auto"/>
              <w:left w:val="single" w:sz="6" w:space="0" w:color="auto"/>
              <w:bottom w:val="single" w:sz="6" w:space="0" w:color="auto"/>
              <w:right w:val="single" w:sz="6" w:space="0" w:color="auto"/>
            </w:tcBorders>
            <w:vAlign w:val="center"/>
          </w:tcPr>
          <w:p w14:paraId="4A5DA2F9" w14:textId="77777777" w:rsidR="001E1900" w:rsidRPr="00E04D0B" w:rsidRDefault="001E1900" w:rsidP="001E1900">
            <w:pPr>
              <w:pStyle w:val="Style"/>
              <w:ind w:left="24"/>
              <w:jc w:val="center"/>
              <w:textAlignment w:val="baseline"/>
              <w:rPr>
                <w:rFonts w:ascii="Cambria" w:hAnsi="Cambria"/>
                <w:sz w:val="20"/>
                <w:szCs w:val="20"/>
              </w:rPr>
            </w:pPr>
            <w:r w:rsidRPr="00E04D0B">
              <w:rPr>
                <w:rFonts w:ascii="Cambria" w:hAnsi="Cambria"/>
                <w:sz w:val="20"/>
                <w:szCs w:val="20"/>
              </w:rPr>
              <w:t>10, 76</w:t>
            </w:r>
          </w:p>
        </w:tc>
        <w:tc>
          <w:tcPr>
            <w:tcW w:w="704" w:type="pct"/>
            <w:tcBorders>
              <w:top w:val="single" w:sz="6" w:space="0" w:color="auto"/>
              <w:left w:val="single" w:sz="6" w:space="0" w:color="auto"/>
              <w:bottom w:val="single" w:sz="6" w:space="0" w:color="auto"/>
              <w:right w:val="single" w:sz="6" w:space="0" w:color="auto"/>
            </w:tcBorders>
            <w:vAlign w:val="center"/>
          </w:tcPr>
          <w:p w14:paraId="05420FB0" w14:textId="77777777" w:rsidR="001E1900" w:rsidRPr="00E04D0B" w:rsidRDefault="001E1900" w:rsidP="001E1900">
            <w:pPr>
              <w:pStyle w:val="Style"/>
              <w:ind w:left="19"/>
              <w:jc w:val="center"/>
              <w:textAlignment w:val="baseline"/>
              <w:rPr>
                <w:rFonts w:ascii="Cambria" w:hAnsi="Cambria"/>
                <w:sz w:val="20"/>
                <w:szCs w:val="20"/>
              </w:rPr>
            </w:pPr>
            <w:r w:rsidRPr="00E04D0B">
              <w:rPr>
                <w:rFonts w:ascii="Cambria" w:hAnsi="Cambria"/>
                <w:sz w:val="20"/>
                <w:szCs w:val="20"/>
              </w:rPr>
              <w:t>10, 81</w:t>
            </w:r>
          </w:p>
        </w:tc>
      </w:tr>
      <w:tr w:rsidR="001E1900" w:rsidRPr="00E04D0B" w14:paraId="19C6E95D" w14:textId="77777777" w:rsidTr="00850F6B">
        <w:trPr>
          <w:gridAfter w:val="1"/>
          <w:wAfter w:w="10" w:type="pct"/>
          <w:trHeight w:hRule="exact" w:val="389"/>
        </w:trPr>
        <w:tc>
          <w:tcPr>
            <w:tcW w:w="4990" w:type="pct"/>
            <w:gridSpan w:val="12"/>
            <w:tcBorders>
              <w:top w:val="single" w:sz="6" w:space="0" w:color="auto"/>
              <w:left w:val="single" w:sz="6" w:space="0" w:color="auto"/>
              <w:bottom w:val="single" w:sz="6" w:space="0" w:color="auto"/>
              <w:right w:val="single" w:sz="6" w:space="0" w:color="auto"/>
            </w:tcBorders>
            <w:vAlign w:val="center"/>
          </w:tcPr>
          <w:p w14:paraId="0AFCA808" w14:textId="0AD7FD8A" w:rsidR="001E1900" w:rsidRPr="00E04D0B" w:rsidRDefault="001E1900" w:rsidP="009B153D">
            <w:pPr>
              <w:pStyle w:val="Style"/>
              <w:textAlignment w:val="baseline"/>
              <w:rPr>
                <w:rFonts w:ascii="Cambria" w:hAnsi="Cambria"/>
                <w:sz w:val="20"/>
                <w:szCs w:val="20"/>
              </w:rPr>
            </w:pPr>
            <w:r w:rsidRPr="00E04D0B">
              <w:rPr>
                <w:rFonts w:ascii="Cambria" w:hAnsi="Cambria"/>
                <w:sz w:val="20"/>
                <w:szCs w:val="20"/>
              </w:rPr>
              <w:t>PASI score</w:t>
            </w:r>
          </w:p>
        </w:tc>
      </w:tr>
      <w:tr w:rsidR="001E1900" w:rsidRPr="00E04D0B" w14:paraId="02863A1F" w14:textId="77777777" w:rsidTr="00D23C64">
        <w:trPr>
          <w:gridAfter w:val="1"/>
          <w:wAfter w:w="10" w:type="pct"/>
          <w:trHeight w:hRule="exact" w:val="384"/>
        </w:trPr>
        <w:tc>
          <w:tcPr>
            <w:tcW w:w="954" w:type="pct"/>
            <w:gridSpan w:val="3"/>
            <w:tcBorders>
              <w:top w:val="single" w:sz="6" w:space="0" w:color="auto"/>
              <w:left w:val="single" w:sz="6" w:space="0" w:color="auto"/>
              <w:bottom w:val="single" w:sz="6" w:space="0" w:color="auto"/>
              <w:right w:val="single" w:sz="6" w:space="0" w:color="auto"/>
            </w:tcBorders>
            <w:vAlign w:val="center"/>
          </w:tcPr>
          <w:p w14:paraId="7EF35FEF" w14:textId="77777777" w:rsidR="001E1900" w:rsidRPr="00E04D0B" w:rsidRDefault="001E1900" w:rsidP="001E1900">
            <w:pPr>
              <w:pStyle w:val="Style"/>
              <w:ind w:left="298"/>
              <w:jc w:val="center"/>
              <w:textAlignment w:val="baseline"/>
              <w:rPr>
                <w:rFonts w:ascii="Cambria" w:hAnsi="Cambria"/>
                <w:sz w:val="20"/>
                <w:szCs w:val="20"/>
              </w:rPr>
            </w:pPr>
            <w:r w:rsidRPr="00E04D0B">
              <w:rPr>
                <w:rFonts w:ascii="Cambria" w:hAnsi="Cambria"/>
                <w:sz w:val="20"/>
                <w:szCs w:val="20"/>
              </w:rPr>
              <w:t>n</w:t>
            </w:r>
          </w:p>
        </w:tc>
        <w:tc>
          <w:tcPr>
            <w:tcW w:w="865" w:type="pct"/>
            <w:tcBorders>
              <w:top w:val="single" w:sz="6" w:space="0" w:color="auto"/>
              <w:left w:val="single" w:sz="6" w:space="0" w:color="auto"/>
              <w:bottom w:val="single" w:sz="6" w:space="0" w:color="auto"/>
              <w:right w:val="single" w:sz="6" w:space="0" w:color="auto"/>
            </w:tcBorders>
            <w:vAlign w:val="center"/>
          </w:tcPr>
          <w:p w14:paraId="59B45B25" w14:textId="77777777" w:rsidR="001E1900" w:rsidRPr="00E04D0B" w:rsidRDefault="001E1900" w:rsidP="001E1900">
            <w:pPr>
              <w:pStyle w:val="Style"/>
              <w:ind w:left="24"/>
              <w:jc w:val="center"/>
              <w:textAlignment w:val="baseline"/>
              <w:rPr>
                <w:rFonts w:ascii="Cambria" w:hAnsi="Cambria"/>
                <w:sz w:val="20"/>
                <w:szCs w:val="20"/>
              </w:rPr>
            </w:pPr>
            <w:r w:rsidRPr="00E04D0B">
              <w:rPr>
                <w:rFonts w:ascii="Cambria" w:hAnsi="Cambria"/>
                <w:sz w:val="20"/>
                <w:szCs w:val="20"/>
              </w:rPr>
              <w:t>161</w:t>
            </w:r>
          </w:p>
        </w:tc>
        <w:tc>
          <w:tcPr>
            <w:tcW w:w="912" w:type="pct"/>
            <w:gridSpan w:val="2"/>
            <w:tcBorders>
              <w:top w:val="single" w:sz="6" w:space="0" w:color="auto"/>
              <w:left w:val="single" w:sz="6" w:space="0" w:color="auto"/>
              <w:bottom w:val="single" w:sz="6" w:space="0" w:color="auto"/>
              <w:right w:val="single" w:sz="6" w:space="0" w:color="auto"/>
            </w:tcBorders>
            <w:vAlign w:val="center"/>
          </w:tcPr>
          <w:p w14:paraId="77197613" w14:textId="77777777" w:rsidR="001E1900" w:rsidRPr="00E04D0B" w:rsidRDefault="001E1900" w:rsidP="001E1900">
            <w:pPr>
              <w:pStyle w:val="Style"/>
              <w:ind w:left="14"/>
              <w:jc w:val="center"/>
              <w:textAlignment w:val="baseline"/>
              <w:rPr>
                <w:rFonts w:ascii="Cambria" w:hAnsi="Cambria"/>
                <w:sz w:val="20"/>
                <w:szCs w:val="20"/>
              </w:rPr>
            </w:pPr>
            <w:r w:rsidRPr="00E04D0B">
              <w:rPr>
                <w:rFonts w:ascii="Cambria" w:hAnsi="Cambria"/>
                <w:sz w:val="20"/>
                <w:szCs w:val="20"/>
              </w:rPr>
              <w:t>158</w:t>
            </w:r>
          </w:p>
        </w:tc>
        <w:tc>
          <w:tcPr>
            <w:tcW w:w="806" w:type="pct"/>
            <w:gridSpan w:val="3"/>
            <w:tcBorders>
              <w:top w:val="single" w:sz="6" w:space="0" w:color="auto"/>
              <w:left w:val="single" w:sz="6" w:space="0" w:color="auto"/>
              <w:bottom w:val="single" w:sz="6" w:space="0" w:color="auto"/>
              <w:right w:val="single" w:sz="6" w:space="0" w:color="auto"/>
            </w:tcBorders>
            <w:vAlign w:val="center"/>
          </w:tcPr>
          <w:p w14:paraId="26D3BCBA" w14:textId="77777777" w:rsidR="001E1900" w:rsidRPr="00E04D0B" w:rsidRDefault="001E1900" w:rsidP="001E1900">
            <w:pPr>
              <w:pStyle w:val="Style"/>
              <w:ind w:left="5"/>
              <w:jc w:val="center"/>
              <w:textAlignment w:val="baseline"/>
              <w:rPr>
                <w:rFonts w:ascii="Cambria" w:hAnsi="Cambria"/>
                <w:sz w:val="20"/>
                <w:szCs w:val="20"/>
              </w:rPr>
            </w:pPr>
            <w:r w:rsidRPr="00E04D0B">
              <w:rPr>
                <w:rFonts w:ascii="Cambria" w:hAnsi="Cambria"/>
                <w:sz w:val="20"/>
                <w:szCs w:val="20"/>
              </w:rPr>
              <w:t>319</w:t>
            </w:r>
          </w:p>
        </w:tc>
        <w:tc>
          <w:tcPr>
            <w:tcW w:w="749" w:type="pct"/>
            <w:gridSpan w:val="2"/>
            <w:tcBorders>
              <w:top w:val="single" w:sz="6" w:space="0" w:color="auto"/>
              <w:left w:val="single" w:sz="6" w:space="0" w:color="auto"/>
              <w:bottom w:val="single" w:sz="6" w:space="0" w:color="auto"/>
              <w:right w:val="single" w:sz="6" w:space="0" w:color="auto"/>
            </w:tcBorders>
            <w:vAlign w:val="center"/>
          </w:tcPr>
          <w:p w14:paraId="23FBEEEF" w14:textId="77777777" w:rsidR="001E1900" w:rsidRPr="00E04D0B" w:rsidRDefault="001E1900" w:rsidP="001E1900">
            <w:pPr>
              <w:pStyle w:val="Style"/>
              <w:ind w:left="24"/>
              <w:jc w:val="center"/>
              <w:textAlignment w:val="baseline"/>
              <w:rPr>
                <w:rFonts w:ascii="Cambria" w:hAnsi="Cambria"/>
                <w:sz w:val="20"/>
                <w:szCs w:val="20"/>
              </w:rPr>
            </w:pPr>
            <w:r w:rsidRPr="00E04D0B">
              <w:rPr>
                <w:rFonts w:ascii="Cambria" w:hAnsi="Cambria"/>
                <w:sz w:val="20"/>
                <w:szCs w:val="20"/>
              </w:rPr>
              <w:t>159</w:t>
            </w:r>
          </w:p>
        </w:tc>
        <w:tc>
          <w:tcPr>
            <w:tcW w:w="704" w:type="pct"/>
            <w:tcBorders>
              <w:top w:val="single" w:sz="6" w:space="0" w:color="auto"/>
              <w:left w:val="single" w:sz="6" w:space="0" w:color="auto"/>
              <w:bottom w:val="single" w:sz="6" w:space="0" w:color="auto"/>
              <w:right w:val="single" w:sz="6" w:space="0" w:color="auto"/>
            </w:tcBorders>
            <w:vAlign w:val="center"/>
          </w:tcPr>
          <w:p w14:paraId="130A059E" w14:textId="77777777" w:rsidR="001E1900" w:rsidRPr="00E04D0B" w:rsidRDefault="001E1900" w:rsidP="001E1900">
            <w:pPr>
              <w:pStyle w:val="Style"/>
              <w:ind w:left="19"/>
              <w:jc w:val="center"/>
              <w:textAlignment w:val="baseline"/>
              <w:rPr>
                <w:rFonts w:ascii="Cambria" w:hAnsi="Cambria"/>
                <w:sz w:val="20"/>
                <w:szCs w:val="20"/>
              </w:rPr>
            </w:pPr>
            <w:r w:rsidRPr="00E04D0B">
              <w:rPr>
                <w:rFonts w:ascii="Cambria" w:hAnsi="Cambria"/>
                <w:sz w:val="20"/>
                <w:szCs w:val="20"/>
              </w:rPr>
              <w:t>478</w:t>
            </w:r>
          </w:p>
        </w:tc>
      </w:tr>
      <w:tr w:rsidR="001E1900" w:rsidRPr="00E04D0B" w14:paraId="7BF4F89A" w14:textId="77777777" w:rsidTr="00D23C64">
        <w:trPr>
          <w:gridAfter w:val="1"/>
          <w:wAfter w:w="10" w:type="pct"/>
          <w:trHeight w:hRule="exact" w:val="384"/>
        </w:trPr>
        <w:tc>
          <w:tcPr>
            <w:tcW w:w="954" w:type="pct"/>
            <w:gridSpan w:val="3"/>
            <w:tcBorders>
              <w:top w:val="single" w:sz="6" w:space="0" w:color="auto"/>
              <w:left w:val="single" w:sz="6" w:space="0" w:color="auto"/>
              <w:bottom w:val="single" w:sz="6" w:space="0" w:color="auto"/>
              <w:right w:val="single" w:sz="6" w:space="0" w:color="auto"/>
            </w:tcBorders>
            <w:vAlign w:val="center"/>
          </w:tcPr>
          <w:p w14:paraId="727061D1" w14:textId="77777777" w:rsidR="001E1900" w:rsidRPr="00E04D0B" w:rsidRDefault="001E1900" w:rsidP="001E1900">
            <w:pPr>
              <w:pStyle w:val="Style"/>
              <w:ind w:left="298"/>
              <w:jc w:val="center"/>
              <w:textAlignment w:val="baseline"/>
              <w:rPr>
                <w:rFonts w:ascii="Cambria" w:hAnsi="Cambria"/>
                <w:sz w:val="20"/>
                <w:szCs w:val="20"/>
              </w:rPr>
            </w:pPr>
            <w:r w:rsidRPr="00E04D0B">
              <w:rPr>
                <w:rFonts w:ascii="Cambria" w:hAnsi="Cambria"/>
                <w:sz w:val="20"/>
                <w:szCs w:val="20"/>
              </w:rPr>
              <w:t>Mean (SD)</w:t>
            </w:r>
          </w:p>
        </w:tc>
        <w:tc>
          <w:tcPr>
            <w:tcW w:w="865" w:type="pct"/>
            <w:tcBorders>
              <w:top w:val="single" w:sz="6" w:space="0" w:color="auto"/>
              <w:left w:val="single" w:sz="6" w:space="0" w:color="auto"/>
              <w:bottom w:val="single" w:sz="6" w:space="0" w:color="auto"/>
              <w:right w:val="single" w:sz="6" w:space="0" w:color="auto"/>
            </w:tcBorders>
            <w:vAlign w:val="center"/>
          </w:tcPr>
          <w:p w14:paraId="5C6595B9" w14:textId="77777777" w:rsidR="001E1900" w:rsidRPr="00E04D0B" w:rsidRDefault="001E1900" w:rsidP="001E1900">
            <w:pPr>
              <w:pStyle w:val="Style"/>
              <w:ind w:left="24"/>
              <w:jc w:val="center"/>
              <w:textAlignment w:val="baseline"/>
              <w:rPr>
                <w:rFonts w:ascii="Cambria" w:hAnsi="Cambria"/>
                <w:sz w:val="20"/>
                <w:szCs w:val="20"/>
              </w:rPr>
            </w:pPr>
            <w:r w:rsidRPr="00E04D0B">
              <w:rPr>
                <w:rFonts w:ascii="Cambria" w:hAnsi="Cambria"/>
                <w:sz w:val="20"/>
                <w:szCs w:val="20"/>
              </w:rPr>
              <w:t>19.93 (6.08)</w:t>
            </w:r>
          </w:p>
        </w:tc>
        <w:tc>
          <w:tcPr>
            <w:tcW w:w="912" w:type="pct"/>
            <w:gridSpan w:val="2"/>
            <w:tcBorders>
              <w:top w:val="single" w:sz="6" w:space="0" w:color="auto"/>
              <w:left w:val="single" w:sz="6" w:space="0" w:color="auto"/>
              <w:bottom w:val="single" w:sz="6" w:space="0" w:color="auto"/>
              <w:right w:val="single" w:sz="6" w:space="0" w:color="auto"/>
            </w:tcBorders>
            <w:vAlign w:val="center"/>
          </w:tcPr>
          <w:p w14:paraId="402DC248" w14:textId="77777777" w:rsidR="001E1900" w:rsidRPr="00E04D0B" w:rsidRDefault="001E1900" w:rsidP="001E1900">
            <w:pPr>
              <w:pStyle w:val="Style"/>
              <w:ind w:left="14"/>
              <w:jc w:val="center"/>
              <w:textAlignment w:val="baseline"/>
              <w:rPr>
                <w:rFonts w:ascii="Cambria" w:hAnsi="Cambria"/>
                <w:sz w:val="20"/>
                <w:szCs w:val="20"/>
              </w:rPr>
            </w:pPr>
            <w:r w:rsidRPr="00E04D0B">
              <w:rPr>
                <w:rFonts w:ascii="Cambria" w:hAnsi="Cambria"/>
                <w:sz w:val="20"/>
                <w:szCs w:val="20"/>
              </w:rPr>
              <w:t>20.46 (6.93)</w:t>
            </w:r>
          </w:p>
        </w:tc>
        <w:tc>
          <w:tcPr>
            <w:tcW w:w="806" w:type="pct"/>
            <w:gridSpan w:val="3"/>
            <w:tcBorders>
              <w:top w:val="single" w:sz="6" w:space="0" w:color="auto"/>
              <w:left w:val="single" w:sz="6" w:space="0" w:color="auto"/>
              <w:bottom w:val="single" w:sz="6" w:space="0" w:color="auto"/>
              <w:right w:val="single" w:sz="6" w:space="0" w:color="auto"/>
            </w:tcBorders>
            <w:vAlign w:val="center"/>
          </w:tcPr>
          <w:p w14:paraId="36832976" w14:textId="77777777" w:rsidR="001E1900" w:rsidRPr="00E04D0B" w:rsidRDefault="001E1900" w:rsidP="001E1900">
            <w:pPr>
              <w:pStyle w:val="Style"/>
              <w:ind w:left="5"/>
              <w:jc w:val="center"/>
              <w:textAlignment w:val="baseline"/>
              <w:rPr>
                <w:rFonts w:ascii="Cambria" w:hAnsi="Cambria"/>
                <w:sz w:val="20"/>
                <w:szCs w:val="20"/>
              </w:rPr>
            </w:pPr>
            <w:r w:rsidRPr="00E04D0B">
              <w:rPr>
                <w:rFonts w:ascii="Cambria" w:hAnsi="Cambria"/>
                <w:sz w:val="20"/>
                <w:szCs w:val="20"/>
              </w:rPr>
              <w:t>20.19 (6.51)</w:t>
            </w:r>
          </w:p>
        </w:tc>
        <w:tc>
          <w:tcPr>
            <w:tcW w:w="749" w:type="pct"/>
            <w:gridSpan w:val="2"/>
            <w:tcBorders>
              <w:top w:val="single" w:sz="6" w:space="0" w:color="auto"/>
              <w:left w:val="single" w:sz="6" w:space="0" w:color="auto"/>
              <w:bottom w:val="single" w:sz="6" w:space="0" w:color="auto"/>
              <w:right w:val="single" w:sz="6" w:space="0" w:color="auto"/>
            </w:tcBorders>
            <w:vAlign w:val="center"/>
          </w:tcPr>
          <w:p w14:paraId="60DA5D85" w14:textId="77777777" w:rsidR="001E1900" w:rsidRPr="00E04D0B" w:rsidRDefault="001E1900" w:rsidP="001E1900">
            <w:pPr>
              <w:pStyle w:val="Style"/>
              <w:ind w:left="24"/>
              <w:jc w:val="center"/>
              <w:textAlignment w:val="baseline"/>
              <w:rPr>
                <w:rFonts w:ascii="Cambria" w:hAnsi="Cambria"/>
                <w:sz w:val="20"/>
                <w:szCs w:val="20"/>
              </w:rPr>
            </w:pPr>
            <w:r w:rsidRPr="00E04D0B">
              <w:rPr>
                <w:rFonts w:ascii="Cambria" w:hAnsi="Cambria"/>
                <w:sz w:val="20"/>
                <w:szCs w:val="20"/>
              </w:rPr>
              <w:t>19.05 (5.94)</w:t>
            </w:r>
          </w:p>
        </w:tc>
        <w:tc>
          <w:tcPr>
            <w:tcW w:w="704" w:type="pct"/>
            <w:tcBorders>
              <w:top w:val="single" w:sz="6" w:space="0" w:color="auto"/>
              <w:left w:val="single" w:sz="6" w:space="0" w:color="auto"/>
              <w:bottom w:val="single" w:sz="6" w:space="0" w:color="auto"/>
              <w:right w:val="single" w:sz="6" w:space="0" w:color="auto"/>
            </w:tcBorders>
            <w:vAlign w:val="center"/>
          </w:tcPr>
          <w:p w14:paraId="3442A65C" w14:textId="77777777" w:rsidR="001E1900" w:rsidRPr="00E04D0B" w:rsidRDefault="001E1900" w:rsidP="001E1900">
            <w:pPr>
              <w:pStyle w:val="Style"/>
              <w:ind w:left="19"/>
              <w:jc w:val="center"/>
              <w:textAlignment w:val="baseline"/>
              <w:rPr>
                <w:rFonts w:ascii="Cambria" w:hAnsi="Cambria"/>
                <w:sz w:val="20"/>
                <w:szCs w:val="20"/>
              </w:rPr>
            </w:pPr>
            <w:r w:rsidRPr="00E04D0B">
              <w:rPr>
                <w:rFonts w:ascii="Cambria" w:hAnsi="Cambria"/>
                <w:sz w:val="20"/>
                <w:szCs w:val="20"/>
              </w:rPr>
              <w:t>19.81 (6.34)</w:t>
            </w:r>
          </w:p>
        </w:tc>
      </w:tr>
      <w:tr w:rsidR="001E1900" w:rsidRPr="00E04D0B" w14:paraId="3A9F8E9B" w14:textId="77777777" w:rsidTr="00D23C64">
        <w:trPr>
          <w:gridAfter w:val="1"/>
          <w:wAfter w:w="10" w:type="pct"/>
          <w:trHeight w:hRule="exact" w:val="384"/>
        </w:trPr>
        <w:tc>
          <w:tcPr>
            <w:tcW w:w="954" w:type="pct"/>
            <w:gridSpan w:val="3"/>
            <w:tcBorders>
              <w:top w:val="single" w:sz="6" w:space="0" w:color="auto"/>
              <w:left w:val="single" w:sz="6" w:space="0" w:color="auto"/>
              <w:bottom w:val="single" w:sz="6" w:space="0" w:color="auto"/>
              <w:right w:val="single" w:sz="6" w:space="0" w:color="auto"/>
            </w:tcBorders>
            <w:vAlign w:val="center"/>
          </w:tcPr>
          <w:p w14:paraId="7FF21C56" w14:textId="77777777" w:rsidR="001E1900" w:rsidRPr="00E04D0B" w:rsidRDefault="001E1900" w:rsidP="001E1900">
            <w:pPr>
              <w:pStyle w:val="Style"/>
              <w:ind w:left="298"/>
              <w:jc w:val="center"/>
              <w:textAlignment w:val="baseline"/>
              <w:rPr>
                <w:rFonts w:ascii="Cambria" w:hAnsi="Cambria"/>
                <w:sz w:val="20"/>
                <w:szCs w:val="20"/>
              </w:rPr>
            </w:pPr>
            <w:r w:rsidRPr="00E04D0B">
              <w:rPr>
                <w:rFonts w:ascii="Cambria" w:hAnsi="Cambria"/>
                <w:sz w:val="20"/>
                <w:szCs w:val="20"/>
              </w:rPr>
              <w:t>Median</w:t>
            </w:r>
          </w:p>
        </w:tc>
        <w:tc>
          <w:tcPr>
            <w:tcW w:w="865" w:type="pct"/>
            <w:tcBorders>
              <w:top w:val="single" w:sz="6" w:space="0" w:color="auto"/>
              <w:left w:val="single" w:sz="6" w:space="0" w:color="auto"/>
              <w:bottom w:val="single" w:sz="6" w:space="0" w:color="auto"/>
              <w:right w:val="single" w:sz="6" w:space="0" w:color="auto"/>
            </w:tcBorders>
            <w:vAlign w:val="center"/>
          </w:tcPr>
          <w:p w14:paraId="0635FAC5" w14:textId="77777777" w:rsidR="001E1900" w:rsidRPr="00E04D0B" w:rsidRDefault="001E1900" w:rsidP="001E1900">
            <w:pPr>
              <w:pStyle w:val="Style"/>
              <w:ind w:left="24"/>
              <w:jc w:val="center"/>
              <w:textAlignment w:val="baseline"/>
              <w:rPr>
                <w:rFonts w:ascii="Cambria" w:hAnsi="Cambria"/>
                <w:sz w:val="20"/>
                <w:szCs w:val="20"/>
              </w:rPr>
            </w:pPr>
            <w:r w:rsidRPr="00E04D0B">
              <w:rPr>
                <w:rFonts w:ascii="Cambria" w:hAnsi="Cambria"/>
                <w:sz w:val="20"/>
                <w:szCs w:val="20"/>
              </w:rPr>
              <w:t>19.00</w:t>
            </w:r>
          </w:p>
        </w:tc>
        <w:tc>
          <w:tcPr>
            <w:tcW w:w="912" w:type="pct"/>
            <w:gridSpan w:val="2"/>
            <w:tcBorders>
              <w:top w:val="single" w:sz="6" w:space="0" w:color="auto"/>
              <w:left w:val="single" w:sz="6" w:space="0" w:color="auto"/>
              <w:bottom w:val="single" w:sz="6" w:space="0" w:color="auto"/>
              <w:right w:val="single" w:sz="6" w:space="0" w:color="auto"/>
            </w:tcBorders>
            <w:vAlign w:val="center"/>
          </w:tcPr>
          <w:p w14:paraId="5FE1FDDA" w14:textId="77777777" w:rsidR="001E1900" w:rsidRPr="00E04D0B" w:rsidRDefault="001E1900" w:rsidP="001E1900">
            <w:pPr>
              <w:pStyle w:val="Style"/>
              <w:ind w:left="14"/>
              <w:jc w:val="center"/>
              <w:textAlignment w:val="baseline"/>
              <w:rPr>
                <w:rFonts w:ascii="Cambria" w:hAnsi="Cambria"/>
                <w:sz w:val="20"/>
                <w:szCs w:val="20"/>
              </w:rPr>
            </w:pPr>
            <w:r w:rsidRPr="00E04D0B">
              <w:rPr>
                <w:rFonts w:ascii="Cambria" w:hAnsi="Cambria"/>
                <w:sz w:val="20"/>
                <w:szCs w:val="20"/>
              </w:rPr>
              <w:t>18.10</w:t>
            </w:r>
          </w:p>
        </w:tc>
        <w:tc>
          <w:tcPr>
            <w:tcW w:w="806" w:type="pct"/>
            <w:gridSpan w:val="3"/>
            <w:tcBorders>
              <w:top w:val="single" w:sz="6" w:space="0" w:color="auto"/>
              <w:left w:val="single" w:sz="6" w:space="0" w:color="auto"/>
              <w:bottom w:val="single" w:sz="6" w:space="0" w:color="auto"/>
              <w:right w:val="single" w:sz="6" w:space="0" w:color="auto"/>
            </w:tcBorders>
            <w:vAlign w:val="center"/>
          </w:tcPr>
          <w:p w14:paraId="7BD48D6D" w14:textId="77777777" w:rsidR="001E1900" w:rsidRPr="00E04D0B" w:rsidRDefault="001E1900" w:rsidP="001E1900">
            <w:pPr>
              <w:pStyle w:val="Style"/>
              <w:ind w:left="5"/>
              <w:jc w:val="center"/>
              <w:textAlignment w:val="baseline"/>
              <w:rPr>
                <w:rFonts w:ascii="Cambria" w:hAnsi="Cambria"/>
                <w:sz w:val="20"/>
                <w:szCs w:val="20"/>
              </w:rPr>
            </w:pPr>
            <w:r w:rsidRPr="00E04D0B">
              <w:rPr>
                <w:rFonts w:ascii="Cambria" w:hAnsi="Cambria"/>
                <w:sz w:val="20"/>
                <w:szCs w:val="20"/>
              </w:rPr>
              <w:t>18.50</w:t>
            </w:r>
          </w:p>
        </w:tc>
        <w:tc>
          <w:tcPr>
            <w:tcW w:w="749" w:type="pct"/>
            <w:gridSpan w:val="2"/>
            <w:tcBorders>
              <w:top w:val="single" w:sz="6" w:space="0" w:color="auto"/>
              <w:left w:val="single" w:sz="6" w:space="0" w:color="auto"/>
              <w:bottom w:val="single" w:sz="6" w:space="0" w:color="auto"/>
              <w:right w:val="single" w:sz="6" w:space="0" w:color="auto"/>
            </w:tcBorders>
            <w:vAlign w:val="center"/>
          </w:tcPr>
          <w:p w14:paraId="24428AC1" w14:textId="77777777" w:rsidR="001E1900" w:rsidRPr="00E04D0B" w:rsidRDefault="001E1900" w:rsidP="001E1900">
            <w:pPr>
              <w:pStyle w:val="Style"/>
              <w:ind w:left="24"/>
              <w:jc w:val="center"/>
              <w:textAlignment w:val="baseline"/>
              <w:rPr>
                <w:rFonts w:ascii="Cambria" w:hAnsi="Cambria"/>
                <w:sz w:val="20"/>
                <w:szCs w:val="20"/>
              </w:rPr>
            </w:pPr>
            <w:r w:rsidRPr="00E04D0B">
              <w:rPr>
                <w:rFonts w:ascii="Cambria" w:hAnsi="Cambria"/>
                <w:sz w:val="20"/>
                <w:szCs w:val="20"/>
              </w:rPr>
              <w:t>17.40</w:t>
            </w:r>
          </w:p>
        </w:tc>
        <w:tc>
          <w:tcPr>
            <w:tcW w:w="704" w:type="pct"/>
            <w:tcBorders>
              <w:top w:val="single" w:sz="6" w:space="0" w:color="auto"/>
              <w:left w:val="single" w:sz="6" w:space="0" w:color="auto"/>
              <w:bottom w:val="single" w:sz="6" w:space="0" w:color="auto"/>
              <w:right w:val="single" w:sz="6" w:space="0" w:color="auto"/>
            </w:tcBorders>
            <w:vAlign w:val="center"/>
          </w:tcPr>
          <w:p w14:paraId="27D1E734" w14:textId="77777777" w:rsidR="001E1900" w:rsidRPr="00E04D0B" w:rsidRDefault="001E1900" w:rsidP="001E1900">
            <w:pPr>
              <w:pStyle w:val="Style"/>
              <w:ind w:left="19"/>
              <w:jc w:val="center"/>
              <w:textAlignment w:val="baseline"/>
              <w:rPr>
                <w:rFonts w:ascii="Cambria" w:hAnsi="Cambria"/>
                <w:sz w:val="20"/>
                <w:szCs w:val="20"/>
              </w:rPr>
            </w:pPr>
            <w:r w:rsidRPr="00E04D0B">
              <w:rPr>
                <w:rFonts w:ascii="Cambria" w:hAnsi="Cambria"/>
                <w:sz w:val="20"/>
                <w:szCs w:val="20"/>
              </w:rPr>
              <w:t>18.00</w:t>
            </w:r>
          </w:p>
        </w:tc>
      </w:tr>
      <w:tr w:rsidR="001E1900" w:rsidRPr="00E04D0B" w14:paraId="50F68AE6" w14:textId="77777777" w:rsidTr="00D23C64">
        <w:trPr>
          <w:gridAfter w:val="1"/>
          <w:wAfter w:w="10" w:type="pct"/>
          <w:trHeight w:hRule="exact" w:val="379"/>
        </w:trPr>
        <w:tc>
          <w:tcPr>
            <w:tcW w:w="954" w:type="pct"/>
            <w:gridSpan w:val="3"/>
            <w:tcBorders>
              <w:top w:val="single" w:sz="6" w:space="0" w:color="auto"/>
              <w:left w:val="single" w:sz="6" w:space="0" w:color="auto"/>
              <w:bottom w:val="single" w:sz="6" w:space="0" w:color="auto"/>
              <w:right w:val="single" w:sz="6" w:space="0" w:color="auto"/>
            </w:tcBorders>
            <w:vAlign w:val="center"/>
          </w:tcPr>
          <w:p w14:paraId="162EAC8C" w14:textId="77777777" w:rsidR="001E1900" w:rsidRPr="00E04D0B" w:rsidRDefault="001E1900" w:rsidP="001E1900">
            <w:pPr>
              <w:pStyle w:val="Style"/>
              <w:ind w:left="298"/>
              <w:jc w:val="center"/>
              <w:textAlignment w:val="baseline"/>
              <w:rPr>
                <w:rFonts w:ascii="Cambria" w:hAnsi="Cambria"/>
                <w:sz w:val="20"/>
                <w:szCs w:val="20"/>
              </w:rPr>
            </w:pPr>
            <w:r w:rsidRPr="00E04D0B">
              <w:rPr>
                <w:rFonts w:ascii="Cambria" w:hAnsi="Cambria"/>
                <w:sz w:val="20"/>
                <w:szCs w:val="20"/>
              </w:rPr>
              <w:t>Min, max</w:t>
            </w:r>
          </w:p>
        </w:tc>
        <w:tc>
          <w:tcPr>
            <w:tcW w:w="865" w:type="pct"/>
            <w:tcBorders>
              <w:top w:val="single" w:sz="6" w:space="0" w:color="auto"/>
              <w:left w:val="single" w:sz="6" w:space="0" w:color="auto"/>
              <w:bottom w:val="single" w:sz="6" w:space="0" w:color="auto"/>
              <w:right w:val="single" w:sz="6" w:space="0" w:color="auto"/>
            </w:tcBorders>
            <w:vAlign w:val="center"/>
          </w:tcPr>
          <w:p w14:paraId="179E4157" w14:textId="77777777" w:rsidR="001E1900" w:rsidRPr="00E04D0B" w:rsidRDefault="001E1900" w:rsidP="001E1900">
            <w:pPr>
              <w:pStyle w:val="Style"/>
              <w:ind w:left="24"/>
              <w:jc w:val="center"/>
              <w:textAlignment w:val="baseline"/>
              <w:rPr>
                <w:rFonts w:ascii="Cambria" w:hAnsi="Cambria"/>
                <w:sz w:val="20"/>
                <w:szCs w:val="20"/>
              </w:rPr>
            </w:pPr>
            <w:r w:rsidRPr="00E04D0B">
              <w:rPr>
                <w:rFonts w:ascii="Cambria" w:hAnsi="Cambria"/>
                <w:sz w:val="20"/>
                <w:szCs w:val="20"/>
              </w:rPr>
              <w:t>12.0, 42.6</w:t>
            </w:r>
          </w:p>
        </w:tc>
        <w:tc>
          <w:tcPr>
            <w:tcW w:w="912" w:type="pct"/>
            <w:gridSpan w:val="2"/>
            <w:tcBorders>
              <w:top w:val="single" w:sz="6" w:space="0" w:color="auto"/>
              <w:left w:val="single" w:sz="6" w:space="0" w:color="auto"/>
              <w:bottom w:val="single" w:sz="6" w:space="0" w:color="auto"/>
              <w:right w:val="single" w:sz="6" w:space="0" w:color="auto"/>
            </w:tcBorders>
            <w:vAlign w:val="center"/>
          </w:tcPr>
          <w:p w14:paraId="2D3D6F36" w14:textId="77777777" w:rsidR="001E1900" w:rsidRPr="00E04D0B" w:rsidRDefault="001E1900" w:rsidP="001E1900">
            <w:pPr>
              <w:pStyle w:val="Style"/>
              <w:ind w:left="14"/>
              <w:jc w:val="center"/>
              <w:textAlignment w:val="baseline"/>
              <w:rPr>
                <w:rFonts w:ascii="Cambria" w:hAnsi="Cambria"/>
                <w:sz w:val="20"/>
                <w:szCs w:val="20"/>
              </w:rPr>
            </w:pPr>
            <w:r w:rsidRPr="00E04D0B">
              <w:rPr>
                <w:rFonts w:ascii="Cambria" w:hAnsi="Cambria"/>
                <w:sz w:val="20"/>
                <w:szCs w:val="20"/>
              </w:rPr>
              <w:t>12.0, 44.1</w:t>
            </w:r>
          </w:p>
        </w:tc>
        <w:tc>
          <w:tcPr>
            <w:tcW w:w="806" w:type="pct"/>
            <w:gridSpan w:val="3"/>
            <w:tcBorders>
              <w:top w:val="single" w:sz="6" w:space="0" w:color="auto"/>
              <w:left w:val="single" w:sz="6" w:space="0" w:color="auto"/>
              <w:bottom w:val="single" w:sz="6" w:space="0" w:color="auto"/>
              <w:right w:val="single" w:sz="6" w:space="0" w:color="auto"/>
            </w:tcBorders>
            <w:vAlign w:val="center"/>
          </w:tcPr>
          <w:p w14:paraId="28E044D5" w14:textId="77777777" w:rsidR="001E1900" w:rsidRPr="00E04D0B" w:rsidRDefault="001E1900" w:rsidP="001E1900">
            <w:pPr>
              <w:pStyle w:val="Style"/>
              <w:ind w:left="5"/>
              <w:jc w:val="center"/>
              <w:textAlignment w:val="baseline"/>
              <w:rPr>
                <w:rFonts w:ascii="Cambria" w:hAnsi="Cambria"/>
                <w:sz w:val="20"/>
                <w:szCs w:val="20"/>
              </w:rPr>
            </w:pPr>
            <w:r w:rsidRPr="00E04D0B">
              <w:rPr>
                <w:rFonts w:ascii="Cambria" w:hAnsi="Cambria"/>
                <w:sz w:val="20"/>
                <w:szCs w:val="20"/>
              </w:rPr>
              <w:t>12.0, 44.1</w:t>
            </w:r>
          </w:p>
        </w:tc>
        <w:tc>
          <w:tcPr>
            <w:tcW w:w="749" w:type="pct"/>
            <w:gridSpan w:val="2"/>
            <w:tcBorders>
              <w:top w:val="single" w:sz="6" w:space="0" w:color="auto"/>
              <w:left w:val="single" w:sz="6" w:space="0" w:color="auto"/>
              <w:bottom w:val="single" w:sz="6" w:space="0" w:color="auto"/>
              <w:right w:val="single" w:sz="6" w:space="0" w:color="auto"/>
            </w:tcBorders>
            <w:vAlign w:val="center"/>
          </w:tcPr>
          <w:p w14:paraId="3EBD6D88" w14:textId="77777777" w:rsidR="001E1900" w:rsidRPr="00E04D0B" w:rsidRDefault="001E1900" w:rsidP="001E1900">
            <w:pPr>
              <w:pStyle w:val="Style"/>
              <w:ind w:left="24"/>
              <w:jc w:val="center"/>
              <w:textAlignment w:val="baseline"/>
              <w:rPr>
                <w:rFonts w:ascii="Cambria" w:hAnsi="Cambria"/>
                <w:sz w:val="20"/>
                <w:szCs w:val="20"/>
              </w:rPr>
            </w:pPr>
            <w:r w:rsidRPr="00E04D0B">
              <w:rPr>
                <w:rFonts w:ascii="Cambria" w:hAnsi="Cambria"/>
                <w:sz w:val="20"/>
                <w:szCs w:val="20"/>
              </w:rPr>
              <w:t>12.0, 38.0</w:t>
            </w:r>
          </w:p>
        </w:tc>
        <w:tc>
          <w:tcPr>
            <w:tcW w:w="704" w:type="pct"/>
            <w:tcBorders>
              <w:top w:val="single" w:sz="6" w:space="0" w:color="auto"/>
              <w:left w:val="single" w:sz="6" w:space="0" w:color="auto"/>
              <w:bottom w:val="single" w:sz="6" w:space="0" w:color="auto"/>
              <w:right w:val="single" w:sz="6" w:space="0" w:color="auto"/>
            </w:tcBorders>
            <w:vAlign w:val="center"/>
          </w:tcPr>
          <w:p w14:paraId="041FBF32" w14:textId="77777777" w:rsidR="001E1900" w:rsidRPr="00E04D0B" w:rsidRDefault="001E1900" w:rsidP="001E1900">
            <w:pPr>
              <w:pStyle w:val="Style"/>
              <w:ind w:left="19"/>
              <w:jc w:val="center"/>
              <w:textAlignment w:val="baseline"/>
              <w:rPr>
                <w:rFonts w:ascii="Cambria" w:hAnsi="Cambria"/>
                <w:sz w:val="20"/>
                <w:szCs w:val="20"/>
              </w:rPr>
            </w:pPr>
            <w:r w:rsidRPr="00E04D0B">
              <w:rPr>
                <w:rFonts w:ascii="Cambria" w:hAnsi="Cambria"/>
                <w:sz w:val="20"/>
                <w:szCs w:val="20"/>
              </w:rPr>
              <w:t>12.0, 44.1</w:t>
            </w:r>
          </w:p>
        </w:tc>
      </w:tr>
      <w:tr w:rsidR="001E1900" w:rsidRPr="00E04D0B" w14:paraId="1AAFC3A3" w14:textId="77777777" w:rsidTr="00850F6B">
        <w:trPr>
          <w:gridAfter w:val="1"/>
          <w:wAfter w:w="10" w:type="pct"/>
          <w:trHeight w:hRule="exact" w:val="639"/>
        </w:trPr>
        <w:tc>
          <w:tcPr>
            <w:tcW w:w="4990" w:type="pct"/>
            <w:gridSpan w:val="12"/>
            <w:tcBorders>
              <w:top w:val="single" w:sz="6" w:space="0" w:color="auto"/>
              <w:left w:val="single" w:sz="6" w:space="0" w:color="auto"/>
              <w:bottom w:val="single" w:sz="6" w:space="0" w:color="auto"/>
              <w:right w:val="single" w:sz="6" w:space="0" w:color="auto"/>
            </w:tcBorders>
            <w:vAlign w:val="center"/>
          </w:tcPr>
          <w:p w14:paraId="3E63EE0A" w14:textId="022BDE51" w:rsidR="001E1900" w:rsidRPr="00E04D0B" w:rsidRDefault="001E1900" w:rsidP="001E1900">
            <w:pPr>
              <w:pStyle w:val="Style"/>
              <w:ind w:left="19"/>
              <w:textAlignment w:val="baseline"/>
              <w:rPr>
                <w:rFonts w:ascii="Cambria" w:hAnsi="Cambria"/>
                <w:sz w:val="20"/>
                <w:szCs w:val="20"/>
              </w:rPr>
            </w:pPr>
            <w:proofErr w:type="spellStart"/>
            <w:r w:rsidRPr="00E04D0B">
              <w:rPr>
                <w:rFonts w:ascii="Cambria" w:hAnsi="Cambria"/>
                <w:sz w:val="20"/>
                <w:szCs w:val="20"/>
              </w:rPr>
              <w:t>mN</w:t>
            </w:r>
            <w:r w:rsidR="00E04D0B">
              <w:rPr>
                <w:rFonts w:ascii="Cambria" w:hAnsi="Cambria"/>
                <w:sz w:val="20"/>
                <w:szCs w:val="20"/>
              </w:rPr>
              <w:t>PA</w:t>
            </w:r>
            <w:r w:rsidRPr="00E04D0B">
              <w:rPr>
                <w:rFonts w:ascii="Cambria" w:hAnsi="Cambria"/>
                <w:sz w:val="20"/>
                <w:szCs w:val="20"/>
              </w:rPr>
              <w:t>SI</w:t>
            </w:r>
            <w:proofErr w:type="spellEnd"/>
            <w:r w:rsidRPr="00E04D0B">
              <w:rPr>
                <w:rFonts w:ascii="Cambria" w:hAnsi="Cambria"/>
                <w:sz w:val="20"/>
                <w:szCs w:val="20"/>
              </w:rPr>
              <w:t xml:space="preserve"> total score </w:t>
            </w:r>
            <w:r w:rsidRPr="00E04D0B">
              <w:rPr>
                <w:rFonts w:ascii="Cambria" w:hAnsi="Cambria"/>
                <w:sz w:val="20"/>
                <w:szCs w:val="20"/>
                <w:vertAlign w:val="superscript"/>
              </w:rPr>
              <w:t>a</w:t>
            </w:r>
          </w:p>
        </w:tc>
      </w:tr>
      <w:tr w:rsidR="001E1900" w:rsidRPr="00E04D0B" w14:paraId="1535CF7C" w14:textId="77777777" w:rsidTr="00D23C64">
        <w:trPr>
          <w:gridAfter w:val="1"/>
          <w:wAfter w:w="10" w:type="pct"/>
          <w:trHeight w:hRule="exact" w:val="379"/>
        </w:trPr>
        <w:tc>
          <w:tcPr>
            <w:tcW w:w="954" w:type="pct"/>
            <w:gridSpan w:val="3"/>
            <w:tcBorders>
              <w:top w:val="single" w:sz="6" w:space="0" w:color="auto"/>
              <w:left w:val="single" w:sz="6" w:space="0" w:color="auto"/>
              <w:bottom w:val="single" w:sz="6" w:space="0" w:color="auto"/>
              <w:right w:val="single" w:sz="6" w:space="0" w:color="auto"/>
            </w:tcBorders>
            <w:vAlign w:val="center"/>
          </w:tcPr>
          <w:p w14:paraId="63F0FB0F" w14:textId="77777777" w:rsidR="001E1900" w:rsidRPr="00E04D0B" w:rsidRDefault="001E1900" w:rsidP="001E1900">
            <w:pPr>
              <w:pStyle w:val="Style"/>
              <w:ind w:left="298"/>
              <w:textAlignment w:val="baseline"/>
              <w:rPr>
                <w:rFonts w:ascii="Cambria" w:hAnsi="Cambria"/>
                <w:sz w:val="20"/>
                <w:szCs w:val="20"/>
              </w:rPr>
            </w:pPr>
            <w:r w:rsidRPr="00E04D0B">
              <w:rPr>
                <w:rFonts w:ascii="Cambria" w:hAnsi="Cambria"/>
                <w:sz w:val="20"/>
                <w:szCs w:val="20"/>
              </w:rPr>
              <w:t>n</w:t>
            </w:r>
          </w:p>
        </w:tc>
        <w:tc>
          <w:tcPr>
            <w:tcW w:w="865" w:type="pct"/>
            <w:tcBorders>
              <w:top w:val="single" w:sz="6" w:space="0" w:color="auto"/>
              <w:left w:val="single" w:sz="6" w:space="0" w:color="auto"/>
              <w:bottom w:val="single" w:sz="6" w:space="0" w:color="auto"/>
              <w:right w:val="single" w:sz="6" w:space="0" w:color="auto"/>
            </w:tcBorders>
            <w:vAlign w:val="center"/>
          </w:tcPr>
          <w:p w14:paraId="2EDC6D28" w14:textId="77777777" w:rsidR="001E1900" w:rsidRPr="00E04D0B" w:rsidRDefault="001E1900" w:rsidP="001E1900">
            <w:pPr>
              <w:pStyle w:val="Style"/>
              <w:ind w:left="24"/>
              <w:jc w:val="center"/>
              <w:textAlignment w:val="baseline"/>
              <w:rPr>
                <w:rFonts w:ascii="Cambria" w:hAnsi="Cambria"/>
                <w:sz w:val="20"/>
                <w:szCs w:val="20"/>
              </w:rPr>
            </w:pPr>
            <w:r w:rsidRPr="00E04D0B">
              <w:rPr>
                <w:rFonts w:ascii="Cambria" w:hAnsi="Cambria"/>
                <w:sz w:val="20"/>
                <w:szCs w:val="20"/>
              </w:rPr>
              <w:t>90</w:t>
            </w:r>
          </w:p>
        </w:tc>
        <w:tc>
          <w:tcPr>
            <w:tcW w:w="912" w:type="pct"/>
            <w:gridSpan w:val="2"/>
            <w:tcBorders>
              <w:top w:val="single" w:sz="6" w:space="0" w:color="auto"/>
              <w:left w:val="single" w:sz="6" w:space="0" w:color="auto"/>
              <w:bottom w:val="single" w:sz="6" w:space="0" w:color="auto"/>
              <w:right w:val="single" w:sz="6" w:space="0" w:color="auto"/>
            </w:tcBorders>
            <w:vAlign w:val="center"/>
          </w:tcPr>
          <w:p w14:paraId="595450ED" w14:textId="77777777" w:rsidR="001E1900" w:rsidRPr="00E04D0B" w:rsidRDefault="001E1900" w:rsidP="001E1900">
            <w:pPr>
              <w:pStyle w:val="Style"/>
              <w:ind w:left="14"/>
              <w:jc w:val="center"/>
              <w:textAlignment w:val="baseline"/>
              <w:rPr>
                <w:rFonts w:ascii="Cambria" w:hAnsi="Cambria"/>
                <w:sz w:val="20"/>
                <w:szCs w:val="20"/>
              </w:rPr>
            </w:pPr>
            <w:r w:rsidRPr="00E04D0B">
              <w:rPr>
                <w:rFonts w:ascii="Cambria" w:hAnsi="Cambria"/>
                <w:sz w:val="20"/>
                <w:szCs w:val="20"/>
              </w:rPr>
              <w:t>91</w:t>
            </w:r>
          </w:p>
        </w:tc>
        <w:tc>
          <w:tcPr>
            <w:tcW w:w="806" w:type="pct"/>
            <w:gridSpan w:val="3"/>
            <w:tcBorders>
              <w:top w:val="single" w:sz="6" w:space="0" w:color="auto"/>
              <w:left w:val="single" w:sz="6" w:space="0" w:color="auto"/>
              <w:bottom w:val="single" w:sz="6" w:space="0" w:color="auto"/>
              <w:right w:val="single" w:sz="6" w:space="0" w:color="auto"/>
            </w:tcBorders>
            <w:vAlign w:val="center"/>
          </w:tcPr>
          <w:p w14:paraId="12B1732F" w14:textId="77777777" w:rsidR="001E1900" w:rsidRPr="00E04D0B" w:rsidRDefault="001E1900" w:rsidP="001E1900">
            <w:pPr>
              <w:pStyle w:val="Style"/>
              <w:ind w:left="5"/>
              <w:jc w:val="center"/>
              <w:textAlignment w:val="baseline"/>
              <w:rPr>
                <w:rFonts w:ascii="Cambria" w:hAnsi="Cambria"/>
                <w:sz w:val="20"/>
                <w:szCs w:val="20"/>
              </w:rPr>
            </w:pPr>
            <w:r w:rsidRPr="00E04D0B">
              <w:rPr>
                <w:rFonts w:ascii="Cambria" w:hAnsi="Cambria"/>
                <w:sz w:val="20"/>
                <w:szCs w:val="20"/>
              </w:rPr>
              <w:t>181</w:t>
            </w:r>
          </w:p>
        </w:tc>
        <w:tc>
          <w:tcPr>
            <w:tcW w:w="749" w:type="pct"/>
            <w:gridSpan w:val="2"/>
            <w:tcBorders>
              <w:top w:val="single" w:sz="6" w:space="0" w:color="auto"/>
              <w:left w:val="single" w:sz="6" w:space="0" w:color="auto"/>
              <w:bottom w:val="single" w:sz="6" w:space="0" w:color="auto"/>
              <w:right w:val="single" w:sz="6" w:space="0" w:color="auto"/>
            </w:tcBorders>
            <w:vAlign w:val="center"/>
          </w:tcPr>
          <w:p w14:paraId="3C9C98CF" w14:textId="77777777" w:rsidR="001E1900" w:rsidRPr="00E04D0B" w:rsidRDefault="001E1900" w:rsidP="001E1900">
            <w:pPr>
              <w:pStyle w:val="Style"/>
              <w:ind w:left="24"/>
              <w:jc w:val="center"/>
              <w:textAlignment w:val="baseline"/>
              <w:rPr>
                <w:rFonts w:ascii="Cambria" w:hAnsi="Cambria"/>
                <w:sz w:val="20"/>
                <w:szCs w:val="20"/>
              </w:rPr>
            </w:pPr>
            <w:r w:rsidRPr="00E04D0B">
              <w:rPr>
                <w:rFonts w:ascii="Cambria" w:hAnsi="Cambria"/>
                <w:sz w:val="20"/>
                <w:szCs w:val="20"/>
              </w:rPr>
              <w:t>95</w:t>
            </w:r>
          </w:p>
        </w:tc>
        <w:tc>
          <w:tcPr>
            <w:tcW w:w="704" w:type="pct"/>
            <w:tcBorders>
              <w:top w:val="single" w:sz="6" w:space="0" w:color="auto"/>
              <w:left w:val="single" w:sz="6" w:space="0" w:color="auto"/>
              <w:bottom w:val="single" w:sz="6" w:space="0" w:color="auto"/>
              <w:right w:val="single" w:sz="6" w:space="0" w:color="auto"/>
            </w:tcBorders>
            <w:vAlign w:val="center"/>
          </w:tcPr>
          <w:p w14:paraId="5E9F02A8" w14:textId="77777777" w:rsidR="001E1900" w:rsidRPr="00E04D0B" w:rsidRDefault="001E1900" w:rsidP="001E1900">
            <w:pPr>
              <w:pStyle w:val="Style"/>
              <w:ind w:left="19"/>
              <w:jc w:val="center"/>
              <w:textAlignment w:val="baseline"/>
              <w:rPr>
                <w:rFonts w:ascii="Cambria" w:hAnsi="Cambria"/>
                <w:sz w:val="20"/>
                <w:szCs w:val="20"/>
              </w:rPr>
            </w:pPr>
            <w:r w:rsidRPr="00E04D0B">
              <w:rPr>
                <w:rFonts w:ascii="Cambria" w:hAnsi="Cambria"/>
                <w:sz w:val="20"/>
                <w:szCs w:val="20"/>
              </w:rPr>
              <w:t>276</w:t>
            </w:r>
          </w:p>
        </w:tc>
      </w:tr>
      <w:tr w:rsidR="001E1900" w:rsidRPr="00E04D0B" w14:paraId="049AD8E9" w14:textId="77777777" w:rsidTr="00D23C64">
        <w:trPr>
          <w:gridAfter w:val="1"/>
          <w:wAfter w:w="10" w:type="pct"/>
          <w:trHeight w:hRule="exact" w:val="379"/>
        </w:trPr>
        <w:tc>
          <w:tcPr>
            <w:tcW w:w="954" w:type="pct"/>
            <w:gridSpan w:val="3"/>
            <w:tcBorders>
              <w:top w:val="single" w:sz="6" w:space="0" w:color="auto"/>
              <w:left w:val="single" w:sz="6" w:space="0" w:color="auto"/>
              <w:bottom w:val="single" w:sz="6" w:space="0" w:color="auto"/>
              <w:right w:val="single" w:sz="6" w:space="0" w:color="auto"/>
            </w:tcBorders>
            <w:vAlign w:val="center"/>
          </w:tcPr>
          <w:p w14:paraId="4C658377" w14:textId="77777777" w:rsidR="001E1900" w:rsidRPr="00E04D0B" w:rsidRDefault="001E1900" w:rsidP="001E1900">
            <w:pPr>
              <w:pStyle w:val="Style"/>
              <w:ind w:left="298"/>
              <w:textAlignment w:val="baseline"/>
              <w:rPr>
                <w:rFonts w:ascii="Cambria" w:hAnsi="Cambria"/>
                <w:sz w:val="20"/>
                <w:szCs w:val="20"/>
              </w:rPr>
            </w:pPr>
            <w:r w:rsidRPr="00E04D0B">
              <w:rPr>
                <w:rFonts w:ascii="Cambria" w:hAnsi="Cambria"/>
                <w:sz w:val="20"/>
                <w:szCs w:val="20"/>
              </w:rPr>
              <w:t>Mean (SD)</w:t>
            </w:r>
          </w:p>
        </w:tc>
        <w:tc>
          <w:tcPr>
            <w:tcW w:w="865" w:type="pct"/>
            <w:tcBorders>
              <w:top w:val="single" w:sz="6" w:space="0" w:color="auto"/>
              <w:left w:val="single" w:sz="6" w:space="0" w:color="auto"/>
              <w:bottom w:val="single" w:sz="6" w:space="0" w:color="auto"/>
              <w:right w:val="single" w:sz="6" w:space="0" w:color="auto"/>
            </w:tcBorders>
            <w:vAlign w:val="center"/>
          </w:tcPr>
          <w:p w14:paraId="6D7147A4" w14:textId="77777777" w:rsidR="001E1900" w:rsidRPr="00E04D0B" w:rsidRDefault="001E1900" w:rsidP="001E1900">
            <w:pPr>
              <w:pStyle w:val="Style"/>
              <w:ind w:left="24"/>
              <w:jc w:val="center"/>
              <w:textAlignment w:val="baseline"/>
              <w:rPr>
                <w:rFonts w:ascii="Cambria" w:hAnsi="Cambria"/>
                <w:sz w:val="20"/>
                <w:szCs w:val="20"/>
              </w:rPr>
            </w:pPr>
            <w:r w:rsidRPr="00E04D0B">
              <w:rPr>
                <w:rFonts w:ascii="Cambria" w:hAnsi="Cambria"/>
                <w:sz w:val="20"/>
                <w:szCs w:val="20"/>
              </w:rPr>
              <w:t>20.3 (19.9)</w:t>
            </w:r>
          </w:p>
        </w:tc>
        <w:tc>
          <w:tcPr>
            <w:tcW w:w="912" w:type="pct"/>
            <w:gridSpan w:val="2"/>
            <w:tcBorders>
              <w:top w:val="single" w:sz="6" w:space="0" w:color="auto"/>
              <w:left w:val="single" w:sz="6" w:space="0" w:color="auto"/>
              <w:bottom w:val="single" w:sz="6" w:space="0" w:color="auto"/>
              <w:right w:val="single" w:sz="6" w:space="0" w:color="auto"/>
            </w:tcBorders>
            <w:vAlign w:val="center"/>
          </w:tcPr>
          <w:p w14:paraId="2DD64F7F" w14:textId="77777777" w:rsidR="001E1900" w:rsidRPr="00E04D0B" w:rsidRDefault="001E1900" w:rsidP="001E1900">
            <w:pPr>
              <w:pStyle w:val="Style"/>
              <w:ind w:left="14"/>
              <w:jc w:val="center"/>
              <w:textAlignment w:val="baseline"/>
              <w:rPr>
                <w:rFonts w:ascii="Cambria" w:hAnsi="Cambria"/>
                <w:sz w:val="20"/>
                <w:szCs w:val="20"/>
              </w:rPr>
            </w:pPr>
            <w:r w:rsidRPr="00E04D0B">
              <w:rPr>
                <w:rFonts w:ascii="Cambria" w:hAnsi="Cambria"/>
                <w:sz w:val="20"/>
                <w:szCs w:val="20"/>
              </w:rPr>
              <w:t>23.7 (23.7)</w:t>
            </w:r>
          </w:p>
        </w:tc>
        <w:tc>
          <w:tcPr>
            <w:tcW w:w="806" w:type="pct"/>
            <w:gridSpan w:val="3"/>
            <w:tcBorders>
              <w:top w:val="single" w:sz="6" w:space="0" w:color="auto"/>
              <w:left w:val="single" w:sz="6" w:space="0" w:color="auto"/>
              <w:bottom w:val="single" w:sz="6" w:space="0" w:color="auto"/>
              <w:right w:val="single" w:sz="6" w:space="0" w:color="auto"/>
            </w:tcBorders>
            <w:vAlign w:val="center"/>
          </w:tcPr>
          <w:p w14:paraId="11B48ACA" w14:textId="77777777" w:rsidR="001E1900" w:rsidRPr="00E04D0B" w:rsidRDefault="001E1900" w:rsidP="001E1900">
            <w:pPr>
              <w:pStyle w:val="Style"/>
              <w:ind w:left="5"/>
              <w:jc w:val="center"/>
              <w:textAlignment w:val="baseline"/>
              <w:rPr>
                <w:rFonts w:ascii="Cambria" w:hAnsi="Cambria"/>
                <w:sz w:val="20"/>
                <w:szCs w:val="20"/>
              </w:rPr>
            </w:pPr>
            <w:r w:rsidRPr="00E04D0B">
              <w:rPr>
                <w:rFonts w:ascii="Cambria" w:hAnsi="Cambria"/>
                <w:sz w:val="20"/>
                <w:szCs w:val="20"/>
              </w:rPr>
              <w:t>22.0 (21.9)</w:t>
            </w:r>
          </w:p>
        </w:tc>
        <w:tc>
          <w:tcPr>
            <w:tcW w:w="749" w:type="pct"/>
            <w:gridSpan w:val="2"/>
            <w:tcBorders>
              <w:top w:val="single" w:sz="6" w:space="0" w:color="auto"/>
              <w:left w:val="single" w:sz="6" w:space="0" w:color="auto"/>
              <w:bottom w:val="single" w:sz="6" w:space="0" w:color="auto"/>
              <w:right w:val="single" w:sz="6" w:space="0" w:color="auto"/>
            </w:tcBorders>
            <w:vAlign w:val="center"/>
          </w:tcPr>
          <w:p w14:paraId="563D1E14" w14:textId="77777777" w:rsidR="001E1900" w:rsidRPr="00E04D0B" w:rsidRDefault="001E1900" w:rsidP="001E1900">
            <w:pPr>
              <w:pStyle w:val="Style"/>
              <w:ind w:left="24"/>
              <w:jc w:val="center"/>
              <w:textAlignment w:val="baseline"/>
              <w:rPr>
                <w:rFonts w:ascii="Cambria" w:hAnsi="Cambria"/>
                <w:sz w:val="20"/>
                <w:szCs w:val="20"/>
              </w:rPr>
            </w:pPr>
            <w:r w:rsidRPr="00E04D0B">
              <w:rPr>
                <w:rFonts w:ascii="Cambria" w:hAnsi="Cambria"/>
                <w:sz w:val="20"/>
                <w:szCs w:val="20"/>
              </w:rPr>
              <w:t>18.3 (18.1)</w:t>
            </w:r>
          </w:p>
        </w:tc>
        <w:tc>
          <w:tcPr>
            <w:tcW w:w="704" w:type="pct"/>
            <w:tcBorders>
              <w:top w:val="single" w:sz="6" w:space="0" w:color="auto"/>
              <w:left w:val="single" w:sz="6" w:space="0" w:color="auto"/>
              <w:bottom w:val="single" w:sz="6" w:space="0" w:color="auto"/>
              <w:right w:val="single" w:sz="6" w:space="0" w:color="auto"/>
            </w:tcBorders>
            <w:vAlign w:val="center"/>
          </w:tcPr>
          <w:p w14:paraId="01B7D609" w14:textId="77777777" w:rsidR="001E1900" w:rsidRPr="00E04D0B" w:rsidRDefault="001E1900" w:rsidP="001E1900">
            <w:pPr>
              <w:pStyle w:val="Style"/>
              <w:ind w:left="19"/>
              <w:jc w:val="center"/>
              <w:textAlignment w:val="baseline"/>
              <w:rPr>
                <w:rFonts w:ascii="Cambria" w:hAnsi="Cambria"/>
                <w:sz w:val="20"/>
                <w:szCs w:val="20"/>
              </w:rPr>
            </w:pPr>
            <w:r w:rsidRPr="00E04D0B">
              <w:rPr>
                <w:rFonts w:ascii="Cambria" w:hAnsi="Cambria"/>
                <w:sz w:val="20"/>
                <w:szCs w:val="20"/>
              </w:rPr>
              <w:t>20.7 (20.7)</w:t>
            </w:r>
          </w:p>
        </w:tc>
      </w:tr>
      <w:tr w:rsidR="001E1900" w:rsidRPr="00E04D0B" w14:paraId="675F8DB0" w14:textId="77777777" w:rsidTr="00D23C64">
        <w:trPr>
          <w:gridAfter w:val="1"/>
          <w:wAfter w:w="10" w:type="pct"/>
          <w:trHeight w:hRule="exact" w:val="379"/>
        </w:trPr>
        <w:tc>
          <w:tcPr>
            <w:tcW w:w="954" w:type="pct"/>
            <w:gridSpan w:val="3"/>
            <w:tcBorders>
              <w:top w:val="single" w:sz="6" w:space="0" w:color="auto"/>
              <w:left w:val="single" w:sz="6" w:space="0" w:color="auto"/>
              <w:bottom w:val="single" w:sz="6" w:space="0" w:color="auto"/>
              <w:right w:val="single" w:sz="6" w:space="0" w:color="auto"/>
            </w:tcBorders>
            <w:vAlign w:val="center"/>
          </w:tcPr>
          <w:p w14:paraId="43801A9E" w14:textId="77777777" w:rsidR="001E1900" w:rsidRPr="00E04D0B" w:rsidRDefault="001E1900" w:rsidP="001E1900">
            <w:pPr>
              <w:pStyle w:val="Style"/>
              <w:ind w:left="298"/>
              <w:textAlignment w:val="baseline"/>
              <w:rPr>
                <w:rFonts w:ascii="Cambria" w:hAnsi="Cambria"/>
                <w:sz w:val="20"/>
                <w:szCs w:val="20"/>
              </w:rPr>
            </w:pPr>
            <w:r w:rsidRPr="00E04D0B">
              <w:rPr>
                <w:rFonts w:ascii="Cambria" w:hAnsi="Cambria"/>
                <w:sz w:val="20"/>
                <w:szCs w:val="20"/>
              </w:rPr>
              <w:t>Median</w:t>
            </w:r>
          </w:p>
        </w:tc>
        <w:tc>
          <w:tcPr>
            <w:tcW w:w="865" w:type="pct"/>
            <w:tcBorders>
              <w:top w:val="single" w:sz="6" w:space="0" w:color="auto"/>
              <w:left w:val="single" w:sz="6" w:space="0" w:color="auto"/>
              <w:bottom w:val="single" w:sz="6" w:space="0" w:color="auto"/>
              <w:right w:val="single" w:sz="6" w:space="0" w:color="auto"/>
            </w:tcBorders>
            <w:vAlign w:val="center"/>
          </w:tcPr>
          <w:p w14:paraId="248A042B" w14:textId="77777777" w:rsidR="001E1900" w:rsidRPr="00E04D0B" w:rsidRDefault="001E1900" w:rsidP="001E1900">
            <w:pPr>
              <w:pStyle w:val="Style"/>
              <w:ind w:left="24"/>
              <w:jc w:val="center"/>
              <w:textAlignment w:val="baseline"/>
              <w:rPr>
                <w:rFonts w:ascii="Cambria" w:hAnsi="Cambria"/>
                <w:sz w:val="20"/>
                <w:szCs w:val="20"/>
              </w:rPr>
            </w:pPr>
            <w:r w:rsidRPr="00E04D0B">
              <w:rPr>
                <w:rFonts w:ascii="Cambria" w:hAnsi="Cambria"/>
                <w:sz w:val="20"/>
                <w:szCs w:val="20"/>
              </w:rPr>
              <w:t>12.5</w:t>
            </w:r>
          </w:p>
        </w:tc>
        <w:tc>
          <w:tcPr>
            <w:tcW w:w="912" w:type="pct"/>
            <w:gridSpan w:val="2"/>
            <w:tcBorders>
              <w:top w:val="single" w:sz="6" w:space="0" w:color="auto"/>
              <w:left w:val="single" w:sz="6" w:space="0" w:color="auto"/>
              <w:bottom w:val="single" w:sz="6" w:space="0" w:color="auto"/>
              <w:right w:val="single" w:sz="6" w:space="0" w:color="auto"/>
            </w:tcBorders>
            <w:vAlign w:val="center"/>
          </w:tcPr>
          <w:p w14:paraId="5DCEBBF0" w14:textId="77777777" w:rsidR="001E1900" w:rsidRPr="00E04D0B" w:rsidRDefault="001E1900" w:rsidP="001E1900">
            <w:pPr>
              <w:pStyle w:val="Style"/>
              <w:ind w:left="14"/>
              <w:jc w:val="center"/>
              <w:textAlignment w:val="baseline"/>
              <w:rPr>
                <w:rFonts w:ascii="Cambria" w:hAnsi="Cambria"/>
                <w:sz w:val="20"/>
                <w:szCs w:val="20"/>
              </w:rPr>
            </w:pPr>
            <w:r w:rsidRPr="00E04D0B">
              <w:rPr>
                <w:rFonts w:ascii="Cambria" w:hAnsi="Cambria"/>
                <w:sz w:val="20"/>
                <w:szCs w:val="20"/>
              </w:rPr>
              <w:t>17.0</w:t>
            </w:r>
          </w:p>
        </w:tc>
        <w:tc>
          <w:tcPr>
            <w:tcW w:w="806" w:type="pct"/>
            <w:gridSpan w:val="3"/>
            <w:tcBorders>
              <w:top w:val="single" w:sz="6" w:space="0" w:color="auto"/>
              <w:left w:val="single" w:sz="6" w:space="0" w:color="auto"/>
              <w:bottom w:val="single" w:sz="6" w:space="0" w:color="auto"/>
              <w:right w:val="single" w:sz="6" w:space="0" w:color="auto"/>
            </w:tcBorders>
            <w:vAlign w:val="center"/>
          </w:tcPr>
          <w:p w14:paraId="5F0CC99E" w14:textId="77777777" w:rsidR="001E1900" w:rsidRPr="00E04D0B" w:rsidRDefault="001E1900" w:rsidP="001E1900">
            <w:pPr>
              <w:pStyle w:val="Style"/>
              <w:ind w:left="5"/>
              <w:jc w:val="center"/>
              <w:textAlignment w:val="baseline"/>
              <w:rPr>
                <w:rFonts w:ascii="Cambria" w:hAnsi="Cambria"/>
                <w:sz w:val="20"/>
                <w:szCs w:val="20"/>
              </w:rPr>
            </w:pPr>
            <w:r w:rsidRPr="00E04D0B">
              <w:rPr>
                <w:rFonts w:ascii="Cambria" w:hAnsi="Cambria"/>
                <w:sz w:val="20"/>
                <w:szCs w:val="20"/>
              </w:rPr>
              <w:t>14.0</w:t>
            </w:r>
          </w:p>
        </w:tc>
        <w:tc>
          <w:tcPr>
            <w:tcW w:w="749" w:type="pct"/>
            <w:gridSpan w:val="2"/>
            <w:tcBorders>
              <w:top w:val="single" w:sz="6" w:space="0" w:color="auto"/>
              <w:left w:val="single" w:sz="6" w:space="0" w:color="auto"/>
              <w:bottom w:val="single" w:sz="6" w:space="0" w:color="auto"/>
              <w:right w:val="single" w:sz="6" w:space="0" w:color="auto"/>
            </w:tcBorders>
            <w:vAlign w:val="center"/>
          </w:tcPr>
          <w:p w14:paraId="089F8DAA" w14:textId="77777777" w:rsidR="001E1900" w:rsidRPr="00E04D0B" w:rsidRDefault="001E1900" w:rsidP="001E1900">
            <w:pPr>
              <w:pStyle w:val="Style"/>
              <w:ind w:left="24"/>
              <w:jc w:val="center"/>
              <w:textAlignment w:val="baseline"/>
              <w:rPr>
                <w:rFonts w:ascii="Cambria" w:hAnsi="Cambria"/>
                <w:sz w:val="20"/>
                <w:szCs w:val="20"/>
              </w:rPr>
            </w:pPr>
            <w:r w:rsidRPr="00E04D0B">
              <w:rPr>
                <w:rFonts w:ascii="Cambria" w:hAnsi="Cambria"/>
                <w:sz w:val="20"/>
                <w:szCs w:val="20"/>
              </w:rPr>
              <w:t>13.0</w:t>
            </w:r>
          </w:p>
        </w:tc>
        <w:tc>
          <w:tcPr>
            <w:tcW w:w="704" w:type="pct"/>
            <w:tcBorders>
              <w:top w:val="single" w:sz="6" w:space="0" w:color="auto"/>
              <w:left w:val="single" w:sz="6" w:space="0" w:color="auto"/>
              <w:bottom w:val="single" w:sz="6" w:space="0" w:color="auto"/>
              <w:right w:val="single" w:sz="6" w:space="0" w:color="auto"/>
            </w:tcBorders>
            <w:vAlign w:val="center"/>
          </w:tcPr>
          <w:p w14:paraId="6C0A6F5F" w14:textId="77777777" w:rsidR="001E1900" w:rsidRPr="00E04D0B" w:rsidRDefault="001E1900" w:rsidP="001E1900">
            <w:pPr>
              <w:pStyle w:val="Style"/>
              <w:ind w:left="19"/>
              <w:jc w:val="center"/>
              <w:textAlignment w:val="baseline"/>
              <w:rPr>
                <w:rFonts w:ascii="Cambria" w:hAnsi="Cambria"/>
                <w:sz w:val="20"/>
                <w:szCs w:val="20"/>
              </w:rPr>
            </w:pPr>
            <w:r w:rsidRPr="00E04D0B">
              <w:rPr>
                <w:rFonts w:ascii="Cambria" w:hAnsi="Cambria"/>
                <w:sz w:val="20"/>
                <w:szCs w:val="20"/>
              </w:rPr>
              <w:t>13.0</w:t>
            </w:r>
          </w:p>
        </w:tc>
      </w:tr>
      <w:tr w:rsidR="001E1900" w:rsidRPr="00E04D0B" w14:paraId="11F9337F" w14:textId="77777777" w:rsidTr="00D23C64">
        <w:trPr>
          <w:gridAfter w:val="1"/>
          <w:wAfter w:w="10" w:type="pct"/>
          <w:trHeight w:hRule="exact" w:val="379"/>
        </w:trPr>
        <w:tc>
          <w:tcPr>
            <w:tcW w:w="954" w:type="pct"/>
            <w:gridSpan w:val="3"/>
            <w:tcBorders>
              <w:top w:val="single" w:sz="6" w:space="0" w:color="auto"/>
              <w:left w:val="single" w:sz="6" w:space="0" w:color="auto"/>
              <w:bottom w:val="single" w:sz="6" w:space="0" w:color="auto"/>
              <w:right w:val="single" w:sz="6" w:space="0" w:color="auto"/>
            </w:tcBorders>
            <w:vAlign w:val="center"/>
          </w:tcPr>
          <w:p w14:paraId="57CB94A5" w14:textId="77777777" w:rsidR="001E1900" w:rsidRPr="00E04D0B" w:rsidRDefault="001E1900" w:rsidP="001E1900">
            <w:pPr>
              <w:pStyle w:val="Style"/>
              <w:ind w:left="298"/>
              <w:textAlignment w:val="baseline"/>
              <w:rPr>
                <w:rFonts w:ascii="Cambria" w:hAnsi="Cambria"/>
                <w:sz w:val="20"/>
                <w:szCs w:val="20"/>
              </w:rPr>
            </w:pPr>
            <w:r w:rsidRPr="00E04D0B">
              <w:rPr>
                <w:rFonts w:ascii="Cambria" w:hAnsi="Cambria"/>
                <w:sz w:val="20"/>
                <w:szCs w:val="20"/>
              </w:rPr>
              <w:t>Min, max</w:t>
            </w:r>
          </w:p>
        </w:tc>
        <w:tc>
          <w:tcPr>
            <w:tcW w:w="865" w:type="pct"/>
            <w:tcBorders>
              <w:top w:val="single" w:sz="6" w:space="0" w:color="auto"/>
              <w:left w:val="single" w:sz="6" w:space="0" w:color="auto"/>
              <w:bottom w:val="single" w:sz="6" w:space="0" w:color="auto"/>
              <w:right w:val="single" w:sz="6" w:space="0" w:color="auto"/>
            </w:tcBorders>
            <w:vAlign w:val="center"/>
          </w:tcPr>
          <w:p w14:paraId="38125383" w14:textId="77777777" w:rsidR="001E1900" w:rsidRPr="00E04D0B" w:rsidRDefault="001E1900" w:rsidP="001E1900">
            <w:pPr>
              <w:pStyle w:val="Style"/>
              <w:ind w:left="24"/>
              <w:jc w:val="center"/>
              <w:textAlignment w:val="baseline"/>
              <w:rPr>
                <w:rFonts w:ascii="Cambria" w:hAnsi="Cambria"/>
                <w:sz w:val="20"/>
                <w:szCs w:val="20"/>
              </w:rPr>
            </w:pPr>
            <w:r w:rsidRPr="00E04D0B">
              <w:rPr>
                <w:rFonts w:ascii="Cambria" w:hAnsi="Cambria"/>
                <w:sz w:val="20"/>
                <w:szCs w:val="20"/>
              </w:rPr>
              <w:t>1, 100</w:t>
            </w:r>
          </w:p>
        </w:tc>
        <w:tc>
          <w:tcPr>
            <w:tcW w:w="912" w:type="pct"/>
            <w:gridSpan w:val="2"/>
            <w:tcBorders>
              <w:top w:val="single" w:sz="6" w:space="0" w:color="auto"/>
              <w:left w:val="single" w:sz="6" w:space="0" w:color="auto"/>
              <w:bottom w:val="single" w:sz="6" w:space="0" w:color="auto"/>
              <w:right w:val="single" w:sz="6" w:space="0" w:color="auto"/>
            </w:tcBorders>
            <w:vAlign w:val="center"/>
          </w:tcPr>
          <w:p w14:paraId="321A8CB3" w14:textId="77777777" w:rsidR="001E1900" w:rsidRPr="00E04D0B" w:rsidRDefault="001E1900" w:rsidP="001E1900">
            <w:pPr>
              <w:pStyle w:val="Style"/>
              <w:ind w:left="14"/>
              <w:jc w:val="center"/>
              <w:textAlignment w:val="baseline"/>
              <w:rPr>
                <w:rFonts w:ascii="Cambria" w:hAnsi="Cambria"/>
                <w:sz w:val="20"/>
                <w:szCs w:val="20"/>
              </w:rPr>
            </w:pPr>
            <w:r w:rsidRPr="00E04D0B">
              <w:rPr>
                <w:rFonts w:ascii="Cambria" w:hAnsi="Cambria"/>
                <w:sz w:val="20"/>
                <w:szCs w:val="20"/>
              </w:rPr>
              <w:t>1, 128</w:t>
            </w:r>
          </w:p>
        </w:tc>
        <w:tc>
          <w:tcPr>
            <w:tcW w:w="806" w:type="pct"/>
            <w:gridSpan w:val="3"/>
            <w:tcBorders>
              <w:top w:val="single" w:sz="6" w:space="0" w:color="auto"/>
              <w:left w:val="single" w:sz="6" w:space="0" w:color="auto"/>
              <w:bottom w:val="single" w:sz="6" w:space="0" w:color="auto"/>
              <w:right w:val="single" w:sz="6" w:space="0" w:color="auto"/>
            </w:tcBorders>
            <w:vAlign w:val="center"/>
          </w:tcPr>
          <w:p w14:paraId="3F948D23" w14:textId="77777777" w:rsidR="001E1900" w:rsidRPr="00E04D0B" w:rsidRDefault="001E1900" w:rsidP="001E1900">
            <w:pPr>
              <w:pStyle w:val="Style"/>
              <w:ind w:left="5"/>
              <w:jc w:val="center"/>
              <w:textAlignment w:val="baseline"/>
              <w:rPr>
                <w:rFonts w:ascii="Cambria" w:hAnsi="Cambria"/>
                <w:sz w:val="20"/>
                <w:szCs w:val="20"/>
              </w:rPr>
            </w:pPr>
            <w:r w:rsidRPr="00E04D0B">
              <w:rPr>
                <w:rFonts w:ascii="Cambria" w:hAnsi="Cambria"/>
                <w:sz w:val="20"/>
                <w:szCs w:val="20"/>
              </w:rPr>
              <w:t>1, 128</w:t>
            </w:r>
          </w:p>
        </w:tc>
        <w:tc>
          <w:tcPr>
            <w:tcW w:w="749" w:type="pct"/>
            <w:gridSpan w:val="2"/>
            <w:tcBorders>
              <w:top w:val="single" w:sz="6" w:space="0" w:color="auto"/>
              <w:left w:val="single" w:sz="6" w:space="0" w:color="auto"/>
              <w:bottom w:val="single" w:sz="6" w:space="0" w:color="auto"/>
              <w:right w:val="single" w:sz="6" w:space="0" w:color="auto"/>
            </w:tcBorders>
            <w:vAlign w:val="center"/>
          </w:tcPr>
          <w:p w14:paraId="40F756F3" w14:textId="77777777" w:rsidR="001E1900" w:rsidRPr="00E04D0B" w:rsidRDefault="001E1900" w:rsidP="001E1900">
            <w:pPr>
              <w:pStyle w:val="Style"/>
              <w:ind w:left="24"/>
              <w:jc w:val="center"/>
              <w:textAlignment w:val="baseline"/>
              <w:rPr>
                <w:rFonts w:ascii="Cambria" w:hAnsi="Cambria"/>
                <w:sz w:val="20"/>
                <w:szCs w:val="20"/>
              </w:rPr>
            </w:pPr>
            <w:r w:rsidRPr="00E04D0B">
              <w:rPr>
                <w:rFonts w:ascii="Cambria" w:hAnsi="Cambria"/>
                <w:sz w:val="20"/>
                <w:szCs w:val="20"/>
              </w:rPr>
              <w:t>1, 91</w:t>
            </w:r>
          </w:p>
        </w:tc>
        <w:tc>
          <w:tcPr>
            <w:tcW w:w="704" w:type="pct"/>
            <w:tcBorders>
              <w:top w:val="single" w:sz="6" w:space="0" w:color="auto"/>
              <w:left w:val="single" w:sz="6" w:space="0" w:color="auto"/>
              <w:bottom w:val="single" w:sz="6" w:space="0" w:color="auto"/>
              <w:right w:val="single" w:sz="6" w:space="0" w:color="auto"/>
            </w:tcBorders>
            <w:vAlign w:val="center"/>
          </w:tcPr>
          <w:p w14:paraId="6BCF7CF2" w14:textId="77777777" w:rsidR="001E1900" w:rsidRPr="00E04D0B" w:rsidRDefault="001E1900" w:rsidP="001E1900">
            <w:pPr>
              <w:pStyle w:val="Style"/>
              <w:ind w:left="19"/>
              <w:jc w:val="center"/>
              <w:textAlignment w:val="baseline"/>
              <w:rPr>
                <w:rFonts w:ascii="Cambria" w:hAnsi="Cambria"/>
                <w:sz w:val="20"/>
                <w:szCs w:val="20"/>
              </w:rPr>
            </w:pPr>
            <w:r w:rsidRPr="00E04D0B">
              <w:rPr>
                <w:rFonts w:ascii="Cambria" w:hAnsi="Cambria"/>
                <w:sz w:val="20"/>
                <w:szCs w:val="20"/>
              </w:rPr>
              <w:t>1, 128</w:t>
            </w:r>
          </w:p>
        </w:tc>
      </w:tr>
      <w:tr w:rsidR="001E1900" w:rsidRPr="00E04D0B" w14:paraId="044E3D73" w14:textId="77777777" w:rsidTr="00850F6B">
        <w:trPr>
          <w:gridAfter w:val="1"/>
          <w:wAfter w:w="10" w:type="pct"/>
          <w:trHeight w:hRule="exact" w:val="474"/>
        </w:trPr>
        <w:tc>
          <w:tcPr>
            <w:tcW w:w="4990" w:type="pct"/>
            <w:gridSpan w:val="12"/>
            <w:tcBorders>
              <w:top w:val="single" w:sz="4" w:space="0" w:color="auto"/>
              <w:left w:val="single" w:sz="4" w:space="0" w:color="auto"/>
              <w:bottom w:val="single" w:sz="4" w:space="0" w:color="auto"/>
              <w:right w:val="single" w:sz="4" w:space="0" w:color="auto"/>
            </w:tcBorders>
            <w:vAlign w:val="center"/>
          </w:tcPr>
          <w:p w14:paraId="19CDB966" w14:textId="02B00D01" w:rsidR="001E1900" w:rsidRPr="00E04D0B" w:rsidRDefault="001E1900" w:rsidP="009B153D">
            <w:pPr>
              <w:pStyle w:val="Style"/>
              <w:textAlignment w:val="baseline"/>
              <w:rPr>
                <w:rFonts w:ascii="Cambria" w:hAnsi="Cambria"/>
                <w:sz w:val="20"/>
                <w:szCs w:val="20"/>
              </w:rPr>
            </w:pPr>
            <w:r w:rsidRPr="00E04D0B">
              <w:rPr>
                <w:rFonts w:ascii="Cambria" w:hAnsi="Cambria"/>
                <w:sz w:val="20"/>
                <w:szCs w:val="20"/>
              </w:rPr>
              <w:t xml:space="preserve">PGADA score </w:t>
            </w:r>
            <w:r w:rsidRPr="00E04D0B">
              <w:rPr>
                <w:rFonts w:ascii="Cambria" w:hAnsi="Cambria"/>
                <w:sz w:val="20"/>
                <w:szCs w:val="20"/>
                <w:vertAlign w:val="superscript"/>
              </w:rPr>
              <w:t>b</w:t>
            </w:r>
          </w:p>
        </w:tc>
      </w:tr>
      <w:tr w:rsidR="001E1900" w:rsidRPr="00E04D0B" w14:paraId="00627C49" w14:textId="77777777" w:rsidTr="00D23C64">
        <w:trPr>
          <w:gridAfter w:val="1"/>
          <w:wAfter w:w="10" w:type="pct"/>
          <w:trHeight w:hRule="exact" w:val="384"/>
        </w:trPr>
        <w:tc>
          <w:tcPr>
            <w:tcW w:w="954" w:type="pct"/>
            <w:gridSpan w:val="3"/>
            <w:tcBorders>
              <w:top w:val="single" w:sz="4" w:space="0" w:color="auto"/>
              <w:left w:val="single" w:sz="4" w:space="0" w:color="auto"/>
              <w:bottom w:val="single" w:sz="4" w:space="0" w:color="auto"/>
              <w:right w:val="single" w:sz="4" w:space="0" w:color="auto"/>
            </w:tcBorders>
            <w:vAlign w:val="center"/>
          </w:tcPr>
          <w:p w14:paraId="48980B84" w14:textId="77777777" w:rsidR="001E1900" w:rsidRPr="00E04D0B" w:rsidRDefault="001E1900" w:rsidP="001E1900">
            <w:pPr>
              <w:pStyle w:val="Style"/>
              <w:ind w:left="298"/>
              <w:textAlignment w:val="baseline"/>
              <w:rPr>
                <w:rFonts w:ascii="Cambria" w:hAnsi="Cambria"/>
                <w:sz w:val="20"/>
                <w:szCs w:val="20"/>
              </w:rPr>
            </w:pPr>
            <w:r w:rsidRPr="00E04D0B">
              <w:rPr>
                <w:rFonts w:ascii="Cambria" w:hAnsi="Cambria"/>
                <w:sz w:val="20"/>
                <w:szCs w:val="20"/>
              </w:rPr>
              <w:t>n</w:t>
            </w:r>
          </w:p>
        </w:tc>
        <w:tc>
          <w:tcPr>
            <w:tcW w:w="865" w:type="pct"/>
            <w:tcBorders>
              <w:top w:val="single" w:sz="4" w:space="0" w:color="auto"/>
              <w:left w:val="single" w:sz="4" w:space="0" w:color="auto"/>
              <w:bottom w:val="single" w:sz="4" w:space="0" w:color="auto"/>
              <w:right w:val="single" w:sz="4" w:space="0" w:color="auto"/>
            </w:tcBorders>
            <w:vAlign w:val="center"/>
          </w:tcPr>
          <w:p w14:paraId="0BFE9D46" w14:textId="77777777" w:rsidR="001E1900" w:rsidRPr="00E04D0B" w:rsidRDefault="001E1900" w:rsidP="001E1900">
            <w:pPr>
              <w:pStyle w:val="Style"/>
              <w:ind w:left="24"/>
              <w:jc w:val="center"/>
              <w:textAlignment w:val="baseline"/>
              <w:rPr>
                <w:rFonts w:ascii="Cambria" w:hAnsi="Cambria"/>
                <w:sz w:val="20"/>
                <w:szCs w:val="20"/>
              </w:rPr>
            </w:pPr>
            <w:r w:rsidRPr="00E04D0B">
              <w:rPr>
                <w:rFonts w:ascii="Cambria" w:hAnsi="Cambria"/>
                <w:sz w:val="20"/>
                <w:szCs w:val="20"/>
              </w:rPr>
              <w:t>161</w:t>
            </w:r>
          </w:p>
        </w:tc>
        <w:tc>
          <w:tcPr>
            <w:tcW w:w="912" w:type="pct"/>
            <w:gridSpan w:val="2"/>
            <w:tcBorders>
              <w:top w:val="single" w:sz="4" w:space="0" w:color="auto"/>
              <w:left w:val="single" w:sz="4" w:space="0" w:color="auto"/>
              <w:bottom w:val="single" w:sz="4" w:space="0" w:color="auto"/>
              <w:right w:val="single" w:sz="4" w:space="0" w:color="auto"/>
            </w:tcBorders>
            <w:vAlign w:val="center"/>
          </w:tcPr>
          <w:p w14:paraId="41E4437F" w14:textId="77777777" w:rsidR="001E1900" w:rsidRPr="00E04D0B" w:rsidRDefault="001E1900" w:rsidP="001E1900">
            <w:pPr>
              <w:pStyle w:val="Style"/>
              <w:ind w:left="14"/>
              <w:jc w:val="center"/>
              <w:textAlignment w:val="baseline"/>
              <w:rPr>
                <w:rFonts w:ascii="Cambria" w:hAnsi="Cambria"/>
                <w:sz w:val="20"/>
                <w:szCs w:val="20"/>
              </w:rPr>
            </w:pPr>
            <w:r w:rsidRPr="00E04D0B">
              <w:rPr>
                <w:rFonts w:ascii="Cambria" w:hAnsi="Cambria"/>
                <w:sz w:val="20"/>
                <w:szCs w:val="20"/>
              </w:rPr>
              <w:t>158</w:t>
            </w:r>
          </w:p>
        </w:tc>
        <w:tc>
          <w:tcPr>
            <w:tcW w:w="806" w:type="pct"/>
            <w:gridSpan w:val="3"/>
            <w:tcBorders>
              <w:top w:val="single" w:sz="4" w:space="0" w:color="auto"/>
              <w:left w:val="single" w:sz="4" w:space="0" w:color="auto"/>
              <w:bottom w:val="single" w:sz="4" w:space="0" w:color="auto"/>
              <w:right w:val="single" w:sz="4" w:space="0" w:color="auto"/>
            </w:tcBorders>
            <w:vAlign w:val="center"/>
          </w:tcPr>
          <w:p w14:paraId="6CFE3A66" w14:textId="77777777" w:rsidR="001E1900" w:rsidRPr="00E04D0B" w:rsidRDefault="001E1900" w:rsidP="001E1900">
            <w:pPr>
              <w:pStyle w:val="Style"/>
              <w:ind w:left="14"/>
              <w:jc w:val="center"/>
              <w:textAlignment w:val="baseline"/>
              <w:rPr>
                <w:rFonts w:ascii="Cambria" w:hAnsi="Cambria"/>
                <w:sz w:val="20"/>
                <w:szCs w:val="20"/>
              </w:rPr>
            </w:pPr>
            <w:r w:rsidRPr="00E04D0B">
              <w:rPr>
                <w:rFonts w:ascii="Cambria" w:hAnsi="Cambria"/>
                <w:sz w:val="20"/>
                <w:szCs w:val="20"/>
              </w:rPr>
              <w:t>319</w:t>
            </w:r>
          </w:p>
        </w:tc>
        <w:tc>
          <w:tcPr>
            <w:tcW w:w="749" w:type="pct"/>
            <w:gridSpan w:val="2"/>
            <w:tcBorders>
              <w:top w:val="single" w:sz="4" w:space="0" w:color="auto"/>
              <w:left w:val="single" w:sz="4" w:space="0" w:color="auto"/>
              <w:bottom w:val="single" w:sz="4" w:space="0" w:color="auto"/>
              <w:right w:val="single" w:sz="4" w:space="0" w:color="auto"/>
            </w:tcBorders>
            <w:vAlign w:val="center"/>
          </w:tcPr>
          <w:p w14:paraId="70133E08" w14:textId="77777777" w:rsidR="001E1900" w:rsidRPr="00E04D0B" w:rsidRDefault="001E1900" w:rsidP="001E1900">
            <w:pPr>
              <w:pStyle w:val="Style"/>
              <w:ind w:left="24"/>
              <w:jc w:val="center"/>
              <w:textAlignment w:val="baseline"/>
              <w:rPr>
                <w:rFonts w:ascii="Cambria" w:hAnsi="Cambria"/>
                <w:sz w:val="20"/>
                <w:szCs w:val="20"/>
              </w:rPr>
            </w:pPr>
            <w:r w:rsidRPr="00E04D0B">
              <w:rPr>
                <w:rFonts w:ascii="Cambria" w:hAnsi="Cambria"/>
                <w:sz w:val="20"/>
                <w:szCs w:val="20"/>
              </w:rPr>
              <w:t>159</w:t>
            </w:r>
          </w:p>
        </w:tc>
        <w:tc>
          <w:tcPr>
            <w:tcW w:w="704" w:type="pct"/>
            <w:tcBorders>
              <w:top w:val="single" w:sz="4" w:space="0" w:color="auto"/>
              <w:left w:val="single" w:sz="4" w:space="0" w:color="auto"/>
              <w:bottom w:val="single" w:sz="4" w:space="0" w:color="auto"/>
              <w:right w:val="single" w:sz="4" w:space="0" w:color="auto"/>
            </w:tcBorders>
            <w:vAlign w:val="center"/>
          </w:tcPr>
          <w:p w14:paraId="2D3FB729" w14:textId="77777777" w:rsidR="001E1900" w:rsidRPr="00E04D0B" w:rsidRDefault="001E1900" w:rsidP="001E1900">
            <w:pPr>
              <w:pStyle w:val="Style"/>
              <w:ind w:left="19"/>
              <w:jc w:val="center"/>
              <w:textAlignment w:val="baseline"/>
              <w:rPr>
                <w:rFonts w:ascii="Cambria" w:hAnsi="Cambria"/>
                <w:sz w:val="20"/>
                <w:szCs w:val="20"/>
              </w:rPr>
            </w:pPr>
            <w:r w:rsidRPr="00E04D0B">
              <w:rPr>
                <w:rFonts w:ascii="Cambria" w:hAnsi="Cambria"/>
                <w:sz w:val="20"/>
                <w:szCs w:val="20"/>
              </w:rPr>
              <w:t>478</w:t>
            </w:r>
          </w:p>
        </w:tc>
      </w:tr>
      <w:tr w:rsidR="001E1900" w:rsidRPr="00E04D0B" w14:paraId="36E44C78" w14:textId="77777777" w:rsidTr="00D23C64">
        <w:trPr>
          <w:gridAfter w:val="1"/>
          <w:wAfter w:w="10" w:type="pct"/>
          <w:trHeight w:hRule="exact" w:val="384"/>
        </w:trPr>
        <w:tc>
          <w:tcPr>
            <w:tcW w:w="954" w:type="pct"/>
            <w:gridSpan w:val="3"/>
            <w:tcBorders>
              <w:top w:val="single" w:sz="4" w:space="0" w:color="auto"/>
              <w:left w:val="single" w:sz="4" w:space="0" w:color="auto"/>
              <w:bottom w:val="single" w:sz="4" w:space="0" w:color="auto"/>
              <w:right w:val="single" w:sz="4" w:space="0" w:color="auto"/>
            </w:tcBorders>
            <w:vAlign w:val="center"/>
          </w:tcPr>
          <w:p w14:paraId="5D46AE92" w14:textId="77777777" w:rsidR="001E1900" w:rsidRPr="00E04D0B" w:rsidRDefault="001E1900" w:rsidP="001E1900">
            <w:pPr>
              <w:pStyle w:val="Style"/>
              <w:ind w:left="298"/>
              <w:textAlignment w:val="baseline"/>
              <w:rPr>
                <w:rFonts w:ascii="Cambria" w:hAnsi="Cambria"/>
                <w:sz w:val="20"/>
                <w:szCs w:val="20"/>
              </w:rPr>
            </w:pPr>
            <w:r w:rsidRPr="00E04D0B">
              <w:rPr>
                <w:rFonts w:ascii="Cambria" w:hAnsi="Cambria"/>
                <w:sz w:val="20"/>
                <w:szCs w:val="20"/>
              </w:rPr>
              <w:t>Mean (SD)</w:t>
            </w:r>
          </w:p>
        </w:tc>
        <w:tc>
          <w:tcPr>
            <w:tcW w:w="865" w:type="pct"/>
            <w:tcBorders>
              <w:top w:val="single" w:sz="4" w:space="0" w:color="auto"/>
              <w:left w:val="single" w:sz="4" w:space="0" w:color="auto"/>
              <w:bottom w:val="single" w:sz="4" w:space="0" w:color="auto"/>
              <w:right w:val="single" w:sz="4" w:space="0" w:color="auto"/>
            </w:tcBorders>
            <w:vAlign w:val="center"/>
          </w:tcPr>
          <w:p w14:paraId="7BA3FDC4" w14:textId="77777777" w:rsidR="001E1900" w:rsidRPr="00E04D0B" w:rsidRDefault="001E1900" w:rsidP="001E1900">
            <w:pPr>
              <w:pStyle w:val="Style"/>
              <w:ind w:left="24"/>
              <w:jc w:val="center"/>
              <w:textAlignment w:val="baseline"/>
              <w:rPr>
                <w:rFonts w:ascii="Cambria" w:hAnsi="Cambria"/>
                <w:sz w:val="20"/>
                <w:szCs w:val="20"/>
              </w:rPr>
            </w:pPr>
            <w:r w:rsidRPr="00E04D0B">
              <w:rPr>
                <w:rFonts w:ascii="Cambria" w:hAnsi="Cambria"/>
                <w:sz w:val="20"/>
                <w:szCs w:val="20"/>
              </w:rPr>
              <w:t>24.7 (27.9)</w:t>
            </w:r>
          </w:p>
        </w:tc>
        <w:tc>
          <w:tcPr>
            <w:tcW w:w="912" w:type="pct"/>
            <w:gridSpan w:val="2"/>
            <w:tcBorders>
              <w:top w:val="single" w:sz="4" w:space="0" w:color="auto"/>
              <w:left w:val="single" w:sz="4" w:space="0" w:color="auto"/>
              <w:bottom w:val="single" w:sz="4" w:space="0" w:color="auto"/>
              <w:right w:val="single" w:sz="4" w:space="0" w:color="auto"/>
            </w:tcBorders>
            <w:vAlign w:val="center"/>
          </w:tcPr>
          <w:p w14:paraId="5D4B318D" w14:textId="77777777" w:rsidR="001E1900" w:rsidRPr="00E04D0B" w:rsidRDefault="001E1900" w:rsidP="001E1900">
            <w:pPr>
              <w:pStyle w:val="Style"/>
              <w:ind w:left="14"/>
              <w:jc w:val="center"/>
              <w:textAlignment w:val="baseline"/>
              <w:rPr>
                <w:rFonts w:ascii="Cambria" w:hAnsi="Cambria"/>
                <w:sz w:val="20"/>
                <w:szCs w:val="20"/>
              </w:rPr>
            </w:pPr>
            <w:r w:rsidRPr="00E04D0B">
              <w:rPr>
                <w:rFonts w:ascii="Cambria" w:hAnsi="Cambria"/>
                <w:sz w:val="20"/>
                <w:szCs w:val="20"/>
              </w:rPr>
              <w:t>24.6 (28.4)</w:t>
            </w:r>
          </w:p>
        </w:tc>
        <w:tc>
          <w:tcPr>
            <w:tcW w:w="806" w:type="pct"/>
            <w:gridSpan w:val="3"/>
            <w:tcBorders>
              <w:top w:val="single" w:sz="4" w:space="0" w:color="auto"/>
              <w:left w:val="single" w:sz="4" w:space="0" w:color="auto"/>
              <w:bottom w:val="single" w:sz="4" w:space="0" w:color="auto"/>
              <w:right w:val="single" w:sz="4" w:space="0" w:color="auto"/>
            </w:tcBorders>
            <w:vAlign w:val="center"/>
          </w:tcPr>
          <w:p w14:paraId="28B8D70D" w14:textId="77777777" w:rsidR="001E1900" w:rsidRPr="00E04D0B" w:rsidRDefault="001E1900" w:rsidP="001E1900">
            <w:pPr>
              <w:pStyle w:val="Style"/>
              <w:ind w:left="14"/>
              <w:jc w:val="center"/>
              <w:textAlignment w:val="baseline"/>
              <w:rPr>
                <w:rFonts w:ascii="Cambria" w:hAnsi="Cambria"/>
                <w:sz w:val="20"/>
                <w:szCs w:val="20"/>
              </w:rPr>
            </w:pPr>
            <w:r w:rsidRPr="00E04D0B">
              <w:rPr>
                <w:rFonts w:ascii="Cambria" w:hAnsi="Cambria"/>
                <w:sz w:val="20"/>
                <w:szCs w:val="20"/>
              </w:rPr>
              <w:t>24.7 (28.1)</w:t>
            </w:r>
          </w:p>
        </w:tc>
        <w:tc>
          <w:tcPr>
            <w:tcW w:w="749" w:type="pct"/>
            <w:gridSpan w:val="2"/>
            <w:tcBorders>
              <w:top w:val="single" w:sz="4" w:space="0" w:color="auto"/>
              <w:left w:val="single" w:sz="4" w:space="0" w:color="auto"/>
              <w:bottom w:val="single" w:sz="4" w:space="0" w:color="auto"/>
              <w:right w:val="single" w:sz="4" w:space="0" w:color="auto"/>
            </w:tcBorders>
            <w:vAlign w:val="center"/>
          </w:tcPr>
          <w:p w14:paraId="561EC59E" w14:textId="77777777" w:rsidR="001E1900" w:rsidRPr="00E04D0B" w:rsidRDefault="001E1900" w:rsidP="001E1900">
            <w:pPr>
              <w:pStyle w:val="Style"/>
              <w:ind w:left="24"/>
              <w:jc w:val="center"/>
              <w:textAlignment w:val="baseline"/>
              <w:rPr>
                <w:rFonts w:ascii="Cambria" w:hAnsi="Cambria"/>
                <w:sz w:val="20"/>
                <w:szCs w:val="20"/>
              </w:rPr>
            </w:pPr>
            <w:r w:rsidRPr="00E04D0B">
              <w:rPr>
                <w:rFonts w:ascii="Cambria" w:hAnsi="Cambria"/>
                <w:sz w:val="20"/>
                <w:szCs w:val="20"/>
              </w:rPr>
              <w:t>27.6 (30.4)</w:t>
            </w:r>
          </w:p>
        </w:tc>
        <w:tc>
          <w:tcPr>
            <w:tcW w:w="704" w:type="pct"/>
            <w:tcBorders>
              <w:top w:val="single" w:sz="4" w:space="0" w:color="auto"/>
              <w:left w:val="single" w:sz="4" w:space="0" w:color="auto"/>
              <w:bottom w:val="single" w:sz="4" w:space="0" w:color="auto"/>
              <w:right w:val="single" w:sz="4" w:space="0" w:color="auto"/>
            </w:tcBorders>
            <w:vAlign w:val="center"/>
          </w:tcPr>
          <w:p w14:paraId="75902B91" w14:textId="77777777" w:rsidR="001E1900" w:rsidRPr="00E04D0B" w:rsidRDefault="001E1900" w:rsidP="001E1900">
            <w:pPr>
              <w:pStyle w:val="Style"/>
              <w:ind w:left="19"/>
              <w:jc w:val="center"/>
              <w:textAlignment w:val="baseline"/>
              <w:rPr>
                <w:rFonts w:ascii="Cambria" w:hAnsi="Cambria"/>
                <w:sz w:val="20"/>
                <w:szCs w:val="20"/>
              </w:rPr>
            </w:pPr>
            <w:r w:rsidRPr="00E04D0B">
              <w:rPr>
                <w:rFonts w:ascii="Cambria" w:hAnsi="Cambria"/>
                <w:sz w:val="20"/>
                <w:szCs w:val="20"/>
              </w:rPr>
              <w:t>25.6 (28.9)</w:t>
            </w:r>
          </w:p>
        </w:tc>
      </w:tr>
      <w:tr w:rsidR="001E1900" w:rsidRPr="00E04D0B" w14:paraId="5D36A13C" w14:textId="77777777" w:rsidTr="00D23C64">
        <w:trPr>
          <w:gridAfter w:val="1"/>
          <w:wAfter w:w="10" w:type="pct"/>
          <w:trHeight w:hRule="exact" w:val="384"/>
        </w:trPr>
        <w:tc>
          <w:tcPr>
            <w:tcW w:w="954" w:type="pct"/>
            <w:gridSpan w:val="3"/>
            <w:tcBorders>
              <w:top w:val="single" w:sz="4" w:space="0" w:color="auto"/>
              <w:left w:val="single" w:sz="4" w:space="0" w:color="auto"/>
              <w:bottom w:val="single" w:sz="4" w:space="0" w:color="auto"/>
              <w:right w:val="single" w:sz="4" w:space="0" w:color="auto"/>
            </w:tcBorders>
            <w:vAlign w:val="center"/>
          </w:tcPr>
          <w:p w14:paraId="6F56558F" w14:textId="77777777" w:rsidR="001E1900" w:rsidRPr="00E04D0B" w:rsidRDefault="001E1900" w:rsidP="001E1900">
            <w:pPr>
              <w:pStyle w:val="Style"/>
              <w:ind w:left="298"/>
              <w:textAlignment w:val="baseline"/>
              <w:rPr>
                <w:rFonts w:ascii="Cambria" w:hAnsi="Cambria"/>
                <w:sz w:val="20"/>
                <w:szCs w:val="20"/>
              </w:rPr>
            </w:pPr>
            <w:r w:rsidRPr="00E04D0B">
              <w:rPr>
                <w:rFonts w:ascii="Cambria" w:hAnsi="Cambria"/>
                <w:sz w:val="20"/>
                <w:szCs w:val="20"/>
              </w:rPr>
              <w:t>Median</w:t>
            </w:r>
          </w:p>
        </w:tc>
        <w:tc>
          <w:tcPr>
            <w:tcW w:w="865" w:type="pct"/>
            <w:tcBorders>
              <w:top w:val="single" w:sz="4" w:space="0" w:color="auto"/>
              <w:left w:val="single" w:sz="4" w:space="0" w:color="auto"/>
              <w:bottom w:val="single" w:sz="4" w:space="0" w:color="auto"/>
              <w:right w:val="single" w:sz="4" w:space="0" w:color="auto"/>
            </w:tcBorders>
            <w:vAlign w:val="center"/>
          </w:tcPr>
          <w:p w14:paraId="5E1D311B" w14:textId="77777777" w:rsidR="001E1900" w:rsidRPr="00E04D0B" w:rsidRDefault="001E1900" w:rsidP="001E1900">
            <w:pPr>
              <w:pStyle w:val="Style"/>
              <w:ind w:left="24"/>
              <w:jc w:val="center"/>
              <w:textAlignment w:val="baseline"/>
              <w:rPr>
                <w:rFonts w:ascii="Cambria" w:hAnsi="Cambria"/>
                <w:sz w:val="20"/>
                <w:szCs w:val="20"/>
              </w:rPr>
            </w:pPr>
            <w:r w:rsidRPr="00E04D0B">
              <w:rPr>
                <w:rFonts w:ascii="Cambria" w:hAnsi="Cambria"/>
                <w:sz w:val="20"/>
                <w:szCs w:val="20"/>
              </w:rPr>
              <w:t>11.0</w:t>
            </w:r>
          </w:p>
        </w:tc>
        <w:tc>
          <w:tcPr>
            <w:tcW w:w="912" w:type="pct"/>
            <w:gridSpan w:val="2"/>
            <w:tcBorders>
              <w:top w:val="single" w:sz="4" w:space="0" w:color="auto"/>
              <w:left w:val="single" w:sz="4" w:space="0" w:color="auto"/>
              <w:bottom w:val="single" w:sz="4" w:space="0" w:color="auto"/>
              <w:right w:val="single" w:sz="4" w:space="0" w:color="auto"/>
            </w:tcBorders>
            <w:vAlign w:val="center"/>
          </w:tcPr>
          <w:p w14:paraId="20F1B0DA" w14:textId="77777777" w:rsidR="001E1900" w:rsidRPr="00E04D0B" w:rsidRDefault="001E1900" w:rsidP="001E1900">
            <w:pPr>
              <w:pStyle w:val="Style"/>
              <w:ind w:left="14"/>
              <w:jc w:val="center"/>
              <w:textAlignment w:val="baseline"/>
              <w:rPr>
                <w:rFonts w:ascii="Cambria" w:hAnsi="Cambria"/>
                <w:sz w:val="20"/>
                <w:szCs w:val="20"/>
              </w:rPr>
            </w:pPr>
            <w:r w:rsidRPr="00E04D0B">
              <w:rPr>
                <w:rFonts w:ascii="Cambria" w:hAnsi="Cambria"/>
                <w:sz w:val="20"/>
                <w:szCs w:val="20"/>
              </w:rPr>
              <w:t>13.0</w:t>
            </w:r>
          </w:p>
        </w:tc>
        <w:tc>
          <w:tcPr>
            <w:tcW w:w="806" w:type="pct"/>
            <w:gridSpan w:val="3"/>
            <w:tcBorders>
              <w:top w:val="single" w:sz="4" w:space="0" w:color="auto"/>
              <w:left w:val="single" w:sz="4" w:space="0" w:color="auto"/>
              <w:bottom w:val="single" w:sz="4" w:space="0" w:color="auto"/>
              <w:right w:val="single" w:sz="4" w:space="0" w:color="auto"/>
            </w:tcBorders>
            <w:vAlign w:val="center"/>
          </w:tcPr>
          <w:p w14:paraId="731A5F14" w14:textId="77777777" w:rsidR="001E1900" w:rsidRPr="00E04D0B" w:rsidRDefault="001E1900" w:rsidP="001E1900">
            <w:pPr>
              <w:pStyle w:val="Style"/>
              <w:ind w:left="14"/>
              <w:jc w:val="center"/>
              <w:textAlignment w:val="baseline"/>
              <w:rPr>
                <w:rFonts w:ascii="Cambria" w:hAnsi="Cambria"/>
                <w:sz w:val="20"/>
                <w:szCs w:val="20"/>
              </w:rPr>
            </w:pPr>
            <w:r w:rsidRPr="00E04D0B">
              <w:rPr>
                <w:rFonts w:ascii="Cambria" w:hAnsi="Cambria"/>
                <w:sz w:val="20"/>
                <w:szCs w:val="20"/>
              </w:rPr>
              <w:t>11.0</w:t>
            </w:r>
          </w:p>
        </w:tc>
        <w:tc>
          <w:tcPr>
            <w:tcW w:w="749" w:type="pct"/>
            <w:gridSpan w:val="2"/>
            <w:tcBorders>
              <w:top w:val="single" w:sz="4" w:space="0" w:color="auto"/>
              <w:left w:val="single" w:sz="4" w:space="0" w:color="auto"/>
              <w:bottom w:val="single" w:sz="4" w:space="0" w:color="auto"/>
              <w:right w:val="single" w:sz="4" w:space="0" w:color="auto"/>
            </w:tcBorders>
            <w:vAlign w:val="center"/>
          </w:tcPr>
          <w:p w14:paraId="55BE71D5" w14:textId="77777777" w:rsidR="001E1900" w:rsidRPr="00E04D0B" w:rsidRDefault="001E1900" w:rsidP="001E1900">
            <w:pPr>
              <w:pStyle w:val="Style"/>
              <w:ind w:left="24"/>
              <w:jc w:val="center"/>
              <w:textAlignment w:val="baseline"/>
              <w:rPr>
                <w:rFonts w:ascii="Cambria" w:hAnsi="Cambria"/>
                <w:sz w:val="20"/>
                <w:szCs w:val="20"/>
              </w:rPr>
            </w:pPr>
            <w:r w:rsidRPr="00E04D0B">
              <w:rPr>
                <w:rFonts w:ascii="Cambria" w:hAnsi="Cambria"/>
                <w:sz w:val="20"/>
                <w:szCs w:val="20"/>
              </w:rPr>
              <w:t>14.0</w:t>
            </w:r>
          </w:p>
        </w:tc>
        <w:tc>
          <w:tcPr>
            <w:tcW w:w="704" w:type="pct"/>
            <w:tcBorders>
              <w:top w:val="single" w:sz="4" w:space="0" w:color="auto"/>
              <w:left w:val="single" w:sz="4" w:space="0" w:color="auto"/>
              <w:bottom w:val="single" w:sz="4" w:space="0" w:color="auto"/>
              <w:right w:val="single" w:sz="4" w:space="0" w:color="auto"/>
            </w:tcBorders>
            <w:vAlign w:val="center"/>
          </w:tcPr>
          <w:p w14:paraId="0621E40E" w14:textId="77777777" w:rsidR="001E1900" w:rsidRPr="00E04D0B" w:rsidRDefault="001E1900" w:rsidP="001E1900">
            <w:pPr>
              <w:pStyle w:val="Style"/>
              <w:ind w:left="19"/>
              <w:jc w:val="center"/>
              <w:textAlignment w:val="baseline"/>
              <w:rPr>
                <w:rFonts w:ascii="Cambria" w:hAnsi="Cambria"/>
                <w:sz w:val="20"/>
                <w:szCs w:val="20"/>
              </w:rPr>
            </w:pPr>
            <w:r w:rsidRPr="00E04D0B">
              <w:rPr>
                <w:rFonts w:ascii="Cambria" w:hAnsi="Cambria"/>
                <w:sz w:val="20"/>
                <w:szCs w:val="20"/>
              </w:rPr>
              <w:t>12.5</w:t>
            </w:r>
          </w:p>
        </w:tc>
      </w:tr>
      <w:tr w:rsidR="001E1900" w:rsidRPr="00E04D0B" w14:paraId="5684DD86" w14:textId="77777777" w:rsidTr="00D23C64">
        <w:trPr>
          <w:gridAfter w:val="1"/>
          <w:wAfter w:w="10" w:type="pct"/>
          <w:trHeight w:hRule="exact" w:val="370"/>
        </w:trPr>
        <w:tc>
          <w:tcPr>
            <w:tcW w:w="954" w:type="pct"/>
            <w:gridSpan w:val="3"/>
            <w:tcBorders>
              <w:top w:val="single" w:sz="4" w:space="0" w:color="auto"/>
              <w:left w:val="single" w:sz="4" w:space="0" w:color="auto"/>
              <w:bottom w:val="single" w:sz="4" w:space="0" w:color="auto"/>
              <w:right w:val="single" w:sz="4" w:space="0" w:color="auto"/>
            </w:tcBorders>
            <w:vAlign w:val="center"/>
          </w:tcPr>
          <w:p w14:paraId="13D464D3" w14:textId="77777777" w:rsidR="001E1900" w:rsidRPr="00E04D0B" w:rsidRDefault="001E1900" w:rsidP="001E1900">
            <w:pPr>
              <w:pStyle w:val="Style"/>
              <w:ind w:left="298"/>
              <w:textAlignment w:val="baseline"/>
              <w:rPr>
                <w:rFonts w:ascii="Cambria" w:hAnsi="Cambria"/>
                <w:sz w:val="20"/>
                <w:szCs w:val="20"/>
              </w:rPr>
            </w:pPr>
            <w:r w:rsidRPr="00E04D0B">
              <w:rPr>
                <w:rFonts w:ascii="Cambria" w:hAnsi="Cambria"/>
                <w:sz w:val="20"/>
                <w:szCs w:val="20"/>
              </w:rPr>
              <w:t>Min, max</w:t>
            </w:r>
          </w:p>
        </w:tc>
        <w:tc>
          <w:tcPr>
            <w:tcW w:w="865" w:type="pct"/>
            <w:tcBorders>
              <w:top w:val="single" w:sz="4" w:space="0" w:color="auto"/>
              <w:left w:val="single" w:sz="4" w:space="0" w:color="auto"/>
              <w:bottom w:val="single" w:sz="4" w:space="0" w:color="auto"/>
              <w:right w:val="single" w:sz="4" w:space="0" w:color="auto"/>
            </w:tcBorders>
            <w:vAlign w:val="center"/>
          </w:tcPr>
          <w:p w14:paraId="562CA6F4" w14:textId="77777777" w:rsidR="001E1900" w:rsidRPr="00E04D0B" w:rsidRDefault="001E1900" w:rsidP="001E1900">
            <w:pPr>
              <w:pStyle w:val="Style"/>
              <w:ind w:left="24"/>
              <w:jc w:val="center"/>
              <w:textAlignment w:val="baseline"/>
              <w:rPr>
                <w:rFonts w:ascii="Cambria" w:hAnsi="Cambria"/>
                <w:sz w:val="20"/>
                <w:szCs w:val="20"/>
              </w:rPr>
            </w:pPr>
            <w:r w:rsidRPr="00E04D0B">
              <w:rPr>
                <w:rFonts w:ascii="Cambria" w:hAnsi="Cambria"/>
                <w:sz w:val="20"/>
                <w:szCs w:val="20"/>
              </w:rPr>
              <w:t>0, 100</w:t>
            </w:r>
          </w:p>
        </w:tc>
        <w:tc>
          <w:tcPr>
            <w:tcW w:w="912" w:type="pct"/>
            <w:gridSpan w:val="2"/>
            <w:tcBorders>
              <w:top w:val="single" w:sz="4" w:space="0" w:color="auto"/>
              <w:left w:val="single" w:sz="4" w:space="0" w:color="auto"/>
              <w:bottom w:val="single" w:sz="4" w:space="0" w:color="auto"/>
              <w:right w:val="single" w:sz="4" w:space="0" w:color="auto"/>
            </w:tcBorders>
            <w:vAlign w:val="center"/>
          </w:tcPr>
          <w:p w14:paraId="0A0DB03E" w14:textId="77777777" w:rsidR="001E1900" w:rsidRPr="00E04D0B" w:rsidRDefault="001E1900" w:rsidP="001E1900">
            <w:pPr>
              <w:pStyle w:val="Style"/>
              <w:ind w:left="14"/>
              <w:jc w:val="center"/>
              <w:textAlignment w:val="baseline"/>
              <w:rPr>
                <w:rFonts w:ascii="Cambria" w:hAnsi="Cambria"/>
                <w:sz w:val="20"/>
                <w:szCs w:val="20"/>
              </w:rPr>
            </w:pPr>
            <w:r w:rsidRPr="00E04D0B">
              <w:rPr>
                <w:rFonts w:ascii="Cambria" w:hAnsi="Cambria"/>
                <w:sz w:val="20"/>
                <w:szCs w:val="20"/>
              </w:rPr>
              <w:t>0, 100</w:t>
            </w:r>
          </w:p>
        </w:tc>
        <w:tc>
          <w:tcPr>
            <w:tcW w:w="806" w:type="pct"/>
            <w:gridSpan w:val="3"/>
            <w:tcBorders>
              <w:top w:val="single" w:sz="4" w:space="0" w:color="auto"/>
              <w:left w:val="single" w:sz="4" w:space="0" w:color="auto"/>
              <w:bottom w:val="single" w:sz="4" w:space="0" w:color="auto"/>
              <w:right w:val="single" w:sz="4" w:space="0" w:color="auto"/>
            </w:tcBorders>
            <w:vAlign w:val="center"/>
          </w:tcPr>
          <w:p w14:paraId="4A2EE695" w14:textId="77777777" w:rsidR="001E1900" w:rsidRPr="00E04D0B" w:rsidRDefault="001E1900" w:rsidP="001E1900">
            <w:pPr>
              <w:pStyle w:val="Style"/>
              <w:ind w:left="14"/>
              <w:jc w:val="center"/>
              <w:textAlignment w:val="baseline"/>
              <w:rPr>
                <w:rFonts w:ascii="Cambria" w:hAnsi="Cambria"/>
                <w:sz w:val="20"/>
                <w:szCs w:val="20"/>
              </w:rPr>
            </w:pPr>
            <w:r w:rsidRPr="00E04D0B">
              <w:rPr>
                <w:rFonts w:ascii="Cambria" w:hAnsi="Cambria"/>
                <w:sz w:val="20"/>
                <w:szCs w:val="20"/>
              </w:rPr>
              <w:t>0, 100</w:t>
            </w:r>
          </w:p>
        </w:tc>
        <w:tc>
          <w:tcPr>
            <w:tcW w:w="749" w:type="pct"/>
            <w:gridSpan w:val="2"/>
            <w:tcBorders>
              <w:top w:val="single" w:sz="4" w:space="0" w:color="auto"/>
              <w:left w:val="single" w:sz="4" w:space="0" w:color="auto"/>
              <w:bottom w:val="single" w:sz="4" w:space="0" w:color="auto"/>
              <w:right w:val="single" w:sz="4" w:space="0" w:color="auto"/>
            </w:tcBorders>
            <w:vAlign w:val="center"/>
          </w:tcPr>
          <w:p w14:paraId="0450B47B" w14:textId="77777777" w:rsidR="001E1900" w:rsidRPr="00E04D0B" w:rsidRDefault="001E1900" w:rsidP="001E1900">
            <w:pPr>
              <w:pStyle w:val="Style"/>
              <w:ind w:left="24"/>
              <w:jc w:val="center"/>
              <w:textAlignment w:val="baseline"/>
              <w:rPr>
                <w:rFonts w:ascii="Cambria" w:hAnsi="Cambria"/>
                <w:sz w:val="20"/>
                <w:szCs w:val="20"/>
              </w:rPr>
            </w:pPr>
            <w:r w:rsidRPr="00E04D0B">
              <w:rPr>
                <w:rFonts w:ascii="Cambria" w:hAnsi="Cambria"/>
                <w:sz w:val="20"/>
                <w:szCs w:val="20"/>
              </w:rPr>
              <w:t>0, 100</w:t>
            </w:r>
          </w:p>
        </w:tc>
        <w:tc>
          <w:tcPr>
            <w:tcW w:w="704" w:type="pct"/>
            <w:tcBorders>
              <w:top w:val="single" w:sz="4" w:space="0" w:color="auto"/>
              <w:left w:val="single" w:sz="4" w:space="0" w:color="auto"/>
              <w:bottom w:val="single" w:sz="4" w:space="0" w:color="auto"/>
              <w:right w:val="single" w:sz="4" w:space="0" w:color="auto"/>
            </w:tcBorders>
            <w:vAlign w:val="center"/>
          </w:tcPr>
          <w:p w14:paraId="272877B3" w14:textId="77777777" w:rsidR="001E1900" w:rsidRPr="00E04D0B" w:rsidRDefault="001E1900" w:rsidP="001E1900">
            <w:pPr>
              <w:pStyle w:val="Style"/>
              <w:ind w:left="19"/>
              <w:jc w:val="center"/>
              <w:textAlignment w:val="baseline"/>
              <w:rPr>
                <w:rFonts w:ascii="Cambria" w:hAnsi="Cambria"/>
                <w:sz w:val="20"/>
                <w:szCs w:val="20"/>
              </w:rPr>
            </w:pPr>
            <w:r w:rsidRPr="00E04D0B">
              <w:rPr>
                <w:rFonts w:ascii="Cambria" w:hAnsi="Cambria"/>
                <w:sz w:val="20"/>
                <w:szCs w:val="20"/>
              </w:rPr>
              <w:t>0, 100</w:t>
            </w:r>
          </w:p>
        </w:tc>
      </w:tr>
      <w:tr w:rsidR="001E1900" w:rsidRPr="00E04D0B" w14:paraId="575E1271" w14:textId="77777777" w:rsidTr="00850F6B">
        <w:trPr>
          <w:gridAfter w:val="1"/>
          <w:wAfter w:w="10" w:type="pct"/>
          <w:trHeight w:hRule="exact" w:val="540"/>
        </w:trPr>
        <w:tc>
          <w:tcPr>
            <w:tcW w:w="4990" w:type="pct"/>
            <w:gridSpan w:val="12"/>
            <w:tcBorders>
              <w:top w:val="single" w:sz="4" w:space="0" w:color="auto"/>
              <w:left w:val="single" w:sz="4" w:space="0" w:color="auto"/>
              <w:bottom w:val="single" w:sz="4" w:space="0" w:color="auto"/>
              <w:right w:val="single" w:sz="4" w:space="0" w:color="auto"/>
            </w:tcBorders>
            <w:vAlign w:val="center"/>
          </w:tcPr>
          <w:p w14:paraId="7CF17D3A" w14:textId="04BC7803" w:rsidR="001E1900" w:rsidRPr="00E04D0B" w:rsidRDefault="001E1900" w:rsidP="009B153D">
            <w:pPr>
              <w:pStyle w:val="Style"/>
              <w:textAlignment w:val="baseline"/>
              <w:rPr>
                <w:rFonts w:ascii="Cambria" w:hAnsi="Cambria"/>
                <w:sz w:val="20"/>
                <w:szCs w:val="20"/>
              </w:rPr>
            </w:pPr>
            <w:r w:rsidRPr="00E04D0B">
              <w:rPr>
                <w:rFonts w:ascii="Cambria" w:hAnsi="Cambria"/>
                <w:sz w:val="20"/>
                <w:szCs w:val="20"/>
              </w:rPr>
              <w:t>DLQI total score</w:t>
            </w:r>
          </w:p>
        </w:tc>
      </w:tr>
      <w:tr w:rsidR="001E1900" w:rsidRPr="00E04D0B" w14:paraId="3C7CF8EA" w14:textId="77777777" w:rsidTr="00D23C64">
        <w:trPr>
          <w:gridAfter w:val="1"/>
          <w:wAfter w:w="10" w:type="pct"/>
          <w:trHeight w:hRule="exact" w:val="384"/>
        </w:trPr>
        <w:tc>
          <w:tcPr>
            <w:tcW w:w="954" w:type="pct"/>
            <w:gridSpan w:val="3"/>
            <w:tcBorders>
              <w:top w:val="single" w:sz="4" w:space="0" w:color="auto"/>
              <w:left w:val="single" w:sz="4" w:space="0" w:color="auto"/>
              <w:bottom w:val="single" w:sz="4" w:space="0" w:color="auto"/>
              <w:right w:val="single" w:sz="4" w:space="0" w:color="auto"/>
            </w:tcBorders>
            <w:vAlign w:val="center"/>
          </w:tcPr>
          <w:p w14:paraId="4EF65EBA" w14:textId="77777777" w:rsidR="001E1900" w:rsidRPr="00E04D0B" w:rsidRDefault="001E1900" w:rsidP="001E1900">
            <w:pPr>
              <w:pStyle w:val="Style"/>
              <w:ind w:left="298"/>
              <w:textAlignment w:val="baseline"/>
              <w:rPr>
                <w:rFonts w:ascii="Cambria" w:hAnsi="Cambria"/>
                <w:sz w:val="20"/>
                <w:szCs w:val="20"/>
              </w:rPr>
            </w:pPr>
            <w:r w:rsidRPr="00E04D0B">
              <w:rPr>
                <w:rFonts w:ascii="Cambria" w:hAnsi="Cambria"/>
                <w:sz w:val="20"/>
                <w:szCs w:val="20"/>
              </w:rPr>
              <w:t>n</w:t>
            </w:r>
          </w:p>
        </w:tc>
        <w:tc>
          <w:tcPr>
            <w:tcW w:w="865" w:type="pct"/>
            <w:tcBorders>
              <w:top w:val="single" w:sz="4" w:space="0" w:color="auto"/>
              <w:left w:val="single" w:sz="4" w:space="0" w:color="auto"/>
              <w:bottom w:val="single" w:sz="4" w:space="0" w:color="auto"/>
              <w:right w:val="single" w:sz="4" w:space="0" w:color="auto"/>
            </w:tcBorders>
            <w:vAlign w:val="center"/>
          </w:tcPr>
          <w:p w14:paraId="5C9CF211" w14:textId="77777777" w:rsidR="001E1900" w:rsidRPr="00E04D0B" w:rsidRDefault="001E1900" w:rsidP="001E1900">
            <w:pPr>
              <w:pStyle w:val="Style"/>
              <w:ind w:left="24"/>
              <w:jc w:val="center"/>
              <w:textAlignment w:val="baseline"/>
              <w:rPr>
                <w:rFonts w:ascii="Cambria" w:hAnsi="Cambria"/>
                <w:sz w:val="20"/>
                <w:szCs w:val="20"/>
              </w:rPr>
            </w:pPr>
            <w:r w:rsidRPr="00E04D0B">
              <w:rPr>
                <w:rFonts w:ascii="Cambria" w:hAnsi="Cambria"/>
                <w:sz w:val="20"/>
                <w:szCs w:val="20"/>
              </w:rPr>
              <w:t>161</w:t>
            </w:r>
          </w:p>
        </w:tc>
        <w:tc>
          <w:tcPr>
            <w:tcW w:w="912" w:type="pct"/>
            <w:gridSpan w:val="2"/>
            <w:tcBorders>
              <w:top w:val="single" w:sz="4" w:space="0" w:color="auto"/>
              <w:left w:val="single" w:sz="4" w:space="0" w:color="auto"/>
              <w:bottom w:val="single" w:sz="4" w:space="0" w:color="auto"/>
              <w:right w:val="single" w:sz="4" w:space="0" w:color="auto"/>
            </w:tcBorders>
            <w:vAlign w:val="center"/>
          </w:tcPr>
          <w:p w14:paraId="0BFF509E" w14:textId="77777777" w:rsidR="001E1900" w:rsidRPr="00E04D0B" w:rsidRDefault="001E1900" w:rsidP="001E1900">
            <w:pPr>
              <w:pStyle w:val="Style"/>
              <w:ind w:left="14"/>
              <w:jc w:val="center"/>
              <w:textAlignment w:val="baseline"/>
              <w:rPr>
                <w:rFonts w:ascii="Cambria" w:hAnsi="Cambria"/>
                <w:sz w:val="20"/>
                <w:szCs w:val="20"/>
              </w:rPr>
            </w:pPr>
            <w:r w:rsidRPr="00E04D0B">
              <w:rPr>
                <w:rFonts w:ascii="Cambria" w:hAnsi="Cambria"/>
                <w:sz w:val="20"/>
                <w:szCs w:val="20"/>
              </w:rPr>
              <w:t>158</w:t>
            </w:r>
          </w:p>
        </w:tc>
        <w:tc>
          <w:tcPr>
            <w:tcW w:w="806" w:type="pct"/>
            <w:gridSpan w:val="3"/>
            <w:tcBorders>
              <w:top w:val="single" w:sz="4" w:space="0" w:color="auto"/>
              <w:left w:val="single" w:sz="4" w:space="0" w:color="auto"/>
              <w:bottom w:val="single" w:sz="4" w:space="0" w:color="auto"/>
              <w:right w:val="single" w:sz="4" w:space="0" w:color="auto"/>
            </w:tcBorders>
            <w:vAlign w:val="center"/>
          </w:tcPr>
          <w:p w14:paraId="5CC47A17" w14:textId="77777777" w:rsidR="001E1900" w:rsidRPr="00E04D0B" w:rsidRDefault="001E1900" w:rsidP="001E1900">
            <w:pPr>
              <w:pStyle w:val="Style"/>
              <w:ind w:left="14"/>
              <w:jc w:val="center"/>
              <w:textAlignment w:val="baseline"/>
              <w:rPr>
                <w:rFonts w:ascii="Cambria" w:hAnsi="Cambria"/>
                <w:sz w:val="20"/>
                <w:szCs w:val="20"/>
              </w:rPr>
            </w:pPr>
            <w:r w:rsidRPr="00E04D0B">
              <w:rPr>
                <w:rFonts w:ascii="Cambria" w:hAnsi="Cambria"/>
                <w:sz w:val="20"/>
                <w:szCs w:val="20"/>
              </w:rPr>
              <w:t>319</w:t>
            </w:r>
          </w:p>
        </w:tc>
        <w:tc>
          <w:tcPr>
            <w:tcW w:w="749" w:type="pct"/>
            <w:gridSpan w:val="2"/>
            <w:tcBorders>
              <w:top w:val="single" w:sz="4" w:space="0" w:color="auto"/>
              <w:left w:val="single" w:sz="4" w:space="0" w:color="auto"/>
              <w:bottom w:val="single" w:sz="4" w:space="0" w:color="auto"/>
              <w:right w:val="single" w:sz="4" w:space="0" w:color="auto"/>
            </w:tcBorders>
            <w:vAlign w:val="center"/>
          </w:tcPr>
          <w:p w14:paraId="788CA323" w14:textId="77777777" w:rsidR="001E1900" w:rsidRPr="00E04D0B" w:rsidRDefault="001E1900" w:rsidP="001E1900">
            <w:pPr>
              <w:pStyle w:val="Style"/>
              <w:ind w:left="24"/>
              <w:jc w:val="center"/>
              <w:textAlignment w:val="baseline"/>
              <w:rPr>
                <w:rFonts w:ascii="Cambria" w:hAnsi="Cambria"/>
                <w:sz w:val="20"/>
                <w:szCs w:val="20"/>
              </w:rPr>
            </w:pPr>
            <w:r w:rsidRPr="00E04D0B">
              <w:rPr>
                <w:rFonts w:ascii="Cambria" w:hAnsi="Cambria"/>
                <w:sz w:val="20"/>
                <w:szCs w:val="20"/>
              </w:rPr>
              <w:t>159</w:t>
            </w:r>
          </w:p>
        </w:tc>
        <w:tc>
          <w:tcPr>
            <w:tcW w:w="704" w:type="pct"/>
            <w:tcBorders>
              <w:top w:val="single" w:sz="4" w:space="0" w:color="auto"/>
              <w:left w:val="single" w:sz="4" w:space="0" w:color="auto"/>
              <w:bottom w:val="single" w:sz="4" w:space="0" w:color="auto"/>
              <w:right w:val="single" w:sz="4" w:space="0" w:color="auto"/>
            </w:tcBorders>
            <w:vAlign w:val="center"/>
          </w:tcPr>
          <w:p w14:paraId="465B6D4D" w14:textId="77777777" w:rsidR="001E1900" w:rsidRPr="00E04D0B" w:rsidRDefault="001E1900" w:rsidP="001E1900">
            <w:pPr>
              <w:pStyle w:val="Style"/>
              <w:ind w:left="19"/>
              <w:jc w:val="center"/>
              <w:textAlignment w:val="baseline"/>
              <w:rPr>
                <w:rFonts w:ascii="Cambria" w:hAnsi="Cambria"/>
                <w:sz w:val="20"/>
                <w:szCs w:val="20"/>
              </w:rPr>
            </w:pPr>
            <w:r w:rsidRPr="00E04D0B">
              <w:rPr>
                <w:rFonts w:ascii="Cambria" w:hAnsi="Cambria"/>
                <w:sz w:val="20"/>
                <w:szCs w:val="20"/>
              </w:rPr>
              <w:t>478</w:t>
            </w:r>
          </w:p>
        </w:tc>
      </w:tr>
      <w:tr w:rsidR="001E1900" w:rsidRPr="00E04D0B" w14:paraId="5B0BBA35" w14:textId="77777777" w:rsidTr="00D23C64">
        <w:trPr>
          <w:gridAfter w:val="1"/>
          <w:wAfter w:w="10" w:type="pct"/>
          <w:trHeight w:hRule="exact" w:val="384"/>
        </w:trPr>
        <w:tc>
          <w:tcPr>
            <w:tcW w:w="954" w:type="pct"/>
            <w:gridSpan w:val="3"/>
            <w:tcBorders>
              <w:top w:val="single" w:sz="4" w:space="0" w:color="auto"/>
              <w:left w:val="single" w:sz="4" w:space="0" w:color="auto"/>
              <w:bottom w:val="single" w:sz="4" w:space="0" w:color="auto"/>
              <w:right w:val="single" w:sz="4" w:space="0" w:color="auto"/>
            </w:tcBorders>
            <w:vAlign w:val="center"/>
          </w:tcPr>
          <w:p w14:paraId="21660FF6" w14:textId="77777777" w:rsidR="001E1900" w:rsidRPr="00E04D0B" w:rsidRDefault="001E1900" w:rsidP="001E1900">
            <w:pPr>
              <w:pStyle w:val="Style"/>
              <w:ind w:left="298"/>
              <w:textAlignment w:val="baseline"/>
              <w:rPr>
                <w:rFonts w:ascii="Cambria" w:hAnsi="Cambria"/>
                <w:sz w:val="20"/>
                <w:szCs w:val="20"/>
              </w:rPr>
            </w:pPr>
            <w:r w:rsidRPr="00E04D0B">
              <w:rPr>
                <w:rFonts w:ascii="Cambria" w:hAnsi="Cambria"/>
                <w:sz w:val="20"/>
                <w:szCs w:val="20"/>
              </w:rPr>
              <w:t>Mean (SD)</w:t>
            </w:r>
          </w:p>
        </w:tc>
        <w:tc>
          <w:tcPr>
            <w:tcW w:w="865" w:type="pct"/>
            <w:tcBorders>
              <w:top w:val="single" w:sz="4" w:space="0" w:color="auto"/>
              <w:left w:val="single" w:sz="4" w:space="0" w:color="auto"/>
              <w:bottom w:val="single" w:sz="4" w:space="0" w:color="auto"/>
              <w:right w:val="single" w:sz="4" w:space="0" w:color="auto"/>
            </w:tcBorders>
            <w:vAlign w:val="center"/>
          </w:tcPr>
          <w:p w14:paraId="637F19DF" w14:textId="77777777" w:rsidR="001E1900" w:rsidRPr="00E04D0B" w:rsidRDefault="001E1900" w:rsidP="001E1900">
            <w:pPr>
              <w:pStyle w:val="Style"/>
              <w:ind w:left="24"/>
              <w:jc w:val="center"/>
              <w:textAlignment w:val="baseline"/>
              <w:rPr>
                <w:rFonts w:ascii="Cambria" w:hAnsi="Cambria"/>
                <w:sz w:val="20"/>
                <w:szCs w:val="20"/>
              </w:rPr>
            </w:pPr>
            <w:r w:rsidRPr="00E04D0B">
              <w:rPr>
                <w:rFonts w:ascii="Cambria" w:hAnsi="Cambria"/>
                <w:sz w:val="20"/>
                <w:szCs w:val="20"/>
              </w:rPr>
              <w:t>10.8 (6.2)</w:t>
            </w:r>
          </w:p>
        </w:tc>
        <w:tc>
          <w:tcPr>
            <w:tcW w:w="912" w:type="pct"/>
            <w:gridSpan w:val="2"/>
            <w:tcBorders>
              <w:top w:val="single" w:sz="4" w:space="0" w:color="auto"/>
              <w:left w:val="single" w:sz="4" w:space="0" w:color="auto"/>
              <w:bottom w:val="single" w:sz="4" w:space="0" w:color="auto"/>
              <w:right w:val="single" w:sz="4" w:space="0" w:color="auto"/>
            </w:tcBorders>
            <w:vAlign w:val="center"/>
          </w:tcPr>
          <w:p w14:paraId="1E10611F" w14:textId="77777777" w:rsidR="001E1900" w:rsidRPr="00E04D0B" w:rsidRDefault="001E1900" w:rsidP="001E1900">
            <w:pPr>
              <w:pStyle w:val="Style"/>
              <w:ind w:left="14"/>
              <w:jc w:val="center"/>
              <w:textAlignment w:val="baseline"/>
              <w:rPr>
                <w:rFonts w:ascii="Cambria" w:hAnsi="Cambria"/>
                <w:sz w:val="20"/>
                <w:szCs w:val="20"/>
              </w:rPr>
            </w:pPr>
            <w:r w:rsidRPr="00E04D0B">
              <w:rPr>
                <w:rFonts w:ascii="Cambria" w:hAnsi="Cambria"/>
                <w:sz w:val="20"/>
                <w:szCs w:val="20"/>
              </w:rPr>
              <w:t>11.1 (6.5)</w:t>
            </w:r>
          </w:p>
        </w:tc>
        <w:tc>
          <w:tcPr>
            <w:tcW w:w="806" w:type="pct"/>
            <w:gridSpan w:val="3"/>
            <w:tcBorders>
              <w:top w:val="single" w:sz="4" w:space="0" w:color="auto"/>
              <w:left w:val="single" w:sz="4" w:space="0" w:color="auto"/>
              <w:bottom w:val="single" w:sz="4" w:space="0" w:color="auto"/>
              <w:right w:val="single" w:sz="4" w:space="0" w:color="auto"/>
            </w:tcBorders>
            <w:vAlign w:val="center"/>
          </w:tcPr>
          <w:p w14:paraId="756AA552" w14:textId="77777777" w:rsidR="001E1900" w:rsidRPr="00E04D0B" w:rsidRDefault="001E1900" w:rsidP="001E1900">
            <w:pPr>
              <w:pStyle w:val="Style"/>
              <w:ind w:left="14"/>
              <w:jc w:val="center"/>
              <w:textAlignment w:val="baseline"/>
              <w:rPr>
                <w:rFonts w:ascii="Cambria" w:hAnsi="Cambria"/>
                <w:sz w:val="20"/>
                <w:szCs w:val="20"/>
              </w:rPr>
            </w:pPr>
            <w:r w:rsidRPr="00E04D0B">
              <w:rPr>
                <w:rFonts w:ascii="Cambria" w:hAnsi="Cambria"/>
                <w:sz w:val="20"/>
                <w:szCs w:val="20"/>
              </w:rPr>
              <w:t>10.9 (6.3)</w:t>
            </w:r>
          </w:p>
        </w:tc>
        <w:tc>
          <w:tcPr>
            <w:tcW w:w="749" w:type="pct"/>
            <w:gridSpan w:val="2"/>
            <w:tcBorders>
              <w:top w:val="single" w:sz="4" w:space="0" w:color="auto"/>
              <w:left w:val="single" w:sz="4" w:space="0" w:color="auto"/>
              <w:bottom w:val="single" w:sz="4" w:space="0" w:color="auto"/>
              <w:right w:val="single" w:sz="4" w:space="0" w:color="auto"/>
            </w:tcBorders>
            <w:vAlign w:val="center"/>
          </w:tcPr>
          <w:p w14:paraId="17552A6F" w14:textId="77777777" w:rsidR="001E1900" w:rsidRPr="00E04D0B" w:rsidRDefault="001E1900" w:rsidP="001E1900">
            <w:pPr>
              <w:pStyle w:val="Style"/>
              <w:ind w:left="24"/>
              <w:jc w:val="center"/>
              <w:textAlignment w:val="baseline"/>
              <w:rPr>
                <w:rFonts w:ascii="Cambria" w:hAnsi="Cambria"/>
                <w:sz w:val="20"/>
                <w:szCs w:val="20"/>
              </w:rPr>
            </w:pPr>
            <w:r w:rsidRPr="00E04D0B">
              <w:rPr>
                <w:rFonts w:ascii="Cambria" w:hAnsi="Cambria"/>
                <w:sz w:val="20"/>
                <w:szCs w:val="20"/>
              </w:rPr>
              <w:t>10.5 (7.4)</w:t>
            </w:r>
          </w:p>
        </w:tc>
        <w:tc>
          <w:tcPr>
            <w:tcW w:w="704" w:type="pct"/>
            <w:tcBorders>
              <w:top w:val="single" w:sz="4" w:space="0" w:color="auto"/>
              <w:left w:val="single" w:sz="4" w:space="0" w:color="auto"/>
              <w:bottom w:val="single" w:sz="4" w:space="0" w:color="auto"/>
              <w:right w:val="single" w:sz="4" w:space="0" w:color="auto"/>
            </w:tcBorders>
            <w:vAlign w:val="center"/>
          </w:tcPr>
          <w:p w14:paraId="3949B0AD" w14:textId="77777777" w:rsidR="001E1900" w:rsidRPr="00E04D0B" w:rsidRDefault="001E1900" w:rsidP="001E1900">
            <w:pPr>
              <w:pStyle w:val="Style"/>
              <w:ind w:left="19"/>
              <w:jc w:val="center"/>
              <w:textAlignment w:val="baseline"/>
              <w:rPr>
                <w:rFonts w:ascii="Cambria" w:hAnsi="Cambria"/>
                <w:sz w:val="20"/>
                <w:szCs w:val="20"/>
              </w:rPr>
            </w:pPr>
            <w:r w:rsidRPr="00E04D0B">
              <w:rPr>
                <w:rFonts w:ascii="Cambria" w:hAnsi="Cambria"/>
                <w:sz w:val="20"/>
                <w:szCs w:val="20"/>
              </w:rPr>
              <w:t>10.8 (6.7)</w:t>
            </w:r>
          </w:p>
        </w:tc>
      </w:tr>
      <w:tr w:rsidR="001E1900" w:rsidRPr="00E04D0B" w14:paraId="4273896F" w14:textId="77777777" w:rsidTr="00D23C64">
        <w:trPr>
          <w:gridAfter w:val="1"/>
          <w:wAfter w:w="10" w:type="pct"/>
          <w:trHeight w:hRule="exact" w:val="384"/>
        </w:trPr>
        <w:tc>
          <w:tcPr>
            <w:tcW w:w="954" w:type="pct"/>
            <w:gridSpan w:val="3"/>
            <w:tcBorders>
              <w:top w:val="single" w:sz="4" w:space="0" w:color="auto"/>
              <w:left w:val="single" w:sz="4" w:space="0" w:color="auto"/>
              <w:bottom w:val="single" w:sz="4" w:space="0" w:color="auto"/>
              <w:right w:val="single" w:sz="4" w:space="0" w:color="auto"/>
            </w:tcBorders>
            <w:vAlign w:val="center"/>
          </w:tcPr>
          <w:p w14:paraId="6BF36987" w14:textId="77777777" w:rsidR="001E1900" w:rsidRPr="00E04D0B" w:rsidRDefault="001E1900" w:rsidP="001E1900">
            <w:pPr>
              <w:pStyle w:val="Style"/>
              <w:ind w:left="298"/>
              <w:textAlignment w:val="baseline"/>
              <w:rPr>
                <w:rFonts w:ascii="Cambria" w:hAnsi="Cambria"/>
                <w:sz w:val="20"/>
                <w:szCs w:val="20"/>
              </w:rPr>
            </w:pPr>
            <w:r w:rsidRPr="00E04D0B">
              <w:rPr>
                <w:rFonts w:ascii="Cambria" w:hAnsi="Cambria"/>
                <w:sz w:val="20"/>
                <w:szCs w:val="20"/>
              </w:rPr>
              <w:t>Median</w:t>
            </w:r>
          </w:p>
        </w:tc>
        <w:tc>
          <w:tcPr>
            <w:tcW w:w="865" w:type="pct"/>
            <w:tcBorders>
              <w:top w:val="single" w:sz="4" w:space="0" w:color="auto"/>
              <w:left w:val="single" w:sz="4" w:space="0" w:color="auto"/>
              <w:bottom w:val="single" w:sz="4" w:space="0" w:color="auto"/>
              <w:right w:val="single" w:sz="4" w:space="0" w:color="auto"/>
            </w:tcBorders>
            <w:vAlign w:val="center"/>
          </w:tcPr>
          <w:p w14:paraId="74245DEB" w14:textId="77777777" w:rsidR="001E1900" w:rsidRPr="00E04D0B" w:rsidRDefault="001E1900" w:rsidP="001E1900">
            <w:pPr>
              <w:pStyle w:val="Style"/>
              <w:ind w:left="24"/>
              <w:jc w:val="center"/>
              <w:textAlignment w:val="baseline"/>
              <w:rPr>
                <w:rFonts w:ascii="Cambria" w:hAnsi="Cambria"/>
                <w:sz w:val="20"/>
                <w:szCs w:val="20"/>
              </w:rPr>
            </w:pPr>
            <w:r w:rsidRPr="00E04D0B">
              <w:rPr>
                <w:rFonts w:ascii="Cambria" w:hAnsi="Cambria"/>
                <w:sz w:val="20"/>
                <w:szCs w:val="20"/>
              </w:rPr>
              <w:t>10.0</w:t>
            </w:r>
          </w:p>
        </w:tc>
        <w:tc>
          <w:tcPr>
            <w:tcW w:w="912" w:type="pct"/>
            <w:gridSpan w:val="2"/>
            <w:tcBorders>
              <w:top w:val="single" w:sz="4" w:space="0" w:color="auto"/>
              <w:left w:val="single" w:sz="4" w:space="0" w:color="auto"/>
              <w:bottom w:val="single" w:sz="4" w:space="0" w:color="auto"/>
              <w:right w:val="single" w:sz="4" w:space="0" w:color="auto"/>
            </w:tcBorders>
            <w:vAlign w:val="center"/>
          </w:tcPr>
          <w:p w14:paraId="32340692" w14:textId="77777777" w:rsidR="001E1900" w:rsidRPr="00E04D0B" w:rsidRDefault="001E1900" w:rsidP="001E1900">
            <w:pPr>
              <w:pStyle w:val="Style"/>
              <w:ind w:left="14"/>
              <w:jc w:val="center"/>
              <w:textAlignment w:val="baseline"/>
              <w:rPr>
                <w:rFonts w:ascii="Cambria" w:hAnsi="Cambria"/>
                <w:sz w:val="20"/>
                <w:szCs w:val="20"/>
              </w:rPr>
            </w:pPr>
            <w:r w:rsidRPr="00E04D0B">
              <w:rPr>
                <w:rFonts w:ascii="Cambria" w:hAnsi="Cambria"/>
                <w:sz w:val="20"/>
                <w:szCs w:val="20"/>
              </w:rPr>
              <w:t>10.0</w:t>
            </w:r>
          </w:p>
        </w:tc>
        <w:tc>
          <w:tcPr>
            <w:tcW w:w="806" w:type="pct"/>
            <w:gridSpan w:val="3"/>
            <w:tcBorders>
              <w:top w:val="single" w:sz="4" w:space="0" w:color="auto"/>
              <w:left w:val="single" w:sz="4" w:space="0" w:color="auto"/>
              <w:bottom w:val="single" w:sz="4" w:space="0" w:color="auto"/>
              <w:right w:val="single" w:sz="4" w:space="0" w:color="auto"/>
            </w:tcBorders>
            <w:vAlign w:val="center"/>
          </w:tcPr>
          <w:p w14:paraId="10ECCECE" w14:textId="77777777" w:rsidR="001E1900" w:rsidRPr="00E04D0B" w:rsidRDefault="001E1900" w:rsidP="001E1900">
            <w:pPr>
              <w:pStyle w:val="Style"/>
              <w:ind w:left="14"/>
              <w:jc w:val="center"/>
              <w:textAlignment w:val="baseline"/>
              <w:rPr>
                <w:rFonts w:ascii="Cambria" w:hAnsi="Cambria"/>
                <w:sz w:val="20"/>
                <w:szCs w:val="20"/>
              </w:rPr>
            </w:pPr>
            <w:r w:rsidRPr="00E04D0B">
              <w:rPr>
                <w:rFonts w:ascii="Cambria" w:hAnsi="Cambria"/>
                <w:sz w:val="20"/>
                <w:szCs w:val="20"/>
              </w:rPr>
              <w:t>10.0</w:t>
            </w:r>
          </w:p>
        </w:tc>
        <w:tc>
          <w:tcPr>
            <w:tcW w:w="749" w:type="pct"/>
            <w:gridSpan w:val="2"/>
            <w:tcBorders>
              <w:top w:val="single" w:sz="4" w:space="0" w:color="auto"/>
              <w:left w:val="single" w:sz="4" w:space="0" w:color="auto"/>
              <w:bottom w:val="single" w:sz="4" w:space="0" w:color="auto"/>
              <w:right w:val="single" w:sz="4" w:space="0" w:color="auto"/>
            </w:tcBorders>
            <w:vAlign w:val="center"/>
          </w:tcPr>
          <w:p w14:paraId="67C67E6A" w14:textId="77777777" w:rsidR="001E1900" w:rsidRPr="00E04D0B" w:rsidRDefault="001E1900" w:rsidP="001E1900">
            <w:pPr>
              <w:pStyle w:val="Style"/>
              <w:ind w:left="24"/>
              <w:jc w:val="center"/>
              <w:textAlignment w:val="baseline"/>
              <w:rPr>
                <w:rFonts w:ascii="Cambria" w:hAnsi="Cambria"/>
                <w:sz w:val="20"/>
                <w:szCs w:val="20"/>
              </w:rPr>
            </w:pPr>
            <w:r w:rsidRPr="00E04D0B">
              <w:rPr>
                <w:rFonts w:ascii="Cambria" w:hAnsi="Cambria"/>
                <w:sz w:val="20"/>
                <w:szCs w:val="20"/>
              </w:rPr>
              <w:t>9.0</w:t>
            </w:r>
          </w:p>
        </w:tc>
        <w:tc>
          <w:tcPr>
            <w:tcW w:w="704" w:type="pct"/>
            <w:tcBorders>
              <w:top w:val="single" w:sz="4" w:space="0" w:color="auto"/>
              <w:left w:val="single" w:sz="4" w:space="0" w:color="auto"/>
              <w:bottom w:val="single" w:sz="4" w:space="0" w:color="auto"/>
              <w:right w:val="single" w:sz="4" w:space="0" w:color="auto"/>
            </w:tcBorders>
            <w:vAlign w:val="center"/>
          </w:tcPr>
          <w:p w14:paraId="44EC9095" w14:textId="77777777" w:rsidR="001E1900" w:rsidRPr="00E04D0B" w:rsidRDefault="001E1900" w:rsidP="001E1900">
            <w:pPr>
              <w:pStyle w:val="Style"/>
              <w:ind w:left="19"/>
              <w:jc w:val="center"/>
              <w:textAlignment w:val="baseline"/>
              <w:rPr>
                <w:rFonts w:ascii="Cambria" w:hAnsi="Cambria"/>
                <w:sz w:val="20"/>
                <w:szCs w:val="20"/>
              </w:rPr>
            </w:pPr>
            <w:r w:rsidRPr="00E04D0B">
              <w:rPr>
                <w:rFonts w:ascii="Cambria" w:hAnsi="Cambria"/>
                <w:sz w:val="20"/>
                <w:szCs w:val="20"/>
              </w:rPr>
              <w:t>10.0</w:t>
            </w:r>
          </w:p>
        </w:tc>
      </w:tr>
      <w:tr w:rsidR="001E1900" w:rsidRPr="00E04D0B" w14:paraId="4018606B" w14:textId="77777777" w:rsidTr="00D23C64">
        <w:trPr>
          <w:gridAfter w:val="1"/>
          <w:wAfter w:w="10" w:type="pct"/>
          <w:trHeight w:hRule="exact" w:val="379"/>
        </w:trPr>
        <w:tc>
          <w:tcPr>
            <w:tcW w:w="954" w:type="pct"/>
            <w:gridSpan w:val="3"/>
            <w:tcBorders>
              <w:top w:val="single" w:sz="4" w:space="0" w:color="auto"/>
              <w:left w:val="single" w:sz="4" w:space="0" w:color="auto"/>
              <w:bottom w:val="single" w:sz="4" w:space="0" w:color="auto"/>
              <w:right w:val="single" w:sz="4" w:space="0" w:color="auto"/>
            </w:tcBorders>
            <w:vAlign w:val="center"/>
          </w:tcPr>
          <w:p w14:paraId="656C30FA" w14:textId="77777777" w:rsidR="001E1900" w:rsidRPr="00E04D0B" w:rsidRDefault="001E1900" w:rsidP="001E1900">
            <w:pPr>
              <w:pStyle w:val="Style"/>
              <w:ind w:left="298"/>
              <w:textAlignment w:val="baseline"/>
              <w:rPr>
                <w:rFonts w:ascii="Cambria" w:hAnsi="Cambria"/>
                <w:sz w:val="20"/>
                <w:szCs w:val="20"/>
              </w:rPr>
            </w:pPr>
            <w:r w:rsidRPr="00E04D0B">
              <w:rPr>
                <w:rFonts w:ascii="Cambria" w:hAnsi="Cambria"/>
                <w:sz w:val="20"/>
                <w:szCs w:val="20"/>
              </w:rPr>
              <w:t>Min, max</w:t>
            </w:r>
          </w:p>
        </w:tc>
        <w:tc>
          <w:tcPr>
            <w:tcW w:w="865" w:type="pct"/>
            <w:tcBorders>
              <w:top w:val="single" w:sz="4" w:space="0" w:color="auto"/>
              <w:left w:val="single" w:sz="4" w:space="0" w:color="auto"/>
              <w:bottom w:val="single" w:sz="4" w:space="0" w:color="auto"/>
              <w:right w:val="single" w:sz="4" w:space="0" w:color="auto"/>
            </w:tcBorders>
            <w:vAlign w:val="center"/>
          </w:tcPr>
          <w:p w14:paraId="029FD5DE" w14:textId="77777777" w:rsidR="001E1900" w:rsidRPr="00E04D0B" w:rsidRDefault="001E1900" w:rsidP="001E1900">
            <w:pPr>
              <w:pStyle w:val="Style"/>
              <w:ind w:left="24"/>
              <w:jc w:val="center"/>
              <w:textAlignment w:val="baseline"/>
              <w:rPr>
                <w:rFonts w:ascii="Cambria" w:hAnsi="Cambria"/>
                <w:sz w:val="20"/>
                <w:szCs w:val="20"/>
              </w:rPr>
            </w:pPr>
            <w:r w:rsidRPr="00E04D0B">
              <w:rPr>
                <w:rFonts w:ascii="Cambria" w:hAnsi="Cambria"/>
                <w:sz w:val="20"/>
                <w:szCs w:val="20"/>
              </w:rPr>
              <w:t>0,28</w:t>
            </w:r>
          </w:p>
        </w:tc>
        <w:tc>
          <w:tcPr>
            <w:tcW w:w="912" w:type="pct"/>
            <w:gridSpan w:val="2"/>
            <w:tcBorders>
              <w:top w:val="single" w:sz="4" w:space="0" w:color="auto"/>
              <w:left w:val="single" w:sz="4" w:space="0" w:color="auto"/>
              <w:bottom w:val="single" w:sz="4" w:space="0" w:color="auto"/>
              <w:right w:val="single" w:sz="4" w:space="0" w:color="auto"/>
            </w:tcBorders>
            <w:vAlign w:val="center"/>
          </w:tcPr>
          <w:p w14:paraId="48DC6078" w14:textId="77777777" w:rsidR="001E1900" w:rsidRPr="00E04D0B" w:rsidRDefault="001E1900" w:rsidP="001E1900">
            <w:pPr>
              <w:pStyle w:val="Style"/>
              <w:ind w:left="14"/>
              <w:jc w:val="center"/>
              <w:textAlignment w:val="baseline"/>
              <w:rPr>
                <w:rFonts w:ascii="Cambria" w:hAnsi="Cambria"/>
                <w:sz w:val="20"/>
                <w:szCs w:val="20"/>
              </w:rPr>
            </w:pPr>
            <w:r w:rsidRPr="00E04D0B">
              <w:rPr>
                <w:rFonts w:ascii="Cambria" w:eastAsia="Arial" w:hAnsi="Cambria" w:cs="Arial"/>
                <w:b/>
                <w:w w:val="87"/>
                <w:sz w:val="20"/>
                <w:szCs w:val="20"/>
              </w:rPr>
              <w:t xml:space="preserve">1, </w:t>
            </w:r>
            <w:r w:rsidRPr="00E04D0B">
              <w:rPr>
                <w:rFonts w:ascii="Cambria" w:hAnsi="Cambria"/>
                <w:sz w:val="20"/>
                <w:szCs w:val="20"/>
              </w:rPr>
              <w:t>29</w:t>
            </w:r>
          </w:p>
        </w:tc>
        <w:tc>
          <w:tcPr>
            <w:tcW w:w="806" w:type="pct"/>
            <w:gridSpan w:val="3"/>
            <w:tcBorders>
              <w:top w:val="single" w:sz="4" w:space="0" w:color="auto"/>
              <w:left w:val="single" w:sz="4" w:space="0" w:color="auto"/>
              <w:bottom w:val="single" w:sz="4" w:space="0" w:color="auto"/>
              <w:right w:val="single" w:sz="4" w:space="0" w:color="auto"/>
            </w:tcBorders>
            <w:vAlign w:val="center"/>
          </w:tcPr>
          <w:p w14:paraId="496DA5A0" w14:textId="77777777" w:rsidR="001E1900" w:rsidRPr="00E04D0B" w:rsidRDefault="001E1900" w:rsidP="001E1900">
            <w:pPr>
              <w:pStyle w:val="Style"/>
              <w:ind w:left="14"/>
              <w:jc w:val="center"/>
              <w:textAlignment w:val="baseline"/>
              <w:rPr>
                <w:rFonts w:ascii="Cambria" w:hAnsi="Cambria"/>
                <w:sz w:val="20"/>
                <w:szCs w:val="20"/>
              </w:rPr>
            </w:pPr>
            <w:r w:rsidRPr="00E04D0B">
              <w:rPr>
                <w:rFonts w:ascii="Cambria" w:hAnsi="Cambria"/>
                <w:sz w:val="20"/>
                <w:szCs w:val="20"/>
              </w:rPr>
              <w:t>0,29</w:t>
            </w:r>
          </w:p>
        </w:tc>
        <w:tc>
          <w:tcPr>
            <w:tcW w:w="749" w:type="pct"/>
            <w:gridSpan w:val="2"/>
            <w:tcBorders>
              <w:top w:val="single" w:sz="4" w:space="0" w:color="auto"/>
              <w:left w:val="single" w:sz="4" w:space="0" w:color="auto"/>
              <w:bottom w:val="single" w:sz="4" w:space="0" w:color="auto"/>
              <w:right w:val="single" w:sz="4" w:space="0" w:color="auto"/>
            </w:tcBorders>
            <w:vAlign w:val="center"/>
          </w:tcPr>
          <w:p w14:paraId="0E77C74A" w14:textId="77777777" w:rsidR="001E1900" w:rsidRPr="00E04D0B" w:rsidRDefault="001E1900" w:rsidP="001E1900">
            <w:pPr>
              <w:pStyle w:val="Style"/>
              <w:ind w:left="24"/>
              <w:jc w:val="center"/>
              <w:textAlignment w:val="baseline"/>
              <w:rPr>
                <w:rFonts w:ascii="Cambria" w:hAnsi="Cambria"/>
                <w:sz w:val="20"/>
                <w:szCs w:val="20"/>
              </w:rPr>
            </w:pPr>
            <w:r w:rsidRPr="00E04D0B">
              <w:rPr>
                <w:rFonts w:ascii="Cambria" w:hAnsi="Cambria"/>
                <w:sz w:val="20"/>
                <w:szCs w:val="20"/>
              </w:rPr>
              <w:t>0,30</w:t>
            </w:r>
          </w:p>
        </w:tc>
        <w:tc>
          <w:tcPr>
            <w:tcW w:w="704" w:type="pct"/>
            <w:tcBorders>
              <w:top w:val="single" w:sz="4" w:space="0" w:color="auto"/>
              <w:left w:val="single" w:sz="4" w:space="0" w:color="auto"/>
              <w:bottom w:val="single" w:sz="4" w:space="0" w:color="auto"/>
              <w:right w:val="single" w:sz="4" w:space="0" w:color="auto"/>
            </w:tcBorders>
            <w:vAlign w:val="center"/>
          </w:tcPr>
          <w:p w14:paraId="24252565" w14:textId="77777777" w:rsidR="001E1900" w:rsidRPr="00E04D0B" w:rsidRDefault="001E1900" w:rsidP="001E1900">
            <w:pPr>
              <w:pStyle w:val="Style"/>
              <w:ind w:left="19"/>
              <w:jc w:val="center"/>
              <w:textAlignment w:val="baseline"/>
              <w:rPr>
                <w:rFonts w:ascii="Cambria" w:hAnsi="Cambria"/>
                <w:sz w:val="20"/>
                <w:szCs w:val="20"/>
              </w:rPr>
            </w:pPr>
            <w:r w:rsidRPr="00E04D0B">
              <w:rPr>
                <w:rFonts w:ascii="Cambria" w:hAnsi="Cambria"/>
                <w:sz w:val="20"/>
                <w:szCs w:val="20"/>
              </w:rPr>
              <w:t>0,30</w:t>
            </w:r>
          </w:p>
        </w:tc>
      </w:tr>
      <w:tr w:rsidR="001E1900" w:rsidRPr="00E04D0B" w14:paraId="1BD3E685" w14:textId="77777777" w:rsidTr="001E1900">
        <w:trPr>
          <w:gridBefore w:val="1"/>
          <w:wBefore w:w="9" w:type="pct"/>
          <w:trHeight w:hRule="exact" w:val="464"/>
        </w:trPr>
        <w:tc>
          <w:tcPr>
            <w:tcW w:w="4991" w:type="pct"/>
            <w:gridSpan w:val="12"/>
            <w:tcBorders>
              <w:top w:val="single" w:sz="4" w:space="0" w:color="auto"/>
              <w:left w:val="single" w:sz="4" w:space="0" w:color="auto"/>
              <w:bottom w:val="single" w:sz="4" w:space="0" w:color="auto"/>
              <w:right w:val="single" w:sz="4" w:space="0" w:color="auto"/>
            </w:tcBorders>
            <w:vAlign w:val="center"/>
          </w:tcPr>
          <w:p w14:paraId="32EBD194" w14:textId="1FD6B8D5" w:rsidR="001E1900" w:rsidRPr="00E04D0B" w:rsidRDefault="001E1900" w:rsidP="009B153D">
            <w:pPr>
              <w:pStyle w:val="Style"/>
              <w:ind w:left="120"/>
              <w:textAlignment w:val="baseline"/>
              <w:rPr>
                <w:rFonts w:ascii="Cambria" w:hAnsi="Cambria" w:cs="Calibri"/>
                <w:sz w:val="20"/>
                <w:szCs w:val="20"/>
              </w:rPr>
            </w:pPr>
            <w:r w:rsidRPr="00E04D0B">
              <w:rPr>
                <w:rFonts w:ascii="Cambria" w:hAnsi="Cambria" w:cs="Calibri"/>
                <w:sz w:val="20"/>
                <w:szCs w:val="20"/>
              </w:rPr>
              <w:t>Duration of disease (years)</w:t>
            </w:r>
          </w:p>
        </w:tc>
      </w:tr>
      <w:tr w:rsidR="001E1900" w:rsidRPr="00E04D0B" w14:paraId="4AA20768" w14:textId="77777777" w:rsidTr="00D23C64">
        <w:trPr>
          <w:gridBefore w:val="1"/>
          <w:wBefore w:w="9" w:type="pct"/>
          <w:trHeight w:hRule="exact" w:val="384"/>
        </w:trPr>
        <w:tc>
          <w:tcPr>
            <w:tcW w:w="908" w:type="pct"/>
            <w:tcBorders>
              <w:top w:val="single" w:sz="4" w:space="0" w:color="auto"/>
              <w:left w:val="single" w:sz="4" w:space="0" w:color="auto"/>
              <w:bottom w:val="single" w:sz="4" w:space="0" w:color="auto"/>
              <w:right w:val="single" w:sz="4" w:space="0" w:color="auto"/>
            </w:tcBorders>
            <w:vAlign w:val="center"/>
          </w:tcPr>
          <w:p w14:paraId="0DEB5104" w14:textId="77777777" w:rsidR="001E1900" w:rsidRPr="00E04D0B" w:rsidRDefault="001E1900" w:rsidP="001E1900">
            <w:pPr>
              <w:pStyle w:val="Style"/>
              <w:ind w:left="298"/>
              <w:textAlignment w:val="baseline"/>
              <w:rPr>
                <w:rFonts w:ascii="Cambria" w:hAnsi="Cambria"/>
                <w:sz w:val="20"/>
                <w:szCs w:val="20"/>
              </w:rPr>
            </w:pPr>
            <w:r w:rsidRPr="00E04D0B">
              <w:rPr>
                <w:rFonts w:ascii="Cambria" w:hAnsi="Cambria"/>
                <w:sz w:val="20"/>
                <w:szCs w:val="20"/>
              </w:rPr>
              <w:t>n</w:t>
            </w:r>
          </w:p>
        </w:tc>
        <w:tc>
          <w:tcPr>
            <w:tcW w:w="925" w:type="pct"/>
            <w:gridSpan w:val="3"/>
            <w:tcBorders>
              <w:top w:val="single" w:sz="4" w:space="0" w:color="auto"/>
              <w:left w:val="single" w:sz="4" w:space="0" w:color="auto"/>
              <w:bottom w:val="single" w:sz="4" w:space="0" w:color="auto"/>
              <w:right w:val="single" w:sz="4" w:space="0" w:color="auto"/>
            </w:tcBorders>
            <w:vAlign w:val="center"/>
          </w:tcPr>
          <w:p w14:paraId="178FCD57" w14:textId="77777777" w:rsidR="001E1900" w:rsidRPr="00E04D0B" w:rsidRDefault="001E1900" w:rsidP="001E1900">
            <w:pPr>
              <w:pStyle w:val="Style"/>
              <w:ind w:left="24"/>
              <w:jc w:val="center"/>
              <w:textAlignment w:val="baseline"/>
              <w:rPr>
                <w:rFonts w:ascii="Cambria" w:hAnsi="Cambria"/>
                <w:sz w:val="20"/>
                <w:szCs w:val="20"/>
              </w:rPr>
            </w:pPr>
            <w:r w:rsidRPr="00E04D0B">
              <w:rPr>
                <w:rFonts w:ascii="Cambria" w:hAnsi="Cambria"/>
                <w:sz w:val="20"/>
                <w:szCs w:val="20"/>
              </w:rPr>
              <w:t>161</w:t>
            </w:r>
          </w:p>
        </w:tc>
        <w:tc>
          <w:tcPr>
            <w:tcW w:w="921" w:type="pct"/>
            <w:gridSpan w:val="2"/>
            <w:tcBorders>
              <w:top w:val="single" w:sz="4" w:space="0" w:color="auto"/>
              <w:left w:val="single" w:sz="4" w:space="0" w:color="auto"/>
              <w:bottom w:val="single" w:sz="4" w:space="0" w:color="auto"/>
              <w:right w:val="single" w:sz="4" w:space="0" w:color="auto"/>
            </w:tcBorders>
            <w:vAlign w:val="center"/>
          </w:tcPr>
          <w:p w14:paraId="02C52FA4" w14:textId="77777777" w:rsidR="001E1900" w:rsidRPr="00E04D0B" w:rsidRDefault="001E1900" w:rsidP="001E1900">
            <w:pPr>
              <w:pStyle w:val="Style"/>
              <w:ind w:left="14"/>
              <w:jc w:val="center"/>
              <w:textAlignment w:val="baseline"/>
              <w:rPr>
                <w:rFonts w:ascii="Cambria" w:hAnsi="Cambria"/>
                <w:sz w:val="20"/>
                <w:szCs w:val="20"/>
              </w:rPr>
            </w:pPr>
            <w:r w:rsidRPr="00E04D0B">
              <w:rPr>
                <w:rFonts w:ascii="Cambria" w:hAnsi="Cambria"/>
                <w:sz w:val="20"/>
                <w:szCs w:val="20"/>
              </w:rPr>
              <w:t>158</w:t>
            </w:r>
          </w:p>
        </w:tc>
        <w:tc>
          <w:tcPr>
            <w:tcW w:w="747" w:type="pct"/>
            <w:tcBorders>
              <w:top w:val="single" w:sz="4" w:space="0" w:color="auto"/>
              <w:left w:val="single" w:sz="4" w:space="0" w:color="auto"/>
              <w:bottom w:val="single" w:sz="4" w:space="0" w:color="auto"/>
              <w:right w:val="single" w:sz="4" w:space="0" w:color="auto"/>
            </w:tcBorders>
            <w:vAlign w:val="center"/>
          </w:tcPr>
          <w:p w14:paraId="61C1606C" w14:textId="77777777" w:rsidR="001E1900" w:rsidRPr="00E04D0B" w:rsidRDefault="001E1900" w:rsidP="001E1900">
            <w:pPr>
              <w:pStyle w:val="Style"/>
              <w:ind w:left="14"/>
              <w:jc w:val="center"/>
              <w:textAlignment w:val="baseline"/>
              <w:rPr>
                <w:rFonts w:ascii="Cambria" w:hAnsi="Cambria"/>
                <w:sz w:val="20"/>
                <w:szCs w:val="20"/>
              </w:rPr>
            </w:pPr>
            <w:r w:rsidRPr="00E04D0B">
              <w:rPr>
                <w:rFonts w:ascii="Cambria" w:hAnsi="Cambria"/>
                <w:sz w:val="20"/>
                <w:szCs w:val="20"/>
              </w:rPr>
              <w:t>319</w:t>
            </w:r>
          </w:p>
        </w:tc>
        <w:tc>
          <w:tcPr>
            <w:tcW w:w="749" w:type="pct"/>
            <w:gridSpan w:val="2"/>
            <w:tcBorders>
              <w:top w:val="single" w:sz="4" w:space="0" w:color="auto"/>
              <w:left w:val="single" w:sz="4" w:space="0" w:color="auto"/>
              <w:bottom w:val="single" w:sz="4" w:space="0" w:color="auto"/>
              <w:right w:val="single" w:sz="4" w:space="0" w:color="auto"/>
            </w:tcBorders>
            <w:vAlign w:val="center"/>
          </w:tcPr>
          <w:p w14:paraId="529CF1C4" w14:textId="77777777" w:rsidR="001E1900" w:rsidRPr="00E04D0B" w:rsidRDefault="001E1900" w:rsidP="001E1900">
            <w:pPr>
              <w:pStyle w:val="Style"/>
              <w:ind w:left="24"/>
              <w:jc w:val="center"/>
              <w:textAlignment w:val="baseline"/>
              <w:rPr>
                <w:rFonts w:ascii="Cambria" w:hAnsi="Cambria"/>
                <w:sz w:val="20"/>
                <w:szCs w:val="20"/>
              </w:rPr>
            </w:pPr>
            <w:r w:rsidRPr="00E04D0B">
              <w:rPr>
                <w:rFonts w:ascii="Cambria" w:hAnsi="Cambria"/>
                <w:sz w:val="20"/>
                <w:szCs w:val="20"/>
              </w:rPr>
              <w:t>159</w:t>
            </w:r>
          </w:p>
        </w:tc>
        <w:tc>
          <w:tcPr>
            <w:tcW w:w="741" w:type="pct"/>
            <w:gridSpan w:val="3"/>
            <w:tcBorders>
              <w:top w:val="single" w:sz="4" w:space="0" w:color="auto"/>
              <w:left w:val="single" w:sz="4" w:space="0" w:color="auto"/>
              <w:bottom w:val="single" w:sz="4" w:space="0" w:color="auto"/>
              <w:right w:val="single" w:sz="4" w:space="0" w:color="auto"/>
            </w:tcBorders>
            <w:vAlign w:val="center"/>
          </w:tcPr>
          <w:p w14:paraId="69F3D793" w14:textId="77777777" w:rsidR="001E1900" w:rsidRPr="00E04D0B" w:rsidRDefault="001E1900" w:rsidP="001E1900">
            <w:pPr>
              <w:pStyle w:val="Style"/>
              <w:ind w:left="19"/>
              <w:jc w:val="center"/>
              <w:textAlignment w:val="baseline"/>
              <w:rPr>
                <w:rFonts w:ascii="Cambria" w:hAnsi="Cambria"/>
                <w:sz w:val="20"/>
                <w:szCs w:val="20"/>
              </w:rPr>
            </w:pPr>
            <w:r w:rsidRPr="00E04D0B">
              <w:rPr>
                <w:rFonts w:ascii="Cambria" w:hAnsi="Cambria"/>
                <w:sz w:val="20"/>
                <w:szCs w:val="20"/>
              </w:rPr>
              <w:t>478</w:t>
            </w:r>
          </w:p>
        </w:tc>
      </w:tr>
      <w:tr w:rsidR="001E1900" w:rsidRPr="00E04D0B" w14:paraId="3330A609" w14:textId="77777777" w:rsidTr="00D23C64">
        <w:trPr>
          <w:gridBefore w:val="1"/>
          <w:wBefore w:w="9" w:type="pct"/>
          <w:trHeight w:hRule="exact" w:val="350"/>
        </w:trPr>
        <w:tc>
          <w:tcPr>
            <w:tcW w:w="908" w:type="pct"/>
            <w:vMerge w:val="restart"/>
            <w:tcBorders>
              <w:top w:val="single" w:sz="4" w:space="0" w:color="auto"/>
              <w:left w:val="single" w:sz="4" w:space="0" w:color="auto"/>
              <w:right w:val="single" w:sz="4" w:space="0" w:color="auto"/>
            </w:tcBorders>
            <w:vAlign w:val="center"/>
          </w:tcPr>
          <w:p w14:paraId="4502F4ED" w14:textId="77777777" w:rsidR="001E1900" w:rsidRPr="00E04D0B" w:rsidRDefault="001E1900" w:rsidP="001E1900">
            <w:pPr>
              <w:pStyle w:val="Style"/>
              <w:ind w:left="298"/>
              <w:textAlignment w:val="baseline"/>
              <w:rPr>
                <w:rFonts w:ascii="Cambria" w:hAnsi="Cambria"/>
                <w:sz w:val="20"/>
                <w:szCs w:val="20"/>
              </w:rPr>
            </w:pPr>
            <w:r w:rsidRPr="00E04D0B">
              <w:rPr>
                <w:rFonts w:ascii="Cambria" w:hAnsi="Cambria"/>
                <w:sz w:val="20"/>
                <w:szCs w:val="20"/>
              </w:rPr>
              <w:t>Mean (SD)</w:t>
            </w:r>
          </w:p>
        </w:tc>
        <w:tc>
          <w:tcPr>
            <w:tcW w:w="925" w:type="pct"/>
            <w:gridSpan w:val="3"/>
            <w:tcBorders>
              <w:top w:val="single" w:sz="4" w:space="0" w:color="auto"/>
              <w:left w:val="single" w:sz="4" w:space="0" w:color="auto"/>
              <w:bottom w:val="nil"/>
              <w:right w:val="single" w:sz="4" w:space="0" w:color="auto"/>
            </w:tcBorders>
            <w:vAlign w:val="center"/>
          </w:tcPr>
          <w:p w14:paraId="1D7B0144" w14:textId="77777777" w:rsidR="001E1900" w:rsidRPr="00E04D0B" w:rsidRDefault="001E1900" w:rsidP="001E1900">
            <w:pPr>
              <w:pStyle w:val="Style"/>
              <w:ind w:left="24"/>
              <w:jc w:val="center"/>
              <w:textAlignment w:val="baseline"/>
              <w:rPr>
                <w:rFonts w:ascii="Cambria" w:hAnsi="Cambria"/>
                <w:sz w:val="20"/>
                <w:szCs w:val="20"/>
              </w:rPr>
            </w:pPr>
            <w:r w:rsidRPr="00E04D0B">
              <w:rPr>
                <w:rFonts w:ascii="Cambria" w:hAnsi="Cambria"/>
                <w:sz w:val="20"/>
                <w:szCs w:val="20"/>
              </w:rPr>
              <w:t>17.300</w:t>
            </w:r>
          </w:p>
        </w:tc>
        <w:tc>
          <w:tcPr>
            <w:tcW w:w="921" w:type="pct"/>
            <w:gridSpan w:val="2"/>
            <w:tcBorders>
              <w:top w:val="single" w:sz="4" w:space="0" w:color="auto"/>
              <w:left w:val="single" w:sz="4" w:space="0" w:color="auto"/>
              <w:bottom w:val="nil"/>
              <w:right w:val="single" w:sz="4" w:space="0" w:color="auto"/>
            </w:tcBorders>
            <w:vAlign w:val="center"/>
          </w:tcPr>
          <w:p w14:paraId="12EC4707" w14:textId="77777777" w:rsidR="001E1900" w:rsidRPr="00E04D0B" w:rsidRDefault="001E1900" w:rsidP="001E1900">
            <w:pPr>
              <w:pStyle w:val="Style"/>
              <w:ind w:left="14"/>
              <w:jc w:val="center"/>
              <w:textAlignment w:val="baseline"/>
              <w:rPr>
                <w:rFonts w:ascii="Cambria" w:hAnsi="Cambria"/>
                <w:sz w:val="20"/>
                <w:szCs w:val="20"/>
              </w:rPr>
            </w:pPr>
            <w:r w:rsidRPr="00E04D0B">
              <w:rPr>
                <w:rFonts w:ascii="Cambria" w:hAnsi="Cambria"/>
                <w:sz w:val="20"/>
                <w:szCs w:val="20"/>
              </w:rPr>
              <w:t>20.372</w:t>
            </w:r>
          </w:p>
        </w:tc>
        <w:tc>
          <w:tcPr>
            <w:tcW w:w="747" w:type="pct"/>
            <w:tcBorders>
              <w:top w:val="single" w:sz="4" w:space="0" w:color="auto"/>
              <w:left w:val="single" w:sz="4" w:space="0" w:color="auto"/>
              <w:bottom w:val="nil"/>
              <w:right w:val="single" w:sz="4" w:space="0" w:color="auto"/>
            </w:tcBorders>
            <w:vAlign w:val="center"/>
          </w:tcPr>
          <w:p w14:paraId="0D6D894C" w14:textId="77777777" w:rsidR="001E1900" w:rsidRPr="00E04D0B" w:rsidRDefault="001E1900" w:rsidP="001E1900">
            <w:pPr>
              <w:pStyle w:val="Style"/>
              <w:ind w:left="14"/>
              <w:jc w:val="center"/>
              <w:textAlignment w:val="baseline"/>
              <w:rPr>
                <w:rFonts w:ascii="Cambria" w:hAnsi="Cambria"/>
                <w:sz w:val="20"/>
                <w:szCs w:val="20"/>
              </w:rPr>
            </w:pPr>
            <w:r w:rsidRPr="00E04D0B">
              <w:rPr>
                <w:rFonts w:ascii="Cambria" w:hAnsi="Cambria"/>
                <w:sz w:val="20"/>
                <w:szCs w:val="20"/>
              </w:rPr>
              <w:t>18.821</w:t>
            </w:r>
          </w:p>
        </w:tc>
        <w:tc>
          <w:tcPr>
            <w:tcW w:w="749" w:type="pct"/>
            <w:gridSpan w:val="2"/>
            <w:tcBorders>
              <w:top w:val="single" w:sz="4" w:space="0" w:color="auto"/>
              <w:left w:val="single" w:sz="4" w:space="0" w:color="auto"/>
              <w:bottom w:val="nil"/>
              <w:right w:val="single" w:sz="4" w:space="0" w:color="auto"/>
            </w:tcBorders>
            <w:vAlign w:val="center"/>
          </w:tcPr>
          <w:p w14:paraId="3E38F377" w14:textId="77777777" w:rsidR="001E1900" w:rsidRPr="00E04D0B" w:rsidRDefault="001E1900" w:rsidP="001E1900">
            <w:pPr>
              <w:pStyle w:val="Style"/>
              <w:ind w:left="24"/>
              <w:jc w:val="center"/>
              <w:textAlignment w:val="baseline"/>
              <w:rPr>
                <w:rFonts w:ascii="Cambria" w:hAnsi="Cambria"/>
                <w:sz w:val="20"/>
                <w:szCs w:val="20"/>
              </w:rPr>
            </w:pPr>
            <w:r w:rsidRPr="00E04D0B">
              <w:rPr>
                <w:rFonts w:ascii="Cambria" w:hAnsi="Cambria"/>
                <w:sz w:val="20"/>
                <w:szCs w:val="20"/>
              </w:rPr>
              <w:t>16.159</w:t>
            </w:r>
          </w:p>
        </w:tc>
        <w:tc>
          <w:tcPr>
            <w:tcW w:w="741" w:type="pct"/>
            <w:gridSpan w:val="3"/>
            <w:tcBorders>
              <w:top w:val="single" w:sz="4" w:space="0" w:color="auto"/>
              <w:left w:val="single" w:sz="4" w:space="0" w:color="auto"/>
              <w:bottom w:val="nil"/>
              <w:right w:val="single" w:sz="4" w:space="0" w:color="auto"/>
            </w:tcBorders>
            <w:vAlign w:val="center"/>
          </w:tcPr>
          <w:p w14:paraId="29E0E151" w14:textId="77777777" w:rsidR="001E1900" w:rsidRPr="00E04D0B" w:rsidRDefault="001E1900" w:rsidP="001E1900">
            <w:pPr>
              <w:pStyle w:val="Style"/>
              <w:ind w:left="19"/>
              <w:jc w:val="center"/>
              <w:textAlignment w:val="baseline"/>
              <w:rPr>
                <w:rFonts w:ascii="Cambria" w:hAnsi="Cambria"/>
                <w:sz w:val="20"/>
                <w:szCs w:val="20"/>
              </w:rPr>
            </w:pPr>
            <w:r w:rsidRPr="00E04D0B">
              <w:rPr>
                <w:rFonts w:ascii="Cambria" w:hAnsi="Cambria"/>
                <w:sz w:val="20"/>
                <w:szCs w:val="20"/>
              </w:rPr>
              <w:t>17.936</w:t>
            </w:r>
          </w:p>
        </w:tc>
      </w:tr>
      <w:tr w:rsidR="001E1900" w:rsidRPr="00E04D0B" w14:paraId="7BCF3764" w14:textId="77777777" w:rsidTr="00D23C64">
        <w:trPr>
          <w:gridBefore w:val="1"/>
          <w:wBefore w:w="9" w:type="pct"/>
          <w:trHeight w:hRule="exact" w:val="283"/>
        </w:trPr>
        <w:tc>
          <w:tcPr>
            <w:tcW w:w="908" w:type="pct"/>
            <w:vMerge/>
            <w:tcBorders>
              <w:left w:val="single" w:sz="4" w:space="0" w:color="auto"/>
              <w:bottom w:val="single" w:sz="4" w:space="0" w:color="auto"/>
              <w:right w:val="single" w:sz="4" w:space="0" w:color="auto"/>
            </w:tcBorders>
            <w:vAlign w:val="center"/>
          </w:tcPr>
          <w:p w14:paraId="6C5E774A" w14:textId="77777777" w:rsidR="001E1900" w:rsidRPr="00E04D0B" w:rsidRDefault="001E1900" w:rsidP="001E1900">
            <w:pPr>
              <w:pStyle w:val="Style"/>
              <w:textAlignment w:val="baseline"/>
              <w:rPr>
                <w:rFonts w:ascii="Cambria" w:hAnsi="Cambria"/>
                <w:sz w:val="20"/>
                <w:szCs w:val="20"/>
              </w:rPr>
            </w:pPr>
          </w:p>
        </w:tc>
        <w:tc>
          <w:tcPr>
            <w:tcW w:w="925" w:type="pct"/>
            <w:gridSpan w:val="3"/>
            <w:tcBorders>
              <w:top w:val="nil"/>
              <w:left w:val="single" w:sz="4" w:space="0" w:color="auto"/>
              <w:bottom w:val="single" w:sz="4" w:space="0" w:color="auto"/>
              <w:right w:val="single" w:sz="4" w:space="0" w:color="auto"/>
            </w:tcBorders>
            <w:vAlign w:val="center"/>
          </w:tcPr>
          <w:p w14:paraId="7F1351C8" w14:textId="77777777" w:rsidR="001E1900" w:rsidRPr="00E04D0B" w:rsidRDefault="001E1900" w:rsidP="001E1900">
            <w:pPr>
              <w:pStyle w:val="Style"/>
              <w:ind w:left="24"/>
              <w:jc w:val="center"/>
              <w:textAlignment w:val="baseline"/>
              <w:rPr>
                <w:rFonts w:ascii="Cambria" w:hAnsi="Cambria"/>
                <w:sz w:val="20"/>
                <w:szCs w:val="20"/>
              </w:rPr>
            </w:pPr>
            <w:r w:rsidRPr="00E04D0B">
              <w:rPr>
                <w:rFonts w:ascii="Cambria" w:hAnsi="Cambria"/>
                <w:sz w:val="20"/>
                <w:szCs w:val="20"/>
              </w:rPr>
              <w:t>(10.862)</w:t>
            </w:r>
          </w:p>
        </w:tc>
        <w:tc>
          <w:tcPr>
            <w:tcW w:w="921" w:type="pct"/>
            <w:gridSpan w:val="2"/>
            <w:tcBorders>
              <w:top w:val="nil"/>
              <w:left w:val="single" w:sz="4" w:space="0" w:color="auto"/>
              <w:bottom w:val="single" w:sz="4" w:space="0" w:color="auto"/>
              <w:right w:val="single" w:sz="4" w:space="0" w:color="auto"/>
            </w:tcBorders>
            <w:vAlign w:val="center"/>
          </w:tcPr>
          <w:p w14:paraId="23356842" w14:textId="77777777" w:rsidR="001E1900" w:rsidRPr="00E04D0B" w:rsidRDefault="001E1900" w:rsidP="001E1900">
            <w:pPr>
              <w:pStyle w:val="Style"/>
              <w:ind w:left="14"/>
              <w:jc w:val="center"/>
              <w:textAlignment w:val="baseline"/>
              <w:rPr>
                <w:rFonts w:ascii="Cambria" w:hAnsi="Cambria"/>
                <w:sz w:val="20"/>
                <w:szCs w:val="20"/>
              </w:rPr>
            </w:pPr>
            <w:r w:rsidRPr="00E04D0B">
              <w:rPr>
                <w:rFonts w:ascii="Cambria" w:hAnsi="Cambria"/>
                <w:sz w:val="20"/>
                <w:szCs w:val="20"/>
              </w:rPr>
              <w:t>(13.247)</w:t>
            </w:r>
          </w:p>
        </w:tc>
        <w:tc>
          <w:tcPr>
            <w:tcW w:w="747" w:type="pct"/>
            <w:tcBorders>
              <w:top w:val="nil"/>
              <w:left w:val="single" w:sz="4" w:space="0" w:color="auto"/>
              <w:bottom w:val="single" w:sz="4" w:space="0" w:color="auto"/>
              <w:right w:val="single" w:sz="4" w:space="0" w:color="auto"/>
            </w:tcBorders>
            <w:vAlign w:val="center"/>
          </w:tcPr>
          <w:p w14:paraId="52ED7688" w14:textId="77777777" w:rsidR="001E1900" w:rsidRPr="00E04D0B" w:rsidRDefault="001E1900" w:rsidP="001E1900">
            <w:pPr>
              <w:pStyle w:val="Style"/>
              <w:ind w:left="14"/>
              <w:jc w:val="center"/>
              <w:textAlignment w:val="baseline"/>
              <w:rPr>
                <w:rFonts w:ascii="Cambria" w:hAnsi="Cambria"/>
                <w:sz w:val="20"/>
                <w:szCs w:val="20"/>
              </w:rPr>
            </w:pPr>
            <w:r w:rsidRPr="00E04D0B">
              <w:rPr>
                <w:rFonts w:ascii="Cambria" w:hAnsi="Cambria"/>
                <w:sz w:val="20"/>
                <w:szCs w:val="20"/>
              </w:rPr>
              <w:t>(12.180)</w:t>
            </w:r>
          </w:p>
        </w:tc>
        <w:tc>
          <w:tcPr>
            <w:tcW w:w="749" w:type="pct"/>
            <w:gridSpan w:val="2"/>
            <w:tcBorders>
              <w:top w:val="nil"/>
              <w:left w:val="single" w:sz="4" w:space="0" w:color="auto"/>
              <w:bottom w:val="single" w:sz="4" w:space="0" w:color="auto"/>
              <w:right w:val="single" w:sz="4" w:space="0" w:color="auto"/>
            </w:tcBorders>
            <w:vAlign w:val="center"/>
          </w:tcPr>
          <w:p w14:paraId="7AE90EFA" w14:textId="77777777" w:rsidR="001E1900" w:rsidRPr="00E04D0B" w:rsidRDefault="001E1900" w:rsidP="001E1900">
            <w:pPr>
              <w:pStyle w:val="Style"/>
              <w:ind w:left="24"/>
              <w:jc w:val="center"/>
              <w:textAlignment w:val="baseline"/>
              <w:rPr>
                <w:rFonts w:ascii="Cambria" w:hAnsi="Cambria"/>
                <w:sz w:val="20"/>
                <w:szCs w:val="20"/>
              </w:rPr>
            </w:pPr>
            <w:r w:rsidRPr="00E04D0B">
              <w:rPr>
                <w:rFonts w:ascii="Cambria" w:hAnsi="Cambria"/>
                <w:sz w:val="20"/>
                <w:szCs w:val="20"/>
              </w:rPr>
              <w:t>(11.942)</w:t>
            </w:r>
          </w:p>
        </w:tc>
        <w:tc>
          <w:tcPr>
            <w:tcW w:w="741" w:type="pct"/>
            <w:gridSpan w:val="3"/>
            <w:tcBorders>
              <w:top w:val="nil"/>
              <w:left w:val="single" w:sz="4" w:space="0" w:color="auto"/>
              <w:bottom w:val="single" w:sz="4" w:space="0" w:color="auto"/>
              <w:right w:val="single" w:sz="4" w:space="0" w:color="auto"/>
            </w:tcBorders>
            <w:vAlign w:val="center"/>
          </w:tcPr>
          <w:p w14:paraId="59F08946" w14:textId="77777777" w:rsidR="001E1900" w:rsidRPr="00E04D0B" w:rsidRDefault="001E1900" w:rsidP="001E1900">
            <w:pPr>
              <w:pStyle w:val="Style"/>
              <w:ind w:left="19"/>
              <w:jc w:val="center"/>
              <w:textAlignment w:val="baseline"/>
              <w:rPr>
                <w:rFonts w:ascii="Cambria" w:hAnsi="Cambria"/>
                <w:sz w:val="20"/>
                <w:szCs w:val="20"/>
              </w:rPr>
            </w:pPr>
            <w:r w:rsidRPr="00E04D0B">
              <w:rPr>
                <w:rFonts w:ascii="Cambria" w:hAnsi="Cambria"/>
                <w:sz w:val="20"/>
                <w:szCs w:val="20"/>
              </w:rPr>
              <w:t>(12.154)</w:t>
            </w:r>
          </w:p>
        </w:tc>
      </w:tr>
      <w:tr w:rsidR="001E1900" w:rsidRPr="00E04D0B" w14:paraId="3F51503B" w14:textId="77777777" w:rsidTr="00D23C64">
        <w:trPr>
          <w:gridBefore w:val="1"/>
          <w:wBefore w:w="9" w:type="pct"/>
          <w:trHeight w:hRule="exact" w:val="474"/>
        </w:trPr>
        <w:tc>
          <w:tcPr>
            <w:tcW w:w="908" w:type="pct"/>
            <w:tcBorders>
              <w:top w:val="single" w:sz="4" w:space="0" w:color="auto"/>
              <w:left w:val="single" w:sz="4" w:space="0" w:color="auto"/>
              <w:bottom w:val="single" w:sz="4" w:space="0" w:color="auto"/>
              <w:right w:val="single" w:sz="4" w:space="0" w:color="auto"/>
            </w:tcBorders>
            <w:vAlign w:val="center"/>
          </w:tcPr>
          <w:p w14:paraId="578CE5EC" w14:textId="77777777" w:rsidR="001E1900" w:rsidRPr="00E04D0B" w:rsidRDefault="001E1900" w:rsidP="001E1900">
            <w:pPr>
              <w:pStyle w:val="Style"/>
              <w:ind w:left="298"/>
              <w:textAlignment w:val="baseline"/>
              <w:rPr>
                <w:rFonts w:ascii="Cambria" w:hAnsi="Cambria"/>
                <w:sz w:val="20"/>
                <w:szCs w:val="20"/>
              </w:rPr>
            </w:pPr>
            <w:r w:rsidRPr="00E04D0B">
              <w:rPr>
                <w:rFonts w:ascii="Cambria" w:hAnsi="Cambria"/>
                <w:sz w:val="20"/>
                <w:szCs w:val="20"/>
              </w:rPr>
              <w:t>Median</w:t>
            </w:r>
          </w:p>
        </w:tc>
        <w:tc>
          <w:tcPr>
            <w:tcW w:w="925" w:type="pct"/>
            <w:gridSpan w:val="3"/>
            <w:tcBorders>
              <w:top w:val="single" w:sz="4" w:space="0" w:color="auto"/>
              <w:left w:val="single" w:sz="4" w:space="0" w:color="auto"/>
              <w:bottom w:val="single" w:sz="4" w:space="0" w:color="auto"/>
              <w:right w:val="single" w:sz="4" w:space="0" w:color="auto"/>
            </w:tcBorders>
            <w:vAlign w:val="center"/>
          </w:tcPr>
          <w:p w14:paraId="535D6C78" w14:textId="77777777" w:rsidR="001E1900" w:rsidRPr="00E04D0B" w:rsidRDefault="001E1900" w:rsidP="001E1900">
            <w:pPr>
              <w:pStyle w:val="Style"/>
              <w:ind w:left="24"/>
              <w:jc w:val="center"/>
              <w:textAlignment w:val="baseline"/>
              <w:rPr>
                <w:rFonts w:ascii="Cambria" w:hAnsi="Cambria"/>
                <w:sz w:val="20"/>
                <w:szCs w:val="20"/>
              </w:rPr>
            </w:pPr>
            <w:r w:rsidRPr="00E04D0B">
              <w:rPr>
                <w:rFonts w:ascii="Cambria" w:hAnsi="Cambria"/>
                <w:sz w:val="20"/>
                <w:szCs w:val="20"/>
              </w:rPr>
              <w:t>15.640</w:t>
            </w:r>
          </w:p>
        </w:tc>
        <w:tc>
          <w:tcPr>
            <w:tcW w:w="921" w:type="pct"/>
            <w:gridSpan w:val="2"/>
            <w:tcBorders>
              <w:top w:val="single" w:sz="4" w:space="0" w:color="auto"/>
              <w:left w:val="single" w:sz="4" w:space="0" w:color="auto"/>
              <w:bottom w:val="single" w:sz="4" w:space="0" w:color="auto"/>
              <w:right w:val="single" w:sz="4" w:space="0" w:color="auto"/>
            </w:tcBorders>
            <w:vAlign w:val="center"/>
          </w:tcPr>
          <w:p w14:paraId="42171A59" w14:textId="77777777" w:rsidR="001E1900" w:rsidRPr="00E04D0B" w:rsidRDefault="001E1900" w:rsidP="001E1900">
            <w:pPr>
              <w:pStyle w:val="Style"/>
              <w:ind w:left="14"/>
              <w:jc w:val="center"/>
              <w:textAlignment w:val="baseline"/>
              <w:rPr>
                <w:rFonts w:ascii="Cambria" w:hAnsi="Cambria"/>
                <w:sz w:val="20"/>
                <w:szCs w:val="20"/>
              </w:rPr>
            </w:pPr>
            <w:r w:rsidRPr="00E04D0B">
              <w:rPr>
                <w:rFonts w:ascii="Cambria" w:hAnsi="Cambria"/>
                <w:sz w:val="20"/>
                <w:szCs w:val="20"/>
              </w:rPr>
              <w:t>19.510</w:t>
            </w:r>
          </w:p>
        </w:tc>
        <w:tc>
          <w:tcPr>
            <w:tcW w:w="747" w:type="pct"/>
            <w:tcBorders>
              <w:top w:val="single" w:sz="4" w:space="0" w:color="auto"/>
              <w:left w:val="single" w:sz="4" w:space="0" w:color="auto"/>
              <w:bottom w:val="single" w:sz="4" w:space="0" w:color="auto"/>
              <w:right w:val="single" w:sz="4" w:space="0" w:color="auto"/>
            </w:tcBorders>
            <w:vAlign w:val="center"/>
          </w:tcPr>
          <w:p w14:paraId="0B5AB19C" w14:textId="77777777" w:rsidR="001E1900" w:rsidRPr="00E04D0B" w:rsidRDefault="001E1900" w:rsidP="001E1900">
            <w:pPr>
              <w:pStyle w:val="Style"/>
              <w:ind w:left="14"/>
              <w:jc w:val="center"/>
              <w:textAlignment w:val="baseline"/>
              <w:rPr>
                <w:rFonts w:ascii="Cambria" w:hAnsi="Cambria"/>
                <w:sz w:val="20"/>
                <w:szCs w:val="20"/>
              </w:rPr>
            </w:pPr>
            <w:r w:rsidRPr="00E04D0B">
              <w:rPr>
                <w:rFonts w:ascii="Cambria" w:hAnsi="Cambria"/>
                <w:sz w:val="20"/>
                <w:szCs w:val="20"/>
              </w:rPr>
              <w:t>16.690</w:t>
            </w:r>
          </w:p>
        </w:tc>
        <w:tc>
          <w:tcPr>
            <w:tcW w:w="749" w:type="pct"/>
            <w:gridSpan w:val="2"/>
            <w:tcBorders>
              <w:top w:val="single" w:sz="4" w:space="0" w:color="auto"/>
              <w:left w:val="single" w:sz="4" w:space="0" w:color="auto"/>
              <w:bottom w:val="single" w:sz="4" w:space="0" w:color="auto"/>
              <w:right w:val="single" w:sz="4" w:space="0" w:color="auto"/>
            </w:tcBorders>
            <w:vAlign w:val="center"/>
          </w:tcPr>
          <w:p w14:paraId="315C6904" w14:textId="77777777" w:rsidR="001E1900" w:rsidRPr="00E04D0B" w:rsidRDefault="001E1900" w:rsidP="001E1900">
            <w:pPr>
              <w:pStyle w:val="Style"/>
              <w:ind w:left="24"/>
              <w:jc w:val="center"/>
              <w:textAlignment w:val="baseline"/>
              <w:rPr>
                <w:rFonts w:ascii="Cambria" w:hAnsi="Cambria"/>
                <w:sz w:val="20"/>
                <w:szCs w:val="20"/>
              </w:rPr>
            </w:pPr>
            <w:r w:rsidRPr="00E04D0B">
              <w:rPr>
                <w:rFonts w:ascii="Cambria" w:hAnsi="Cambria"/>
                <w:sz w:val="20"/>
                <w:szCs w:val="20"/>
              </w:rPr>
              <w:t>14.320</w:t>
            </w:r>
          </w:p>
        </w:tc>
        <w:tc>
          <w:tcPr>
            <w:tcW w:w="741" w:type="pct"/>
            <w:gridSpan w:val="3"/>
            <w:tcBorders>
              <w:top w:val="single" w:sz="4" w:space="0" w:color="auto"/>
              <w:left w:val="single" w:sz="4" w:space="0" w:color="auto"/>
              <w:bottom w:val="single" w:sz="4" w:space="0" w:color="auto"/>
              <w:right w:val="single" w:sz="4" w:space="0" w:color="auto"/>
            </w:tcBorders>
            <w:vAlign w:val="center"/>
          </w:tcPr>
          <w:p w14:paraId="413592E6" w14:textId="77777777" w:rsidR="001E1900" w:rsidRPr="00E04D0B" w:rsidRDefault="001E1900" w:rsidP="001E1900">
            <w:pPr>
              <w:pStyle w:val="Style"/>
              <w:ind w:left="19"/>
              <w:jc w:val="center"/>
              <w:textAlignment w:val="baseline"/>
              <w:rPr>
                <w:rFonts w:ascii="Cambria" w:hAnsi="Cambria"/>
                <w:sz w:val="20"/>
                <w:szCs w:val="20"/>
              </w:rPr>
            </w:pPr>
            <w:r w:rsidRPr="00E04D0B">
              <w:rPr>
                <w:rFonts w:ascii="Cambria" w:hAnsi="Cambria"/>
                <w:sz w:val="20"/>
                <w:szCs w:val="20"/>
              </w:rPr>
              <w:t>15.875</w:t>
            </w:r>
          </w:p>
        </w:tc>
      </w:tr>
      <w:tr w:rsidR="001E1900" w:rsidRPr="00E04D0B" w14:paraId="56313226" w14:textId="77777777" w:rsidTr="00D23C64">
        <w:trPr>
          <w:gridBefore w:val="1"/>
          <w:wBefore w:w="9" w:type="pct"/>
          <w:trHeight w:hRule="exact" w:val="521"/>
        </w:trPr>
        <w:tc>
          <w:tcPr>
            <w:tcW w:w="908" w:type="pct"/>
            <w:tcBorders>
              <w:top w:val="single" w:sz="4" w:space="0" w:color="auto"/>
              <w:left w:val="single" w:sz="4" w:space="0" w:color="auto"/>
              <w:bottom w:val="single" w:sz="4" w:space="0" w:color="auto"/>
              <w:right w:val="single" w:sz="4" w:space="0" w:color="auto"/>
            </w:tcBorders>
            <w:vAlign w:val="center"/>
          </w:tcPr>
          <w:p w14:paraId="2D7FB6A2" w14:textId="77777777" w:rsidR="001E1900" w:rsidRPr="00E04D0B" w:rsidRDefault="001E1900" w:rsidP="001E1900">
            <w:pPr>
              <w:pStyle w:val="Style"/>
              <w:ind w:left="298"/>
              <w:textAlignment w:val="baseline"/>
              <w:rPr>
                <w:rFonts w:ascii="Cambria" w:hAnsi="Cambria"/>
                <w:sz w:val="20"/>
                <w:szCs w:val="20"/>
              </w:rPr>
            </w:pPr>
            <w:r w:rsidRPr="00E04D0B">
              <w:rPr>
                <w:rFonts w:ascii="Cambria" w:hAnsi="Cambria"/>
                <w:sz w:val="20"/>
                <w:szCs w:val="20"/>
              </w:rPr>
              <w:lastRenderedPageBreak/>
              <w:t>Min, max</w:t>
            </w:r>
          </w:p>
        </w:tc>
        <w:tc>
          <w:tcPr>
            <w:tcW w:w="925" w:type="pct"/>
            <w:gridSpan w:val="3"/>
            <w:tcBorders>
              <w:top w:val="single" w:sz="4" w:space="0" w:color="auto"/>
              <w:left w:val="single" w:sz="4" w:space="0" w:color="auto"/>
              <w:bottom w:val="single" w:sz="4" w:space="0" w:color="auto"/>
              <w:right w:val="single" w:sz="4" w:space="0" w:color="auto"/>
            </w:tcBorders>
            <w:vAlign w:val="center"/>
          </w:tcPr>
          <w:p w14:paraId="178E3E78" w14:textId="77777777" w:rsidR="001E1900" w:rsidRPr="00E04D0B" w:rsidRDefault="001E1900" w:rsidP="001E1900">
            <w:pPr>
              <w:pStyle w:val="Style"/>
              <w:ind w:left="24"/>
              <w:jc w:val="center"/>
              <w:textAlignment w:val="baseline"/>
              <w:rPr>
                <w:rFonts w:ascii="Cambria" w:hAnsi="Cambria"/>
                <w:sz w:val="20"/>
                <w:szCs w:val="20"/>
              </w:rPr>
            </w:pPr>
            <w:r w:rsidRPr="00E04D0B">
              <w:rPr>
                <w:rFonts w:ascii="Cambria" w:hAnsi="Cambria"/>
                <w:sz w:val="20"/>
                <w:szCs w:val="20"/>
              </w:rPr>
              <w:t>0.57, 53.53</w:t>
            </w:r>
          </w:p>
        </w:tc>
        <w:tc>
          <w:tcPr>
            <w:tcW w:w="921" w:type="pct"/>
            <w:gridSpan w:val="2"/>
            <w:tcBorders>
              <w:top w:val="single" w:sz="4" w:space="0" w:color="auto"/>
              <w:left w:val="single" w:sz="4" w:space="0" w:color="auto"/>
              <w:bottom w:val="single" w:sz="4" w:space="0" w:color="auto"/>
              <w:right w:val="single" w:sz="4" w:space="0" w:color="auto"/>
            </w:tcBorders>
            <w:vAlign w:val="center"/>
          </w:tcPr>
          <w:p w14:paraId="46FF3E5C" w14:textId="77777777" w:rsidR="001E1900" w:rsidRPr="00E04D0B" w:rsidRDefault="001E1900" w:rsidP="001E1900">
            <w:pPr>
              <w:pStyle w:val="Style"/>
              <w:ind w:left="14"/>
              <w:jc w:val="center"/>
              <w:textAlignment w:val="baseline"/>
              <w:rPr>
                <w:rFonts w:ascii="Cambria" w:hAnsi="Cambria"/>
                <w:sz w:val="20"/>
                <w:szCs w:val="20"/>
              </w:rPr>
            </w:pPr>
            <w:r w:rsidRPr="00E04D0B">
              <w:rPr>
                <w:rFonts w:ascii="Cambria" w:hAnsi="Cambria"/>
                <w:sz w:val="20"/>
                <w:szCs w:val="20"/>
              </w:rPr>
              <w:t>0.45, 56.70</w:t>
            </w:r>
          </w:p>
        </w:tc>
        <w:tc>
          <w:tcPr>
            <w:tcW w:w="747" w:type="pct"/>
            <w:tcBorders>
              <w:top w:val="single" w:sz="4" w:space="0" w:color="auto"/>
              <w:left w:val="single" w:sz="4" w:space="0" w:color="auto"/>
              <w:bottom w:val="single" w:sz="4" w:space="0" w:color="auto"/>
              <w:right w:val="single" w:sz="4" w:space="0" w:color="auto"/>
            </w:tcBorders>
            <w:vAlign w:val="center"/>
          </w:tcPr>
          <w:p w14:paraId="4908352D" w14:textId="77777777" w:rsidR="001E1900" w:rsidRPr="00E04D0B" w:rsidRDefault="001E1900" w:rsidP="001E1900">
            <w:pPr>
              <w:pStyle w:val="Style"/>
              <w:ind w:left="14"/>
              <w:jc w:val="center"/>
              <w:textAlignment w:val="baseline"/>
              <w:rPr>
                <w:rFonts w:ascii="Cambria" w:hAnsi="Cambria"/>
                <w:sz w:val="20"/>
                <w:szCs w:val="20"/>
              </w:rPr>
            </w:pPr>
            <w:r w:rsidRPr="00E04D0B">
              <w:rPr>
                <w:rFonts w:ascii="Cambria" w:hAnsi="Cambria"/>
                <w:sz w:val="20"/>
                <w:szCs w:val="20"/>
              </w:rPr>
              <w:t>0.45, 56.70</w:t>
            </w:r>
          </w:p>
        </w:tc>
        <w:tc>
          <w:tcPr>
            <w:tcW w:w="749" w:type="pct"/>
            <w:gridSpan w:val="2"/>
            <w:tcBorders>
              <w:top w:val="single" w:sz="4" w:space="0" w:color="auto"/>
              <w:left w:val="single" w:sz="4" w:space="0" w:color="auto"/>
              <w:bottom w:val="single" w:sz="4" w:space="0" w:color="auto"/>
              <w:right w:val="single" w:sz="4" w:space="0" w:color="auto"/>
            </w:tcBorders>
            <w:vAlign w:val="center"/>
          </w:tcPr>
          <w:p w14:paraId="5AECCC73" w14:textId="77777777" w:rsidR="001E1900" w:rsidRPr="00E04D0B" w:rsidRDefault="001E1900" w:rsidP="001E1900">
            <w:pPr>
              <w:pStyle w:val="Style"/>
              <w:ind w:left="24"/>
              <w:jc w:val="center"/>
              <w:textAlignment w:val="baseline"/>
              <w:rPr>
                <w:rFonts w:ascii="Cambria" w:hAnsi="Cambria"/>
                <w:sz w:val="20"/>
                <w:szCs w:val="20"/>
              </w:rPr>
            </w:pPr>
            <w:r w:rsidRPr="00E04D0B">
              <w:rPr>
                <w:rFonts w:ascii="Cambria" w:hAnsi="Cambria"/>
                <w:sz w:val="20"/>
                <w:szCs w:val="20"/>
              </w:rPr>
              <w:t>0.57, 56.55</w:t>
            </w:r>
          </w:p>
        </w:tc>
        <w:tc>
          <w:tcPr>
            <w:tcW w:w="741" w:type="pct"/>
            <w:gridSpan w:val="3"/>
            <w:tcBorders>
              <w:top w:val="single" w:sz="4" w:space="0" w:color="auto"/>
              <w:left w:val="single" w:sz="4" w:space="0" w:color="auto"/>
              <w:bottom w:val="single" w:sz="4" w:space="0" w:color="auto"/>
              <w:right w:val="single" w:sz="4" w:space="0" w:color="auto"/>
            </w:tcBorders>
            <w:vAlign w:val="center"/>
          </w:tcPr>
          <w:p w14:paraId="496C2E18" w14:textId="77777777" w:rsidR="001E1900" w:rsidRPr="00E04D0B" w:rsidRDefault="001E1900" w:rsidP="001E1900">
            <w:pPr>
              <w:pStyle w:val="Style"/>
              <w:ind w:left="19"/>
              <w:jc w:val="center"/>
              <w:textAlignment w:val="baseline"/>
              <w:rPr>
                <w:rFonts w:ascii="Cambria" w:hAnsi="Cambria"/>
                <w:sz w:val="20"/>
                <w:szCs w:val="20"/>
              </w:rPr>
            </w:pPr>
            <w:r w:rsidRPr="00E04D0B">
              <w:rPr>
                <w:rFonts w:ascii="Cambria" w:hAnsi="Cambria"/>
                <w:sz w:val="20"/>
                <w:szCs w:val="20"/>
              </w:rPr>
              <w:t>0.45, 56.70</w:t>
            </w:r>
          </w:p>
        </w:tc>
      </w:tr>
      <w:tr w:rsidR="001E1900" w:rsidRPr="00E04D0B" w14:paraId="4DD3184B" w14:textId="77777777" w:rsidTr="001E1900">
        <w:trPr>
          <w:gridBefore w:val="1"/>
          <w:wBefore w:w="9" w:type="pct"/>
          <w:trHeight w:hRule="exact" w:val="527"/>
        </w:trPr>
        <w:tc>
          <w:tcPr>
            <w:tcW w:w="4991" w:type="pct"/>
            <w:gridSpan w:val="12"/>
            <w:tcBorders>
              <w:top w:val="single" w:sz="4" w:space="0" w:color="auto"/>
              <w:left w:val="single" w:sz="4" w:space="0" w:color="auto"/>
              <w:bottom w:val="single" w:sz="4" w:space="0" w:color="auto"/>
              <w:right w:val="single" w:sz="4" w:space="0" w:color="auto"/>
            </w:tcBorders>
            <w:vAlign w:val="center"/>
          </w:tcPr>
          <w:p w14:paraId="183F41FC" w14:textId="32919E05" w:rsidR="001E1900" w:rsidRPr="00E04D0B" w:rsidRDefault="001E1900" w:rsidP="009B153D">
            <w:pPr>
              <w:pStyle w:val="Style"/>
              <w:textAlignment w:val="baseline"/>
              <w:rPr>
                <w:rFonts w:ascii="Cambria" w:hAnsi="Cambria"/>
                <w:sz w:val="20"/>
                <w:szCs w:val="20"/>
              </w:rPr>
            </w:pPr>
            <w:r w:rsidRPr="00E04D0B">
              <w:rPr>
                <w:rFonts w:ascii="Cambria" w:hAnsi="Cambria"/>
                <w:sz w:val="20"/>
                <w:szCs w:val="20"/>
              </w:rPr>
              <w:t>Duration of disease, n (%)</w:t>
            </w:r>
          </w:p>
        </w:tc>
      </w:tr>
      <w:tr w:rsidR="001E1900" w:rsidRPr="00E04D0B" w14:paraId="0EEC2C85" w14:textId="77777777" w:rsidTr="00D23C64">
        <w:trPr>
          <w:gridBefore w:val="1"/>
          <w:wBefore w:w="9" w:type="pct"/>
          <w:trHeight w:hRule="exact" w:val="743"/>
        </w:trPr>
        <w:tc>
          <w:tcPr>
            <w:tcW w:w="908" w:type="pct"/>
            <w:tcBorders>
              <w:top w:val="single" w:sz="4" w:space="0" w:color="auto"/>
              <w:left w:val="single" w:sz="4" w:space="0" w:color="auto"/>
              <w:bottom w:val="single" w:sz="4" w:space="0" w:color="auto"/>
              <w:right w:val="single" w:sz="4" w:space="0" w:color="auto"/>
            </w:tcBorders>
            <w:vAlign w:val="center"/>
          </w:tcPr>
          <w:p w14:paraId="3657D47B" w14:textId="5BD59EFC" w:rsidR="001E1900" w:rsidRPr="00E04D0B" w:rsidRDefault="001E1900" w:rsidP="001E1900">
            <w:pPr>
              <w:pStyle w:val="Style"/>
              <w:ind w:left="298"/>
              <w:textAlignment w:val="baseline"/>
              <w:rPr>
                <w:rFonts w:ascii="Cambria" w:hAnsi="Cambria"/>
                <w:sz w:val="20"/>
                <w:szCs w:val="20"/>
              </w:rPr>
            </w:pPr>
            <w:r w:rsidRPr="00E04D0B">
              <w:rPr>
                <w:rFonts w:ascii="Cambria" w:hAnsi="Cambria"/>
                <w:sz w:val="20"/>
                <w:szCs w:val="20"/>
              </w:rPr>
              <w:t>median years</w:t>
            </w:r>
          </w:p>
        </w:tc>
        <w:tc>
          <w:tcPr>
            <w:tcW w:w="925" w:type="pct"/>
            <w:gridSpan w:val="3"/>
            <w:tcBorders>
              <w:top w:val="single" w:sz="4" w:space="0" w:color="auto"/>
              <w:left w:val="single" w:sz="4" w:space="0" w:color="auto"/>
              <w:bottom w:val="single" w:sz="4" w:space="0" w:color="auto"/>
              <w:right w:val="single" w:sz="4" w:space="0" w:color="auto"/>
            </w:tcBorders>
            <w:vAlign w:val="center"/>
          </w:tcPr>
          <w:p w14:paraId="627F475A" w14:textId="77777777" w:rsidR="001E1900" w:rsidRPr="00E04D0B" w:rsidRDefault="001E1900" w:rsidP="001E1900">
            <w:pPr>
              <w:pStyle w:val="Style"/>
              <w:ind w:left="24"/>
              <w:jc w:val="center"/>
              <w:textAlignment w:val="baseline"/>
              <w:rPr>
                <w:rFonts w:ascii="Cambria" w:hAnsi="Cambria"/>
                <w:sz w:val="20"/>
                <w:szCs w:val="20"/>
              </w:rPr>
            </w:pPr>
            <w:r w:rsidRPr="00E04D0B">
              <w:rPr>
                <w:rFonts w:ascii="Cambria" w:hAnsi="Cambria"/>
                <w:sz w:val="20"/>
                <w:szCs w:val="20"/>
              </w:rPr>
              <w:t>84 (52.2)</w:t>
            </w:r>
          </w:p>
        </w:tc>
        <w:tc>
          <w:tcPr>
            <w:tcW w:w="921" w:type="pct"/>
            <w:gridSpan w:val="2"/>
            <w:tcBorders>
              <w:top w:val="single" w:sz="8" w:space="0" w:color="auto"/>
              <w:left w:val="single" w:sz="4" w:space="0" w:color="auto"/>
              <w:bottom w:val="single" w:sz="4" w:space="0" w:color="auto"/>
              <w:right w:val="single" w:sz="4" w:space="0" w:color="auto"/>
            </w:tcBorders>
            <w:vAlign w:val="center"/>
          </w:tcPr>
          <w:p w14:paraId="47E12B46" w14:textId="77777777" w:rsidR="001E1900" w:rsidRPr="00E04D0B" w:rsidRDefault="001E1900" w:rsidP="001E1900">
            <w:pPr>
              <w:pStyle w:val="Style"/>
              <w:ind w:left="14"/>
              <w:jc w:val="center"/>
              <w:textAlignment w:val="baseline"/>
              <w:rPr>
                <w:rFonts w:ascii="Cambria" w:hAnsi="Cambria"/>
                <w:sz w:val="20"/>
                <w:szCs w:val="20"/>
              </w:rPr>
            </w:pPr>
            <w:r w:rsidRPr="00E04D0B">
              <w:rPr>
                <w:rFonts w:ascii="Cambria" w:hAnsi="Cambria"/>
                <w:sz w:val="20"/>
                <w:szCs w:val="20"/>
              </w:rPr>
              <w:t>68 (43.0)</w:t>
            </w:r>
          </w:p>
        </w:tc>
        <w:tc>
          <w:tcPr>
            <w:tcW w:w="747" w:type="pct"/>
            <w:tcBorders>
              <w:top w:val="single" w:sz="8" w:space="0" w:color="auto"/>
              <w:left w:val="single" w:sz="4" w:space="0" w:color="auto"/>
              <w:bottom w:val="single" w:sz="4" w:space="0" w:color="auto"/>
              <w:right w:val="single" w:sz="4" w:space="0" w:color="auto"/>
            </w:tcBorders>
            <w:vAlign w:val="center"/>
          </w:tcPr>
          <w:p w14:paraId="244605A2" w14:textId="77777777" w:rsidR="001E1900" w:rsidRPr="00E04D0B" w:rsidRDefault="001E1900" w:rsidP="001E1900">
            <w:pPr>
              <w:pStyle w:val="Style"/>
              <w:ind w:left="14"/>
              <w:jc w:val="center"/>
              <w:textAlignment w:val="baseline"/>
              <w:rPr>
                <w:rFonts w:ascii="Cambria" w:hAnsi="Cambria"/>
                <w:sz w:val="20"/>
                <w:szCs w:val="20"/>
              </w:rPr>
            </w:pPr>
            <w:r w:rsidRPr="00E04D0B">
              <w:rPr>
                <w:rFonts w:ascii="Cambria" w:hAnsi="Cambria"/>
                <w:sz w:val="20"/>
                <w:szCs w:val="20"/>
              </w:rPr>
              <w:t>152 (47.6)</w:t>
            </w:r>
          </w:p>
        </w:tc>
        <w:tc>
          <w:tcPr>
            <w:tcW w:w="749" w:type="pct"/>
            <w:gridSpan w:val="2"/>
            <w:tcBorders>
              <w:top w:val="single" w:sz="8" w:space="0" w:color="auto"/>
              <w:left w:val="single" w:sz="4" w:space="0" w:color="auto"/>
              <w:bottom w:val="single" w:sz="4" w:space="0" w:color="auto"/>
              <w:right w:val="single" w:sz="4" w:space="0" w:color="auto"/>
            </w:tcBorders>
            <w:vAlign w:val="center"/>
          </w:tcPr>
          <w:p w14:paraId="2D52CC3A" w14:textId="77777777" w:rsidR="001E1900" w:rsidRPr="00E04D0B" w:rsidRDefault="001E1900" w:rsidP="001E1900">
            <w:pPr>
              <w:pStyle w:val="Style"/>
              <w:ind w:left="24"/>
              <w:jc w:val="center"/>
              <w:textAlignment w:val="baseline"/>
              <w:rPr>
                <w:rFonts w:ascii="Cambria" w:hAnsi="Cambria"/>
                <w:sz w:val="20"/>
                <w:szCs w:val="20"/>
              </w:rPr>
            </w:pPr>
            <w:r w:rsidRPr="00E04D0B">
              <w:rPr>
                <w:rFonts w:ascii="Cambria" w:hAnsi="Cambria"/>
                <w:sz w:val="20"/>
                <w:szCs w:val="20"/>
              </w:rPr>
              <w:t>87 (54.7)</w:t>
            </w:r>
          </w:p>
        </w:tc>
        <w:tc>
          <w:tcPr>
            <w:tcW w:w="741" w:type="pct"/>
            <w:gridSpan w:val="3"/>
            <w:tcBorders>
              <w:top w:val="single" w:sz="8" w:space="0" w:color="auto"/>
              <w:left w:val="single" w:sz="4" w:space="0" w:color="auto"/>
              <w:bottom w:val="single" w:sz="4" w:space="0" w:color="auto"/>
              <w:right w:val="single" w:sz="4" w:space="0" w:color="auto"/>
            </w:tcBorders>
            <w:vAlign w:val="center"/>
          </w:tcPr>
          <w:p w14:paraId="5C71A5A2" w14:textId="77777777" w:rsidR="001E1900" w:rsidRPr="00E04D0B" w:rsidRDefault="001E1900" w:rsidP="001E1900">
            <w:pPr>
              <w:pStyle w:val="Style"/>
              <w:ind w:left="19"/>
              <w:jc w:val="center"/>
              <w:textAlignment w:val="baseline"/>
              <w:rPr>
                <w:rFonts w:ascii="Cambria" w:hAnsi="Cambria"/>
                <w:sz w:val="20"/>
                <w:szCs w:val="20"/>
              </w:rPr>
            </w:pPr>
            <w:r w:rsidRPr="00E04D0B">
              <w:rPr>
                <w:rFonts w:ascii="Cambria" w:hAnsi="Cambria"/>
                <w:sz w:val="20"/>
                <w:szCs w:val="20"/>
              </w:rPr>
              <w:t>239 (50.0)</w:t>
            </w:r>
          </w:p>
        </w:tc>
      </w:tr>
      <w:tr w:rsidR="001E1900" w:rsidRPr="00E04D0B" w14:paraId="162F1266" w14:textId="77777777" w:rsidTr="00D23C64">
        <w:trPr>
          <w:gridBefore w:val="1"/>
          <w:wBefore w:w="9" w:type="pct"/>
          <w:trHeight w:hRule="exact" w:val="578"/>
        </w:trPr>
        <w:tc>
          <w:tcPr>
            <w:tcW w:w="908" w:type="pct"/>
            <w:tcBorders>
              <w:top w:val="single" w:sz="4" w:space="0" w:color="auto"/>
              <w:left w:val="single" w:sz="4" w:space="0" w:color="auto"/>
              <w:bottom w:val="single" w:sz="4" w:space="0" w:color="auto"/>
              <w:right w:val="single" w:sz="4" w:space="0" w:color="auto"/>
            </w:tcBorders>
            <w:vAlign w:val="center"/>
          </w:tcPr>
          <w:p w14:paraId="157496AD" w14:textId="77777777" w:rsidR="001E1900" w:rsidRPr="00E04D0B" w:rsidRDefault="001E1900" w:rsidP="009B153D">
            <w:pPr>
              <w:pStyle w:val="Style"/>
              <w:ind w:left="298"/>
              <w:textAlignment w:val="baseline"/>
              <w:rPr>
                <w:rFonts w:ascii="Cambria" w:hAnsi="Cambria"/>
                <w:sz w:val="20"/>
                <w:szCs w:val="20"/>
              </w:rPr>
            </w:pPr>
            <w:r w:rsidRPr="00E04D0B">
              <w:rPr>
                <w:rFonts w:ascii="Cambria" w:hAnsi="Cambria"/>
                <w:sz w:val="20"/>
                <w:szCs w:val="20"/>
              </w:rPr>
              <w:t>median years</w:t>
            </w:r>
          </w:p>
        </w:tc>
        <w:tc>
          <w:tcPr>
            <w:tcW w:w="925" w:type="pct"/>
            <w:gridSpan w:val="3"/>
            <w:tcBorders>
              <w:top w:val="single" w:sz="4" w:space="0" w:color="auto"/>
              <w:left w:val="single" w:sz="4" w:space="0" w:color="auto"/>
              <w:bottom w:val="single" w:sz="4" w:space="0" w:color="auto"/>
              <w:right w:val="single" w:sz="4" w:space="0" w:color="auto"/>
            </w:tcBorders>
            <w:vAlign w:val="center"/>
          </w:tcPr>
          <w:p w14:paraId="34C532B4" w14:textId="77777777" w:rsidR="001E1900" w:rsidRPr="00E04D0B" w:rsidRDefault="001E1900" w:rsidP="001E1900">
            <w:pPr>
              <w:pStyle w:val="Style"/>
              <w:ind w:left="24"/>
              <w:jc w:val="center"/>
              <w:textAlignment w:val="baseline"/>
              <w:rPr>
                <w:rFonts w:ascii="Cambria" w:hAnsi="Cambria"/>
                <w:sz w:val="20"/>
                <w:szCs w:val="20"/>
              </w:rPr>
            </w:pPr>
            <w:r w:rsidRPr="00E04D0B">
              <w:rPr>
                <w:rFonts w:ascii="Cambria" w:hAnsi="Cambria"/>
                <w:sz w:val="20"/>
                <w:szCs w:val="20"/>
              </w:rPr>
              <w:t>77 (47.8)</w:t>
            </w:r>
          </w:p>
        </w:tc>
        <w:tc>
          <w:tcPr>
            <w:tcW w:w="921" w:type="pct"/>
            <w:gridSpan w:val="2"/>
            <w:tcBorders>
              <w:top w:val="single" w:sz="4" w:space="0" w:color="auto"/>
              <w:left w:val="single" w:sz="4" w:space="0" w:color="auto"/>
              <w:bottom w:val="single" w:sz="4" w:space="0" w:color="auto"/>
              <w:right w:val="single" w:sz="4" w:space="0" w:color="auto"/>
            </w:tcBorders>
            <w:vAlign w:val="center"/>
          </w:tcPr>
          <w:p w14:paraId="0C3704A7" w14:textId="77777777" w:rsidR="001E1900" w:rsidRPr="00E04D0B" w:rsidRDefault="001E1900" w:rsidP="001E1900">
            <w:pPr>
              <w:pStyle w:val="Style"/>
              <w:ind w:left="14"/>
              <w:jc w:val="center"/>
              <w:textAlignment w:val="baseline"/>
              <w:rPr>
                <w:rFonts w:ascii="Cambria" w:hAnsi="Cambria"/>
                <w:sz w:val="20"/>
                <w:szCs w:val="20"/>
              </w:rPr>
            </w:pPr>
            <w:r w:rsidRPr="00E04D0B">
              <w:rPr>
                <w:rFonts w:ascii="Cambria" w:hAnsi="Cambria"/>
                <w:sz w:val="20"/>
                <w:szCs w:val="20"/>
              </w:rPr>
              <w:t>90 (57.0)</w:t>
            </w:r>
          </w:p>
        </w:tc>
        <w:tc>
          <w:tcPr>
            <w:tcW w:w="747" w:type="pct"/>
            <w:tcBorders>
              <w:top w:val="single" w:sz="4" w:space="0" w:color="auto"/>
              <w:left w:val="single" w:sz="4" w:space="0" w:color="auto"/>
              <w:bottom w:val="single" w:sz="4" w:space="0" w:color="auto"/>
              <w:right w:val="single" w:sz="4" w:space="0" w:color="auto"/>
            </w:tcBorders>
            <w:vAlign w:val="center"/>
          </w:tcPr>
          <w:p w14:paraId="35BA254E" w14:textId="77777777" w:rsidR="001E1900" w:rsidRPr="00E04D0B" w:rsidRDefault="001E1900" w:rsidP="001E1900">
            <w:pPr>
              <w:pStyle w:val="Style"/>
              <w:ind w:left="14"/>
              <w:jc w:val="center"/>
              <w:textAlignment w:val="baseline"/>
              <w:rPr>
                <w:rFonts w:ascii="Cambria" w:hAnsi="Cambria"/>
                <w:sz w:val="20"/>
                <w:szCs w:val="20"/>
              </w:rPr>
            </w:pPr>
            <w:r w:rsidRPr="00E04D0B">
              <w:rPr>
                <w:rFonts w:ascii="Cambria" w:hAnsi="Cambria"/>
                <w:sz w:val="20"/>
                <w:szCs w:val="20"/>
              </w:rPr>
              <w:t>167 (52.4)</w:t>
            </w:r>
          </w:p>
        </w:tc>
        <w:tc>
          <w:tcPr>
            <w:tcW w:w="749" w:type="pct"/>
            <w:gridSpan w:val="2"/>
            <w:tcBorders>
              <w:top w:val="single" w:sz="4" w:space="0" w:color="auto"/>
              <w:left w:val="single" w:sz="4" w:space="0" w:color="auto"/>
              <w:bottom w:val="single" w:sz="4" w:space="0" w:color="auto"/>
              <w:right w:val="single" w:sz="4" w:space="0" w:color="auto"/>
            </w:tcBorders>
            <w:vAlign w:val="center"/>
          </w:tcPr>
          <w:p w14:paraId="4135E260" w14:textId="77777777" w:rsidR="001E1900" w:rsidRPr="00E04D0B" w:rsidRDefault="001E1900" w:rsidP="001E1900">
            <w:pPr>
              <w:pStyle w:val="Style"/>
              <w:ind w:left="24"/>
              <w:jc w:val="center"/>
              <w:textAlignment w:val="baseline"/>
              <w:rPr>
                <w:rFonts w:ascii="Cambria" w:hAnsi="Cambria"/>
                <w:sz w:val="20"/>
                <w:szCs w:val="20"/>
              </w:rPr>
            </w:pPr>
            <w:r w:rsidRPr="00E04D0B">
              <w:rPr>
                <w:rFonts w:ascii="Cambria" w:hAnsi="Cambria"/>
                <w:sz w:val="20"/>
                <w:szCs w:val="20"/>
              </w:rPr>
              <w:t>72 (45.3)</w:t>
            </w:r>
          </w:p>
        </w:tc>
        <w:tc>
          <w:tcPr>
            <w:tcW w:w="741" w:type="pct"/>
            <w:gridSpan w:val="3"/>
            <w:tcBorders>
              <w:top w:val="single" w:sz="4" w:space="0" w:color="auto"/>
              <w:left w:val="single" w:sz="4" w:space="0" w:color="auto"/>
              <w:bottom w:val="single" w:sz="4" w:space="0" w:color="auto"/>
              <w:right w:val="single" w:sz="4" w:space="0" w:color="auto"/>
            </w:tcBorders>
            <w:vAlign w:val="center"/>
          </w:tcPr>
          <w:p w14:paraId="4B3A49D3" w14:textId="77777777" w:rsidR="001E1900" w:rsidRPr="00E04D0B" w:rsidRDefault="001E1900" w:rsidP="001E1900">
            <w:pPr>
              <w:pStyle w:val="Style"/>
              <w:ind w:left="19"/>
              <w:jc w:val="center"/>
              <w:textAlignment w:val="baseline"/>
              <w:rPr>
                <w:rFonts w:ascii="Cambria" w:hAnsi="Cambria"/>
                <w:sz w:val="20"/>
                <w:szCs w:val="20"/>
              </w:rPr>
            </w:pPr>
            <w:r w:rsidRPr="00E04D0B">
              <w:rPr>
                <w:rFonts w:ascii="Cambria" w:hAnsi="Cambria"/>
                <w:sz w:val="20"/>
                <w:szCs w:val="20"/>
              </w:rPr>
              <w:t>239 (50.0)</w:t>
            </w:r>
          </w:p>
        </w:tc>
      </w:tr>
      <w:tr w:rsidR="001E1900" w:rsidRPr="00E04D0B" w14:paraId="7786F242" w14:textId="77777777" w:rsidTr="001E1900">
        <w:trPr>
          <w:gridBefore w:val="1"/>
          <w:wBefore w:w="9" w:type="pct"/>
          <w:trHeight w:hRule="exact" w:val="429"/>
        </w:trPr>
        <w:tc>
          <w:tcPr>
            <w:tcW w:w="4991" w:type="pct"/>
            <w:gridSpan w:val="12"/>
            <w:tcBorders>
              <w:top w:val="single" w:sz="4" w:space="0" w:color="auto"/>
              <w:left w:val="single" w:sz="4" w:space="0" w:color="auto"/>
              <w:bottom w:val="single" w:sz="4" w:space="0" w:color="auto"/>
              <w:right w:val="single" w:sz="4" w:space="0" w:color="auto"/>
            </w:tcBorders>
            <w:vAlign w:val="center"/>
          </w:tcPr>
          <w:p w14:paraId="671A5049" w14:textId="3480A53F" w:rsidR="001E1900" w:rsidRPr="00E04D0B" w:rsidRDefault="001E1900" w:rsidP="009B153D">
            <w:pPr>
              <w:pStyle w:val="Style"/>
              <w:textAlignment w:val="baseline"/>
              <w:rPr>
                <w:rFonts w:ascii="Cambria" w:hAnsi="Cambria"/>
                <w:sz w:val="20"/>
                <w:szCs w:val="20"/>
              </w:rPr>
            </w:pPr>
            <w:r w:rsidRPr="00E04D0B">
              <w:rPr>
                <w:rFonts w:ascii="Cambria" w:hAnsi="Cambria"/>
                <w:sz w:val="20"/>
                <w:szCs w:val="20"/>
              </w:rPr>
              <w:t>IGA score, n (%)</w:t>
            </w:r>
          </w:p>
        </w:tc>
      </w:tr>
      <w:tr w:rsidR="001E1900" w:rsidRPr="00E04D0B" w14:paraId="6E97A238" w14:textId="77777777" w:rsidTr="00D23C64">
        <w:trPr>
          <w:gridBefore w:val="1"/>
          <w:wBefore w:w="9" w:type="pct"/>
          <w:trHeight w:hRule="exact" w:val="578"/>
        </w:trPr>
        <w:tc>
          <w:tcPr>
            <w:tcW w:w="908" w:type="pct"/>
            <w:tcBorders>
              <w:top w:val="single" w:sz="4" w:space="0" w:color="auto"/>
              <w:left w:val="single" w:sz="4" w:space="0" w:color="auto"/>
              <w:bottom w:val="single" w:sz="4" w:space="0" w:color="auto"/>
              <w:right w:val="single" w:sz="4" w:space="0" w:color="auto"/>
            </w:tcBorders>
            <w:vAlign w:val="center"/>
          </w:tcPr>
          <w:p w14:paraId="0F08C3D8" w14:textId="71290602" w:rsidR="001E1900" w:rsidRPr="00E04D0B" w:rsidRDefault="001E1900" w:rsidP="001E1900">
            <w:pPr>
              <w:pStyle w:val="Style"/>
              <w:ind w:left="298"/>
              <w:textAlignment w:val="baseline"/>
              <w:rPr>
                <w:rFonts w:ascii="Cambria" w:hAnsi="Cambria"/>
                <w:sz w:val="20"/>
                <w:szCs w:val="20"/>
              </w:rPr>
            </w:pPr>
            <w:r w:rsidRPr="00E04D0B">
              <w:rPr>
                <w:rFonts w:ascii="Cambria" w:hAnsi="Cambria"/>
                <w:sz w:val="20"/>
                <w:szCs w:val="20"/>
              </w:rPr>
              <w:t>3</w:t>
            </w:r>
            <w:r w:rsidR="00EF0463">
              <w:rPr>
                <w:rFonts w:ascii="Cambria" w:hAnsi="Cambria"/>
                <w:sz w:val="20"/>
                <w:szCs w:val="20"/>
              </w:rPr>
              <w:t xml:space="preserve"> </w:t>
            </w:r>
            <w:r w:rsidRPr="00E04D0B">
              <w:rPr>
                <w:rFonts w:ascii="Cambria" w:hAnsi="Cambria"/>
                <w:sz w:val="20"/>
                <w:szCs w:val="20"/>
              </w:rPr>
              <w:t>(Moderate)</w:t>
            </w:r>
          </w:p>
        </w:tc>
        <w:tc>
          <w:tcPr>
            <w:tcW w:w="925" w:type="pct"/>
            <w:gridSpan w:val="3"/>
            <w:tcBorders>
              <w:top w:val="single" w:sz="4" w:space="0" w:color="auto"/>
              <w:left w:val="single" w:sz="4" w:space="0" w:color="auto"/>
              <w:bottom w:val="single" w:sz="4" w:space="0" w:color="auto"/>
              <w:right w:val="single" w:sz="4" w:space="0" w:color="auto"/>
            </w:tcBorders>
            <w:vAlign w:val="center"/>
          </w:tcPr>
          <w:p w14:paraId="5E4DDE4E" w14:textId="77777777" w:rsidR="001E1900" w:rsidRPr="00E04D0B" w:rsidRDefault="001E1900" w:rsidP="001E1900">
            <w:pPr>
              <w:pStyle w:val="Style"/>
              <w:ind w:left="24"/>
              <w:jc w:val="center"/>
              <w:textAlignment w:val="baseline"/>
              <w:rPr>
                <w:rFonts w:ascii="Cambria" w:hAnsi="Cambria"/>
                <w:bCs/>
                <w:sz w:val="20"/>
                <w:szCs w:val="20"/>
              </w:rPr>
            </w:pPr>
            <w:r w:rsidRPr="00E04D0B">
              <w:rPr>
                <w:rFonts w:ascii="Cambria" w:eastAsia="Arial" w:hAnsi="Cambria" w:cs="Arial"/>
                <w:bCs/>
                <w:w w:val="87"/>
                <w:sz w:val="20"/>
                <w:szCs w:val="20"/>
              </w:rPr>
              <w:t xml:space="preserve">111 </w:t>
            </w:r>
            <w:r w:rsidRPr="00E04D0B">
              <w:rPr>
                <w:rFonts w:ascii="Cambria" w:hAnsi="Cambria"/>
                <w:bCs/>
                <w:sz w:val="20"/>
                <w:szCs w:val="20"/>
              </w:rPr>
              <w:t>(68.9)</w:t>
            </w:r>
          </w:p>
        </w:tc>
        <w:tc>
          <w:tcPr>
            <w:tcW w:w="921" w:type="pct"/>
            <w:gridSpan w:val="2"/>
            <w:tcBorders>
              <w:top w:val="single" w:sz="4" w:space="0" w:color="auto"/>
              <w:left w:val="single" w:sz="4" w:space="0" w:color="auto"/>
              <w:bottom w:val="single" w:sz="4" w:space="0" w:color="auto"/>
              <w:right w:val="single" w:sz="4" w:space="0" w:color="auto"/>
            </w:tcBorders>
            <w:vAlign w:val="center"/>
          </w:tcPr>
          <w:p w14:paraId="6C562FF3" w14:textId="77777777" w:rsidR="001E1900" w:rsidRPr="00E04D0B" w:rsidRDefault="001E1900" w:rsidP="001E1900">
            <w:pPr>
              <w:pStyle w:val="Style"/>
              <w:ind w:left="14"/>
              <w:jc w:val="center"/>
              <w:textAlignment w:val="baseline"/>
              <w:rPr>
                <w:rFonts w:ascii="Cambria" w:hAnsi="Cambria"/>
                <w:bCs/>
                <w:sz w:val="20"/>
                <w:szCs w:val="20"/>
              </w:rPr>
            </w:pPr>
            <w:r w:rsidRPr="00E04D0B">
              <w:rPr>
                <w:rFonts w:ascii="Cambria" w:hAnsi="Cambria"/>
                <w:bCs/>
                <w:sz w:val="20"/>
                <w:szCs w:val="20"/>
              </w:rPr>
              <w:t>102 (64.6)</w:t>
            </w:r>
          </w:p>
        </w:tc>
        <w:tc>
          <w:tcPr>
            <w:tcW w:w="747" w:type="pct"/>
            <w:tcBorders>
              <w:top w:val="single" w:sz="4" w:space="0" w:color="auto"/>
              <w:left w:val="single" w:sz="4" w:space="0" w:color="auto"/>
              <w:bottom w:val="single" w:sz="4" w:space="0" w:color="auto"/>
              <w:right w:val="single" w:sz="4" w:space="0" w:color="auto"/>
            </w:tcBorders>
            <w:vAlign w:val="center"/>
          </w:tcPr>
          <w:p w14:paraId="417A6068" w14:textId="77777777" w:rsidR="001E1900" w:rsidRPr="00E04D0B" w:rsidRDefault="001E1900" w:rsidP="001E1900">
            <w:pPr>
              <w:pStyle w:val="Style"/>
              <w:ind w:left="14"/>
              <w:jc w:val="center"/>
              <w:textAlignment w:val="baseline"/>
              <w:rPr>
                <w:rFonts w:ascii="Cambria" w:hAnsi="Cambria"/>
                <w:bCs/>
                <w:sz w:val="20"/>
                <w:szCs w:val="20"/>
              </w:rPr>
            </w:pPr>
            <w:r w:rsidRPr="00E04D0B">
              <w:rPr>
                <w:rFonts w:ascii="Cambria" w:hAnsi="Cambria"/>
                <w:bCs/>
                <w:sz w:val="20"/>
                <w:szCs w:val="20"/>
              </w:rPr>
              <w:t>213 (66.8)</w:t>
            </w:r>
          </w:p>
        </w:tc>
        <w:tc>
          <w:tcPr>
            <w:tcW w:w="749" w:type="pct"/>
            <w:gridSpan w:val="2"/>
            <w:tcBorders>
              <w:top w:val="single" w:sz="4" w:space="0" w:color="auto"/>
              <w:left w:val="single" w:sz="4" w:space="0" w:color="auto"/>
              <w:bottom w:val="single" w:sz="4" w:space="0" w:color="auto"/>
              <w:right w:val="single" w:sz="4" w:space="0" w:color="auto"/>
            </w:tcBorders>
            <w:vAlign w:val="center"/>
          </w:tcPr>
          <w:p w14:paraId="0ED15B9D" w14:textId="77777777" w:rsidR="001E1900" w:rsidRPr="00E04D0B" w:rsidRDefault="001E1900" w:rsidP="001E1900">
            <w:pPr>
              <w:pStyle w:val="Style"/>
              <w:ind w:left="24"/>
              <w:jc w:val="center"/>
              <w:textAlignment w:val="baseline"/>
              <w:rPr>
                <w:rFonts w:ascii="Cambria" w:hAnsi="Cambria"/>
                <w:bCs/>
                <w:sz w:val="20"/>
                <w:szCs w:val="20"/>
              </w:rPr>
            </w:pPr>
            <w:r w:rsidRPr="00E04D0B">
              <w:rPr>
                <w:rFonts w:ascii="Cambria" w:hAnsi="Cambria"/>
                <w:bCs/>
                <w:sz w:val="20"/>
                <w:szCs w:val="20"/>
              </w:rPr>
              <w:t>114 (71.7)</w:t>
            </w:r>
          </w:p>
        </w:tc>
        <w:tc>
          <w:tcPr>
            <w:tcW w:w="741" w:type="pct"/>
            <w:gridSpan w:val="3"/>
            <w:tcBorders>
              <w:top w:val="single" w:sz="4" w:space="0" w:color="auto"/>
              <w:left w:val="single" w:sz="4" w:space="0" w:color="auto"/>
              <w:bottom w:val="single" w:sz="4" w:space="0" w:color="auto"/>
              <w:right w:val="single" w:sz="4" w:space="0" w:color="auto"/>
            </w:tcBorders>
            <w:vAlign w:val="center"/>
          </w:tcPr>
          <w:p w14:paraId="10B443BF" w14:textId="77777777" w:rsidR="001E1900" w:rsidRPr="00E04D0B" w:rsidRDefault="001E1900" w:rsidP="001E1900">
            <w:pPr>
              <w:pStyle w:val="Style"/>
              <w:ind w:left="19"/>
              <w:jc w:val="center"/>
              <w:textAlignment w:val="baseline"/>
              <w:rPr>
                <w:rFonts w:ascii="Cambria" w:hAnsi="Cambria"/>
                <w:bCs/>
                <w:sz w:val="20"/>
                <w:szCs w:val="20"/>
              </w:rPr>
            </w:pPr>
            <w:r w:rsidRPr="00E04D0B">
              <w:rPr>
                <w:rFonts w:ascii="Cambria" w:hAnsi="Cambria"/>
                <w:bCs/>
                <w:sz w:val="20"/>
                <w:szCs w:val="20"/>
              </w:rPr>
              <w:t>327 (68.4)</w:t>
            </w:r>
          </w:p>
        </w:tc>
      </w:tr>
      <w:tr w:rsidR="001E1900" w:rsidRPr="00E04D0B" w14:paraId="250D6961" w14:textId="77777777" w:rsidTr="00D23C64">
        <w:trPr>
          <w:gridBefore w:val="1"/>
          <w:wBefore w:w="9" w:type="pct"/>
          <w:trHeight w:hRule="exact" w:val="560"/>
        </w:trPr>
        <w:tc>
          <w:tcPr>
            <w:tcW w:w="908" w:type="pct"/>
            <w:tcBorders>
              <w:top w:val="single" w:sz="4" w:space="0" w:color="auto"/>
              <w:left w:val="single" w:sz="4" w:space="0" w:color="auto"/>
              <w:bottom w:val="single" w:sz="4" w:space="0" w:color="auto"/>
              <w:right w:val="single" w:sz="4" w:space="0" w:color="auto"/>
            </w:tcBorders>
            <w:vAlign w:val="center"/>
          </w:tcPr>
          <w:p w14:paraId="4A372226" w14:textId="77777777" w:rsidR="001E1900" w:rsidRPr="00E04D0B" w:rsidRDefault="001E1900" w:rsidP="001E1900">
            <w:pPr>
              <w:pStyle w:val="Style"/>
              <w:ind w:left="298"/>
              <w:textAlignment w:val="baseline"/>
              <w:rPr>
                <w:rFonts w:ascii="Cambria" w:hAnsi="Cambria"/>
                <w:sz w:val="20"/>
                <w:szCs w:val="20"/>
              </w:rPr>
            </w:pPr>
            <w:r w:rsidRPr="00E04D0B">
              <w:rPr>
                <w:rFonts w:ascii="Cambria" w:hAnsi="Cambria"/>
                <w:sz w:val="20"/>
                <w:szCs w:val="20"/>
              </w:rPr>
              <w:t>4 (Severe)</w:t>
            </w:r>
          </w:p>
        </w:tc>
        <w:tc>
          <w:tcPr>
            <w:tcW w:w="925" w:type="pct"/>
            <w:gridSpan w:val="3"/>
            <w:tcBorders>
              <w:top w:val="single" w:sz="4" w:space="0" w:color="auto"/>
              <w:left w:val="single" w:sz="4" w:space="0" w:color="auto"/>
              <w:bottom w:val="single" w:sz="4" w:space="0" w:color="auto"/>
              <w:right w:val="single" w:sz="4" w:space="0" w:color="auto"/>
            </w:tcBorders>
            <w:vAlign w:val="center"/>
          </w:tcPr>
          <w:p w14:paraId="4025E38C" w14:textId="4DD873F6" w:rsidR="001E1900" w:rsidRPr="00E04D0B" w:rsidRDefault="001E1900" w:rsidP="001E1900">
            <w:pPr>
              <w:pStyle w:val="Style"/>
              <w:ind w:left="24"/>
              <w:jc w:val="center"/>
              <w:textAlignment w:val="baseline"/>
              <w:rPr>
                <w:rFonts w:ascii="Cambria" w:hAnsi="Cambria"/>
                <w:bCs/>
                <w:sz w:val="20"/>
                <w:szCs w:val="20"/>
              </w:rPr>
            </w:pPr>
            <w:r w:rsidRPr="00E04D0B">
              <w:rPr>
                <w:rFonts w:ascii="Cambria" w:hAnsi="Cambria"/>
                <w:bCs/>
                <w:sz w:val="20"/>
                <w:szCs w:val="20"/>
              </w:rPr>
              <w:t>50</w:t>
            </w:r>
            <w:r w:rsidR="00EF0463">
              <w:rPr>
                <w:rFonts w:ascii="Cambria" w:hAnsi="Cambria"/>
                <w:bCs/>
                <w:sz w:val="20"/>
                <w:szCs w:val="20"/>
              </w:rPr>
              <w:t xml:space="preserve"> </w:t>
            </w:r>
            <w:r w:rsidRPr="00E04D0B">
              <w:rPr>
                <w:rFonts w:ascii="Cambria" w:hAnsi="Cambria"/>
                <w:bCs/>
                <w:sz w:val="20"/>
                <w:szCs w:val="20"/>
              </w:rPr>
              <w:t>(31.1)</w:t>
            </w:r>
          </w:p>
        </w:tc>
        <w:tc>
          <w:tcPr>
            <w:tcW w:w="921" w:type="pct"/>
            <w:gridSpan w:val="2"/>
            <w:tcBorders>
              <w:top w:val="single" w:sz="4" w:space="0" w:color="auto"/>
              <w:left w:val="single" w:sz="4" w:space="0" w:color="auto"/>
              <w:bottom w:val="single" w:sz="4" w:space="0" w:color="auto"/>
              <w:right w:val="single" w:sz="4" w:space="0" w:color="auto"/>
            </w:tcBorders>
            <w:vAlign w:val="center"/>
          </w:tcPr>
          <w:p w14:paraId="0897403D" w14:textId="77777777" w:rsidR="001E1900" w:rsidRPr="00E04D0B" w:rsidRDefault="001E1900" w:rsidP="001E1900">
            <w:pPr>
              <w:pStyle w:val="Style"/>
              <w:ind w:left="14"/>
              <w:jc w:val="center"/>
              <w:textAlignment w:val="baseline"/>
              <w:rPr>
                <w:rFonts w:ascii="Cambria" w:hAnsi="Cambria"/>
                <w:bCs/>
                <w:sz w:val="20"/>
                <w:szCs w:val="20"/>
              </w:rPr>
            </w:pPr>
            <w:r w:rsidRPr="00E04D0B">
              <w:rPr>
                <w:rFonts w:ascii="Cambria" w:hAnsi="Cambria"/>
                <w:bCs/>
                <w:sz w:val="20"/>
                <w:szCs w:val="20"/>
              </w:rPr>
              <w:t>56 (35.4)</w:t>
            </w:r>
          </w:p>
        </w:tc>
        <w:tc>
          <w:tcPr>
            <w:tcW w:w="747" w:type="pct"/>
            <w:tcBorders>
              <w:top w:val="single" w:sz="4" w:space="0" w:color="auto"/>
              <w:left w:val="single" w:sz="4" w:space="0" w:color="auto"/>
              <w:bottom w:val="single" w:sz="4" w:space="0" w:color="auto"/>
              <w:right w:val="single" w:sz="4" w:space="0" w:color="auto"/>
            </w:tcBorders>
            <w:vAlign w:val="center"/>
          </w:tcPr>
          <w:p w14:paraId="2D88177D" w14:textId="77777777" w:rsidR="001E1900" w:rsidRPr="00E04D0B" w:rsidRDefault="001E1900" w:rsidP="001E1900">
            <w:pPr>
              <w:pStyle w:val="Style"/>
              <w:ind w:left="14"/>
              <w:jc w:val="center"/>
              <w:textAlignment w:val="baseline"/>
              <w:rPr>
                <w:rFonts w:ascii="Cambria" w:hAnsi="Cambria"/>
                <w:bCs/>
                <w:sz w:val="20"/>
                <w:szCs w:val="20"/>
              </w:rPr>
            </w:pPr>
            <w:r w:rsidRPr="00E04D0B">
              <w:rPr>
                <w:rFonts w:ascii="Cambria" w:hAnsi="Cambria"/>
                <w:bCs/>
                <w:sz w:val="20"/>
                <w:szCs w:val="20"/>
              </w:rPr>
              <w:t>106 (33.2)</w:t>
            </w:r>
          </w:p>
        </w:tc>
        <w:tc>
          <w:tcPr>
            <w:tcW w:w="749" w:type="pct"/>
            <w:gridSpan w:val="2"/>
            <w:tcBorders>
              <w:top w:val="single" w:sz="4" w:space="0" w:color="auto"/>
              <w:left w:val="single" w:sz="4" w:space="0" w:color="auto"/>
              <w:bottom w:val="single" w:sz="4" w:space="0" w:color="auto"/>
              <w:right w:val="single" w:sz="4" w:space="0" w:color="auto"/>
            </w:tcBorders>
            <w:vAlign w:val="center"/>
          </w:tcPr>
          <w:p w14:paraId="58F9DA25" w14:textId="77777777" w:rsidR="001E1900" w:rsidRPr="00E04D0B" w:rsidRDefault="001E1900" w:rsidP="001E1900">
            <w:pPr>
              <w:pStyle w:val="Style"/>
              <w:ind w:left="24"/>
              <w:jc w:val="center"/>
              <w:textAlignment w:val="baseline"/>
              <w:rPr>
                <w:rFonts w:ascii="Cambria" w:hAnsi="Cambria"/>
                <w:bCs/>
                <w:sz w:val="20"/>
                <w:szCs w:val="20"/>
              </w:rPr>
            </w:pPr>
            <w:r w:rsidRPr="00E04D0B">
              <w:rPr>
                <w:rFonts w:ascii="Cambria" w:hAnsi="Cambria"/>
                <w:bCs/>
                <w:sz w:val="20"/>
                <w:szCs w:val="20"/>
              </w:rPr>
              <w:t>45 (28.3)</w:t>
            </w:r>
          </w:p>
        </w:tc>
        <w:tc>
          <w:tcPr>
            <w:tcW w:w="741" w:type="pct"/>
            <w:gridSpan w:val="3"/>
            <w:tcBorders>
              <w:top w:val="single" w:sz="4" w:space="0" w:color="auto"/>
              <w:left w:val="single" w:sz="4" w:space="0" w:color="auto"/>
              <w:bottom w:val="single" w:sz="4" w:space="0" w:color="auto"/>
              <w:right w:val="single" w:sz="4" w:space="0" w:color="auto"/>
            </w:tcBorders>
            <w:vAlign w:val="center"/>
          </w:tcPr>
          <w:p w14:paraId="04329F14" w14:textId="77777777" w:rsidR="001E1900" w:rsidRPr="00E04D0B" w:rsidRDefault="001E1900" w:rsidP="001E1900">
            <w:pPr>
              <w:pStyle w:val="Style"/>
              <w:ind w:left="19"/>
              <w:jc w:val="center"/>
              <w:textAlignment w:val="baseline"/>
              <w:rPr>
                <w:rFonts w:ascii="Cambria" w:hAnsi="Cambria"/>
                <w:bCs/>
                <w:sz w:val="20"/>
                <w:szCs w:val="20"/>
              </w:rPr>
            </w:pPr>
            <w:r w:rsidRPr="00E04D0B">
              <w:rPr>
                <w:rFonts w:ascii="Cambria" w:hAnsi="Cambria"/>
                <w:bCs/>
                <w:sz w:val="20"/>
                <w:szCs w:val="20"/>
              </w:rPr>
              <w:t>151 (31.6)</w:t>
            </w:r>
          </w:p>
        </w:tc>
      </w:tr>
    </w:tbl>
    <w:p w14:paraId="634B0737" w14:textId="79F52C36" w:rsidR="00850F6B" w:rsidRDefault="00AE6640" w:rsidP="00850F6B">
      <w:pPr>
        <w:pStyle w:val="TableDescription"/>
      </w:pPr>
      <w:r>
        <w:t xml:space="preserve">Abbreviations: </w:t>
      </w:r>
      <w:r w:rsidR="00850F6B">
        <w:t xml:space="preserve">ADA = adalimumab; BKZ = </w:t>
      </w:r>
      <w:proofErr w:type="spellStart"/>
      <w:r w:rsidR="00850F6B">
        <w:t>bimekizumab</w:t>
      </w:r>
      <w:proofErr w:type="spellEnd"/>
      <w:r w:rsidR="00850F6B">
        <w:t>; BSA = body surface area affected by psoriasis; DLQI = Dermatology Life Quality Index; IGA = Investigator's Global Assessment; max = maximum; min</w:t>
      </w:r>
      <w:r>
        <w:t> </w:t>
      </w:r>
      <w:r w:rsidR="00850F6B">
        <w:t>=</w:t>
      </w:r>
      <w:r>
        <w:t> </w:t>
      </w:r>
      <w:r w:rsidR="00850F6B">
        <w:t xml:space="preserve">minimum; </w:t>
      </w:r>
      <w:proofErr w:type="spellStart"/>
      <w:r w:rsidR="00850F6B" w:rsidRPr="00850F6B">
        <w:t>mNAPSI</w:t>
      </w:r>
      <w:proofErr w:type="spellEnd"/>
      <w:r w:rsidR="00850F6B">
        <w:t xml:space="preserve"> </w:t>
      </w:r>
      <w:r w:rsidR="00850F6B" w:rsidRPr="00850F6B">
        <w:t>=</w:t>
      </w:r>
      <w:r w:rsidR="00850F6B">
        <w:t xml:space="preserve"> </w:t>
      </w:r>
      <w:r w:rsidR="00850F6B" w:rsidRPr="00850F6B">
        <w:t>Modified Nail Psoriasis Severity Index; pp-IGA</w:t>
      </w:r>
      <w:r w:rsidR="00850F6B">
        <w:t xml:space="preserve"> </w:t>
      </w:r>
      <w:r w:rsidR="00850F6B" w:rsidRPr="00850F6B">
        <w:t>=</w:t>
      </w:r>
      <w:r w:rsidR="00850F6B">
        <w:t xml:space="preserve"> </w:t>
      </w:r>
      <w:r w:rsidR="00850F6B" w:rsidRPr="00850F6B">
        <w:t>palmoplantar Investigator</w:t>
      </w:r>
      <w:r w:rsidR="00850F6B">
        <w:t>’</w:t>
      </w:r>
      <w:r w:rsidR="00850F6B" w:rsidRPr="00850F6B">
        <w:t>s Global Assessment; PASI</w:t>
      </w:r>
      <w:r w:rsidR="00850F6B">
        <w:t xml:space="preserve"> </w:t>
      </w:r>
      <w:r w:rsidR="00850F6B" w:rsidRPr="00850F6B">
        <w:t>=</w:t>
      </w:r>
      <w:r w:rsidR="00850F6B">
        <w:t xml:space="preserve"> </w:t>
      </w:r>
      <w:r w:rsidR="00850F6B" w:rsidRPr="00850F6B">
        <w:t>Psoriasis Area and Severity Index; PGADA</w:t>
      </w:r>
      <w:r w:rsidR="00850F6B">
        <w:t xml:space="preserve"> </w:t>
      </w:r>
      <w:r w:rsidR="00850F6B" w:rsidRPr="00850F6B">
        <w:t>=</w:t>
      </w:r>
      <w:r w:rsidR="00850F6B">
        <w:t xml:space="preserve"> </w:t>
      </w:r>
      <w:r w:rsidR="00850F6B" w:rsidRPr="00850F6B">
        <w:t>Patien</w:t>
      </w:r>
      <w:r w:rsidR="00850F6B">
        <w:t>t’</w:t>
      </w:r>
      <w:r w:rsidR="00850F6B" w:rsidRPr="00850F6B">
        <w:t>s Global Assessment of Disease Activity; PSD</w:t>
      </w:r>
      <w:r w:rsidR="00850F6B">
        <w:t xml:space="preserve"> </w:t>
      </w:r>
      <w:r w:rsidR="00850F6B" w:rsidRPr="00850F6B">
        <w:t>=</w:t>
      </w:r>
      <w:r w:rsidR="00850F6B">
        <w:t xml:space="preserve"> </w:t>
      </w:r>
      <w:r w:rsidR="00850F6B" w:rsidRPr="00850F6B">
        <w:t>Patient Symptom Diary; PSO</w:t>
      </w:r>
      <w:r w:rsidR="00850F6B">
        <w:t xml:space="preserve"> </w:t>
      </w:r>
      <w:r w:rsidR="00850F6B" w:rsidRPr="00850F6B">
        <w:t>=</w:t>
      </w:r>
      <w:r w:rsidR="00850F6B">
        <w:t xml:space="preserve"> </w:t>
      </w:r>
      <w:r w:rsidR="00850F6B" w:rsidRPr="00850F6B">
        <w:t>psoriasis; Q4W</w:t>
      </w:r>
      <w:r w:rsidR="00850F6B">
        <w:t xml:space="preserve"> </w:t>
      </w:r>
      <w:r w:rsidR="00850F6B" w:rsidRPr="00850F6B">
        <w:t>=</w:t>
      </w:r>
      <w:r w:rsidR="00850F6B">
        <w:t xml:space="preserve"> </w:t>
      </w:r>
      <w:r w:rsidR="00850F6B" w:rsidRPr="00850F6B">
        <w:t>every 4 weeks;</w:t>
      </w:r>
      <w:r>
        <w:br/>
      </w:r>
      <w:r w:rsidR="00850F6B" w:rsidRPr="00850F6B">
        <w:t>Q8W</w:t>
      </w:r>
      <w:r w:rsidR="00850F6B">
        <w:t xml:space="preserve"> </w:t>
      </w:r>
      <w:r w:rsidR="00850F6B" w:rsidRPr="00850F6B">
        <w:t>=</w:t>
      </w:r>
      <w:r w:rsidR="00850F6B">
        <w:t xml:space="preserve"> </w:t>
      </w:r>
      <w:r w:rsidR="00850F6B" w:rsidRPr="00850F6B">
        <w:t>every 8 weeks; SD</w:t>
      </w:r>
      <w:r w:rsidR="00850F6B">
        <w:t xml:space="preserve"> </w:t>
      </w:r>
      <w:r w:rsidR="00850F6B" w:rsidRPr="00850F6B">
        <w:t>=</w:t>
      </w:r>
      <w:r w:rsidR="00850F6B">
        <w:t xml:space="preserve"> </w:t>
      </w:r>
      <w:r w:rsidR="00850F6B" w:rsidRPr="00850F6B">
        <w:t>standard deviation; SS</w:t>
      </w:r>
      <w:r w:rsidR="00850F6B">
        <w:t xml:space="preserve"> </w:t>
      </w:r>
      <w:r w:rsidR="00850F6B" w:rsidRPr="00850F6B">
        <w:t>=</w:t>
      </w:r>
      <w:r w:rsidR="00850F6B">
        <w:t xml:space="preserve"> </w:t>
      </w:r>
      <w:r w:rsidR="00850F6B" w:rsidRPr="00850F6B">
        <w:t>Safety Set; TNF</w:t>
      </w:r>
      <w:r w:rsidR="00850F6B">
        <w:t xml:space="preserve"> </w:t>
      </w:r>
      <w:r w:rsidR="00850F6B" w:rsidRPr="00850F6B">
        <w:t>=</w:t>
      </w:r>
      <w:r w:rsidR="00850F6B">
        <w:t xml:space="preserve"> </w:t>
      </w:r>
      <w:r w:rsidRPr="00850F6B">
        <w:t>tumour</w:t>
      </w:r>
      <w:r w:rsidR="00850F6B" w:rsidRPr="00850F6B">
        <w:t xml:space="preserve"> necrosis factor</w:t>
      </w:r>
    </w:p>
    <w:p w14:paraId="2B552A48" w14:textId="63A710A2" w:rsidR="00850F6B" w:rsidRDefault="00850F6B" w:rsidP="00850F6B">
      <w:pPr>
        <w:pStyle w:val="TableDescription"/>
      </w:pPr>
      <w:r>
        <w:t xml:space="preserve">Note: Study participants were summarized according to </w:t>
      </w:r>
      <w:r w:rsidR="001D2CFA">
        <w:t>randomised</w:t>
      </w:r>
      <w:r>
        <w:t xml:space="preserve"> treatment at Baseline in the Initial Treatment Period.</w:t>
      </w:r>
    </w:p>
    <w:p w14:paraId="7D43E8FD" w14:textId="5BCD57F8" w:rsidR="00850F6B" w:rsidRDefault="00850F6B" w:rsidP="00850F6B">
      <w:pPr>
        <w:pStyle w:val="TableDescription"/>
      </w:pPr>
      <w:r>
        <w:t xml:space="preserve">Note: Duration of disease (years) = (Date of randomization </w:t>
      </w:r>
      <w:r>
        <w:rPr>
          <w:rFonts w:ascii="TimesNewRomanPSMT" w:eastAsia="TimesNewRomanPSMT" w:cs="TimesNewRomanPSMT" w:hint="eastAsia"/>
        </w:rPr>
        <w:t>–</w:t>
      </w:r>
      <w:r>
        <w:rPr>
          <w:rFonts w:ascii="TimesNewRomanPSMT" w:eastAsia="TimesNewRomanPSMT" w:cs="TimesNewRomanPSMT"/>
        </w:rPr>
        <w:t xml:space="preserve"> </w:t>
      </w:r>
      <w:r>
        <w:t>date of onset of plaque PSO)/365.25.</w:t>
      </w:r>
    </w:p>
    <w:p w14:paraId="2032F0DE" w14:textId="2D86125B" w:rsidR="00850F6B" w:rsidRDefault="00850F6B" w:rsidP="00850F6B">
      <w:pPr>
        <w:pStyle w:val="TableDescription"/>
      </w:pPr>
      <w:r>
        <w:t xml:space="preserve">Note: Baseline nail, scalp, and palmoplantar involvement were based on the number of study participants achieving </w:t>
      </w:r>
      <w:proofErr w:type="spellStart"/>
      <w:r>
        <w:t>mNAPSI</w:t>
      </w:r>
      <w:proofErr w:type="spellEnd"/>
      <w:r>
        <w:t xml:space="preserve"> &gt; 0, Scalp IGA &gt; 0, and pp-IGA &gt; 0, respectively.</w:t>
      </w:r>
    </w:p>
    <w:p w14:paraId="0C4E6311" w14:textId="0B7AEBA1" w:rsidR="00850F6B" w:rsidRDefault="00850F6B" w:rsidP="00850F6B">
      <w:pPr>
        <w:pStyle w:val="TableDescription"/>
      </w:pPr>
      <w:r>
        <w:t>Note: For PSD, in cases where there was &gt; 1 diary record completed on a particular day, all available records within the 7-day window (including any double entries on one day) were used in the calculation of weekly average scores. If this resulted in having &gt;7 available scores to calculate the weekly average, the 7 records closest to the visit were used.</w:t>
      </w:r>
    </w:p>
    <w:p w14:paraId="363B4710" w14:textId="387ED268" w:rsidR="00850F6B" w:rsidRDefault="00850F6B" w:rsidP="00850F6B">
      <w:pPr>
        <w:pStyle w:val="TableDescription"/>
      </w:pPr>
      <w:r>
        <w:rPr>
          <w:sz w:val="13"/>
          <w:szCs w:val="13"/>
        </w:rPr>
        <w:t xml:space="preserve">a </w:t>
      </w:r>
      <w:proofErr w:type="spellStart"/>
      <w:r>
        <w:t>mNAPSI</w:t>
      </w:r>
      <w:proofErr w:type="spellEnd"/>
      <w:r>
        <w:t xml:space="preserve"> total score for study participants with nail involvement (that is </w:t>
      </w:r>
      <w:proofErr w:type="spellStart"/>
      <w:r>
        <w:t>mNAPSI</w:t>
      </w:r>
      <w:proofErr w:type="spellEnd"/>
      <w:r>
        <w:t xml:space="preserve"> &gt; 0) at Baseline.</w:t>
      </w:r>
    </w:p>
    <w:p w14:paraId="2C5659A5" w14:textId="1B21FA05" w:rsidR="00850F6B" w:rsidRDefault="00850F6B" w:rsidP="00850F6B">
      <w:pPr>
        <w:pStyle w:val="TableDescription"/>
      </w:pPr>
      <w:r>
        <w:rPr>
          <w:sz w:val="13"/>
          <w:szCs w:val="13"/>
        </w:rPr>
        <w:t xml:space="preserve">b </w:t>
      </w:r>
      <w:r>
        <w:t>PGADA for arthritis visual analogue scale score.</w:t>
      </w:r>
    </w:p>
    <w:p w14:paraId="5D7A19D7" w14:textId="47484364" w:rsidR="00D23C64" w:rsidRPr="00D23C64" w:rsidRDefault="00D23C64" w:rsidP="00D23C64">
      <w:r>
        <w:t xml:space="preserve">The </w:t>
      </w:r>
      <w:r w:rsidR="00AE6640">
        <w:t xml:space="preserve">TGA’s clinical evaluation </w:t>
      </w:r>
      <w:proofErr w:type="spellStart"/>
      <w:r w:rsidR="00AE6640">
        <w:t>noted</w:t>
      </w:r>
      <w:r>
        <w:t>that</w:t>
      </w:r>
      <w:proofErr w:type="spellEnd"/>
      <w:r>
        <w:t xml:space="preserve"> the population studied is representative of patients with moderate to severe plaque psoriasis. The mean PASI and IGA scores were balanced across treatment groups</w:t>
      </w:r>
      <w:r w:rsidR="00850F6B">
        <w:t xml:space="preserve"> (</w:t>
      </w:r>
      <w:r w:rsidR="00AE6640">
        <w:t xml:space="preserve">see </w:t>
      </w:r>
      <w:r w:rsidR="00850F6B">
        <w:fldChar w:fldCharType="begin"/>
      </w:r>
      <w:r w:rsidR="00850F6B">
        <w:instrText xml:space="preserve"> REF _Ref129952884 \h </w:instrText>
      </w:r>
      <w:r w:rsidR="00850F6B">
        <w:fldChar w:fldCharType="separate"/>
      </w:r>
      <w:r w:rsidR="00B54079" w:rsidRPr="00E04D0B">
        <w:t xml:space="preserve">Table </w:t>
      </w:r>
      <w:r w:rsidR="00B54079">
        <w:rPr>
          <w:noProof/>
        </w:rPr>
        <w:t>16</w:t>
      </w:r>
      <w:r w:rsidR="00850F6B">
        <w:fldChar w:fldCharType="end"/>
      </w:r>
      <w:r w:rsidR="00850F6B">
        <w:t>)</w:t>
      </w:r>
      <w:r>
        <w:t xml:space="preserve">. The mean duration of disease was higher in the </w:t>
      </w:r>
      <w:proofErr w:type="spellStart"/>
      <w:r w:rsidR="008B40FD">
        <w:t>bimekizumab</w:t>
      </w:r>
      <w:proofErr w:type="spellEnd"/>
      <w:r>
        <w:t xml:space="preserve"> group versus </w:t>
      </w:r>
      <w:r w:rsidR="004858E7">
        <w:t>adalimumab</w:t>
      </w:r>
      <w:r>
        <w:t xml:space="preserve"> group; however, this should not have a bearing on overall treatment outcomes. Minor differences exist in baseline disease characteristics for the co-primary/secondary outcomes, with disease severity generally being slightly greater in the </w:t>
      </w:r>
      <w:proofErr w:type="spellStart"/>
      <w:r w:rsidR="008B40FD">
        <w:t>bimekizumab</w:t>
      </w:r>
      <w:proofErr w:type="spellEnd"/>
      <w:r>
        <w:t xml:space="preserve"> group versus the </w:t>
      </w:r>
      <w:r w:rsidR="004858E7">
        <w:t>adalimumab</w:t>
      </w:r>
      <w:r>
        <w:t xml:space="preserve"> group. The population studied is representative of patients with moderate to severe plaque psoriasis. The mean PASI and IGA scores were balanced across treatment groups. The mean duration of disease was higher in the </w:t>
      </w:r>
      <w:proofErr w:type="spellStart"/>
      <w:r w:rsidR="008B40FD">
        <w:t>bimekizumab</w:t>
      </w:r>
      <w:proofErr w:type="spellEnd"/>
      <w:r>
        <w:t xml:space="preserve"> group versus</w:t>
      </w:r>
      <w:r w:rsidRPr="00D23C64">
        <w:t xml:space="preserve"> </w:t>
      </w:r>
      <w:r w:rsidR="004858E7">
        <w:t>adalimumab</w:t>
      </w:r>
      <w:r w:rsidRPr="00D23C64">
        <w:t xml:space="preserve"> group; however, this should not have a bearing on overall treatment outcomes.</w:t>
      </w:r>
    </w:p>
    <w:p w14:paraId="3E9FE8F0" w14:textId="656E4671" w:rsidR="001E1900" w:rsidRDefault="00D23C64" w:rsidP="00D23C64">
      <w:r>
        <w:t>The Delegate reiterated that the definition of plaque psoriasis severity scale</w:t>
      </w:r>
      <w:r w:rsidR="00904D68">
        <w:t xml:space="preserve"> is</w:t>
      </w:r>
      <w:r>
        <w:t xml:space="preserve"> that</w:t>
      </w:r>
      <w:r w:rsidR="00904D68">
        <w:t xml:space="preserve"> a</w:t>
      </w:r>
      <w:r>
        <w:t xml:space="preserve"> mild case is a PASI score of </w:t>
      </w:r>
      <w:r w:rsidR="00C304F9">
        <w:t xml:space="preserve">less than </w:t>
      </w:r>
      <w:r>
        <w:t xml:space="preserve">7 and DLQI score of </w:t>
      </w:r>
      <w:r w:rsidR="00C304F9">
        <w:t xml:space="preserve">less than </w:t>
      </w:r>
      <w:r>
        <w:t>7; while moderate case is PASI score of 7 to 15 and DLQI score of 5 to 15 (classified as severe when difficult to treat sites are affected or when there is a significant psychosocial impact)</w:t>
      </w:r>
      <w:r w:rsidR="00C304F9">
        <w:t xml:space="preserve"> and </w:t>
      </w:r>
      <w:r>
        <w:t>severe</w:t>
      </w:r>
      <w:r w:rsidR="00C304F9">
        <w:t xml:space="preserve"> case is </w:t>
      </w:r>
      <w:r w:rsidR="00310981">
        <w:t xml:space="preserve">a </w:t>
      </w:r>
      <w:r>
        <w:t>PASI</w:t>
      </w:r>
      <w:r w:rsidR="00C304F9">
        <w:t xml:space="preserve"> score of greater than </w:t>
      </w:r>
      <w:r>
        <w:t>15, independently of the DLQI score.</w:t>
      </w:r>
      <w:r w:rsidR="00C304F9">
        <w:t xml:space="preserve"> </w:t>
      </w:r>
      <w:r>
        <w:t xml:space="preserve">The above minor baseline differences should not significantly contribute to the overall assessment of efficacy outcome for both </w:t>
      </w:r>
      <w:proofErr w:type="spellStart"/>
      <w:r w:rsidR="008B40FD">
        <w:t>bimekizumab</w:t>
      </w:r>
      <w:proofErr w:type="spellEnd"/>
      <w:r>
        <w:t xml:space="preserve"> and </w:t>
      </w:r>
      <w:r w:rsidR="004858E7">
        <w:t>adalimumab</w:t>
      </w:r>
      <w:r>
        <w:t>.</w:t>
      </w:r>
    </w:p>
    <w:p w14:paraId="7EEE02CF" w14:textId="77777777" w:rsidR="00E64D80" w:rsidRDefault="00E64D80" w:rsidP="00E64D80">
      <w:pPr>
        <w:pStyle w:val="Heading6"/>
      </w:pPr>
      <w:r>
        <w:lastRenderedPageBreak/>
        <w:t>Baseline therapies</w:t>
      </w:r>
    </w:p>
    <w:p w14:paraId="0BEEB5AA" w14:textId="5B0ADBD9" w:rsidR="00E64D80" w:rsidRDefault="00E64D80" w:rsidP="00E64D80">
      <w:r>
        <w:t xml:space="preserve">The use of any prior medications was generally similar between the </w:t>
      </w:r>
      <w:proofErr w:type="spellStart"/>
      <w:r w:rsidR="008B40FD">
        <w:t>bimekizumab</w:t>
      </w:r>
      <w:proofErr w:type="spellEnd"/>
      <w:r>
        <w:t xml:space="preserve"> total group (77.4%) and the </w:t>
      </w:r>
      <w:r w:rsidR="004858E7">
        <w:t>adalimumab</w:t>
      </w:r>
      <w:r>
        <w:t>/</w:t>
      </w:r>
      <w:proofErr w:type="spellStart"/>
      <w:r w:rsidR="008B40FD">
        <w:t>bimekizumab</w:t>
      </w:r>
      <w:proofErr w:type="spellEnd"/>
      <w:r>
        <w:t xml:space="preserve"> 320</w:t>
      </w:r>
      <w:r w:rsidR="00E04D0B">
        <w:t xml:space="preserve"> </w:t>
      </w:r>
      <w:r>
        <w:t xml:space="preserve">mg </w:t>
      </w:r>
      <w:r w:rsidR="00F23C97">
        <w:t>every 4 weeks</w:t>
      </w:r>
      <w:r>
        <w:t xml:space="preserve"> group (81.1 %). The notable differences include: </w:t>
      </w:r>
    </w:p>
    <w:p w14:paraId="5FBBF4FA" w14:textId="3F4AD5BE" w:rsidR="00E64D80" w:rsidRDefault="00E64D80" w:rsidP="00E64D80">
      <w:pPr>
        <w:pStyle w:val="ListBullet"/>
      </w:pPr>
      <w:r>
        <w:t xml:space="preserve">The incidence of prior corticosteroids use was slightly lower in the </w:t>
      </w:r>
      <w:proofErr w:type="spellStart"/>
      <w:r w:rsidR="008B40FD">
        <w:t>bimekizumab</w:t>
      </w:r>
      <w:proofErr w:type="spellEnd"/>
      <w:r>
        <w:t xml:space="preserve"> total group (19.4%) compared with the </w:t>
      </w:r>
      <w:r w:rsidR="004858E7">
        <w:t>adalimumab</w:t>
      </w:r>
      <w:r>
        <w:t>/</w:t>
      </w:r>
      <w:proofErr w:type="spellStart"/>
      <w:r w:rsidR="008B40FD">
        <w:t>bimekizumab</w:t>
      </w:r>
      <w:proofErr w:type="spellEnd"/>
      <w:r>
        <w:t xml:space="preserve"> 320</w:t>
      </w:r>
      <w:r w:rsidR="00E04D0B">
        <w:t xml:space="preserve"> </w:t>
      </w:r>
      <w:r>
        <w:t xml:space="preserve">mg </w:t>
      </w:r>
      <w:r w:rsidR="00F23C97">
        <w:t>every 4 weeks</w:t>
      </w:r>
      <w:r>
        <w:t xml:space="preserve"> group (23.3%). </w:t>
      </w:r>
    </w:p>
    <w:p w14:paraId="48B1F9D4" w14:textId="34F6AAF2" w:rsidR="00E64D80" w:rsidRDefault="00E64D80" w:rsidP="00E64D80">
      <w:pPr>
        <w:pStyle w:val="ListBullet"/>
      </w:pPr>
      <w:r>
        <w:t xml:space="preserve">The incidence of prior blood glucose lowering drugs (excluding insulins) use was lower in the </w:t>
      </w:r>
      <w:proofErr w:type="spellStart"/>
      <w:r w:rsidR="008B40FD">
        <w:t>bimekizumab</w:t>
      </w:r>
      <w:proofErr w:type="spellEnd"/>
      <w:r>
        <w:t xml:space="preserve"> total group (8.2%) compared with the </w:t>
      </w:r>
      <w:r w:rsidR="004858E7">
        <w:t>adalimumab</w:t>
      </w:r>
      <w:r>
        <w:t>/</w:t>
      </w:r>
      <w:proofErr w:type="spellStart"/>
      <w:r w:rsidR="008B40FD">
        <w:t>bimekizumab</w:t>
      </w:r>
      <w:proofErr w:type="spellEnd"/>
      <w:r>
        <w:t xml:space="preserve"> 320</w:t>
      </w:r>
      <w:r w:rsidR="00E04D0B">
        <w:t xml:space="preserve"> </w:t>
      </w:r>
      <w:r>
        <w:t xml:space="preserve">mg </w:t>
      </w:r>
      <w:r w:rsidR="00F23C97">
        <w:t>every 4 weeks</w:t>
      </w:r>
      <w:r>
        <w:t xml:space="preserve"> group (12.6%). </w:t>
      </w:r>
    </w:p>
    <w:p w14:paraId="6ECA2024" w14:textId="2E311EF0" w:rsidR="00E64D80" w:rsidRDefault="00E64D80" w:rsidP="00E64D80">
      <w:pPr>
        <w:pStyle w:val="ListBullet"/>
      </w:pPr>
      <w:r>
        <w:t xml:space="preserve">The incidence of prior emollients and protectives use was slightly higher in the </w:t>
      </w:r>
      <w:proofErr w:type="spellStart"/>
      <w:r w:rsidR="008B40FD">
        <w:t>bimekizumab</w:t>
      </w:r>
      <w:proofErr w:type="spellEnd"/>
      <w:r>
        <w:t xml:space="preserve"> total group (5.6%) compared with the </w:t>
      </w:r>
      <w:r w:rsidR="004858E7">
        <w:t>adalimumab</w:t>
      </w:r>
      <w:r>
        <w:t>/</w:t>
      </w:r>
      <w:proofErr w:type="spellStart"/>
      <w:r w:rsidR="008B40FD">
        <w:t>bimekizumab</w:t>
      </w:r>
      <w:proofErr w:type="spellEnd"/>
      <w:r>
        <w:t xml:space="preserve"> 320</w:t>
      </w:r>
      <w:r w:rsidR="00E04D0B">
        <w:t> </w:t>
      </w:r>
      <w:r>
        <w:t>mg.</w:t>
      </w:r>
    </w:p>
    <w:p w14:paraId="5B3FF505" w14:textId="0A35F9D0" w:rsidR="00E64D80" w:rsidRDefault="00E64D80" w:rsidP="008B40FD">
      <w:pPr>
        <w:tabs>
          <w:tab w:val="left" w:pos="2835"/>
        </w:tabs>
      </w:pPr>
      <w:r>
        <w:t xml:space="preserve">The use of any past </w:t>
      </w:r>
      <w:r w:rsidR="008B40FD">
        <w:t>p</w:t>
      </w:r>
      <w:r>
        <w:t xml:space="preserve">soriasis medications and biological treatment was generally similar between the </w:t>
      </w:r>
      <w:proofErr w:type="spellStart"/>
      <w:r w:rsidR="008B40FD">
        <w:t>bimekizumab</w:t>
      </w:r>
      <w:proofErr w:type="spellEnd"/>
      <w:r>
        <w:t xml:space="preserve"> total group (99.4%) and the </w:t>
      </w:r>
      <w:r w:rsidR="004858E7">
        <w:t>adalimumab</w:t>
      </w:r>
      <w:r>
        <w:t>/</w:t>
      </w:r>
      <w:proofErr w:type="spellStart"/>
      <w:r w:rsidR="008B40FD">
        <w:t>bimekizumab</w:t>
      </w:r>
      <w:proofErr w:type="spellEnd"/>
      <w:r>
        <w:t xml:space="preserve"> 320</w:t>
      </w:r>
      <w:r w:rsidR="00E04D0B">
        <w:t> </w:t>
      </w:r>
      <w:r>
        <w:t xml:space="preserve">mg </w:t>
      </w:r>
      <w:r w:rsidR="00F23C97">
        <w:t>every 4 weeks</w:t>
      </w:r>
      <w:r>
        <w:t xml:space="preserve"> group (96.9%) </w:t>
      </w:r>
      <w:r w:rsidR="00F23C97">
        <w:t>every 4 weeks</w:t>
      </w:r>
      <w:r>
        <w:t xml:space="preserve"> group (3.1%). </w:t>
      </w:r>
    </w:p>
    <w:p w14:paraId="3FA7A90B" w14:textId="50266E6C" w:rsidR="00E64D80" w:rsidRDefault="00E64D80" w:rsidP="00E64D80">
      <w:r>
        <w:t xml:space="preserve">The proportion of study participants who received past anti-IL 17 treatment was similar in the </w:t>
      </w:r>
      <w:proofErr w:type="spellStart"/>
      <w:r w:rsidR="008B40FD">
        <w:t>bimekizumab</w:t>
      </w:r>
      <w:proofErr w:type="spellEnd"/>
      <w:r>
        <w:t xml:space="preserve"> total group (21.9%) and the </w:t>
      </w:r>
      <w:r w:rsidR="004858E7">
        <w:t>adalimumab</w:t>
      </w:r>
      <w:r>
        <w:t>/</w:t>
      </w:r>
      <w:proofErr w:type="spellStart"/>
      <w:r w:rsidR="008B40FD">
        <w:t>bimekizumab</w:t>
      </w:r>
      <w:proofErr w:type="spellEnd"/>
      <w:r>
        <w:t xml:space="preserve"> 320</w:t>
      </w:r>
      <w:r w:rsidR="00E04D0B">
        <w:t xml:space="preserve"> </w:t>
      </w:r>
      <w:r>
        <w:t xml:space="preserve">mg </w:t>
      </w:r>
      <w:r w:rsidR="00F23C97">
        <w:t>every 4 weeks</w:t>
      </w:r>
      <w:r>
        <w:t xml:space="preserve"> group (22.0%).</w:t>
      </w:r>
    </w:p>
    <w:p w14:paraId="1C241BC3" w14:textId="6D670E48" w:rsidR="00C304F9" w:rsidRDefault="00E64D80" w:rsidP="00E64D80">
      <w:r>
        <w:t xml:space="preserve">The incidence of prior nonbiologic systemic agent use was higher in the </w:t>
      </w:r>
      <w:proofErr w:type="spellStart"/>
      <w:r w:rsidR="008B40FD">
        <w:t>bimekizumab</w:t>
      </w:r>
      <w:proofErr w:type="spellEnd"/>
      <w:r>
        <w:t xml:space="preserve"> total group (50.2%) compared with the </w:t>
      </w:r>
      <w:r w:rsidR="004858E7">
        <w:t>adalimumab</w:t>
      </w:r>
      <w:r>
        <w:t>/</w:t>
      </w:r>
      <w:proofErr w:type="spellStart"/>
      <w:r w:rsidR="008B40FD">
        <w:t>bimekizumab</w:t>
      </w:r>
      <w:proofErr w:type="spellEnd"/>
      <w:r>
        <w:t xml:space="preserve"> 320</w:t>
      </w:r>
      <w:r w:rsidR="00E04D0B">
        <w:t xml:space="preserve"> </w:t>
      </w:r>
      <w:r>
        <w:t xml:space="preserve">mg </w:t>
      </w:r>
      <w:r w:rsidR="00F23C97">
        <w:t>every 4 weeks</w:t>
      </w:r>
      <w:r>
        <w:t xml:space="preserve"> group (43.4%).</w:t>
      </w:r>
    </w:p>
    <w:p w14:paraId="6E440F28" w14:textId="6D027DEC" w:rsidR="000F7D20" w:rsidRDefault="000F7D20" w:rsidP="000F7D20">
      <w:pPr>
        <w:pStyle w:val="Heading6"/>
      </w:pPr>
      <w:r>
        <w:t xml:space="preserve">Co-primary </w:t>
      </w:r>
      <w:r w:rsidR="008A3252">
        <w:t>endpoint outcome</w:t>
      </w:r>
    </w:p>
    <w:p w14:paraId="0EE0B014" w14:textId="5920562E" w:rsidR="000F7D20" w:rsidRDefault="000F7D20" w:rsidP="000F7D20">
      <w:r>
        <w:t>For the co-primary endpoint of PASI 9</w:t>
      </w:r>
      <w:r w:rsidR="00E04D0B">
        <w:t>0</w:t>
      </w:r>
      <w:r>
        <w:t xml:space="preserve"> response rate at Week 16, as per </w:t>
      </w:r>
      <w:r w:rsidR="00850F6B">
        <w:fldChar w:fldCharType="begin"/>
      </w:r>
      <w:r w:rsidR="00850F6B">
        <w:instrText xml:space="preserve"> REF _Ref129952851 \h </w:instrText>
      </w:r>
      <w:r w:rsidR="00850F6B">
        <w:fldChar w:fldCharType="separate"/>
      </w:r>
      <w:r w:rsidR="00B54079" w:rsidRPr="00E04D0B">
        <w:t xml:space="preserve">Table </w:t>
      </w:r>
      <w:r w:rsidR="00B54079">
        <w:rPr>
          <w:noProof/>
        </w:rPr>
        <w:t>17</w:t>
      </w:r>
      <w:r w:rsidR="00850F6B">
        <w:fldChar w:fldCharType="end"/>
      </w:r>
      <w:r>
        <w:t>:</w:t>
      </w:r>
    </w:p>
    <w:p w14:paraId="24FC40B0" w14:textId="25F2A577" w:rsidR="000F7D20" w:rsidRDefault="000F7D20" w:rsidP="000F7D20">
      <w:pPr>
        <w:pStyle w:val="ListBullet"/>
      </w:pPr>
      <w:r>
        <w:t xml:space="preserve">the </w:t>
      </w:r>
      <w:proofErr w:type="spellStart"/>
      <w:r w:rsidR="008B40FD">
        <w:t>bimekizumab</w:t>
      </w:r>
      <w:proofErr w:type="spellEnd"/>
      <w:r>
        <w:t xml:space="preserve"> total group was superior compared with the </w:t>
      </w:r>
      <w:r w:rsidR="004858E7">
        <w:t>adalimumab</w:t>
      </w:r>
      <w:r>
        <w:t xml:space="preserve"> group (86.2% </w:t>
      </w:r>
      <w:r w:rsidR="004858E7">
        <w:t>versus</w:t>
      </w:r>
      <w:r>
        <w:t xml:space="preserve"> 47.2%, respectively</w:t>
      </w:r>
      <w:proofErr w:type="gramStart"/>
      <w:r>
        <w:t>);</w:t>
      </w:r>
      <w:proofErr w:type="gramEnd"/>
    </w:p>
    <w:p w14:paraId="1FD9DCB4" w14:textId="0FE28E7A" w:rsidR="000F7D20" w:rsidRDefault="000F7D20" w:rsidP="000F7D20">
      <w:pPr>
        <w:pStyle w:val="ListBullet"/>
      </w:pPr>
      <w:r>
        <w:t xml:space="preserve">this difference was statistically significant, with an odds ratio versus </w:t>
      </w:r>
      <w:r w:rsidR="004858E7">
        <w:t>adalimumab</w:t>
      </w:r>
      <w:r>
        <w:t xml:space="preserve"> of 7.459 (95% CI: 4.709, 11.816; p</w:t>
      </w:r>
      <w:r w:rsidR="00E04D0B">
        <w:t xml:space="preserve"> </w:t>
      </w:r>
      <w:r>
        <w:t>&lt;</w:t>
      </w:r>
      <w:r w:rsidR="00E04D0B">
        <w:t xml:space="preserve"> </w:t>
      </w:r>
      <w:r>
        <w:t>0.001).</w:t>
      </w:r>
    </w:p>
    <w:p w14:paraId="7391F126" w14:textId="7B78DA3E" w:rsidR="00053FE8" w:rsidRPr="00053FE8" w:rsidRDefault="00053FE8" w:rsidP="006E4137">
      <w:pPr>
        <w:spacing w:before="0" w:after="200" w:line="0" w:lineRule="auto"/>
      </w:pPr>
      <w:r>
        <w:br w:type="page"/>
      </w:r>
    </w:p>
    <w:p w14:paraId="0FC90B29" w14:textId="1FC3323C" w:rsidR="000F7D20" w:rsidRDefault="00D002DA" w:rsidP="00E04D0B">
      <w:pPr>
        <w:pStyle w:val="TableTitle"/>
      </w:pPr>
      <w:bookmarkStart w:id="94" w:name="_Ref129952851"/>
      <w:r w:rsidRPr="00E04D0B">
        <w:lastRenderedPageBreak/>
        <w:t xml:space="preserve">Table </w:t>
      </w:r>
      <w:r w:rsidR="00172397">
        <w:fldChar w:fldCharType="begin"/>
      </w:r>
      <w:r w:rsidR="00172397">
        <w:instrText xml:space="preserve"> SEQ Table \* ARABIC </w:instrText>
      </w:r>
      <w:r w:rsidR="00172397">
        <w:fldChar w:fldCharType="separate"/>
      </w:r>
      <w:r w:rsidR="00B54079">
        <w:rPr>
          <w:noProof/>
        </w:rPr>
        <w:t>17</w:t>
      </w:r>
      <w:r w:rsidR="00172397">
        <w:rPr>
          <w:noProof/>
        </w:rPr>
        <w:fldChar w:fldCharType="end"/>
      </w:r>
      <w:bookmarkEnd w:id="94"/>
      <w:r>
        <w:t>:</w:t>
      </w:r>
      <w:r w:rsidR="00E04D0B">
        <w:t xml:space="preserve"> </w:t>
      </w:r>
      <w:r w:rsidR="00E04D0B" w:rsidRPr="00E04D0B">
        <w:t>Study PS0</w:t>
      </w:r>
      <w:r w:rsidR="00053FE8">
        <w:t>0</w:t>
      </w:r>
      <w:r w:rsidR="00E04D0B" w:rsidRPr="00E04D0B">
        <w:t>08</w:t>
      </w:r>
      <w:r w:rsidR="00E04D0B">
        <w:t xml:space="preserve"> </w:t>
      </w:r>
      <w:proofErr w:type="spellStart"/>
      <w:r w:rsidR="00E04D0B" w:rsidRPr="00E04D0B">
        <w:t>PASl</w:t>
      </w:r>
      <w:proofErr w:type="spellEnd"/>
      <w:r w:rsidR="00850F6B">
        <w:t xml:space="preserve"> </w:t>
      </w:r>
      <w:r w:rsidR="00E04D0B" w:rsidRPr="00E04D0B">
        <w:t>90 response at Week 16</w:t>
      </w:r>
    </w:p>
    <w:tbl>
      <w:tblPr>
        <w:tblW w:w="5000" w:type="pct"/>
        <w:jc w:val="center"/>
        <w:tblCellMar>
          <w:left w:w="0" w:type="dxa"/>
          <w:right w:w="0" w:type="dxa"/>
        </w:tblCellMar>
        <w:tblLook w:val="0000" w:firstRow="0" w:lastRow="0" w:firstColumn="0" w:lastColumn="0" w:noHBand="0" w:noVBand="0"/>
      </w:tblPr>
      <w:tblGrid>
        <w:gridCol w:w="3263"/>
        <w:gridCol w:w="2614"/>
        <w:gridCol w:w="2611"/>
      </w:tblGrid>
      <w:tr w:rsidR="00D002DA" w14:paraId="14BC8402" w14:textId="77777777" w:rsidTr="009B153D">
        <w:trPr>
          <w:trHeight w:val="643"/>
          <w:jc w:val="center"/>
        </w:trPr>
        <w:tc>
          <w:tcPr>
            <w:tcW w:w="1922" w:type="pct"/>
            <w:tcBorders>
              <w:top w:val="single" w:sz="6" w:space="0" w:color="auto"/>
              <w:left w:val="single" w:sz="6" w:space="0" w:color="auto"/>
              <w:right w:val="single" w:sz="6" w:space="0" w:color="auto"/>
            </w:tcBorders>
            <w:vAlign w:val="center"/>
          </w:tcPr>
          <w:p w14:paraId="771A0AA1" w14:textId="0D502F73" w:rsidR="00D002DA" w:rsidRDefault="00D002DA" w:rsidP="009B153D">
            <w:pPr>
              <w:pStyle w:val="Style"/>
              <w:textAlignment w:val="baseline"/>
            </w:pPr>
            <w:r>
              <w:rPr>
                <w:sz w:val="31"/>
                <w:szCs w:val="31"/>
              </w:rPr>
              <w:t xml:space="preserve"> </w:t>
            </w:r>
          </w:p>
        </w:tc>
        <w:tc>
          <w:tcPr>
            <w:tcW w:w="1540" w:type="pct"/>
            <w:tcBorders>
              <w:top w:val="single" w:sz="6" w:space="0" w:color="auto"/>
              <w:left w:val="single" w:sz="6" w:space="0" w:color="auto"/>
              <w:right w:val="single" w:sz="6" w:space="0" w:color="auto"/>
            </w:tcBorders>
            <w:vAlign w:val="center"/>
          </w:tcPr>
          <w:p w14:paraId="1748200E" w14:textId="7876A5A1" w:rsidR="00D002DA" w:rsidRDefault="00D002DA" w:rsidP="009B153D">
            <w:pPr>
              <w:pStyle w:val="Style"/>
              <w:ind w:left="19"/>
              <w:jc w:val="center"/>
              <w:textAlignment w:val="baseline"/>
            </w:pPr>
            <w:r>
              <w:rPr>
                <w:b/>
                <w:sz w:val="20"/>
                <w:szCs w:val="20"/>
              </w:rPr>
              <w:t xml:space="preserve">BKZ </w:t>
            </w:r>
            <w:r w:rsidR="00850F6B">
              <w:rPr>
                <w:b/>
                <w:sz w:val="20"/>
                <w:szCs w:val="20"/>
              </w:rPr>
              <w:t>t</w:t>
            </w:r>
            <w:r>
              <w:rPr>
                <w:b/>
                <w:sz w:val="20"/>
                <w:szCs w:val="20"/>
              </w:rPr>
              <w:t xml:space="preserve">otal </w:t>
            </w:r>
          </w:p>
          <w:p w14:paraId="3D16B820" w14:textId="58FFC9E1" w:rsidR="00D002DA" w:rsidRDefault="00D002DA" w:rsidP="009B153D">
            <w:pPr>
              <w:pStyle w:val="Style"/>
              <w:ind w:left="19"/>
              <w:jc w:val="center"/>
              <w:textAlignment w:val="baseline"/>
            </w:pPr>
            <w:r>
              <w:rPr>
                <w:b/>
                <w:sz w:val="20"/>
                <w:szCs w:val="20"/>
              </w:rPr>
              <w:t>N</w:t>
            </w:r>
            <w:r w:rsidR="00850F6B">
              <w:rPr>
                <w:b/>
                <w:sz w:val="20"/>
                <w:szCs w:val="20"/>
              </w:rPr>
              <w:t xml:space="preserve"> </w:t>
            </w:r>
            <w:r>
              <w:rPr>
                <w:b/>
                <w:sz w:val="20"/>
                <w:szCs w:val="20"/>
              </w:rPr>
              <w:t>=</w:t>
            </w:r>
            <w:r w:rsidR="00850F6B">
              <w:rPr>
                <w:b/>
                <w:sz w:val="20"/>
                <w:szCs w:val="20"/>
              </w:rPr>
              <w:t xml:space="preserve"> </w:t>
            </w:r>
            <w:r>
              <w:rPr>
                <w:b/>
                <w:sz w:val="20"/>
                <w:szCs w:val="20"/>
              </w:rPr>
              <w:t xml:space="preserve">319 </w:t>
            </w:r>
          </w:p>
        </w:tc>
        <w:tc>
          <w:tcPr>
            <w:tcW w:w="1538" w:type="pct"/>
            <w:tcBorders>
              <w:top w:val="single" w:sz="6" w:space="0" w:color="auto"/>
              <w:left w:val="single" w:sz="6" w:space="0" w:color="auto"/>
              <w:right w:val="single" w:sz="6" w:space="0" w:color="auto"/>
            </w:tcBorders>
            <w:vAlign w:val="center"/>
          </w:tcPr>
          <w:p w14:paraId="5F227774" w14:textId="77777777" w:rsidR="00D002DA" w:rsidRDefault="00D002DA" w:rsidP="009B153D">
            <w:pPr>
              <w:pStyle w:val="Style"/>
              <w:ind w:left="29"/>
              <w:jc w:val="center"/>
              <w:textAlignment w:val="baseline"/>
            </w:pPr>
            <w:r>
              <w:rPr>
                <w:b/>
                <w:sz w:val="20"/>
                <w:szCs w:val="20"/>
              </w:rPr>
              <w:t xml:space="preserve">ADA </w:t>
            </w:r>
          </w:p>
          <w:p w14:paraId="2BA2845C" w14:textId="1531ED67" w:rsidR="00D002DA" w:rsidRDefault="00D002DA" w:rsidP="009B153D">
            <w:pPr>
              <w:pStyle w:val="Style"/>
              <w:ind w:left="29"/>
              <w:jc w:val="center"/>
              <w:textAlignment w:val="baseline"/>
            </w:pPr>
            <w:r>
              <w:rPr>
                <w:b/>
                <w:sz w:val="20"/>
                <w:szCs w:val="20"/>
              </w:rPr>
              <w:t>N</w:t>
            </w:r>
            <w:r w:rsidR="00850F6B">
              <w:rPr>
                <w:b/>
                <w:sz w:val="20"/>
                <w:szCs w:val="20"/>
              </w:rPr>
              <w:t xml:space="preserve"> </w:t>
            </w:r>
            <w:r>
              <w:rPr>
                <w:b/>
                <w:sz w:val="20"/>
                <w:szCs w:val="20"/>
              </w:rPr>
              <w:t>=</w:t>
            </w:r>
            <w:r w:rsidR="00850F6B">
              <w:rPr>
                <w:b/>
                <w:sz w:val="20"/>
                <w:szCs w:val="20"/>
              </w:rPr>
              <w:t xml:space="preserve"> </w:t>
            </w:r>
            <w:r>
              <w:rPr>
                <w:b/>
                <w:sz w:val="20"/>
                <w:szCs w:val="20"/>
              </w:rPr>
              <w:t xml:space="preserve">159 </w:t>
            </w:r>
          </w:p>
        </w:tc>
      </w:tr>
      <w:tr w:rsidR="00D002DA" w14:paraId="564EBB85" w14:textId="77777777" w:rsidTr="00D002DA">
        <w:trPr>
          <w:trHeight w:hRule="exact" w:val="384"/>
          <w:jc w:val="center"/>
        </w:trPr>
        <w:tc>
          <w:tcPr>
            <w:tcW w:w="5000" w:type="pct"/>
            <w:gridSpan w:val="3"/>
            <w:tcBorders>
              <w:top w:val="single" w:sz="6" w:space="0" w:color="auto"/>
              <w:left w:val="single" w:sz="6" w:space="0" w:color="auto"/>
              <w:bottom w:val="single" w:sz="6" w:space="0" w:color="auto"/>
              <w:right w:val="single" w:sz="6" w:space="0" w:color="auto"/>
            </w:tcBorders>
            <w:vAlign w:val="center"/>
          </w:tcPr>
          <w:p w14:paraId="41D9A9AA" w14:textId="184E1C14" w:rsidR="00D002DA" w:rsidRDefault="00D002DA" w:rsidP="00D002DA">
            <w:pPr>
              <w:pStyle w:val="Style"/>
              <w:ind w:left="120"/>
              <w:textAlignment w:val="baseline"/>
            </w:pPr>
            <w:r>
              <w:rPr>
                <w:sz w:val="20"/>
                <w:szCs w:val="20"/>
              </w:rPr>
              <w:t>PASI 90 response rate</w:t>
            </w:r>
          </w:p>
        </w:tc>
      </w:tr>
      <w:tr w:rsidR="00D002DA" w14:paraId="7CFF61FF" w14:textId="77777777" w:rsidTr="00D002DA">
        <w:trPr>
          <w:trHeight w:hRule="exact" w:val="394"/>
          <w:jc w:val="center"/>
        </w:trPr>
        <w:tc>
          <w:tcPr>
            <w:tcW w:w="1922" w:type="pct"/>
            <w:tcBorders>
              <w:top w:val="single" w:sz="6" w:space="0" w:color="auto"/>
              <w:left w:val="single" w:sz="6" w:space="0" w:color="auto"/>
              <w:bottom w:val="single" w:sz="6" w:space="0" w:color="auto"/>
              <w:right w:val="single" w:sz="6" w:space="0" w:color="auto"/>
            </w:tcBorders>
            <w:vAlign w:val="center"/>
          </w:tcPr>
          <w:p w14:paraId="257CB236" w14:textId="77777777" w:rsidR="00D002DA" w:rsidRDefault="00D002DA" w:rsidP="009B153D">
            <w:pPr>
              <w:pStyle w:val="Style"/>
              <w:ind w:left="389"/>
              <w:textAlignment w:val="baseline"/>
            </w:pPr>
            <w:r>
              <w:rPr>
                <w:sz w:val="20"/>
                <w:szCs w:val="20"/>
              </w:rPr>
              <w:t xml:space="preserve">n (%) </w:t>
            </w:r>
          </w:p>
        </w:tc>
        <w:tc>
          <w:tcPr>
            <w:tcW w:w="1540" w:type="pct"/>
            <w:tcBorders>
              <w:top w:val="single" w:sz="6" w:space="0" w:color="auto"/>
              <w:left w:val="single" w:sz="6" w:space="0" w:color="auto"/>
              <w:bottom w:val="single" w:sz="6" w:space="0" w:color="auto"/>
              <w:right w:val="single" w:sz="6" w:space="0" w:color="auto"/>
            </w:tcBorders>
            <w:vAlign w:val="center"/>
          </w:tcPr>
          <w:p w14:paraId="3BCD93BD" w14:textId="77777777" w:rsidR="00D002DA" w:rsidRDefault="00D002DA" w:rsidP="009B153D">
            <w:pPr>
              <w:pStyle w:val="Style"/>
              <w:ind w:left="19"/>
              <w:jc w:val="center"/>
              <w:textAlignment w:val="baseline"/>
            </w:pPr>
            <w:r>
              <w:rPr>
                <w:sz w:val="20"/>
                <w:szCs w:val="20"/>
              </w:rPr>
              <w:t xml:space="preserve">275 (86.2) </w:t>
            </w:r>
          </w:p>
        </w:tc>
        <w:tc>
          <w:tcPr>
            <w:tcW w:w="1538" w:type="pct"/>
            <w:tcBorders>
              <w:top w:val="single" w:sz="6" w:space="0" w:color="auto"/>
              <w:left w:val="single" w:sz="6" w:space="0" w:color="auto"/>
              <w:bottom w:val="single" w:sz="6" w:space="0" w:color="auto"/>
              <w:right w:val="single" w:sz="6" w:space="0" w:color="auto"/>
            </w:tcBorders>
            <w:vAlign w:val="center"/>
          </w:tcPr>
          <w:p w14:paraId="58A9967F" w14:textId="77777777" w:rsidR="00D002DA" w:rsidRDefault="00D002DA" w:rsidP="009B153D">
            <w:pPr>
              <w:pStyle w:val="Style"/>
              <w:ind w:left="29"/>
              <w:jc w:val="center"/>
              <w:textAlignment w:val="baseline"/>
            </w:pPr>
            <w:r>
              <w:rPr>
                <w:sz w:val="20"/>
                <w:szCs w:val="20"/>
              </w:rPr>
              <w:t xml:space="preserve">75 (47.2) </w:t>
            </w:r>
          </w:p>
        </w:tc>
      </w:tr>
      <w:tr w:rsidR="00D002DA" w14:paraId="79EF4085" w14:textId="77777777" w:rsidTr="00D002DA">
        <w:trPr>
          <w:trHeight w:hRule="exact" w:val="384"/>
          <w:jc w:val="center"/>
        </w:trPr>
        <w:tc>
          <w:tcPr>
            <w:tcW w:w="1922" w:type="pct"/>
            <w:tcBorders>
              <w:top w:val="single" w:sz="6" w:space="0" w:color="auto"/>
              <w:left w:val="single" w:sz="6" w:space="0" w:color="auto"/>
              <w:bottom w:val="single" w:sz="6" w:space="0" w:color="auto"/>
              <w:right w:val="single" w:sz="6" w:space="0" w:color="auto"/>
            </w:tcBorders>
            <w:vAlign w:val="center"/>
          </w:tcPr>
          <w:p w14:paraId="6C5F67FF" w14:textId="77777777" w:rsidR="00D002DA" w:rsidRDefault="00D002DA" w:rsidP="009B153D">
            <w:pPr>
              <w:pStyle w:val="Style"/>
              <w:ind w:left="389"/>
              <w:textAlignment w:val="baseline"/>
            </w:pPr>
            <w:r>
              <w:rPr>
                <w:sz w:val="20"/>
                <w:szCs w:val="20"/>
              </w:rPr>
              <w:t>n/</w:t>
            </w:r>
            <w:proofErr w:type="spellStart"/>
            <w:r>
              <w:rPr>
                <w:sz w:val="20"/>
                <w:szCs w:val="20"/>
              </w:rPr>
              <w:t>Nsub</w:t>
            </w:r>
            <w:proofErr w:type="spellEnd"/>
            <w:r>
              <w:rPr>
                <w:sz w:val="20"/>
                <w:szCs w:val="20"/>
              </w:rPr>
              <w:t xml:space="preserve"> (%) </w:t>
            </w:r>
          </w:p>
        </w:tc>
        <w:tc>
          <w:tcPr>
            <w:tcW w:w="1540" w:type="pct"/>
            <w:tcBorders>
              <w:top w:val="single" w:sz="6" w:space="0" w:color="auto"/>
              <w:left w:val="single" w:sz="6" w:space="0" w:color="auto"/>
              <w:bottom w:val="single" w:sz="6" w:space="0" w:color="auto"/>
              <w:right w:val="single" w:sz="6" w:space="0" w:color="auto"/>
            </w:tcBorders>
            <w:vAlign w:val="center"/>
          </w:tcPr>
          <w:p w14:paraId="2325A54A" w14:textId="77777777" w:rsidR="00D002DA" w:rsidRDefault="00D002DA" w:rsidP="009B153D">
            <w:pPr>
              <w:pStyle w:val="Style"/>
              <w:ind w:left="19"/>
              <w:jc w:val="center"/>
              <w:textAlignment w:val="baseline"/>
            </w:pPr>
            <w:r>
              <w:rPr>
                <w:sz w:val="20"/>
                <w:szCs w:val="20"/>
              </w:rPr>
              <w:t xml:space="preserve">275/303 (90.8) </w:t>
            </w:r>
          </w:p>
        </w:tc>
        <w:tc>
          <w:tcPr>
            <w:tcW w:w="1538" w:type="pct"/>
            <w:tcBorders>
              <w:top w:val="single" w:sz="6" w:space="0" w:color="auto"/>
              <w:left w:val="single" w:sz="6" w:space="0" w:color="auto"/>
              <w:bottom w:val="single" w:sz="6" w:space="0" w:color="auto"/>
              <w:right w:val="single" w:sz="6" w:space="0" w:color="auto"/>
            </w:tcBorders>
            <w:vAlign w:val="center"/>
          </w:tcPr>
          <w:p w14:paraId="7642C0E6" w14:textId="77777777" w:rsidR="00D002DA" w:rsidRDefault="00D002DA" w:rsidP="009B153D">
            <w:pPr>
              <w:pStyle w:val="Style"/>
              <w:ind w:left="29"/>
              <w:jc w:val="center"/>
              <w:textAlignment w:val="baseline"/>
            </w:pPr>
            <w:r>
              <w:rPr>
                <w:sz w:val="20"/>
                <w:szCs w:val="20"/>
              </w:rPr>
              <w:t xml:space="preserve">75/148 (50.7) </w:t>
            </w:r>
          </w:p>
        </w:tc>
      </w:tr>
      <w:tr w:rsidR="00D002DA" w14:paraId="6B18BA4B" w14:textId="77777777" w:rsidTr="00D002DA">
        <w:trPr>
          <w:trHeight w:hRule="exact" w:val="394"/>
          <w:jc w:val="center"/>
        </w:trPr>
        <w:tc>
          <w:tcPr>
            <w:tcW w:w="1922" w:type="pct"/>
            <w:tcBorders>
              <w:top w:val="single" w:sz="6" w:space="0" w:color="auto"/>
              <w:left w:val="single" w:sz="6" w:space="0" w:color="auto"/>
              <w:bottom w:val="single" w:sz="6" w:space="0" w:color="auto"/>
              <w:right w:val="single" w:sz="6" w:space="0" w:color="auto"/>
            </w:tcBorders>
            <w:vAlign w:val="center"/>
          </w:tcPr>
          <w:p w14:paraId="6A8B3004" w14:textId="08BB1B4F" w:rsidR="00D002DA" w:rsidRDefault="00D002DA" w:rsidP="009B153D">
            <w:pPr>
              <w:pStyle w:val="Style"/>
              <w:ind w:left="120"/>
              <w:textAlignment w:val="baseline"/>
            </w:pPr>
            <w:r>
              <w:rPr>
                <w:sz w:val="20"/>
                <w:szCs w:val="20"/>
              </w:rPr>
              <w:t xml:space="preserve">Odds ratio </w:t>
            </w:r>
            <w:r w:rsidR="004858E7">
              <w:rPr>
                <w:sz w:val="20"/>
                <w:szCs w:val="20"/>
              </w:rPr>
              <w:t>versus</w:t>
            </w:r>
            <w:r>
              <w:rPr>
                <w:sz w:val="20"/>
                <w:szCs w:val="20"/>
              </w:rPr>
              <w:t xml:space="preserve"> ADA </w:t>
            </w:r>
            <w:r>
              <w:rPr>
                <w:rFonts w:ascii="Arial" w:eastAsia="Arial" w:hAnsi="Arial" w:cs="Arial"/>
                <w:sz w:val="11"/>
                <w:szCs w:val="11"/>
              </w:rPr>
              <w:t xml:space="preserve">a </w:t>
            </w:r>
          </w:p>
        </w:tc>
        <w:tc>
          <w:tcPr>
            <w:tcW w:w="1540" w:type="pct"/>
            <w:tcBorders>
              <w:top w:val="single" w:sz="6" w:space="0" w:color="auto"/>
              <w:left w:val="single" w:sz="6" w:space="0" w:color="auto"/>
              <w:bottom w:val="single" w:sz="6" w:space="0" w:color="auto"/>
              <w:right w:val="single" w:sz="6" w:space="0" w:color="auto"/>
            </w:tcBorders>
            <w:vAlign w:val="center"/>
          </w:tcPr>
          <w:p w14:paraId="78BDF379" w14:textId="77777777" w:rsidR="00D002DA" w:rsidRDefault="00D002DA" w:rsidP="009B153D">
            <w:pPr>
              <w:pStyle w:val="Style"/>
              <w:ind w:left="19"/>
              <w:jc w:val="center"/>
              <w:textAlignment w:val="baseline"/>
            </w:pPr>
            <w:r>
              <w:rPr>
                <w:sz w:val="20"/>
                <w:szCs w:val="20"/>
              </w:rPr>
              <w:t xml:space="preserve">7.459 </w:t>
            </w:r>
          </w:p>
        </w:tc>
        <w:tc>
          <w:tcPr>
            <w:tcW w:w="1538" w:type="pct"/>
            <w:tcBorders>
              <w:top w:val="single" w:sz="6" w:space="0" w:color="auto"/>
              <w:left w:val="single" w:sz="6" w:space="0" w:color="auto"/>
              <w:bottom w:val="single" w:sz="6" w:space="0" w:color="auto"/>
              <w:right w:val="single" w:sz="6" w:space="0" w:color="auto"/>
            </w:tcBorders>
            <w:vAlign w:val="center"/>
          </w:tcPr>
          <w:p w14:paraId="2A3269FC" w14:textId="77777777" w:rsidR="00D002DA" w:rsidRDefault="00D002DA" w:rsidP="009B153D">
            <w:pPr>
              <w:pStyle w:val="Style"/>
              <w:ind w:left="29"/>
              <w:jc w:val="center"/>
              <w:textAlignment w:val="baseline"/>
            </w:pPr>
            <w:r>
              <w:rPr>
                <w:w w:val="110"/>
                <w:sz w:val="18"/>
                <w:szCs w:val="18"/>
              </w:rPr>
              <w:t xml:space="preserve">- </w:t>
            </w:r>
          </w:p>
        </w:tc>
      </w:tr>
      <w:tr w:rsidR="00D002DA" w14:paraId="5C52CE73" w14:textId="77777777" w:rsidTr="00D002DA">
        <w:trPr>
          <w:trHeight w:hRule="exact" w:val="384"/>
          <w:jc w:val="center"/>
        </w:trPr>
        <w:tc>
          <w:tcPr>
            <w:tcW w:w="1922" w:type="pct"/>
            <w:tcBorders>
              <w:top w:val="single" w:sz="6" w:space="0" w:color="auto"/>
              <w:left w:val="single" w:sz="6" w:space="0" w:color="auto"/>
              <w:bottom w:val="single" w:sz="6" w:space="0" w:color="auto"/>
              <w:right w:val="single" w:sz="6" w:space="0" w:color="auto"/>
            </w:tcBorders>
            <w:vAlign w:val="center"/>
          </w:tcPr>
          <w:p w14:paraId="2EAFAF9B" w14:textId="77777777" w:rsidR="00D002DA" w:rsidRDefault="00D002DA" w:rsidP="009B153D">
            <w:pPr>
              <w:pStyle w:val="Style"/>
              <w:ind w:left="389"/>
              <w:textAlignment w:val="baseline"/>
            </w:pPr>
            <w:r>
              <w:rPr>
                <w:sz w:val="20"/>
                <w:szCs w:val="20"/>
              </w:rPr>
              <w:t xml:space="preserve">95% CI for odds ratio </w:t>
            </w:r>
          </w:p>
        </w:tc>
        <w:tc>
          <w:tcPr>
            <w:tcW w:w="1540" w:type="pct"/>
            <w:tcBorders>
              <w:top w:val="single" w:sz="6" w:space="0" w:color="auto"/>
              <w:left w:val="single" w:sz="6" w:space="0" w:color="auto"/>
              <w:bottom w:val="single" w:sz="6" w:space="0" w:color="auto"/>
              <w:right w:val="single" w:sz="6" w:space="0" w:color="auto"/>
            </w:tcBorders>
            <w:vAlign w:val="center"/>
          </w:tcPr>
          <w:p w14:paraId="24F09791" w14:textId="77777777" w:rsidR="00D002DA" w:rsidRDefault="00D002DA" w:rsidP="009B153D">
            <w:pPr>
              <w:pStyle w:val="Style"/>
              <w:ind w:left="19"/>
              <w:jc w:val="center"/>
              <w:textAlignment w:val="baseline"/>
            </w:pPr>
            <w:r>
              <w:rPr>
                <w:sz w:val="20"/>
                <w:szCs w:val="20"/>
              </w:rPr>
              <w:t xml:space="preserve">4.709, 11.816 </w:t>
            </w:r>
          </w:p>
        </w:tc>
        <w:tc>
          <w:tcPr>
            <w:tcW w:w="1538" w:type="pct"/>
            <w:tcBorders>
              <w:top w:val="single" w:sz="6" w:space="0" w:color="auto"/>
              <w:left w:val="single" w:sz="6" w:space="0" w:color="auto"/>
              <w:bottom w:val="single" w:sz="6" w:space="0" w:color="auto"/>
              <w:right w:val="single" w:sz="6" w:space="0" w:color="auto"/>
            </w:tcBorders>
            <w:vAlign w:val="center"/>
          </w:tcPr>
          <w:p w14:paraId="3CF34960" w14:textId="77777777" w:rsidR="00D002DA" w:rsidRDefault="00D002DA" w:rsidP="009B153D">
            <w:pPr>
              <w:pStyle w:val="Style"/>
              <w:ind w:left="29"/>
              <w:jc w:val="center"/>
              <w:textAlignment w:val="baseline"/>
            </w:pPr>
            <w:r>
              <w:rPr>
                <w:w w:val="110"/>
                <w:sz w:val="18"/>
                <w:szCs w:val="18"/>
              </w:rPr>
              <w:t xml:space="preserve">- </w:t>
            </w:r>
          </w:p>
        </w:tc>
      </w:tr>
      <w:tr w:rsidR="00D002DA" w14:paraId="6D06FAB3" w14:textId="77777777" w:rsidTr="00D002DA">
        <w:trPr>
          <w:trHeight w:hRule="exact" w:val="384"/>
          <w:jc w:val="center"/>
        </w:trPr>
        <w:tc>
          <w:tcPr>
            <w:tcW w:w="1922" w:type="pct"/>
            <w:tcBorders>
              <w:top w:val="single" w:sz="6" w:space="0" w:color="auto"/>
              <w:left w:val="single" w:sz="6" w:space="0" w:color="auto"/>
              <w:bottom w:val="single" w:sz="6" w:space="0" w:color="auto"/>
              <w:right w:val="single" w:sz="6" w:space="0" w:color="auto"/>
            </w:tcBorders>
            <w:vAlign w:val="center"/>
          </w:tcPr>
          <w:p w14:paraId="6FC7052A" w14:textId="77777777" w:rsidR="00D002DA" w:rsidRDefault="00D002DA" w:rsidP="009B153D">
            <w:pPr>
              <w:pStyle w:val="Style"/>
              <w:ind w:left="389"/>
              <w:textAlignment w:val="baseline"/>
            </w:pPr>
            <w:r>
              <w:rPr>
                <w:sz w:val="20"/>
                <w:szCs w:val="20"/>
              </w:rPr>
              <w:t xml:space="preserve">p-value </w:t>
            </w:r>
            <w:r>
              <w:rPr>
                <w:sz w:val="12"/>
                <w:szCs w:val="12"/>
              </w:rPr>
              <w:t xml:space="preserve">b </w:t>
            </w:r>
          </w:p>
        </w:tc>
        <w:tc>
          <w:tcPr>
            <w:tcW w:w="1540" w:type="pct"/>
            <w:tcBorders>
              <w:top w:val="single" w:sz="6" w:space="0" w:color="auto"/>
              <w:left w:val="single" w:sz="6" w:space="0" w:color="auto"/>
              <w:bottom w:val="single" w:sz="6" w:space="0" w:color="auto"/>
              <w:right w:val="single" w:sz="6" w:space="0" w:color="auto"/>
            </w:tcBorders>
            <w:vAlign w:val="center"/>
          </w:tcPr>
          <w:p w14:paraId="411E11F8" w14:textId="77777777" w:rsidR="00D002DA" w:rsidRDefault="00D002DA" w:rsidP="009B153D">
            <w:pPr>
              <w:pStyle w:val="Style"/>
              <w:ind w:left="19"/>
              <w:jc w:val="center"/>
              <w:textAlignment w:val="baseline"/>
            </w:pPr>
            <w:r>
              <w:rPr>
                <w:sz w:val="20"/>
                <w:szCs w:val="20"/>
              </w:rPr>
              <w:t xml:space="preserve">&lt;0.001 </w:t>
            </w:r>
          </w:p>
        </w:tc>
        <w:tc>
          <w:tcPr>
            <w:tcW w:w="1538" w:type="pct"/>
            <w:tcBorders>
              <w:top w:val="single" w:sz="6" w:space="0" w:color="auto"/>
              <w:left w:val="single" w:sz="6" w:space="0" w:color="auto"/>
              <w:bottom w:val="single" w:sz="6" w:space="0" w:color="auto"/>
              <w:right w:val="single" w:sz="6" w:space="0" w:color="auto"/>
            </w:tcBorders>
            <w:vAlign w:val="center"/>
          </w:tcPr>
          <w:p w14:paraId="39A43EB8" w14:textId="77777777" w:rsidR="00D002DA" w:rsidRDefault="00D002DA" w:rsidP="009B153D">
            <w:pPr>
              <w:pStyle w:val="Style"/>
              <w:ind w:left="29"/>
              <w:jc w:val="center"/>
              <w:textAlignment w:val="baseline"/>
            </w:pPr>
            <w:r>
              <w:rPr>
                <w:w w:val="110"/>
                <w:sz w:val="18"/>
                <w:szCs w:val="18"/>
              </w:rPr>
              <w:t xml:space="preserve">- </w:t>
            </w:r>
          </w:p>
        </w:tc>
      </w:tr>
      <w:tr w:rsidR="00D002DA" w14:paraId="378546F1" w14:textId="77777777" w:rsidTr="00D002DA">
        <w:trPr>
          <w:trHeight w:hRule="exact" w:val="394"/>
          <w:jc w:val="center"/>
        </w:trPr>
        <w:tc>
          <w:tcPr>
            <w:tcW w:w="1922" w:type="pct"/>
            <w:tcBorders>
              <w:top w:val="single" w:sz="6" w:space="0" w:color="auto"/>
              <w:left w:val="single" w:sz="6" w:space="0" w:color="auto"/>
              <w:bottom w:val="single" w:sz="6" w:space="0" w:color="auto"/>
              <w:right w:val="single" w:sz="6" w:space="0" w:color="auto"/>
            </w:tcBorders>
            <w:vAlign w:val="center"/>
          </w:tcPr>
          <w:p w14:paraId="3FCC8769" w14:textId="77777777" w:rsidR="00D002DA" w:rsidRDefault="00D002DA" w:rsidP="009B153D">
            <w:pPr>
              <w:pStyle w:val="Style"/>
              <w:ind w:left="120"/>
              <w:textAlignment w:val="baseline"/>
            </w:pPr>
            <w:r>
              <w:rPr>
                <w:sz w:val="20"/>
                <w:szCs w:val="20"/>
              </w:rPr>
              <w:t xml:space="preserve">Risk difference </w:t>
            </w:r>
            <w:r>
              <w:rPr>
                <w:rFonts w:ascii="Arial" w:eastAsia="Arial" w:hAnsi="Arial" w:cs="Arial"/>
                <w:sz w:val="11"/>
                <w:szCs w:val="11"/>
              </w:rPr>
              <w:t xml:space="preserve">c </w:t>
            </w:r>
          </w:p>
        </w:tc>
        <w:tc>
          <w:tcPr>
            <w:tcW w:w="1540" w:type="pct"/>
            <w:tcBorders>
              <w:top w:val="single" w:sz="6" w:space="0" w:color="auto"/>
              <w:left w:val="single" w:sz="6" w:space="0" w:color="auto"/>
              <w:bottom w:val="single" w:sz="6" w:space="0" w:color="auto"/>
              <w:right w:val="single" w:sz="6" w:space="0" w:color="auto"/>
            </w:tcBorders>
            <w:vAlign w:val="center"/>
          </w:tcPr>
          <w:p w14:paraId="24738DA7" w14:textId="77777777" w:rsidR="00D002DA" w:rsidRDefault="00D002DA" w:rsidP="009B153D">
            <w:pPr>
              <w:pStyle w:val="Style"/>
              <w:ind w:left="19"/>
              <w:jc w:val="center"/>
              <w:textAlignment w:val="baseline"/>
            </w:pPr>
            <w:r>
              <w:rPr>
                <w:sz w:val="20"/>
                <w:szCs w:val="20"/>
              </w:rPr>
              <w:t xml:space="preserve">39.3 </w:t>
            </w:r>
          </w:p>
        </w:tc>
        <w:tc>
          <w:tcPr>
            <w:tcW w:w="1538" w:type="pct"/>
            <w:tcBorders>
              <w:top w:val="single" w:sz="6" w:space="0" w:color="auto"/>
              <w:left w:val="single" w:sz="6" w:space="0" w:color="auto"/>
              <w:bottom w:val="single" w:sz="6" w:space="0" w:color="auto"/>
              <w:right w:val="single" w:sz="6" w:space="0" w:color="auto"/>
            </w:tcBorders>
            <w:vAlign w:val="center"/>
          </w:tcPr>
          <w:p w14:paraId="000E1697" w14:textId="77777777" w:rsidR="00D002DA" w:rsidRDefault="00D002DA" w:rsidP="009B153D">
            <w:pPr>
              <w:pStyle w:val="Style"/>
              <w:ind w:left="29"/>
              <w:jc w:val="center"/>
              <w:textAlignment w:val="baseline"/>
            </w:pPr>
            <w:r>
              <w:rPr>
                <w:w w:val="110"/>
                <w:sz w:val="18"/>
                <w:szCs w:val="18"/>
              </w:rPr>
              <w:t xml:space="preserve">- </w:t>
            </w:r>
          </w:p>
        </w:tc>
      </w:tr>
      <w:tr w:rsidR="00D002DA" w14:paraId="7BFC2141" w14:textId="77777777" w:rsidTr="00D002DA">
        <w:trPr>
          <w:trHeight w:hRule="exact" w:val="379"/>
          <w:jc w:val="center"/>
        </w:trPr>
        <w:tc>
          <w:tcPr>
            <w:tcW w:w="1922" w:type="pct"/>
            <w:tcBorders>
              <w:top w:val="single" w:sz="6" w:space="0" w:color="auto"/>
              <w:left w:val="single" w:sz="6" w:space="0" w:color="auto"/>
              <w:bottom w:val="single" w:sz="6" w:space="0" w:color="auto"/>
              <w:right w:val="single" w:sz="6" w:space="0" w:color="auto"/>
            </w:tcBorders>
            <w:vAlign w:val="center"/>
          </w:tcPr>
          <w:p w14:paraId="0EFF6C37" w14:textId="77777777" w:rsidR="00D002DA" w:rsidRDefault="00D002DA" w:rsidP="009B153D">
            <w:pPr>
              <w:pStyle w:val="Style"/>
              <w:ind w:left="389"/>
              <w:textAlignment w:val="baseline"/>
            </w:pPr>
            <w:r>
              <w:rPr>
                <w:sz w:val="20"/>
                <w:szCs w:val="20"/>
              </w:rPr>
              <w:t xml:space="preserve">95% CI for risk difference </w:t>
            </w:r>
          </w:p>
        </w:tc>
        <w:tc>
          <w:tcPr>
            <w:tcW w:w="1540" w:type="pct"/>
            <w:tcBorders>
              <w:top w:val="single" w:sz="6" w:space="0" w:color="auto"/>
              <w:left w:val="single" w:sz="6" w:space="0" w:color="auto"/>
              <w:bottom w:val="single" w:sz="6" w:space="0" w:color="auto"/>
              <w:right w:val="single" w:sz="6" w:space="0" w:color="auto"/>
            </w:tcBorders>
            <w:vAlign w:val="center"/>
          </w:tcPr>
          <w:p w14:paraId="77E720DD" w14:textId="77777777" w:rsidR="00D002DA" w:rsidRDefault="00D002DA" w:rsidP="009B153D">
            <w:pPr>
              <w:pStyle w:val="Style"/>
              <w:ind w:left="19"/>
              <w:jc w:val="center"/>
              <w:textAlignment w:val="baseline"/>
            </w:pPr>
            <w:r>
              <w:rPr>
                <w:sz w:val="20"/>
                <w:szCs w:val="20"/>
              </w:rPr>
              <w:t xml:space="preserve">30.9, 47.7 </w:t>
            </w:r>
          </w:p>
        </w:tc>
        <w:tc>
          <w:tcPr>
            <w:tcW w:w="1538" w:type="pct"/>
            <w:tcBorders>
              <w:top w:val="single" w:sz="6" w:space="0" w:color="auto"/>
              <w:left w:val="single" w:sz="6" w:space="0" w:color="auto"/>
              <w:bottom w:val="single" w:sz="6" w:space="0" w:color="auto"/>
              <w:right w:val="single" w:sz="6" w:space="0" w:color="auto"/>
            </w:tcBorders>
            <w:vAlign w:val="center"/>
          </w:tcPr>
          <w:p w14:paraId="78E4C8E6" w14:textId="77777777" w:rsidR="00D002DA" w:rsidRDefault="00D002DA" w:rsidP="009B153D">
            <w:pPr>
              <w:pStyle w:val="Style"/>
              <w:ind w:left="29"/>
              <w:jc w:val="center"/>
              <w:textAlignment w:val="baseline"/>
            </w:pPr>
            <w:r>
              <w:rPr>
                <w:w w:val="110"/>
                <w:sz w:val="18"/>
                <w:szCs w:val="18"/>
              </w:rPr>
              <w:t xml:space="preserve">- </w:t>
            </w:r>
          </w:p>
        </w:tc>
      </w:tr>
    </w:tbl>
    <w:p w14:paraId="78C699C1" w14:textId="2803DEAA" w:rsidR="00850F6B" w:rsidRDefault="00850F6B" w:rsidP="00850F6B">
      <w:pPr>
        <w:pStyle w:val="TableDescription"/>
      </w:pPr>
      <w:r>
        <w:t xml:space="preserve">ADA = adalimumab; BKZ = </w:t>
      </w:r>
      <w:proofErr w:type="spellStart"/>
      <w:r>
        <w:t>bimekizumab</w:t>
      </w:r>
      <w:proofErr w:type="spellEnd"/>
      <w:r>
        <w:t xml:space="preserve">; CI = Confidence Interval; CMH = Cochran-Mantel-Haenszel; NRI = </w:t>
      </w:r>
      <w:proofErr w:type="spellStart"/>
      <w:r>
        <w:t>nonresponder</w:t>
      </w:r>
      <w:proofErr w:type="spellEnd"/>
      <w:r>
        <w:t xml:space="preserve"> imputation; OC = observed case; PASI = Psoriasis Area and Severity Index; RS = Randomized Set</w:t>
      </w:r>
    </w:p>
    <w:p w14:paraId="76057C4B" w14:textId="77777777" w:rsidR="00850F6B" w:rsidRDefault="00850F6B" w:rsidP="00850F6B">
      <w:pPr>
        <w:pStyle w:val="TableDescription"/>
      </w:pPr>
      <w:r>
        <w:t xml:space="preserve">Note: In the n (%) row, study participants with missing data at a given week were counted as </w:t>
      </w:r>
      <w:proofErr w:type="spellStart"/>
      <w:r>
        <w:t>nonresponders</w:t>
      </w:r>
      <w:proofErr w:type="spellEnd"/>
      <w:r>
        <w:t xml:space="preserve"> (NRI).</w:t>
      </w:r>
    </w:p>
    <w:p w14:paraId="44A12BDF" w14:textId="18EFABD2" w:rsidR="00850F6B" w:rsidRDefault="00850F6B" w:rsidP="00850F6B">
      <w:pPr>
        <w:pStyle w:val="TableDescription"/>
      </w:pPr>
      <w:r>
        <w:t>Note: In the n/</w:t>
      </w:r>
      <w:proofErr w:type="spellStart"/>
      <w:r>
        <w:t>Nsub</w:t>
      </w:r>
      <w:proofErr w:type="spellEnd"/>
      <w:r>
        <w:t xml:space="preserve"> (%) row, </w:t>
      </w:r>
      <w:proofErr w:type="spellStart"/>
      <w:r>
        <w:t>Nsub</w:t>
      </w:r>
      <w:proofErr w:type="spellEnd"/>
      <w:r>
        <w:t xml:space="preserve"> represented the number of study participants with a </w:t>
      </w:r>
      <w:proofErr w:type="spellStart"/>
      <w:r>
        <w:t>nonmissing</w:t>
      </w:r>
      <w:proofErr w:type="spellEnd"/>
      <w:r>
        <w:t xml:space="preserve"> measurement for PASI at the given week, and percentages were calculated accordingly (OC).</w:t>
      </w:r>
    </w:p>
    <w:p w14:paraId="4EA884FE" w14:textId="25097B99" w:rsidR="00850F6B" w:rsidRDefault="00850F6B" w:rsidP="00850F6B">
      <w:pPr>
        <w:pStyle w:val="TableDescription"/>
      </w:pPr>
      <w:r>
        <w:t>Note: The evaluation of noninferiority was tested at a 1-sided alpha level of 0.025 and based on a 1-sided 97.5% CI and a noninferiority margin of 10%.</w:t>
      </w:r>
    </w:p>
    <w:p w14:paraId="36B8E60C" w14:textId="1DE735EE" w:rsidR="00850F6B" w:rsidRDefault="00850F6B" w:rsidP="00850F6B">
      <w:pPr>
        <w:pStyle w:val="TableDescription"/>
      </w:pPr>
      <w:proofErr w:type="spellStart"/>
      <w:proofErr w:type="gramStart"/>
      <w:r>
        <w:rPr>
          <w:sz w:val="13"/>
          <w:szCs w:val="13"/>
        </w:rPr>
        <w:t>a</w:t>
      </w:r>
      <w:proofErr w:type="spellEnd"/>
      <w:proofErr w:type="gramEnd"/>
      <w:r>
        <w:rPr>
          <w:sz w:val="13"/>
          <w:szCs w:val="13"/>
        </w:rPr>
        <w:t xml:space="preserve"> </w:t>
      </w:r>
      <w:r>
        <w:t>Odds ratio for BKZ/ADA was calculated using stratified CMH test with region and prior biologic exposure as stratification variables.</w:t>
      </w:r>
    </w:p>
    <w:p w14:paraId="6E5E32FF" w14:textId="77777777" w:rsidR="00850F6B" w:rsidRDefault="00850F6B" w:rsidP="00850F6B">
      <w:pPr>
        <w:pStyle w:val="TableDescription"/>
      </w:pPr>
      <w:r>
        <w:rPr>
          <w:sz w:val="13"/>
          <w:szCs w:val="13"/>
        </w:rPr>
        <w:t xml:space="preserve">b </w:t>
      </w:r>
      <w:r>
        <w:t>P-values for the comparison of treatment groups were based on the CMH test from the general association.</w:t>
      </w:r>
    </w:p>
    <w:p w14:paraId="43CC747E" w14:textId="2ED75C45" w:rsidR="00850F6B" w:rsidRDefault="00850F6B" w:rsidP="00850F6B">
      <w:pPr>
        <w:pStyle w:val="TableDescription"/>
      </w:pPr>
      <w:r>
        <w:rPr>
          <w:sz w:val="13"/>
          <w:szCs w:val="13"/>
        </w:rPr>
        <w:t xml:space="preserve">c </w:t>
      </w:r>
      <w:r>
        <w:t>Risk difference for BKZ/ADA was calculated using stratified CMH.</w:t>
      </w:r>
    </w:p>
    <w:p w14:paraId="1A74D2E8" w14:textId="67454829" w:rsidR="00D002DA" w:rsidRDefault="00D002DA" w:rsidP="00D002DA">
      <w:r>
        <w:t xml:space="preserve">For the co-primary endpoint of Investigator’s Global Assessment 0/1 [IGA 0/1] response rate at Week 16, as per </w:t>
      </w:r>
      <w:r w:rsidR="00850F6B">
        <w:fldChar w:fldCharType="begin"/>
      </w:r>
      <w:r w:rsidR="00850F6B">
        <w:instrText xml:space="preserve"> REF _Ref129952840 \h </w:instrText>
      </w:r>
      <w:r w:rsidR="00850F6B">
        <w:fldChar w:fldCharType="separate"/>
      </w:r>
      <w:r w:rsidR="00B54079" w:rsidRPr="00850F6B">
        <w:t xml:space="preserve">Table </w:t>
      </w:r>
      <w:r w:rsidR="00B54079">
        <w:rPr>
          <w:noProof/>
        </w:rPr>
        <w:t>18</w:t>
      </w:r>
      <w:r w:rsidR="00850F6B">
        <w:fldChar w:fldCharType="end"/>
      </w:r>
      <w:r>
        <w:t>:</w:t>
      </w:r>
    </w:p>
    <w:p w14:paraId="4F2D6D43" w14:textId="38E0F593" w:rsidR="004858E7" w:rsidRDefault="00D002DA" w:rsidP="009B153D">
      <w:pPr>
        <w:pStyle w:val="ListBullet"/>
      </w:pPr>
      <w:r>
        <w:t xml:space="preserve">the BKZ total group was superior compared with the </w:t>
      </w:r>
      <w:r w:rsidR="004858E7">
        <w:t>adalimumab</w:t>
      </w:r>
      <w:r>
        <w:t xml:space="preserve"> group (85.3% </w:t>
      </w:r>
      <w:r w:rsidR="004858E7">
        <w:t>versus</w:t>
      </w:r>
      <w:r>
        <w:t xml:space="preserve"> 57.2%, respectively</w:t>
      </w:r>
      <w:proofErr w:type="gramStart"/>
      <w:r>
        <w:t>);</w:t>
      </w:r>
      <w:proofErr w:type="gramEnd"/>
    </w:p>
    <w:p w14:paraId="0AB3D694" w14:textId="799D42F4" w:rsidR="00D002DA" w:rsidRDefault="00D002DA" w:rsidP="009B153D">
      <w:pPr>
        <w:pStyle w:val="ListBullet"/>
      </w:pPr>
      <w:r>
        <w:t xml:space="preserve">this difference was statistically significant with an odds ratio versus </w:t>
      </w:r>
      <w:r w:rsidR="004858E7">
        <w:t>adalimumab</w:t>
      </w:r>
      <w:r>
        <w:t xml:space="preserve"> of 4.341 (95% CI: 2.785, 6.765; p&lt;0.001).</w:t>
      </w:r>
    </w:p>
    <w:p w14:paraId="0EBCC074" w14:textId="488A32B4" w:rsidR="00053FE8" w:rsidRDefault="00053FE8" w:rsidP="006E4137">
      <w:pPr>
        <w:spacing w:before="0" w:after="200" w:line="0" w:lineRule="auto"/>
      </w:pPr>
      <w:r>
        <w:br w:type="page"/>
      </w:r>
    </w:p>
    <w:p w14:paraId="21667A26" w14:textId="4DB95F55" w:rsidR="00D002DA" w:rsidRPr="00850F6B" w:rsidRDefault="00D002DA" w:rsidP="00850F6B">
      <w:pPr>
        <w:pStyle w:val="TableTitle"/>
      </w:pPr>
      <w:bookmarkStart w:id="95" w:name="_Ref129952840"/>
      <w:r w:rsidRPr="00850F6B">
        <w:lastRenderedPageBreak/>
        <w:t xml:space="preserve">Table </w:t>
      </w:r>
      <w:r w:rsidR="00172397">
        <w:fldChar w:fldCharType="begin"/>
      </w:r>
      <w:r w:rsidR="00172397">
        <w:instrText xml:space="preserve"> SEQ Table \* ARABIC </w:instrText>
      </w:r>
      <w:r w:rsidR="00172397">
        <w:fldChar w:fldCharType="separate"/>
      </w:r>
      <w:r w:rsidR="00B54079">
        <w:rPr>
          <w:noProof/>
        </w:rPr>
        <w:t>18</w:t>
      </w:r>
      <w:r w:rsidR="00172397">
        <w:rPr>
          <w:noProof/>
        </w:rPr>
        <w:fldChar w:fldCharType="end"/>
      </w:r>
      <w:bookmarkEnd w:id="95"/>
      <w:r w:rsidRPr="00850F6B">
        <w:t xml:space="preserve">: </w:t>
      </w:r>
      <w:r w:rsidR="00850F6B" w:rsidRPr="00850F6B">
        <w:t>Study PS</w:t>
      </w:r>
      <w:r w:rsidR="00053FE8">
        <w:t>0</w:t>
      </w:r>
      <w:r w:rsidR="00850F6B" w:rsidRPr="00850F6B">
        <w:t>008 IGA 0/1 response rates at Week 16</w:t>
      </w:r>
    </w:p>
    <w:tbl>
      <w:tblPr>
        <w:tblW w:w="5000" w:type="pct"/>
        <w:jc w:val="center"/>
        <w:tblCellMar>
          <w:left w:w="0" w:type="dxa"/>
          <w:right w:w="0" w:type="dxa"/>
        </w:tblCellMar>
        <w:tblLook w:val="0000" w:firstRow="0" w:lastRow="0" w:firstColumn="0" w:lastColumn="0" w:noHBand="0" w:noVBand="0"/>
      </w:tblPr>
      <w:tblGrid>
        <w:gridCol w:w="3263"/>
        <w:gridCol w:w="2614"/>
        <w:gridCol w:w="2611"/>
      </w:tblGrid>
      <w:tr w:rsidR="00D002DA" w14:paraId="58D5EAA2" w14:textId="77777777" w:rsidTr="009B153D">
        <w:trPr>
          <w:trHeight w:val="633"/>
          <w:jc w:val="center"/>
        </w:trPr>
        <w:tc>
          <w:tcPr>
            <w:tcW w:w="1922" w:type="pct"/>
            <w:tcBorders>
              <w:top w:val="single" w:sz="6" w:space="0" w:color="auto"/>
              <w:left w:val="single" w:sz="6" w:space="0" w:color="auto"/>
              <w:right w:val="single" w:sz="6" w:space="0" w:color="auto"/>
            </w:tcBorders>
            <w:vAlign w:val="center"/>
          </w:tcPr>
          <w:p w14:paraId="6ED64C52" w14:textId="77777777" w:rsidR="00D002DA" w:rsidRDefault="00D002DA" w:rsidP="009B153D">
            <w:pPr>
              <w:pStyle w:val="Style"/>
              <w:textAlignment w:val="baseline"/>
            </w:pPr>
          </w:p>
          <w:p w14:paraId="2E3ACD57" w14:textId="77777777" w:rsidR="00D002DA" w:rsidRDefault="00D002DA" w:rsidP="009B153D">
            <w:pPr>
              <w:pStyle w:val="Style"/>
              <w:textAlignment w:val="baseline"/>
            </w:pPr>
          </w:p>
        </w:tc>
        <w:tc>
          <w:tcPr>
            <w:tcW w:w="1540" w:type="pct"/>
            <w:tcBorders>
              <w:top w:val="single" w:sz="6" w:space="0" w:color="auto"/>
              <w:left w:val="single" w:sz="6" w:space="0" w:color="auto"/>
              <w:right w:val="single" w:sz="6" w:space="0" w:color="auto"/>
            </w:tcBorders>
            <w:vAlign w:val="center"/>
          </w:tcPr>
          <w:p w14:paraId="34D69B7F" w14:textId="45AF6C6A" w:rsidR="00D002DA" w:rsidRDefault="00D002DA" w:rsidP="009B153D">
            <w:pPr>
              <w:pStyle w:val="Style"/>
              <w:ind w:left="19"/>
              <w:jc w:val="center"/>
              <w:textAlignment w:val="baseline"/>
            </w:pPr>
            <w:r>
              <w:rPr>
                <w:b/>
                <w:sz w:val="20"/>
                <w:szCs w:val="20"/>
              </w:rPr>
              <w:t xml:space="preserve">BKZ </w:t>
            </w:r>
            <w:r w:rsidR="00850F6B">
              <w:rPr>
                <w:b/>
                <w:sz w:val="20"/>
                <w:szCs w:val="20"/>
              </w:rPr>
              <w:t>t</w:t>
            </w:r>
            <w:r>
              <w:rPr>
                <w:b/>
                <w:sz w:val="20"/>
                <w:szCs w:val="20"/>
              </w:rPr>
              <w:t>otal</w:t>
            </w:r>
          </w:p>
          <w:p w14:paraId="20E45DA5" w14:textId="088DC19E" w:rsidR="00D002DA" w:rsidRDefault="00D002DA" w:rsidP="009B153D">
            <w:pPr>
              <w:pStyle w:val="Style"/>
              <w:ind w:left="19"/>
              <w:jc w:val="center"/>
              <w:textAlignment w:val="baseline"/>
            </w:pPr>
            <w:r>
              <w:rPr>
                <w:b/>
                <w:sz w:val="20"/>
                <w:szCs w:val="20"/>
              </w:rPr>
              <w:t>N</w:t>
            </w:r>
            <w:r w:rsidR="00850F6B">
              <w:rPr>
                <w:b/>
                <w:sz w:val="20"/>
                <w:szCs w:val="20"/>
              </w:rPr>
              <w:t xml:space="preserve"> </w:t>
            </w:r>
            <w:r>
              <w:rPr>
                <w:b/>
                <w:sz w:val="20"/>
                <w:szCs w:val="20"/>
              </w:rPr>
              <w:t>=</w:t>
            </w:r>
            <w:r w:rsidR="00850F6B">
              <w:rPr>
                <w:b/>
                <w:sz w:val="20"/>
                <w:szCs w:val="20"/>
              </w:rPr>
              <w:t xml:space="preserve"> </w:t>
            </w:r>
            <w:r>
              <w:rPr>
                <w:b/>
                <w:sz w:val="20"/>
                <w:szCs w:val="20"/>
              </w:rPr>
              <w:t>319</w:t>
            </w:r>
          </w:p>
        </w:tc>
        <w:tc>
          <w:tcPr>
            <w:tcW w:w="1538" w:type="pct"/>
            <w:tcBorders>
              <w:top w:val="single" w:sz="6" w:space="0" w:color="auto"/>
              <w:left w:val="single" w:sz="6" w:space="0" w:color="auto"/>
              <w:right w:val="single" w:sz="6" w:space="0" w:color="auto"/>
            </w:tcBorders>
            <w:vAlign w:val="center"/>
          </w:tcPr>
          <w:p w14:paraId="73E35E98" w14:textId="77777777" w:rsidR="00D002DA" w:rsidRDefault="00D002DA" w:rsidP="009B153D">
            <w:pPr>
              <w:pStyle w:val="Style"/>
              <w:ind w:left="29"/>
              <w:jc w:val="center"/>
              <w:textAlignment w:val="baseline"/>
            </w:pPr>
            <w:r>
              <w:rPr>
                <w:b/>
                <w:sz w:val="20"/>
                <w:szCs w:val="20"/>
              </w:rPr>
              <w:t>ADA</w:t>
            </w:r>
          </w:p>
          <w:p w14:paraId="73E95104" w14:textId="1B065F24" w:rsidR="00D002DA" w:rsidRDefault="00D002DA" w:rsidP="009B153D">
            <w:pPr>
              <w:pStyle w:val="Style"/>
              <w:ind w:left="29"/>
              <w:jc w:val="center"/>
              <w:textAlignment w:val="baseline"/>
            </w:pPr>
            <w:r>
              <w:rPr>
                <w:b/>
                <w:sz w:val="20"/>
                <w:szCs w:val="20"/>
              </w:rPr>
              <w:t>N</w:t>
            </w:r>
            <w:r w:rsidR="00850F6B">
              <w:rPr>
                <w:b/>
                <w:sz w:val="20"/>
                <w:szCs w:val="20"/>
              </w:rPr>
              <w:t xml:space="preserve"> </w:t>
            </w:r>
            <w:r>
              <w:rPr>
                <w:b/>
                <w:sz w:val="20"/>
                <w:szCs w:val="20"/>
              </w:rPr>
              <w:t>=</w:t>
            </w:r>
            <w:r w:rsidR="00850F6B">
              <w:rPr>
                <w:b/>
                <w:sz w:val="20"/>
                <w:szCs w:val="20"/>
              </w:rPr>
              <w:t xml:space="preserve"> </w:t>
            </w:r>
            <w:r>
              <w:rPr>
                <w:b/>
                <w:sz w:val="20"/>
                <w:szCs w:val="20"/>
              </w:rPr>
              <w:t>159</w:t>
            </w:r>
          </w:p>
        </w:tc>
      </w:tr>
      <w:tr w:rsidR="00D002DA" w14:paraId="3FBA74D4" w14:textId="77777777" w:rsidTr="00D002DA">
        <w:trPr>
          <w:trHeight w:hRule="exact" w:val="394"/>
          <w:jc w:val="center"/>
        </w:trPr>
        <w:tc>
          <w:tcPr>
            <w:tcW w:w="1922" w:type="pct"/>
            <w:tcBorders>
              <w:top w:val="single" w:sz="6" w:space="0" w:color="auto"/>
              <w:left w:val="single" w:sz="6" w:space="0" w:color="auto"/>
              <w:bottom w:val="single" w:sz="6" w:space="0" w:color="auto"/>
              <w:right w:val="single" w:sz="6" w:space="0" w:color="auto"/>
            </w:tcBorders>
            <w:vAlign w:val="center"/>
          </w:tcPr>
          <w:p w14:paraId="37CE96E6" w14:textId="77777777" w:rsidR="00D002DA" w:rsidRDefault="00D002DA" w:rsidP="009B153D">
            <w:pPr>
              <w:pStyle w:val="Style"/>
              <w:ind w:left="120"/>
              <w:textAlignment w:val="baseline"/>
            </w:pPr>
            <w:r>
              <w:rPr>
                <w:sz w:val="20"/>
                <w:szCs w:val="20"/>
              </w:rPr>
              <w:t>IGA 0/1 response rate</w:t>
            </w:r>
          </w:p>
        </w:tc>
        <w:tc>
          <w:tcPr>
            <w:tcW w:w="1540" w:type="pct"/>
            <w:tcBorders>
              <w:top w:val="single" w:sz="6" w:space="0" w:color="auto"/>
              <w:left w:val="single" w:sz="6" w:space="0" w:color="auto"/>
              <w:bottom w:val="single" w:sz="6" w:space="0" w:color="auto"/>
              <w:right w:val="single" w:sz="6" w:space="0" w:color="auto"/>
            </w:tcBorders>
            <w:vAlign w:val="center"/>
          </w:tcPr>
          <w:p w14:paraId="0B7FB7CC" w14:textId="77777777" w:rsidR="00D002DA" w:rsidRDefault="00D002DA" w:rsidP="009B153D">
            <w:pPr>
              <w:pStyle w:val="Style"/>
              <w:jc w:val="center"/>
              <w:textAlignment w:val="baseline"/>
            </w:pPr>
          </w:p>
        </w:tc>
        <w:tc>
          <w:tcPr>
            <w:tcW w:w="1538" w:type="pct"/>
            <w:tcBorders>
              <w:top w:val="single" w:sz="6" w:space="0" w:color="auto"/>
              <w:left w:val="single" w:sz="6" w:space="0" w:color="auto"/>
              <w:bottom w:val="single" w:sz="6" w:space="0" w:color="auto"/>
              <w:right w:val="single" w:sz="6" w:space="0" w:color="auto"/>
            </w:tcBorders>
            <w:vAlign w:val="center"/>
          </w:tcPr>
          <w:p w14:paraId="3DBABB91" w14:textId="77777777" w:rsidR="00D002DA" w:rsidRDefault="00D002DA" w:rsidP="009B153D">
            <w:pPr>
              <w:pStyle w:val="Style"/>
              <w:jc w:val="center"/>
              <w:textAlignment w:val="baseline"/>
            </w:pPr>
          </w:p>
        </w:tc>
      </w:tr>
      <w:tr w:rsidR="00D002DA" w14:paraId="31E1C503" w14:textId="77777777" w:rsidTr="00D002DA">
        <w:trPr>
          <w:trHeight w:hRule="exact" w:val="384"/>
          <w:jc w:val="center"/>
        </w:trPr>
        <w:tc>
          <w:tcPr>
            <w:tcW w:w="1922" w:type="pct"/>
            <w:tcBorders>
              <w:top w:val="single" w:sz="6" w:space="0" w:color="auto"/>
              <w:left w:val="single" w:sz="6" w:space="0" w:color="auto"/>
              <w:bottom w:val="single" w:sz="6" w:space="0" w:color="auto"/>
              <w:right w:val="single" w:sz="6" w:space="0" w:color="auto"/>
            </w:tcBorders>
            <w:vAlign w:val="center"/>
          </w:tcPr>
          <w:p w14:paraId="6F20C9F8" w14:textId="77777777" w:rsidR="00D002DA" w:rsidRDefault="00D002DA" w:rsidP="009B153D">
            <w:pPr>
              <w:pStyle w:val="Style"/>
              <w:ind w:left="389"/>
              <w:textAlignment w:val="baseline"/>
            </w:pPr>
            <w:r>
              <w:rPr>
                <w:sz w:val="20"/>
                <w:szCs w:val="20"/>
              </w:rPr>
              <w:t>n (%)</w:t>
            </w:r>
          </w:p>
        </w:tc>
        <w:tc>
          <w:tcPr>
            <w:tcW w:w="1540" w:type="pct"/>
            <w:tcBorders>
              <w:top w:val="single" w:sz="6" w:space="0" w:color="auto"/>
              <w:left w:val="single" w:sz="6" w:space="0" w:color="auto"/>
              <w:bottom w:val="single" w:sz="6" w:space="0" w:color="auto"/>
              <w:right w:val="single" w:sz="6" w:space="0" w:color="auto"/>
            </w:tcBorders>
            <w:vAlign w:val="center"/>
          </w:tcPr>
          <w:p w14:paraId="57F130F1" w14:textId="77777777" w:rsidR="00D002DA" w:rsidRDefault="00D002DA" w:rsidP="009B153D">
            <w:pPr>
              <w:pStyle w:val="Style"/>
              <w:ind w:left="19"/>
              <w:jc w:val="center"/>
              <w:textAlignment w:val="baseline"/>
            </w:pPr>
            <w:r>
              <w:rPr>
                <w:sz w:val="20"/>
                <w:szCs w:val="20"/>
              </w:rPr>
              <w:t>272 (85.3)</w:t>
            </w:r>
          </w:p>
        </w:tc>
        <w:tc>
          <w:tcPr>
            <w:tcW w:w="1538" w:type="pct"/>
            <w:tcBorders>
              <w:top w:val="single" w:sz="6" w:space="0" w:color="auto"/>
              <w:left w:val="single" w:sz="6" w:space="0" w:color="auto"/>
              <w:bottom w:val="single" w:sz="6" w:space="0" w:color="auto"/>
              <w:right w:val="single" w:sz="6" w:space="0" w:color="auto"/>
            </w:tcBorders>
            <w:vAlign w:val="center"/>
          </w:tcPr>
          <w:p w14:paraId="5AEF8582" w14:textId="77777777" w:rsidR="00D002DA" w:rsidRDefault="00D002DA" w:rsidP="009B153D">
            <w:pPr>
              <w:pStyle w:val="Style"/>
              <w:ind w:left="29"/>
              <w:jc w:val="center"/>
              <w:textAlignment w:val="baseline"/>
            </w:pPr>
            <w:r>
              <w:rPr>
                <w:sz w:val="20"/>
                <w:szCs w:val="20"/>
              </w:rPr>
              <w:t>91 (57.2)</w:t>
            </w:r>
          </w:p>
        </w:tc>
      </w:tr>
      <w:tr w:rsidR="00D002DA" w14:paraId="37792CF9" w14:textId="77777777" w:rsidTr="00D002DA">
        <w:trPr>
          <w:trHeight w:hRule="exact" w:val="394"/>
          <w:jc w:val="center"/>
        </w:trPr>
        <w:tc>
          <w:tcPr>
            <w:tcW w:w="1922" w:type="pct"/>
            <w:tcBorders>
              <w:top w:val="single" w:sz="6" w:space="0" w:color="auto"/>
              <w:left w:val="single" w:sz="6" w:space="0" w:color="auto"/>
              <w:bottom w:val="single" w:sz="6" w:space="0" w:color="auto"/>
              <w:right w:val="single" w:sz="6" w:space="0" w:color="auto"/>
            </w:tcBorders>
            <w:vAlign w:val="center"/>
          </w:tcPr>
          <w:p w14:paraId="3D4FD670" w14:textId="77777777" w:rsidR="00D002DA" w:rsidRDefault="00D002DA" w:rsidP="009B153D">
            <w:pPr>
              <w:pStyle w:val="Style"/>
              <w:ind w:left="389"/>
              <w:textAlignment w:val="baseline"/>
            </w:pPr>
            <w:r>
              <w:rPr>
                <w:sz w:val="20"/>
                <w:szCs w:val="20"/>
              </w:rPr>
              <w:t>n/</w:t>
            </w:r>
            <w:proofErr w:type="spellStart"/>
            <w:r>
              <w:rPr>
                <w:sz w:val="20"/>
                <w:szCs w:val="20"/>
              </w:rPr>
              <w:t>Nsub</w:t>
            </w:r>
            <w:proofErr w:type="spellEnd"/>
            <w:r>
              <w:rPr>
                <w:sz w:val="20"/>
                <w:szCs w:val="20"/>
              </w:rPr>
              <w:t xml:space="preserve"> (%)</w:t>
            </w:r>
          </w:p>
        </w:tc>
        <w:tc>
          <w:tcPr>
            <w:tcW w:w="1540" w:type="pct"/>
            <w:tcBorders>
              <w:top w:val="single" w:sz="6" w:space="0" w:color="auto"/>
              <w:left w:val="single" w:sz="6" w:space="0" w:color="auto"/>
              <w:bottom w:val="single" w:sz="6" w:space="0" w:color="auto"/>
              <w:right w:val="single" w:sz="6" w:space="0" w:color="auto"/>
            </w:tcBorders>
            <w:vAlign w:val="center"/>
          </w:tcPr>
          <w:p w14:paraId="3AE25211" w14:textId="77777777" w:rsidR="00D002DA" w:rsidRDefault="00D002DA" w:rsidP="009B153D">
            <w:pPr>
              <w:pStyle w:val="Style"/>
              <w:ind w:left="19"/>
              <w:jc w:val="center"/>
              <w:textAlignment w:val="baseline"/>
            </w:pPr>
            <w:r>
              <w:rPr>
                <w:sz w:val="20"/>
                <w:szCs w:val="20"/>
              </w:rPr>
              <w:t>272/303 (89.8)</w:t>
            </w:r>
          </w:p>
        </w:tc>
        <w:tc>
          <w:tcPr>
            <w:tcW w:w="1538" w:type="pct"/>
            <w:tcBorders>
              <w:top w:val="single" w:sz="6" w:space="0" w:color="auto"/>
              <w:left w:val="single" w:sz="6" w:space="0" w:color="auto"/>
              <w:bottom w:val="single" w:sz="6" w:space="0" w:color="auto"/>
              <w:right w:val="single" w:sz="6" w:space="0" w:color="auto"/>
            </w:tcBorders>
            <w:vAlign w:val="center"/>
          </w:tcPr>
          <w:p w14:paraId="177325AD" w14:textId="77777777" w:rsidR="00D002DA" w:rsidRDefault="00D002DA" w:rsidP="009B153D">
            <w:pPr>
              <w:pStyle w:val="Style"/>
              <w:ind w:left="29"/>
              <w:jc w:val="center"/>
              <w:textAlignment w:val="baseline"/>
            </w:pPr>
            <w:r>
              <w:rPr>
                <w:sz w:val="20"/>
                <w:szCs w:val="20"/>
              </w:rPr>
              <w:t>91/148 (61.5)</w:t>
            </w:r>
          </w:p>
        </w:tc>
      </w:tr>
      <w:tr w:rsidR="00D002DA" w14:paraId="49DA479E" w14:textId="77777777" w:rsidTr="00D002DA">
        <w:trPr>
          <w:trHeight w:hRule="exact" w:val="384"/>
          <w:jc w:val="center"/>
        </w:trPr>
        <w:tc>
          <w:tcPr>
            <w:tcW w:w="1922" w:type="pct"/>
            <w:tcBorders>
              <w:top w:val="single" w:sz="6" w:space="0" w:color="auto"/>
              <w:left w:val="single" w:sz="6" w:space="0" w:color="auto"/>
              <w:bottom w:val="single" w:sz="6" w:space="0" w:color="auto"/>
              <w:right w:val="single" w:sz="6" w:space="0" w:color="auto"/>
            </w:tcBorders>
            <w:vAlign w:val="center"/>
          </w:tcPr>
          <w:p w14:paraId="3EBF1F1A" w14:textId="2B280787" w:rsidR="00D002DA" w:rsidRDefault="00D002DA" w:rsidP="009B153D">
            <w:pPr>
              <w:pStyle w:val="Style"/>
              <w:ind w:left="120"/>
              <w:textAlignment w:val="baseline"/>
            </w:pPr>
            <w:r>
              <w:rPr>
                <w:sz w:val="20"/>
                <w:szCs w:val="20"/>
              </w:rPr>
              <w:t xml:space="preserve">Odds ratio </w:t>
            </w:r>
            <w:r w:rsidR="004858E7">
              <w:rPr>
                <w:sz w:val="20"/>
                <w:szCs w:val="20"/>
              </w:rPr>
              <w:t>versus</w:t>
            </w:r>
            <w:r>
              <w:rPr>
                <w:sz w:val="20"/>
                <w:szCs w:val="20"/>
              </w:rPr>
              <w:t xml:space="preserve"> ADA </w:t>
            </w:r>
            <w:r>
              <w:rPr>
                <w:rFonts w:ascii="Arial" w:eastAsia="Arial" w:hAnsi="Arial" w:cs="Arial"/>
                <w:sz w:val="11"/>
                <w:szCs w:val="11"/>
              </w:rPr>
              <w:t>a</w:t>
            </w:r>
          </w:p>
        </w:tc>
        <w:tc>
          <w:tcPr>
            <w:tcW w:w="1540" w:type="pct"/>
            <w:tcBorders>
              <w:top w:val="single" w:sz="6" w:space="0" w:color="auto"/>
              <w:left w:val="single" w:sz="6" w:space="0" w:color="auto"/>
              <w:bottom w:val="single" w:sz="6" w:space="0" w:color="auto"/>
              <w:right w:val="single" w:sz="6" w:space="0" w:color="auto"/>
            </w:tcBorders>
            <w:vAlign w:val="center"/>
          </w:tcPr>
          <w:p w14:paraId="45190FB2" w14:textId="77777777" w:rsidR="00D002DA" w:rsidRDefault="00D002DA" w:rsidP="009B153D">
            <w:pPr>
              <w:pStyle w:val="Style"/>
              <w:ind w:left="19"/>
              <w:jc w:val="center"/>
              <w:textAlignment w:val="baseline"/>
            </w:pPr>
            <w:r>
              <w:rPr>
                <w:sz w:val="20"/>
                <w:szCs w:val="20"/>
              </w:rPr>
              <w:t>4.341</w:t>
            </w:r>
          </w:p>
        </w:tc>
        <w:tc>
          <w:tcPr>
            <w:tcW w:w="1538" w:type="pct"/>
            <w:tcBorders>
              <w:top w:val="single" w:sz="6" w:space="0" w:color="auto"/>
              <w:left w:val="single" w:sz="6" w:space="0" w:color="auto"/>
              <w:bottom w:val="single" w:sz="6" w:space="0" w:color="auto"/>
              <w:right w:val="single" w:sz="6" w:space="0" w:color="auto"/>
            </w:tcBorders>
            <w:vAlign w:val="center"/>
          </w:tcPr>
          <w:p w14:paraId="6D7C050A" w14:textId="77777777" w:rsidR="00D002DA" w:rsidRDefault="00D002DA" w:rsidP="009B153D">
            <w:pPr>
              <w:pStyle w:val="Style"/>
              <w:ind w:left="29"/>
              <w:jc w:val="center"/>
              <w:textAlignment w:val="baseline"/>
            </w:pPr>
            <w:r>
              <w:rPr>
                <w:w w:val="110"/>
                <w:sz w:val="18"/>
                <w:szCs w:val="18"/>
              </w:rPr>
              <w:t>-</w:t>
            </w:r>
          </w:p>
        </w:tc>
      </w:tr>
      <w:tr w:rsidR="00D002DA" w14:paraId="288EED07" w14:textId="77777777" w:rsidTr="00D002DA">
        <w:trPr>
          <w:trHeight w:hRule="exact" w:val="394"/>
          <w:jc w:val="center"/>
        </w:trPr>
        <w:tc>
          <w:tcPr>
            <w:tcW w:w="1922" w:type="pct"/>
            <w:tcBorders>
              <w:top w:val="single" w:sz="6" w:space="0" w:color="auto"/>
              <w:left w:val="single" w:sz="6" w:space="0" w:color="auto"/>
              <w:bottom w:val="single" w:sz="6" w:space="0" w:color="auto"/>
              <w:right w:val="single" w:sz="6" w:space="0" w:color="auto"/>
            </w:tcBorders>
            <w:vAlign w:val="center"/>
          </w:tcPr>
          <w:p w14:paraId="55FA6352" w14:textId="77777777" w:rsidR="00D002DA" w:rsidRDefault="00D002DA" w:rsidP="009B153D">
            <w:pPr>
              <w:pStyle w:val="Style"/>
              <w:ind w:left="389"/>
              <w:textAlignment w:val="baseline"/>
            </w:pPr>
            <w:r>
              <w:rPr>
                <w:sz w:val="20"/>
                <w:szCs w:val="20"/>
              </w:rPr>
              <w:t>95% CI for odds ratio</w:t>
            </w:r>
          </w:p>
        </w:tc>
        <w:tc>
          <w:tcPr>
            <w:tcW w:w="1540" w:type="pct"/>
            <w:tcBorders>
              <w:top w:val="single" w:sz="6" w:space="0" w:color="auto"/>
              <w:left w:val="single" w:sz="6" w:space="0" w:color="auto"/>
              <w:bottom w:val="single" w:sz="6" w:space="0" w:color="auto"/>
              <w:right w:val="single" w:sz="6" w:space="0" w:color="auto"/>
            </w:tcBorders>
            <w:vAlign w:val="center"/>
          </w:tcPr>
          <w:p w14:paraId="01C1225A" w14:textId="77777777" w:rsidR="00D002DA" w:rsidRDefault="00D002DA" w:rsidP="009B153D">
            <w:pPr>
              <w:pStyle w:val="Style"/>
              <w:ind w:left="19"/>
              <w:jc w:val="center"/>
              <w:textAlignment w:val="baseline"/>
            </w:pPr>
            <w:r>
              <w:rPr>
                <w:sz w:val="20"/>
                <w:szCs w:val="20"/>
              </w:rPr>
              <w:t>2.785, 6.765</w:t>
            </w:r>
          </w:p>
        </w:tc>
        <w:tc>
          <w:tcPr>
            <w:tcW w:w="1538" w:type="pct"/>
            <w:tcBorders>
              <w:top w:val="single" w:sz="6" w:space="0" w:color="auto"/>
              <w:left w:val="single" w:sz="6" w:space="0" w:color="auto"/>
              <w:bottom w:val="single" w:sz="6" w:space="0" w:color="auto"/>
              <w:right w:val="single" w:sz="6" w:space="0" w:color="auto"/>
            </w:tcBorders>
            <w:vAlign w:val="center"/>
          </w:tcPr>
          <w:p w14:paraId="694F76D6" w14:textId="77777777" w:rsidR="00D002DA" w:rsidRDefault="00D002DA" w:rsidP="009B153D">
            <w:pPr>
              <w:pStyle w:val="Style"/>
              <w:ind w:left="29"/>
              <w:jc w:val="center"/>
              <w:textAlignment w:val="baseline"/>
            </w:pPr>
            <w:r>
              <w:rPr>
                <w:w w:val="110"/>
                <w:sz w:val="18"/>
                <w:szCs w:val="18"/>
              </w:rPr>
              <w:t>-</w:t>
            </w:r>
          </w:p>
        </w:tc>
      </w:tr>
      <w:tr w:rsidR="00D002DA" w14:paraId="58D3F020" w14:textId="77777777" w:rsidTr="00D002DA">
        <w:trPr>
          <w:trHeight w:hRule="exact" w:val="384"/>
          <w:jc w:val="center"/>
        </w:trPr>
        <w:tc>
          <w:tcPr>
            <w:tcW w:w="1922" w:type="pct"/>
            <w:tcBorders>
              <w:top w:val="single" w:sz="6" w:space="0" w:color="auto"/>
              <w:left w:val="single" w:sz="6" w:space="0" w:color="auto"/>
              <w:bottom w:val="single" w:sz="6" w:space="0" w:color="auto"/>
              <w:right w:val="single" w:sz="6" w:space="0" w:color="auto"/>
            </w:tcBorders>
            <w:vAlign w:val="center"/>
          </w:tcPr>
          <w:p w14:paraId="0E27E4A3" w14:textId="77777777" w:rsidR="00D002DA" w:rsidRDefault="00D002DA" w:rsidP="009B153D">
            <w:pPr>
              <w:pStyle w:val="Style"/>
              <w:ind w:left="389"/>
              <w:textAlignment w:val="baseline"/>
            </w:pPr>
            <w:r>
              <w:rPr>
                <w:sz w:val="20"/>
                <w:szCs w:val="20"/>
              </w:rPr>
              <w:t xml:space="preserve">p-value </w:t>
            </w:r>
            <w:r>
              <w:rPr>
                <w:sz w:val="12"/>
                <w:szCs w:val="12"/>
              </w:rPr>
              <w:t>b</w:t>
            </w:r>
          </w:p>
        </w:tc>
        <w:tc>
          <w:tcPr>
            <w:tcW w:w="1540" w:type="pct"/>
            <w:tcBorders>
              <w:top w:val="single" w:sz="6" w:space="0" w:color="auto"/>
              <w:left w:val="single" w:sz="6" w:space="0" w:color="auto"/>
              <w:bottom w:val="single" w:sz="6" w:space="0" w:color="auto"/>
              <w:right w:val="single" w:sz="6" w:space="0" w:color="auto"/>
            </w:tcBorders>
            <w:vAlign w:val="center"/>
          </w:tcPr>
          <w:p w14:paraId="2B7AF272" w14:textId="77777777" w:rsidR="00D002DA" w:rsidRDefault="00D002DA" w:rsidP="009B153D">
            <w:pPr>
              <w:pStyle w:val="Style"/>
              <w:ind w:left="19"/>
              <w:jc w:val="center"/>
              <w:textAlignment w:val="baseline"/>
            </w:pPr>
            <w:r>
              <w:rPr>
                <w:sz w:val="20"/>
                <w:szCs w:val="20"/>
              </w:rPr>
              <w:t>&lt;0.001</w:t>
            </w:r>
          </w:p>
        </w:tc>
        <w:tc>
          <w:tcPr>
            <w:tcW w:w="1538" w:type="pct"/>
            <w:tcBorders>
              <w:top w:val="single" w:sz="6" w:space="0" w:color="auto"/>
              <w:left w:val="single" w:sz="6" w:space="0" w:color="auto"/>
              <w:bottom w:val="single" w:sz="6" w:space="0" w:color="auto"/>
              <w:right w:val="single" w:sz="6" w:space="0" w:color="auto"/>
            </w:tcBorders>
            <w:vAlign w:val="center"/>
          </w:tcPr>
          <w:p w14:paraId="26B3BFDB" w14:textId="77777777" w:rsidR="00D002DA" w:rsidRDefault="00D002DA" w:rsidP="009B153D">
            <w:pPr>
              <w:pStyle w:val="Style"/>
              <w:ind w:left="29"/>
              <w:jc w:val="center"/>
              <w:textAlignment w:val="baseline"/>
            </w:pPr>
            <w:r>
              <w:rPr>
                <w:w w:val="110"/>
                <w:sz w:val="18"/>
                <w:szCs w:val="18"/>
              </w:rPr>
              <w:t>-</w:t>
            </w:r>
          </w:p>
        </w:tc>
      </w:tr>
      <w:tr w:rsidR="00D002DA" w14:paraId="112B38E6" w14:textId="77777777" w:rsidTr="00D002DA">
        <w:trPr>
          <w:trHeight w:hRule="exact" w:val="384"/>
          <w:jc w:val="center"/>
        </w:trPr>
        <w:tc>
          <w:tcPr>
            <w:tcW w:w="1922" w:type="pct"/>
            <w:tcBorders>
              <w:top w:val="single" w:sz="6" w:space="0" w:color="auto"/>
              <w:left w:val="single" w:sz="6" w:space="0" w:color="auto"/>
              <w:bottom w:val="single" w:sz="6" w:space="0" w:color="auto"/>
              <w:right w:val="single" w:sz="6" w:space="0" w:color="auto"/>
            </w:tcBorders>
            <w:vAlign w:val="center"/>
          </w:tcPr>
          <w:p w14:paraId="55AFE4F9" w14:textId="77777777" w:rsidR="00D002DA" w:rsidRDefault="00D002DA" w:rsidP="009B153D">
            <w:pPr>
              <w:pStyle w:val="Style"/>
              <w:ind w:left="120"/>
              <w:textAlignment w:val="baseline"/>
            </w:pPr>
            <w:r>
              <w:rPr>
                <w:sz w:val="20"/>
                <w:szCs w:val="20"/>
              </w:rPr>
              <w:t xml:space="preserve">Risk difference </w:t>
            </w:r>
            <w:r>
              <w:rPr>
                <w:rFonts w:ascii="Arial" w:eastAsia="Arial" w:hAnsi="Arial" w:cs="Arial"/>
                <w:sz w:val="11"/>
                <w:szCs w:val="11"/>
              </w:rPr>
              <w:t>c</w:t>
            </w:r>
          </w:p>
        </w:tc>
        <w:tc>
          <w:tcPr>
            <w:tcW w:w="1540" w:type="pct"/>
            <w:tcBorders>
              <w:top w:val="single" w:sz="6" w:space="0" w:color="auto"/>
              <w:left w:val="single" w:sz="6" w:space="0" w:color="auto"/>
              <w:bottom w:val="single" w:sz="6" w:space="0" w:color="auto"/>
              <w:right w:val="single" w:sz="6" w:space="0" w:color="auto"/>
            </w:tcBorders>
            <w:vAlign w:val="center"/>
          </w:tcPr>
          <w:p w14:paraId="57F00D21" w14:textId="77777777" w:rsidR="00D002DA" w:rsidRDefault="00D002DA" w:rsidP="009B153D">
            <w:pPr>
              <w:pStyle w:val="Style"/>
              <w:ind w:left="19"/>
              <w:jc w:val="center"/>
              <w:textAlignment w:val="baseline"/>
            </w:pPr>
            <w:r>
              <w:rPr>
                <w:sz w:val="20"/>
                <w:szCs w:val="20"/>
              </w:rPr>
              <w:t>28.2</w:t>
            </w:r>
          </w:p>
        </w:tc>
        <w:tc>
          <w:tcPr>
            <w:tcW w:w="1538" w:type="pct"/>
            <w:tcBorders>
              <w:top w:val="single" w:sz="6" w:space="0" w:color="auto"/>
              <w:left w:val="single" w:sz="6" w:space="0" w:color="auto"/>
              <w:bottom w:val="single" w:sz="6" w:space="0" w:color="auto"/>
              <w:right w:val="single" w:sz="6" w:space="0" w:color="auto"/>
            </w:tcBorders>
            <w:vAlign w:val="center"/>
          </w:tcPr>
          <w:p w14:paraId="2F34A1AD" w14:textId="77777777" w:rsidR="00D002DA" w:rsidRDefault="00D002DA" w:rsidP="009B153D">
            <w:pPr>
              <w:pStyle w:val="Style"/>
              <w:ind w:left="29"/>
              <w:jc w:val="center"/>
              <w:textAlignment w:val="baseline"/>
            </w:pPr>
            <w:r>
              <w:rPr>
                <w:w w:val="110"/>
                <w:sz w:val="18"/>
                <w:szCs w:val="18"/>
              </w:rPr>
              <w:t>-</w:t>
            </w:r>
          </w:p>
        </w:tc>
      </w:tr>
      <w:tr w:rsidR="00D002DA" w14:paraId="20693C41" w14:textId="77777777" w:rsidTr="00D002DA">
        <w:trPr>
          <w:trHeight w:hRule="exact" w:val="389"/>
          <w:jc w:val="center"/>
        </w:trPr>
        <w:tc>
          <w:tcPr>
            <w:tcW w:w="1922" w:type="pct"/>
            <w:tcBorders>
              <w:top w:val="single" w:sz="6" w:space="0" w:color="auto"/>
              <w:left w:val="single" w:sz="6" w:space="0" w:color="auto"/>
              <w:bottom w:val="single" w:sz="6" w:space="0" w:color="auto"/>
              <w:right w:val="single" w:sz="6" w:space="0" w:color="auto"/>
            </w:tcBorders>
            <w:vAlign w:val="center"/>
          </w:tcPr>
          <w:p w14:paraId="42329B3C" w14:textId="77777777" w:rsidR="00D002DA" w:rsidRDefault="00D002DA" w:rsidP="009B153D">
            <w:pPr>
              <w:pStyle w:val="Style"/>
              <w:ind w:left="389"/>
              <w:textAlignment w:val="baseline"/>
            </w:pPr>
            <w:r>
              <w:rPr>
                <w:sz w:val="20"/>
                <w:szCs w:val="20"/>
              </w:rPr>
              <w:t>95% CI for risk difference</w:t>
            </w:r>
          </w:p>
        </w:tc>
        <w:tc>
          <w:tcPr>
            <w:tcW w:w="1540" w:type="pct"/>
            <w:tcBorders>
              <w:top w:val="single" w:sz="6" w:space="0" w:color="auto"/>
              <w:left w:val="single" w:sz="6" w:space="0" w:color="auto"/>
              <w:bottom w:val="single" w:sz="6" w:space="0" w:color="auto"/>
              <w:right w:val="single" w:sz="6" w:space="0" w:color="auto"/>
            </w:tcBorders>
            <w:vAlign w:val="center"/>
          </w:tcPr>
          <w:p w14:paraId="2A7A11CF" w14:textId="77777777" w:rsidR="00D002DA" w:rsidRDefault="00D002DA" w:rsidP="009B153D">
            <w:pPr>
              <w:pStyle w:val="Style"/>
              <w:ind w:left="19"/>
              <w:jc w:val="center"/>
              <w:textAlignment w:val="baseline"/>
            </w:pPr>
            <w:r>
              <w:rPr>
                <w:sz w:val="20"/>
                <w:szCs w:val="20"/>
              </w:rPr>
              <w:t>19.7, 36.7</w:t>
            </w:r>
          </w:p>
        </w:tc>
        <w:tc>
          <w:tcPr>
            <w:tcW w:w="1538" w:type="pct"/>
            <w:tcBorders>
              <w:top w:val="single" w:sz="6" w:space="0" w:color="auto"/>
              <w:left w:val="single" w:sz="6" w:space="0" w:color="auto"/>
              <w:bottom w:val="single" w:sz="6" w:space="0" w:color="auto"/>
              <w:right w:val="single" w:sz="6" w:space="0" w:color="auto"/>
            </w:tcBorders>
            <w:vAlign w:val="center"/>
          </w:tcPr>
          <w:p w14:paraId="2809F0D7" w14:textId="77777777" w:rsidR="00D002DA" w:rsidRDefault="00D002DA" w:rsidP="009B153D">
            <w:pPr>
              <w:pStyle w:val="Style"/>
              <w:ind w:left="29"/>
              <w:jc w:val="center"/>
              <w:textAlignment w:val="baseline"/>
            </w:pPr>
            <w:r>
              <w:rPr>
                <w:w w:val="110"/>
                <w:sz w:val="18"/>
                <w:szCs w:val="18"/>
              </w:rPr>
              <w:t>-</w:t>
            </w:r>
          </w:p>
        </w:tc>
      </w:tr>
    </w:tbl>
    <w:p w14:paraId="56EFFE4C" w14:textId="6E530F69" w:rsidR="00850F6B" w:rsidRDefault="00053FE8" w:rsidP="00850F6B">
      <w:pPr>
        <w:pStyle w:val="TableDescription"/>
      </w:pPr>
      <w:r>
        <w:t xml:space="preserve">Abbreviations: </w:t>
      </w:r>
      <w:r w:rsidR="00850F6B">
        <w:t xml:space="preserve">ADA = adalimumab; BKZ = </w:t>
      </w:r>
      <w:proofErr w:type="spellStart"/>
      <w:r w:rsidR="00850F6B">
        <w:t>bimekizumab</w:t>
      </w:r>
      <w:proofErr w:type="spellEnd"/>
      <w:r w:rsidR="00850F6B">
        <w:t xml:space="preserve">; CI = Confidence Interval; CMH = Cochran-Mantel-Haenszel; IGA = Investigator’s Global Assessment; NRI = </w:t>
      </w:r>
      <w:proofErr w:type="spellStart"/>
      <w:r w:rsidR="00850F6B">
        <w:t>nonresponder</w:t>
      </w:r>
      <w:proofErr w:type="spellEnd"/>
      <w:r w:rsidR="00850F6B">
        <w:t xml:space="preserve"> imputation; OC = observed case; RS = Randomized Set</w:t>
      </w:r>
    </w:p>
    <w:p w14:paraId="4FFB913C" w14:textId="77777777" w:rsidR="00850F6B" w:rsidRDefault="00850F6B" w:rsidP="00850F6B">
      <w:pPr>
        <w:pStyle w:val="TableDescription"/>
      </w:pPr>
      <w:r>
        <w:t xml:space="preserve">Note: In the n (%) row, study participants with missing data at a given week were counted as </w:t>
      </w:r>
      <w:proofErr w:type="spellStart"/>
      <w:r>
        <w:t>nonresponders</w:t>
      </w:r>
      <w:proofErr w:type="spellEnd"/>
      <w:r>
        <w:t xml:space="preserve"> (NRI).</w:t>
      </w:r>
    </w:p>
    <w:p w14:paraId="66C3C50C" w14:textId="2E73BBAB" w:rsidR="00850F6B" w:rsidRDefault="00850F6B" w:rsidP="00850F6B">
      <w:pPr>
        <w:pStyle w:val="TableDescription"/>
      </w:pPr>
      <w:r>
        <w:t>Note: In the n/</w:t>
      </w:r>
      <w:proofErr w:type="spellStart"/>
      <w:r>
        <w:t>Nsub</w:t>
      </w:r>
      <w:proofErr w:type="spellEnd"/>
      <w:r>
        <w:t xml:space="preserve"> (%) row, </w:t>
      </w:r>
      <w:proofErr w:type="spellStart"/>
      <w:r>
        <w:t>Nsub</w:t>
      </w:r>
      <w:proofErr w:type="spellEnd"/>
      <w:r>
        <w:t xml:space="preserve"> represented the number of study participants with a </w:t>
      </w:r>
      <w:proofErr w:type="spellStart"/>
      <w:r>
        <w:t>nonmissing</w:t>
      </w:r>
      <w:proofErr w:type="spellEnd"/>
      <w:r>
        <w:t xml:space="preserve"> measurement for IGA at the given week, and percentages were calculated accordingly (OC).</w:t>
      </w:r>
    </w:p>
    <w:p w14:paraId="5208BBF1" w14:textId="1A56D657" w:rsidR="00850F6B" w:rsidRDefault="00850F6B" w:rsidP="00850F6B">
      <w:pPr>
        <w:pStyle w:val="TableDescription"/>
      </w:pPr>
      <w:r>
        <w:t>Note: The evaluation of noninferiority was tested at a 1-sided alpha level of 0.025 and based on a 1-sided 97.5% CI and a noninferiority margin of 10%.</w:t>
      </w:r>
    </w:p>
    <w:p w14:paraId="23EEB42B" w14:textId="398CA756" w:rsidR="00850F6B" w:rsidRDefault="00850F6B" w:rsidP="00850F6B">
      <w:pPr>
        <w:pStyle w:val="TableDescription"/>
      </w:pPr>
      <w:proofErr w:type="spellStart"/>
      <w:proofErr w:type="gramStart"/>
      <w:r>
        <w:t>a</w:t>
      </w:r>
      <w:proofErr w:type="spellEnd"/>
      <w:proofErr w:type="gramEnd"/>
      <w:r>
        <w:t xml:space="preserve"> Odds ratio for BKZ/ADA was calculated using stratified CMH test with region and prior biologic exposure as stratification variables.</w:t>
      </w:r>
    </w:p>
    <w:p w14:paraId="1782ABB7" w14:textId="77777777" w:rsidR="00850F6B" w:rsidRDefault="00850F6B" w:rsidP="00850F6B">
      <w:pPr>
        <w:pStyle w:val="TableDescription"/>
      </w:pPr>
      <w:r>
        <w:t>b P-values for the comparison of treatment groups were based on the CMH test from the general association.</w:t>
      </w:r>
    </w:p>
    <w:p w14:paraId="6F70C7DA" w14:textId="0B025A02" w:rsidR="00850F6B" w:rsidRDefault="00850F6B" w:rsidP="00850F6B">
      <w:pPr>
        <w:pStyle w:val="TableDescription"/>
      </w:pPr>
      <w:r>
        <w:t>c Risk difference for BKZ/ADA was calculated using stratified CMH.</w:t>
      </w:r>
    </w:p>
    <w:p w14:paraId="334D91DA" w14:textId="5E7CA91E" w:rsidR="00D002DA" w:rsidRDefault="00D002DA" w:rsidP="00D002DA">
      <w:pPr>
        <w:pStyle w:val="Heading6"/>
      </w:pPr>
      <w:r>
        <w:t>Secondary endpoints</w:t>
      </w:r>
      <w:r w:rsidR="008A3252">
        <w:t xml:space="preserve"> outcome</w:t>
      </w:r>
    </w:p>
    <w:p w14:paraId="41E116B9" w14:textId="452337B8" w:rsidR="00D002DA" w:rsidRDefault="00D002DA" w:rsidP="00D002DA">
      <w:r>
        <w:t>For the PAS</w:t>
      </w:r>
      <w:r w:rsidR="00053FE8">
        <w:t>I</w:t>
      </w:r>
      <w:r>
        <w:t xml:space="preserve"> 100 response at Week 16 and Week 24, as per </w:t>
      </w:r>
      <w:r w:rsidR="00850F6B">
        <w:fldChar w:fldCharType="begin"/>
      </w:r>
      <w:r w:rsidR="00850F6B">
        <w:instrText xml:space="preserve"> REF _Ref129952823 \h </w:instrText>
      </w:r>
      <w:r w:rsidR="00850F6B">
        <w:fldChar w:fldCharType="separate"/>
      </w:r>
      <w:r w:rsidR="00B54079" w:rsidRPr="00850F6B">
        <w:t xml:space="preserve">Table </w:t>
      </w:r>
      <w:r w:rsidR="00B54079">
        <w:rPr>
          <w:noProof/>
        </w:rPr>
        <w:t>19</w:t>
      </w:r>
      <w:r w:rsidR="00850F6B">
        <w:fldChar w:fldCharType="end"/>
      </w:r>
      <w:r w:rsidR="00850F6B">
        <w:t>.</w:t>
      </w:r>
    </w:p>
    <w:p w14:paraId="500AB5C1" w14:textId="09EB2DFE" w:rsidR="00D002DA" w:rsidRDefault="00D002DA" w:rsidP="00D002DA">
      <w:pPr>
        <w:pStyle w:val="ListBullet"/>
      </w:pPr>
      <w:r>
        <w:t xml:space="preserve">the </w:t>
      </w:r>
      <w:proofErr w:type="spellStart"/>
      <w:r w:rsidR="008B40FD">
        <w:t>bimekizumab</w:t>
      </w:r>
      <w:proofErr w:type="spellEnd"/>
      <w:r>
        <w:t xml:space="preserve"> total group had a higher PASI </w:t>
      </w:r>
      <w:r w:rsidR="00053FE8">
        <w:t>1</w:t>
      </w:r>
      <w:r>
        <w:t xml:space="preserve">00 response rate compared with the </w:t>
      </w:r>
      <w:r w:rsidR="004858E7">
        <w:t>adalimumab</w:t>
      </w:r>
      <w:r>
        <w:t xml:space="preserve"> group at Week 16 (60.8% </w:t>
      </w:r>
      <w:r w:rsidR="004858E7">
        <w:t>versus</w:t>
      </w:r>
      <w:r>
        <w:t xml:space="preserve"> 23.9%, respectively; p</w:t>
      </w:r>
      <w:r w:rsidR="00053FE8">
        <w:t xml:space="preserve"> </w:t>
      </w:r>
      <w:r>
        <w:t>&lt;</w:t>
      </w:r>
      <w:r w:rsidR="00053FE8">
        <w:t xml:space="preserve"> </w:t>
      </w:r>
      <w:r>
        <w:t xml:space="preserve">0.001) and Week 24 (66.8% </w:t>
      </w:r>
      <w:r w:rsidR="004858E7">
        <w:t>versus</w:t>
      </w:r>
      <w:r>
        <w:t xml:space="preserve"> 29.6%, respectively; p</w:t>
      </w:r>
      <w:r w:rsidR="00053FE8">
        <w:t xml:space="preserve"> </w:t>
      </w:r>
      <w:r>
        <w:t>&lt;</w:t>
      </w:r>
      <w:r w:rsidR="00053FE8">
        <w:t xml:space="preserve"> </w:t>
      </w:r>
      <w:r>
        <w:t xml:space="preserve">0.001), a difference that was statistically significant at both time </w:t>
      </w:r>
      <w:proofErr w:type="gramStart"/>
      <w:r>
        <w:t>points;</w:t>
      </w:r>
      <w:proofErr w:type="gramEnd"/>
      <w:r>
        <w:t xml:space="preserve"> </w:t>
      </w:r>
    </w:p>
    <w:p w14:paraId="1481DEE2" w14:textId="5C0C9563" w:rsidR="00D002DA" w:rsidRDefault="00D002DA" w:rsidP="00D002DA">
      <w:pPr>
        <w:pStyle w:val="ListBullet"/>
      </w:pPr>
      <w:r>
        <w:t xml:space="preserve">In addition, the </w:t>
      </w:r>
      <w:proofErr w:type="spellStart"/>
      <w:r w:rsidR="008B40FD">
        <w:t>bimekizumab</w:t>
      </w:r>
      <w:proofErr w:type="spellEnd"/>
      <w:r>
        <w:t xml:space="preserve"> </w:t>
      </w:r>
      <w:r w:rsidR="001D2CFA">
        <w:t>320 mg</w:t>
      </w:r>
      <w:r>
        <w:t xml:space="preserve"> </w:t>
      </w:r>
      <w:r w:rsidR="00F23C97">
        <w:t>every 4 weeks</w:t>
      </w:r>
      <w:r>
        <w:t xml:space="preserve"> group demonstrated a statistically significant superior PASI </w:t>
      </w:r>
      <w:r w:rsidR="00D0419E">
        <w:t>1</w:t>
      </w:r>
      <w:r>
        <w:t xml:space="preserve">00 response rate compared to the </w:t>
      </w:r>
      <w:r w:rsidR="004858E7">
        <w:t>adalimumab</w:t>
      </w:r>
      <w:r>
        <w:t xml:space="preserve"> group at Week 24 (67.7% </w:t>
      </w:r>
      <w:r w:rsidR="004858E7">
        <w:t>versus</w:t>
      </w:r>
      <w:r>
        <w:t xml:space="preserve"> 29.6%, respectively; p</w:t>
      </w:r>
      <w:r w:rsidR="00053FE8">
        <w:t xml:space="preserve"> </w:t>
      </w:r>
      <w:r>
        <w:t>&lt;</w:t>
      </w:r>
      <w:r w:rsidR="00053FE8">
        <w:t xml:space="preserve"> </w:t>
      </w:r>
      <w:r>
        <w:t>0.001).</w:t>
      </w:r>
    </w:p>
    <w:p w14:paraId="1665A434" w14:textId="04ED84DE" w:rsidR="00053FE8" w:rsidRDefault="00053FE8" w:rsidP="006E4137">
      <w:pPr>
        <w:spacing w:before="0" w:after="200" w:line="0" w:lineRule="auto"/>
      </w:pPr>
      <w:r>
        <w:br w:type="page"/>
      </w:r>
    </w:p>
    <w:p w14:paraId="3FFE096B" w14:textId="3F2A6575" w:rsidR="00D002DA" w:rsidRDefault="00D002DA" w:rsidP="00850F6B">
      <w:pPr>
        <w:pStyle w:val="TableTitle"/>
      </w:pPr>
      <w:bookmarkStart w:id="96" w:name="_Ref129952823"/>
      <w:r w:rsidRPr="00850F6B">
        <w:lastRenderedPageBreak/>
        <w:t xml:space="preserve">Table </w:t>
      </w:r>
      <w:r w:rsidR="00172397">
        <w:fldChar w:fldCharType="begin"/>
      </w:r>
      <w:r w:rsidR="00172397">
        <w:instrText xml:space="preserve"> SEQ Table \* ARABIC </w:instrText>
      </w:r>
      <w:r w:rsidR="00172397">
        <w:fldChar w:fldCharType="separate"/>
      </w:r>
      <w:r w:rsidR="00B54079">
        <w:rPr>
          <w:noProof/>
        </w:rPr>
        <w:t>19</w:t>
      </w:r>
      <w:r w:rsidR="00172397">
        <w:rPr>
          <w:noProof/>
        </w:rPr>
        <w:fldChar w:fldCharType="end"/>
      </w:r>
      <w:bookmarkEnd w:id="96"/>
      <w:r w:rsidR="00850F6B">
        <w:rPr>
          <w:noProof/>
        </w:rPr>
        <w:t xml:space="preserve">: </w:t>
      </w:r>
      <w:r w:rsidR="00850F6B" w:rsidRPr="00850F6B">
        <w:t>Study PS0</w:t>
      </w:r>
      <w:r w:rsidR="00053FE8">
        <w:t>0</w:t>
      </w:r>
      <w:r w:rsidR="00850F6B" w:rsidRPr="00850F6B">
        <w:t xml:space="preserve">08 </w:t>
      </w:r>
      <w:r w:rsidR="00850F6B" w:rsidRPr="00850F6B">
        <w:rPr>
          <w:noProof/>
        </w:rPr>
        <w:t>PASI</w:t>
      </w:r>
      <w:r w:rsidR="00850F6B">
        <w:rPr>
          <w:noProof/>
        </w:rPr>
        <w:t xml:space="preserve"> </w:t>
      </w:r>
      <w:r w:rsidR="00850F6B" w:rsidRPr="00850F6B">
        <w:rPr>
          <w:noProof/>
        </w:rPr>
        <w:t>100 response rates at Week 16 and Week 24</w:t>
      </w:r>
    </w:p>
    <w:tbl>
      <w:tblPr>
        <w:tblW w:w="5000" w:type="pct"/>
        <w:jc w:val="center"/>
        <w:tblCellMar>
          <w:left w:w="0" w:type="dxa"/>
          <w:right w:w="0" w:type="dxa"/>
        </w:tblCellMar>
        <w:tblLook w:val="0000" w:firstRow="0" w:lastRow="0" w:firstColumn="0" w:lastColumn="0" w:noHBand="0" w:noVBand="0"/>
      </w:tblPr>
      <w:tblGrid>
        <w:gridCol w:w="2482"/>
        <w:gridCol w:w="1513"/>
        <w:gridCol w:w="1490"/>
        <w:gridCol w:w="1507"/>
        <w:gridCol w:w="1496"/>
      </w:tblGrid>
      <w:tr w:rsidR="00D002DA" w14:paraId="229D116C" w14:textId="77777777" w:rsidTr="009B153D">
        <w:trPr>
          <w:trHeight w:val="888"/>
          <w:jc w:val="center"/>
        </w:trPr>
        <w:tc>
          <w:tcPr>
            <w:tcW w:w="1462" w:type="pct"/>
            <w:tcBorders>
              <w:top w:val="single" w:sz="6" w:space="0" w:color="auto"/>
              <w:left w:val="single" w:sz="6" w:space="0" w:color="auto"/>
              <w:right w:val="single" w:sz="6" w:space="0" w:color="auto"/>
            </w:tcBorders>
            <w:vAlign w:val="center"/>
          </w:tcPr>
          <w:p w14:paraId="64CCAD9C" w14:textId="3C01E50F" w:rsidR="00D002DA" w:rsidRDefault="00D002DA" w:rsidP="00D002DA">
            <w:pPr>
              <w:pStyle w:val="Style"/>
              <w:textAlignment w:val="baseline"/>
            </w:pPr>
            <w:r>
              <w:rPr>
                <w:b/>
                <w:sz w:val="21"/>
                <w:szCs w:val="21"/>
              </w:rPr>
              <w:t xml:space="preserve">Visit </w:t>
            </w:r>
          </w:p>
        </w:tc>
        <w:tc>
          <w:tcPr>
            <w:tcW w:w="891" w:type="pct"/>
            <w:tcBorders>
              <w:top w:val="single" w:sz="6" w:space="0" w:color="auto"/>
              <w:left w:val="single" w:sz="6" w:space="0" w:color="auto"/>
              <w:right w:val="single" w:sz="6" w:space="0" w:color="auto"/>
            </w:tcBorders>
            <w:vAlign w:val="center"/>
          </w:tcPr>
          <w:p w14:paraId="50FBC40C" w14:textId="406C32C7" w:rsidR="00D002DA" w:rsidRDefault="00D002DA" w:rsidP="00D002DA">
            <w:pPr>
              <w:pStyle w:val="Style"/>
              <w:ind w:left="43"/>
              <w:jc w:val="center"/>
              <w:textAlignment w:val="baseline"/>
            </w:pPr>
            <w:r>
              <w:rPr>
                <w:b/>
                <w:sz w:val="21"/>
                <w:szCs w:val="21"/>
              </w:rPr>
              <w:t>BKZ</w:t>
            </w:r>
            <w:r w:rsidR="001D2CFA">
              <w:rPr>
                <w:b/>
                <w:sz w:val="21"/>
                <w:szCs w:val="21"/>
              </w:rPr>
              <w:t>320 mg</w:t>
            </w:r>
          </w:p>
          <w:p w14:paraId="659CE237" w14:textId="52FE55C2" w:rsidR="00D002DA" w:rsidRDefault="00F23C97" w:rsidP="00D002DA">
            <w:pPr>
              <w:pStyle w:val="Style"/>
              <w:ind w:left="43"/>
              <w:jc w:val="center"/>
              <w:textAlignment w:val="baseline"/>
            </w:pPr>
            <w:r>
              <w:rPr>
                <w:b/>
                <w:sz w:val="21"/>
                <w:szCs w:val="21"/>
              </w:rPr>
              <w:t>every 4 weeks</w:t>
            </w:r>
            <w:r w:rsidR="00D002DA">
              <w:rPr>
                <w:b/>
                <w:sz w:val="21"/>
                <w:szCs w:val="21"/>
              </w:rPr>
              <w:t>/</w:t>
            </w:r>
            <w:r>
              <w:rPr>
                <w:b/>
                <w:sz w:val="21"/>
                <w:szCs w:val="21"/>
              </w:rPr>
              <w:t>every 8 weeks</w:t>
            </w:r>
          </w:p>
          <w:p w14:paraId="1B2D3589" w14:textId="3411FC03" w:rsidR="00D002DA" w:rsidRDefault="001D2CFA" w:rsidP="00D002DA">
            <w:pPr>
              <w:pStyle w:val="Style"/>
              <w:ind w:left="43"/>
              <w:jc w:val="center"/>
              <w:textAlignment w:val="baseline"/>
            </w:pPr>
            <w:r>
              <w:rPr>
                <w:b/>
                <w:sz w:val="21"/>
                <w:szCs w:val="21"/>
              </w:rPr>
              <w:t xml:space="preserve">N = </w:t>
            </w:r>
            <w:r w:rsidR="00D002DA">
              <w:rPr>
                <w:b/>
                <w:sz w:val="21"/>
                <w:szCs w:val="21"/>
              </w:rPr>
              <w:t>161</w:t>
            </w:r>
          </w:p>
        </w:tc>
        <w:tc>
          <w:tcPr>
            <w:tcW w:w="878" w:type="pct"/>
            <w:tcBorders>
              <w:top w:val="single" w:sz="6" w:space="0" w:color="auto"/>
              <w:left w:val="single" w:sz="6" w:space="0" w:color="auto"/>
              <w:right w:val="single" w:sz="6" w:space="0" w:color="auto"/>
            </w:tcBorders>
            <w:vAlign w:val="center"/>
          </w:tcPr>
          <w:p w14:paraId="0795E229" w14:textId="130EA6FE" w:rsidR="00D002DA" w:rsidRDefault="00D002DA" w:rsidP="00D002DA">
            <w:pPr>
              <w:pStyle w:val="Style"/>
              <w:ind w:left="43"/>
              <w:jc w:val="center"/>
              <w:textAlignment w:val="baseline"/>
            </w:pPr>
            <w:r>
              <w:rPr>
                <w:b/>
                <w:sz w:val="21"/>
                <w:szCs w:val="21"/>
              </w:rPr>
              <w:t>BKZ</w:t>
            </w:r>
            <w:r w:rsidR="001D2CFA">
              <w:rPr>
                <w:b/>
                <w:sz w:val="21"/>
                <w:szCs w:val="21"/>
              </w:rPr>
              <w:t>320 mg</w:t>
            </w:r>
          </w:p>
          <w:p w14:paraId="1C11E39D" w14:textId="762B03D1" w:rsidR="00D002DA" w:rsidRDefault="00F23C97" w:rsidP="00D002DA">
            <w:pPr>
              <w:pStyle w:val="Style"/>
              <w:ind w:left="43"/>
              <w:jc w:val="center"/>
              <w:textAlignment w:val="baseline"/>
            </w:pPr>
            <w:r>
              <w:rPr>
                <w:b/>
                <w:sz w:val="21"/>
                <w:szCs w:val="21"/>
              </w:rPr>
              <w:t>every 4 weeks</w:t>
            </w:r>
          </w:p>
          <w:p w14:paraId="306B768D" w14:textId="125E97D4" w:rsidR="00D002DA" w:rsidRDefault="001D2CFA" w:rsidP="00D002DA">
            <w:pPr>
              <w:pStyle w:val="Style"/>
              <w:ind w:left="43"/>
              <w:jc w:val="center"/>
              <w:textAlignment w:val="baseline"/>
            </w:pPr>
            <w:r>
              <w:rPr>
                <w:b/>
                <w:sz w:val="21"/>
                <w:szCs w:val="21"/>
              </w:rPr>
              <w:t xml:space="preserve">N = </w:t>
            </w:r>
            <w:r w:rsidR="00D002DA">
              <w:rPr>
                <w:b/>
                <w:sz w:val="21"/>
                <w:szCs w:val="21"/>
              </w:rPr>
              <w:t>158</w:t>
            </w:r>
          </w:p>
        </w:tc>
        <w:tc>
          <w:tcPr>
            <w:tcW w:w="888" w:type="pct"/>
            <w:tcBorders>
              <w:top w:val="single" w:sz="6" w:space="0" w:color="auto"/>
              <w:left w:val="single" w:sz="6" w:space="0" w:color="auto"/>
              <w:right w:val="single" w:sz="6" w:space="0" w:color="auto"/>
            </w:tcBorders>
            <w:vAlign w:val="center"/>
          </w:tcPr>
          <w:p w14:paraId="42D4670E" w14:textId="2EC58106" w:rsidR="00D002DA" w:rsidRDefault="00D002DA" w:rsidP="00D002DA">
            <w:pPr>
              <w:pStyle w:val="Style"/>
              <w:jc w:val="center"/>
              <w:textAlignment w:val="baseline"/>
            </w:pPr>
            <w:r>
              <w:rPr>
                <w:b/>
                <w:sz w:val="21"/>
                <w:szCs w:val="21"/>
              </w:rPr>
              <w:t>BKZ Total</w:t>
            </w:r>
          </w:p>
          <w:p w14:paraId="25AFD864" w14:textId="027FF04A" w:rsidR="00D002DA" w:rsidRDefault="001D2CFA" w:rsidP="00D002DA">
            <w:pPr>
              <w:pStyle w:val="Style"/>
              <w:ind w:left="19"/>
              <w:jc w:val="center"/>
              <w:textAlignment w:val="baseline"/>
            </w:pPr>
            <w:r>
              <w:rPr>
                <w:b/>
                <w:sz w:val="21"/>
                <w:szCs w:val="21"/>
              </w:rPr>
              <w:t xml:space="preserve">N = </w:t>
            </w:r>
            <w:r w:rsidR="00D002DA">
              <w:rPr>
                <w:b/>
                <w:sz w:val="21"/>
                <w:szCs w:val="21"/>
              </w:rPr>
              <w:t>319</w:t>
            </w:r>
          </w:p>
        </w:tc>
        <w:tc>
          <w:tcPr>
            <w:tcW w:w="881" w:type="pct"/>
            <w:tcBorders>
              <w:top w:val="single" w:sz="6" w:space="0" w:color="auto"/>
              <w:left w:val="single" w:sz="6" w:space="0" w:color="auto"/>
              <w:right w:val="single" w:sz="6" w:space="0" w:color="auto"/>
            </w:tcBorders>
            <w:vAlign w:val="center"/>
          </w:tcPr>
          <w:p w14:paraId="1E1D6577" w14:textId="41713F46" w:rsidR="00D002DA" w:rsidRDefault="00D002DA" w:rsidP="00D002DA">
            <w:pPr>
              <w:pStyle w:val="Style"/>
              <w:jc w:val="center"/>
              <w:textAlignment w:val="baseline"/>
            </w:pPr>
            <w:r>
              <w:rPr>
                <w:b/>
                <w:sz w:val="21"/>
                <w:szCs w:val="21"/>
              </w:rPr>
              <w:t>ADA</w:t>
            </w:r>
          </w:p>
          <w:p w14:paraId="660D2DA5" w14:textId="75306F2A" w:rsidR="00D002DA" w:rsidRDefault="001D2CFA" w:rsidP="00D002DA">
            <w:pPr>
              <w:pStyle w:val="Style"/>
              <w:ind w:left="24"/>
              <w:jc w:val="center"/>
              <w:textAlignment w:val="baseline"/>
            </w:pPr>
            <w:r>
              <w:rPr>
                <w:b/>
                <w:sz w:val="21"/>
                <w:szCs w:val="21"/>
              </w:rPr>
              <w:t xml:space="preserve">N = </w:t>
            </w:r>
            <w:r w:rsidR="00D002DA">
              <w:rPr>
                <w:b/>
                <w:sz w:val="21"/>
                <w:szCs w:val="21"/>
              </w:rPr>
              <w:t>159</w:t>
            </w:r>
          </w:p>
        </w:tc>
      </w:tr>
      <w:tr w:rsidR="00D002DA" w14:paraId="7BD19B99" w14:textId="77777777" w:rsidTr="00D002DA">
        <w:trPr>
          <w:trHeight w:hRule="exact" w:val="398"/>
          <w:jc w:val="center"/>
        </w:trPr>
        <w:tc>
          <w:tcPr>
            <w:tcW w:w="5000" w:type="pct"/>
            <w:gridSpan w:val="5"/>
            <w:tcBorders>
              <w:top w:val="single" w:sz="6" w:space="0" w:color="auto"/>
              <w:left w:val="single" w:sz="6" w:space="0" w:color="auto"/>
              <w:bottom w:val="single" w:sz="6" w:space="0" w:color="auto"/>
              <w:right w:val="single" w:sz="6" w:space="0" w:color="auto"/>
            </w:tcBorders>
            <w:vAlign w:val="center"/>
          </w:tcPr>
          <w:p w14:paraId="2476C789" w14:textId="5F2ADA80" w:rsidR="00D002DA" w:rsidRDefault="00D002DA" w:rsidP="00D002DA">
            <w:pPr>
              <w:pStyle w:val="Style"/>
              <w:ind w:left="115"/>
              <w:textAlignment w:val="baseline"/>
            </w:pPr>
            <w:r>
              <w:rPr>
                <w:b/>
                <w:sz w:val="21"/>
                <w:szCs w:val="21"/>
              </w:rPr>
              <w:t>Week 16</w:t>
            </w:r>
          </w:p>
        </w:tc>
      </w:tr>
      <w:tr w:rsidR="00D002DA" w14:paraId="7FD217C9" w14:textId="77777777" w:rsidTr="00D002DA">
        <w:trPr>
          <w:trHeight w:hRule="exact" w:val="384"/>
          <w:jc w:val="center"/>
        </w:trPr>
        <w:tc>
          <w:tcPr>
            <w:tcW w:w="5000" w:type="pct"/>
            <w:gridSpan w:val="5"/>
            <w:tcBorders>
              <w:top w:val="single" w:sz="6" w:space="0" w:color="auto"/>
              <w:left w:val="single" w:sz="6" w:space="0" w:color="auto"/>
              <w:bottom w:val="single" w:sz="6" w:space="0" w:color="auto"/>
              <w:right w:val="single" w:sz="6" w:space="0" w:color="auto"/>
            </w:tcBorders>
            <w:vAlign w:val="center"/>
          </w:tcPr>
          <w:p w14:paraId="37E24DDE" w14:textId="3A2A7F7F" w:rsidR="00D002DA" w:rsidRDefault="00D002DA" w:rsidP="00D002DA">
            <w:pPr>
              <w:pStyle w:val="Style"/>
              <w:ind w:left="115"/>
              <w:textAlignment w:val="baseline"/>
            </w:pPr>
            <w:r>
              <w:rPr>
                <w:sz w:val="20"/>
                <w:szCs w:val="20"/>
              </w:rPr>
              <w:t xml:space="preserve">PASI </w:t>
            </w:r>
            <w:r w:rsidR="00D0419E">
              <w:rPr>
                <w:sz w:val="20"/>
                <w:szCs w:val="20"/>
              </w:rPr>
              <w:t>1</w:t>
            </w:r>
            <w:r>
              <w:rPr>
                <w:sz w:val="20"/>
                <w:szCs w:val="20"/>
              </w:rPr>
              <w:t>00 response rate</w:t>
            </w:r>
          </w:p>
        </w:tc>
      </w:tr>
      <w:tr w:rsidR="00D002DA" w14:paraId="007F6698" w14:textId="77777777" w:rsidTr="00D002DA">
        <w:trPr>
          <w:trHeight w:hRule="exact" w:val="384"/>
          <w:jc w:val="center"/>
        </w:trPr>
        <w:tc>
          <w:tcPr>
            <w:tcW w:w="1462" w:type="pct"/>
            <w:tcBorders>
              <w:top w:val="single" w:sz="6" w:space="0" w:color="auto"/>
              <w:left w:val="single" w:sz="6" w:space="0" w:color="auto"/>
              <w:bottom w:val="single" w:sz="6" w:space="0" w:color="auto"/>
              <w:right w:val="single" w:sz="6" w:space="0" w:color="auto"/>
            </w:tcBorders>
            <w:vAlign w:val="center"/>
          </w:tcPr>
          <w:p w14:paraId="39E76791" w14:textId="77777777" w:rsidR="00D002DA" w:rsidRDefault="00D002DA" w:rsidP="009B153D">
            <w:pPr>
              <w:pStyle w:val="Style"/>
              <w:ind w:left="389"/>
              <w:textAlignment w:val="baseline"/>
            </w:pPr>
            <w:r>
              <w:rPr>
                <w:sz w:val="20"/>
                <w:szCs w:val="20"/>
              </w:rPr>
              <w:t xml:space="preserve">n (%) </w:t>
            </w:r>
          </w:p>
        </w:tc>
        <w:tc>
          <w:tcPr>
            <w:tcW w:w="891" w:type="pct"/>
            <w:tcBorders>
              <w:top w:val="single" w:sz="6" w:space="0" w:color="auto"/>
              <w:left w:val="single" w:sz="6" w:space="0" w:color="auto"/>
              <w:bottom w:val="single" w:sz="6" w:space="0" w:color="auto"/>
              <w:right w:val="single" w:sz="6" w:space="0" w:color="auto"/>
            </w:tcBorders>
            <w:vAlign w:val="center"/>
          </w:tcPr>
          <w:p w14:paraId="7D7CEEBA" w14:textId="77777777" w:rsidR="00D002DA" w:rsidRDefault="00D002DA" w:rsidP="009B153D">
            <w:pPr>
              <w:pStyle w:val="Style"/>
              <w:ind w:left="43"/>
              <w:jc w:val="center"/>
              <w:textAlignment w:val="baseline"/>
            </w:pPr>
            <w:r>
              <w:rPr>
                <w:w w:val="110"/>
                <w:sz w:val="18"/>
                <w:szCs w:val="18"/>
              </w:rPr>
              <w:t xml:space="preserve">- </w:t>
            </w:r>
          </w:p>
        </w:tc>
        <w:tc>
          <w:tcPr>
            <w:tcW w:w="878" w:type="pct"/>
            <w:tcBorders>
              <w:top w:val="single" w:sz="6" w:space="0" w:color="auto"/>
              <w:left w:val="single" w:sz="6" w:space="0" w:color="auto"/>
              <w:bottom w:val="single" w:sz="6" w:space="0" w:color="auto"/>
              <w:right w:val="single" w:sz="6" w:space="0" w:color="auto"/>
            </w:tcBorders>
            <w:vAlign w:val="center"/>
          </w:tcPr>
          <w:p w14:paraId="3CDF5998" w14:textId="77777777" w:rsidR="00D002DA" w:rsidRDefault="00D002DA" w:rsidP="009B153D">
            <w:pPr>
              <w:pStyle w:val="Style"/>
              <w:ind w:left="43"/>
              <w:jc w:val="center"/>
              <w:textAlignment w:val="baseline"/>
            </w:pPr>
            <w:r>
              <w:rPr>
                <w:w w:val="110"/>
                <w:sz w:val="18"/>
                <w:szCs w:val="18"/>
              </w:rPr>
              <w:t xml:space="preserve">- </w:t>
            </w:r>
          </w:p>
        </w:tc>
        <w:tc>
          <w:tcPr>
            <w:tcW w:w="888" w:type="pct"/>
            <w:tcBorders>
              <w:top w:val="single" w:sz="6" w:space="0" w:color="auto"/>
              <w:left w:val="single" w:sz="6" w:space="0" w:color="auto"/>
              <w:bottom w:val="single" w:sz="6" w:space="0" w:color="auto"/>
              <w:right w:val="single" w:sz="6" w:space="0" w:color="auto"/>
            </w:tcBorders>
            <w:vAlign w:val="center"/>
          </w:tcPr>
          <w:p w14:paraId="5F7CF827" w14:textId="77777777" w:rsidR="00D002DA" w:rsidRDefault="00D002DA" w:rsidP="009B153D">
            <w:pPr>
              <w:pStyle w:val="Style"/>
              <w:ind w:left="19"/>
              <w:jc w:val="center"/>
              <w:textAlignment w:val="baseline"/>
            </w:pPr>
            <w:r>
              <w:rPr>
                <w:sz w:val="20"/>
                <w:szCs w:val="20"/>
              </w:rPr>
              <w:t xml:space="preserve">194 (60.8) </w:t>
            </w:r>
          </w:p>
        </w:tc>
        <w:tc>
          <w:tcPr>
            <w:tcW w:w="881" w:type="pct"/>
            <w:tcBorders>
              <w:top w:val="single" w:sz="6" w:space="0" w:color="auto"/>
              <w:left w:val="single" w:sz="6" w:space="0" w:color="auto"/>
              <w:bottom w:val="single" w:sz="6" w:space="0" w:color="auto"/>
              <w:right w:val="single" w:sz="6" w:space="0" w:color="auto"/>
            </w:tcBorders>
            <w:vAlign w:val="center"/>
          </w:tcPr>
          <w:p w14:paraId="5848EB80" w14:textId="77777777" w:rsidR="00D002DA" w:rsidRDefault="00D002DA" w:rsidP="009B153D">
            <w:pPr>
              <w:pStyle w:val="Style"/>
              <w:ind w:left="24"/>
              <w:jc w:val="center"/>
              <w:textAlignment w:val="baseline"/>
            </w:pPr>
            <w:r>
              <w:rPr>
                <w:sz w:val="20"/>
                <w:szCs w:val="20"/>
              </w:rPr>
              <w:t xml:space="preserve">38 (23.9) </w:t>
            </w:r>
          </w:p>
        </w:tc>
      </w:tr>
      <w:tr w:rsidR="00D002DA" w14:paraId="74BD3BD6" w14:textId="77777777" w:rsidTr="00D002DA">
        <w:trPr>
          <w:trHeight w:hRule="exact" w:val="384"/>
          <w:jc w:val="center"/>
        </w:trPr>
        <w:tc>
          <w:tcPr>
            <w:tcW w:w="1462" w:type="pct"/>
            <w:tcBorders>
              <w:top w:val="single" w:sz="6" w:space="0" w:color="auto"/>
              <w:left w:val="single" w:sz="6" w:space="0" w:color="auto"/>
              <w:bottom w:val="single" w:sz="6" w:space="0" w:color="auto"/>
              <w:right w:val="single" w:sz="6" w:space="0" w:color="auto"/>
            </w:tcBorders>
            <w:vAlign w:val="center"/>
          </w:tcPr>
          <w:p w14:paraId="328F8792" w14:textId="77777777" w:rsidR="00D002DA" w:rsidRDefault="00D002DA" w:rsidP="009B153D">
            <w:pPr>
              <w:pStyle w:val="Style"/>
              <w:ind w:left="389"/>
              <w:textAlignment w:val="baseline"/>
            </w:pPr>
            <w:r>
              <w:rPr>
                <w:sz w:val="20"/>
                <w:szCs w:val="20"/>
              </w:rPr>
              <w:t>n/</w:t>
            </w:r>
            <w:proofErr w:type="spellStart"/>
            <w:r>
              <w:rPr>
                <w:sz w:val="20"/>
                <w:szCs w:val="20"/>
              </w:rPr>
              <w:t>Nsub</w:t>
            </w:r>
            <w:proofErr w:type="spellEnd"/>
            <w:r>
              <w:rPr>
                <w:sz w:val="20"/>
                <w:szCs w:val="20"/>
              </w:rPr>
              <w:t xml:space="preserve"> (%) </w:t>
            </w:r>
          </w:p>
        </w:tc>
        <w:tc>
          <w:tcPr>
            <w:tcW w:w="891" w:type="pct"/>
            <w:tcBorders>
              <w:top w:val="single" w:sz="6" w:space="0" w:color="auto"/>
              <w:left w:val="single" w:sz="6" w:space="0" w:color="auto"/>
              <w:bottom w:val="single" w:sz="6" w:space="0" w:color="auto"/>
              <w:right w:val="single" w:sz="6" w:space="0" w:color="auto"/>
            </w:tcBorders>
            <w:vAlign w:val="center"/>
          </w:tcPr>
          <w:p w14:paraId="4750C847" w14:textId="77777777" w:rsidR="00D002DA" w:rsidRDefault="00D002DA" w:rsidP="009B153D">
            <w:pPr>
              <w:pStyle w:val="Style"/>
              <w:ind w:left="43"/>
              <w:jc w:val="center"/>
              <w:textAlignment w:val="baseline"/>
            </w:pPr>
            <w:r>
              <w:rPr>
                <w:w w:val="110"/>
                <w:sz w:val="18"/>
                <w:szCs w:val="18"/>
              </w:rPr>
              <w:t xml:space="preserve">- </w:t>
            </w:r>
          </w:p>
        </w:tc>
        <w:tc>
          <w:tcPr>
            <w:tcW w:w="878" w:type="pct"/>
            <w:tcBorders>
              <w:top w:val="single" w:sz="6" w:space="0" w:color="auto"/>
              <w:left w:val="single" w:sz="6" w:space="0" w:color="auto"/>
              <w:bottom w:val="single" w:sz="6" w:space="0" w:color="auto"/>
              <w:right w:val="single" w:sz="6" w:space="0" w:color="auto"/>
            </w:tcBorders>
            <w:vAlign w:val="center"/>
          </w:tcPr>
          <w:p w14:paraId="012021C7" w14:textId="77777777" w:rsidR="00D002DA" w:rsidRDefault="00D002DA" w:rsidP="009B153D">
            <w:pPr>
              <w:pStyle w:val="Style"/>
              <w:ind w:left="43"/>
              <w:jc w:val="center"/>
              <w:textAlignment w:val="baseline"/>
            </w:pPr>
            <w:r>
              <w:rPr>
                <w:w w:val="110"/>
                <w:sz w:val="18"/>
                <w:szCs w:val="18"/>
              </w:rPr>
              <w:t xml:space="preserve">- </w:t>
            </w:r>
          </w:p>
        </w:tc>
        <w:tc>
          <w:tcPr>
            <w:tcW w:w="888" w:type="pct"/>
            <w:tcBorders>
              <w:top w:val="single" w:sz="6" w:space="0" w:color="auto"/>
              <w:left w:val="single" w:sz="6" w:space="0" w:color="auto"/>
              <w:bottom w:val="single" w:sz="6" w:space="0" w:color="auto"/>
              <w:right w:val="single" w:sz="6" w:space="0" w:color="auto"/>
            </w:tcBorders>
            <w:vAlign w:val="center"/>
          </w:tcPr>
          <w:p w14:paraId="48BC8025" w14:textId="77777777" w:rsidR="00D002DA" w:rsidRDefault="00D002DA" w:rsidP="009B153D">
            <w:pPr>
              <w:pStyle w:val="Style"/>
              <w:ind w:left="19"/>
              <w:jc w:val="center"/>
              <w:textAlignment w:val="baseline"/>
            </w:pPr>
            <w:r>
              <w:rPr>
                <w:sz w:val="20"/>
                <w:szCs w:val="20"/>
              </w:rPr>
              <w:t xml:space="preserve">194/303 (64.0) </w:t>
            </w:r>
          </w:p>
        </w:tc>
        <w:tc>
          <w:tcPr>
            <w:tcW w:w="881" w:type="pct"/>
            <w:tcBorders>
              <w:top w:val="single" w:sz="6" w:space="0" w:color="auto"/>
              <w:left w:val="single" w:sz="6" w:space="0" w:color="auto"/>
              <w:bottom w:val="single" w:sz="6" w:space="0" w:color="auto"/>
              <w:right w:val="single" w:sz="6" w:space="0" w:color="auto"/>
            </w:tcBorders>
            <w:vAlign w:val="center"/>
          </w:tcPr>
          <w:p w14:paraId="028CF5C5" w14:textId="77777777" w:rsidR="00D002DA" w:rsidRDefault="00D002DA" w:rsidP="009B153D">
            <w:pPr>
              <w:pStyle w:val="Style"/>
              <w:ind w:left="24"/>
              <w:jc w:val="center"/>
              <w:textAlignment w:val="baseline"/>
            </w:pPr>
            <w:r>
              <w:rPr>
                <w:sz w:val="20"/>
                <w:szCs w:val="20"/>
              </w:rPr>
              <w:t xml:space="preserve">38/148 (25.7) </w:t>
            </w:r>
          </w:p>
        </w:tc>
      </w:tr>
      <w:tr w:rsidR="00D002DA" w14:paraId="40A2C4AD" w14:textId="77777777" w:rsidTr="00D002DA">
        <w:trPr>
          <w:trHeight w:hRule="exact" w:val="384"/>
          <w:jc w:val="center"/>
        </w:trPr>
        <w:tc>
          <w:tcPr>
            <w:tcW w:w="1462" w:type="pct"/>
            <w:tcBorders>
              <w:top w:val="single" w:sz="6" w:space="0" w:color="auto"/>
              <w:left w:val="single" w:sz="6" w:space="0" w:color="auto"/>
              <w:bottom w:val="single" w:sz="6" w:space="0" w:color="auto"/>
              <w:right w:val="single" w:sz="6" w:space="0" w:color="auto"/>
            </w:tcBorders>
            <w:vAlign w:val="center"/>
          </w:tcPr>
          <w:p w14:paraId="1AAD8692" w14:textId="1DD3953F" w:rsidR="00D002DA" w:rsidRDefault="00D002DA" w:rsidP="009B153D">
            <w:pPr>
              <w:pStyle w:val="Style"/>
              <w:ind w:left="115"/>
              <w:textAlignment w:val="baseline"/>
            </w:pPr>
            <w:r>
              <w:rPr>
                <w:sz w:val="20"/>
                <w:szCs w:val="20"/>
              </w:rPr>
              <w:t xml:space="preserve">Odds ratio </w:t>
            </w:r>
            <w:r w:rsidR="004858E7">
              <w:rPr>
                <w:sz w:val="20"/>
                <w:szCs w:val="20"/>
              </w:rPr>
              <w:t>versus</w:t>
            </w:r>
            <w:r>
              <w:rPr>
                <w:sz w:val="20"/>
                <w:szCs w:val="20"/>
              </w:rPr>
              <w:t xml:space="preserve"> ADA </w:t>
            </w:r>
            <w:r>
              <w:rPr>
                <w:w w:val="107"/>
                <w:sz w:val="12"/>
                <w:szCs w:val="12"/>
              </w:rPr>
              <w:t xml:space="preserve">a </w:t>
            </w:r>
          </w:p>
        </w:tc>
        <w:tc>
          <w:tcPr>
            <w:tcW w:w="891" w:type="pct"/>
            <w:tcBorders>
              <w:top w:val="single" w:sz="6" w:space="0" w:color="auto"/>
              <w:left w:val="single" w:sz="6" w:space="0" w:color="auto"/>
              <w:bottom w:val="single" w:sz="6" w:space="0" w:color="auto"/>
              <w:right w:val="single" w:sz="6" w:space="0" w:color="auto"/>
            </w:tcBorders>
            <w:vAlign w:val="center"/>
          </w:tcPr>
          <w:p w14:paraId="0E1042F8" w14:textId="77777777" w:rsidR="00D002DA" w:rsidRDefault="00D002DA" w:rsidP="009B153D">
            <w:pPr>
              <w:pStyle w:val="Style"/>
              <w:ind w:left="43"/>
              <w:jc w:val="center"/>
              <w:textAlignment w:val="baseline"/>
            </w:pPr>
            <w:r>
              <w:rPr>
                <w:w w:val="110"/>
                <w:sz w:val="18"/>
                <w:szCs w:val="18"/>
              </w:rPr>
              <w:t xml:space="preserve">- </w:t>
            </w:r>
          </w:p>
        </w:tc>
        <w:tc>
          <w:tcPr>
            <w:tcW w:w="878" w:type="pct"/>
            <w:tcBorders>
              <w:top w:val="single" w:sz="6" w:space="0" w:color="auto"/>
              <w:left w:val="single" w:sz="6" w:space="0" w:color="auto"/>
              <w:bottom w:val="single" w:sz="6" w:space="0" w:color="auto"/>
              <w:right w:val="single" w:sz="6" w:space="0" w:color="auto"/>
            </w:tcBorders>
            <w:vAlign w:val="center"/>
          </w:tcPr>
          <w:p w14:paraId="20E5D2DA" w14:textId="77777777" w:rsidR="00D002DA" w:rsidRDefault="00D002DA" w:rsidP="009B153D">
            <w:pPr>
              <w:pStyle w:val="Style"/>
              <w:ind w:left="43"/>
              <w:jc w:val="center"/>
              <w:textAlignment w:val="baseline"/>
            </w:pPr>
            <w:r>
              <w:rPr>
                <w:w w:val="110"/>
                <w:sz w:val="18"/>
                <w:szCs w:val="18"/>
              </w:rPr>
              <w:t xml:space="preserve">- </w:t>
            </w:r>
          </w:p>
        </w:tc>
        <w:tc>
          <w:tcPr>
            <w:tcW w:w="888" w:type="pct"/>
            <w:tcBorders>
              <w:top w:val="single" w:sz="6" w:space="0" w:color="auto"/>
              <w:left w:val="single" w:sz="6" w:space="0" w:color="auto"/>
              <w:bottom w:val="single" w:sz="6" w:space="0" w:color="auto"/>
              <w:right w:val="single" w:sz="6" w:space="0" w:color="auto"/>
            </w:tcBorders>
            <w:vAlign w:val="center"/>
          </w:tcPr>
          <w:p w14:paraId="2BD6B5DC" w14:textId="77777777" w:rsidR="00D002DA" w:rsidRDefault="00D002DA" w:rsidP="009B153D">
            <w:pPr>
              <w:pStyle w:val="Style"/>
              <w:ind w:left="19"/>
              <w:jc w:val="center"/>
              <w:textAlignment w:val="baseline"/>
            </w:pPr>
            <w:r>
              <w:rPr>
                <w:sz w:val="20"/>
                <w:szCs w:val="20"/>
              </w:rPr>
              <w:t xml:space="preserve">4.974 </w:t>
            </w:r>
          </w:p>
        </w:tc>
        <w:tc>
          <w:tcPr>
            <w:tcW w:w="881" w:type="pct"/>
            <w:tcBorders>
              <w:top w:val="single" w:sz="6" w:space="0" w:color="auto"/>
              <w:left w:val="single" w:sz="6" w:space="0" w:color="auto"/>
              <w:bottom w:val="single" w:sz="6" w:space="0" w:color="auto"/>
              <w:right w:val="single" w:sz="6" w:space="0" w:color="auto"/>
            </w:tcBorders>
            <w:vAlign w:val="center"/>
          </w:tcPr>
          <w:p w14:paraId="670B8965" w14:textId="77777777" w:rsidR="00D002DA" w:rsidRDefault="00D002DA" w:rsidP="009B153D">
            <w:pPr>
              <w:pStyle w:val="Style"/>
              <w:ind w:left="24"/>
              <w:jc w:val="center"/>
              <w:textAlignment w:val="baseline"/>
            </w:pPr>
            <w:r>
              <w:rPr>
                <w:w w:val="110"/>
                <w:sz w:val="18"/>
                <w:szCs w:val="18"/>
              </w:rPr>
              <w:t xml:space="preserve">- </w:t>
            </w:r>
          </w:p>
        </w:tc>
      </w:tr>
      <w:tr w:rsidR="00D002DA" w14:paraId="5605F503" w14:textId="77777777" w:rsidTr="00D002DA">
        <w:trPr>
          <w:trHeight w:hRule="exact" w:val="384"/>
          <w:jc w:val="center"/>
        </w:trPr>
        <w:tc>
          <w:tcPr>
            <w:tcW w:w="1462" w:type="pct"/>
            <w:tcBorders>
              <w:top w:val="single" w:sz="6" w:space="0" w:color="auto"/>
              <w:left w:val="single" w:sz="6" w:space="0" w:color="auto"/>
              <w:bottom w:val="single" w:sz="6" w:space="0" w:color="auto"/>
              <w:right w:val="single" w:sz="6" w:space="0" w:color="auto"/>
            </w:tcBorders>
            <w:vAlign w:val="center"/>
          </w:tcPr>
          <w:p w14:paraId="3F600AA6" w14:textId="77777777" w:rsidR="00D002DA" w:rsidRDefault="00D002DA" w:rsidP="009B153D">
            <w:pPr>
              <w:pStyle w:val="Style"/>
              <w:ind w:left="389"/>
              <w:textAlignment w:val="baseline"/>
            </w:pPr>
            <w:r>
              <w:rPr>
                <w:sz w:val="20"/>
                <w:szCs w:val="20"/>
              </w:rPr>
              <w:t xml:space="preserve">95% CI for odds ratio </w:t>
            </w:r>
          </w:p>
        </w:tc>
        <w:tc>
          <w:tcPr>
            <w:tcW w:w="891" w:type="pct"/>
            <w:tcBorders>
              <w:top w:val="single" w:sz="6" w:space="0" w:color="auto"/>
              <w:left w:val="single" w:sz="6" w:space="0" w:color="auto"/>
              <w:bottom w:val="single" w:sz="6" w:space="0" w:color="auto"/>
              <w:right w:val="single" w:sz="6" w:space="0" w:color="auto"/>
            </w:tcBorders>
            <w:vAlign w:val="center"/>
          </w:tcPr>
          <w:p w14:paraId="62854810" w14:textId="77777777" w:rsidR="00D002DA" w:rsidRDefault="00D002DA" w:rsidP="009B153D">
            <w:pPr>
              <w:pStyle w:val="Style"/>
              <w:ind w:left="43"/>
              <w:jc w:val="center"/>
              <w:textAlignment w:val="baseline"/>
            </w:pPr>
            <w:r>
              <w:rPr>
                <w:w w:val="110"/>
                <w:sz w:val="18"/>
                <w:szCs w:val="18"/>
              </w:rPr>
              <w:t xml:space="preserve">- </w:t>
            </w:r>
          </w:p>
        </w:tc>
        <w:tc>
          <w:tcPr>
            <w:tcW w:w="878" w:type="pct"/>
            <w:tcBorders>
              <w:top w:val="single" w:sz="6" w:space="0" w:color="auto"/>
              <w:left w:val="single" w:sz="6" w:space="0" w:color="auto"/>
              <w:bottom w:val="single" w:sz="6" w:space="0" w:color="auto"/>
              <w:right w:val="single" w:sz="6" w:space="0" w:color="auto"/>
            </w:tcBorders>
            <w:vAlign w:val="center"/>
          </w:tcPr>
          <w:p w14:paraId="2E2A6BC6" w14:textId="77777777" w:rsidR="00D002DA" w:rsidRDefault="00D002DA" w:rsidP="009B153D">
            <w:pPr>
              <w:pStyle w:val="Style"/>
              <w:ind w:left="43"/>
              <w:jc w:val="center"/>
              <w:textAlignment w:val="baseline"/>
            </w:pPr>
            <w:r>
              <w:rPr>
                <w:w w:val="110"/>
                <w:sz w:val="18"/>
                <w:szCs w:val="18"/>
              </w:rPr>
              <w:t xml:space="preserve">- </w:t>
            </w:r>
          </w:p>
        </w:tc>
        <w:tc>
          <w:tcPr>
            <w:tcW w:w="888" w:type="pct"/>
            <w:tcBorders>
              <w:top w:val="single" w:sz="6" w:space="0" w:color="auto"/>
              <w:left w:val="single" w:sz="6" w:space="0" w:color="auto"/>
              <w:bottom w:val="single" w:sz="6" w:space="0" w:color="auto"/>
              <w:right w:val="single" w:sz="6" w:space="0" w:color="auto"/>
            </w:tcBorders>
            <w:vAlign w:val="center"/>
          </w:tcPr>
          <w:p w14:paraId="2C755C3A" w14:textId="77777777" w:rsidR="00D002DA" w:rsidRDefault="00D002DA" w:rsidP="009B153D">
            <w:pPr>
              <w:pStyle w:val="Style"/>
              <w:ind w:left="19"/>
              <w:jc w:val="center"/>
              <w:textAlignment w:val="baseline"/>
            </w:pPr>
            <w:r>
              <w:rPr>
                <w:sz w:val="20"/>
                <w:szCs w:val="20"/>
              </w:rPr>
              <w:t xml:space="preserve">3.230, 7.661 </w:t>
            </w:r>
          </w:p>
        </w:tc>
        <w:tc>
          <w:tcPr>
            <w:tcW w:w="881" w:type="pct"/>
            <w:tcBorders>
              <w:top w:val="single" w:sz="6" w:space="0" w:color="auto"/>
              <w:left w:val="single" w:sz="6" w:space="0" w:color="auto"/>
              <w:bottom w:val="single" w:sz="6" w:space="0" w:color="auto"/>
              <w:right w:val="single" w:sz="6" w:space="0" w:color="auto"/>
            </w:tcBorders>
            <w:vAlign w:val="center"/>
          </w:tcPr>
          <w:p w14:paraId="2D5FF9FC" w14:textId="77777777" w:rsidR="00D002DA" w:rsidRDefault="00D002DA" w:rsidP="009B153D">
            <w:pPr>
              <w:pStyle w:val="Style"/>
              <w:ind w:left="24"/>
              <w:jc w:val="center"/>
              <w:textAlignment w:val="baseline"/>
            </w:pPr>
            <w:r>
              <w:rPr>
                <w:w w:val="110"/>
                <w:sz w:val="18"/>
                <w:szCs w:val="18"/>
              </w:rPr>
              <w:t xml:space="preserve">- </w:t>
            </w:r>
          </w:p>
        </w:tc>
      </w:tr>
      <w:tr w:rsidR="00D002DA" w14:paraId="7B0412E7" w14:textId="77777777" w:rsidTr="00D002DA">
        <w:trPr>
          <w:trHeight w:hRule="exact" w:val="370"/>
          <w:jc w:val="center"/>
        </w:trPr>
        <w:tc>
          <w:tcPr>
            <w:tcW w:w="1462" w:type="pct"/>
            <w:tcBorders>
              <w:top w:val="single" w:sz="6" w:space="0" w:color="auto"/>
              <w:left w:val="single" w:sz="6" w:space="0" w:color="auto"/>
              <w:bottom w:val="single" w:sz="6" w:space="0" w:color="auto"/>
              <w:right w:val="single" w:sz="6" w:space="0" w:color="auto"/>
            </w:tcBorders>
            <w:vAlign w:val="center"/>
          </w:tcPr>
          <w:p w14:paraId="3D956455" w14:textId="77777777" w:rsidR="00D002DA" w:rsidRDefault="00D002DA" w:rsidP="009B153D">
            <w:pPr>
              <w:pStyle w:val="Style"/>
              <w:ind w:left="389"/>
              <w:textAlignment w:val="baseline"/>
            </w:pPr>
            <w:r>
              <w:rPr>
                <w:sz w:val="20"/>
                <w:szCs w:val="20"/>
              </w:rPr>
              <w:t xml:space="preserve">p-value </w:t>
            </w:r>
            <w:r>
              <w:rPr>
                <w:rFonts w:ascii="Arial" w:eastAsia="Arial" w:hAnsi="Arial" w:cs="Arial"/>
                <w:sz w:val="12"/>
                <w:szCs w:val="12"/>
              </w:rPr>
              <w:t xml:space="preserve">b </w:t>
            </w:r>
          </w:p>
        </w:tc>
        <w:tc>
          <w:tcPr>
            <w:tcW w:w="891" w:type="pct"/>
            <w:tcBorders>
              <w:top w:val="single" w:sz="6" w:space="0" w:color="auto"/>
              <w:left w:val="single" w:sz="6" w:space="0" w:color="auto"/>
              <w:bottom w:val="single" w:sz="6" w:space="0" w:color="auto"/>
              <w:right w:val="single" w:sz="6" w:space="0" w:color="auto"/>
            </w:tcBorders>
            <w:vAlign w:val="center"/>
          </w:tcPr>
          <w:p w14:paraId="2736EE77" w14:textId="77777777" w:rsidR="00D002DA" w:rsidRDefault="00D002DA" w:rsidP="009B153D">
            <w:pPr>
              <w:pStyle w:val="Style"/>
              <w:ind w:left="43"/>
              <w:jc w:val="center"/>
              <w:textAlignment w:val="baseline"/>
            </w:pPr>
            <w:r>
              <w:rPr>
                <w:w w:val="110"/>
                <w:sz w:val="18"/>
                <w:szCs w:val="18"/>
              </w:rPr>
              <w:t xml:space="preserve">- </w:t>
            </w:r>
          </w:p>
        </w:tc>
        <w:tc>
          <w:tcPr>
            <w:tcW w:w="878" w:type="pct"/>
            <w:tcBorders>
              <w:top w:val="single" w:sz="6" w:space="0" w:color="auto"/>
              <w:left w:val="single" w:sz="6" w:space="0" w:color="auto"/>
              <w:bottom w:val="single" w:sz="6" w:space="0" w:color="auto"/>
              <w:right w:val="single" w:sz="6" w:space="0" w:color="auto"/>
            </w:tcBorders>
            <w:vAlign w:val="center"/>
          </w:tcPr>
          <w:p w14:paraId="0167200E" w14:textId="77777777" w:rsidR="00D002DA" w:rsidRDefault="00D002DA" w:rsidP="009B153D">
            <w:pPr>
              <w:pStyle w:val="Style"/>
              <w:ind w:left="43"/>
              <w:jc w:val="center"/>
              <w:textAlignment w:val="baseline"/>
            </w:pPr>
            <w:r>
              <w:rPr>
                <w:w w:val="110"/>
                <w:sz w:val="18"/>
                <w:szCs w:val="18"/>
              </w:rPr>
              <w:t xml:space="preserve">- </w:t>
            </w:r>
          </w:p>
        </w:tc>
        <w:tc>
          <w:tcPr>
            <w:tcW w:w="888" w:type="pct"/>
            <w:tcBorders>
              <w:top w:val="single" w:sz="6" w:space="0" w:color="auto"/>
              <w:left w:val="single" w:sz="6" w:space="0" w:color="auto"/>
              <w:bottom w:val="single" w:sz="6" w:space="0" w:color="auto"/>
              <w:right w:val="single" w:sz="6" w:space="0" w:color="auto"/>
            </w:tcBorders>
            <w:vAlign w:val="center"/>
          </w:tcPr>
          <w:p w14:paraId="6C455DE0" w14:textId="77777777" w:rsidR="00D002DA" w:rsidRDefault="00D002DA" w:rsidP="009B153D">
            <w:pPr>
              <w:pStyle w:val="Style"/>
              <w:ind w:left="19"/>
              <w:jc w:val="center"/>
              <w:textAlignment w:val="baseline"/>
            </w:pPr>
            <w:r>
              <w:rPr>
                <w:sz w:val="20"/>
                <w:szCs w:val="20"/>
              </w:rPr>
              <w:t xml:space="preserve">&lt;0.001 </w:t>
            </w:r>
          </w:p>
        </w:tc>
        <w:tc>
          <w:tcPr>
            <w:tcW w:w="881" w:type="pct"/>
            <w:tcBorders>
              <w:top w:val="single" w:sz="6" w:space="0" w:color="auto"/>
              <w:left w:val="single" w:sz="6" w:space="0" w:color="auto"/>
              <w:bottom w:val="single" w:sz="6" w:space="0" w:color="auto"/>
              <w:right w:val="single" w:sz="6" w:space="0" w:color="auto"/>
            </w:tcBorders>
            <w:vAlign w:val="center"/>
          </w:tcPr>
          <w:p w14:paraId="3C2F3B55" w14:textId="77777777" w:rsidR="00D002DA" w:rsidRDefault="00D002DA" w:rsidP="009B153D">
            <w:pPr>
              <w:pStyle w:val="Style"/>
              <w:ind w:left="24"/>
              <w:jc w:val="center"/>
              <w:textAlignment w:val="baseline"/>
            </w:pPr>
            <w:r>
              <w:rPr>
                <w:w w:val="110"/>
                <w:sz w:val="18"/>
                <w:szCs w:val="18"/>
              </w:rPr>
              <w:t xml:space="preserve">- </w:t>
            </w:r>
          </w:p>
        </w:tc>
      </w:tr>
      <w:tr w:rsidR="00D002DA" w14:paraId="37FDC115" w14:textId="77777777" w:rsidTr="00D002DA">
        <w:trPr>
          <w:trHeight w:hRule="exact" w:val="389"/>
          <w:jc w:val="center"/>
        </w:trPr>
        <w:tc>
          <w:tcPr>
            <w:tcW w:w="5000" w:type="pct"/>
            <w:gridSpan w:val="5"/>
            <w:tcBorders>
              <w:top w:val="single" w:sz="6" w:space="0" w:color="auto"/>
              <w:left w:val="single" w:sz="6" w:space="0" w:color="auto"/>
              <w:bottom w:val="single" w:sz="6" w:space="0" w:color="auto"/>
              <w:right w:val="single" w:sz="6" w:space="0" w:color="auto"/>
            </w:tcBorders>
            <w:vAlign w:val="center"/>
          </w:tcPr>
          <w:p w14:paraId="1C3F005D" w14:textId="77D51205" w:rsidR="00D002DA" w:rsidRDefault="00D002DA" w:rsidP="00D002DA">
            <w:pPr>
              <w:pStyle w:val="Style"/>
              <w:ind w:left="115"/>
              <w:textAlignment w:val="baseline"/>
            </w:pPr>
            <w:r>
              <w:rPr>
                <w:b/>
                <w:sz w:val="21"/>
                <w:szCs w:val="21"/>
              </w:rPr>
              <w:t>Week 24</w:t>
            </w:r>
          </w:p>
        </w:tc>
      </w:tr>
      <w:tr w:rsidR="00D002DA" w14:paraId="48502744" w14:textId="77777777" w:rsidTr="00D002DA">
        <w:trPr>
          <w:trHeight w:hRule="exact" w:val="394"/>
          <w:jc w:val="center"/>
        </w:trPr>
        <w:tc>
          <w:tcPr>
            <w:tcW w:w="5000" w:type="pct"/>
            <w:gridSpan w:val="5"/>
            <w:tcBorders>
              <w:top w:val="single" w:sz="6" w:space="0" w:color="auto"/>
              <w:left w:val="single" w:sz="6" w:space="0" w:color="auto"/>
              <w:bottom w:val="single" w:sz="6" w:space="0" w:color="auto"/>
              <w:right w:val="single" w:sz="6" w:space="0" w:color="auto"/>
            </w:tcBorders>
            <w:vAlign w:val="center"/>
          </w:tcPr>
          <w:p w14:paraId="009752CD" w14:textId="7DE055E5" w:rsidR="00D002DA" w:rsidRDefault="00D002DA" w:rsidP="00D002DA">
            <w:pPr>
              <w:pStyle w:val="Style"/>
              <w:ind w:left="115"/>
              <w:textAlignment w:val="baseline"/>
            </w:pPr>
            <w:r>
              <w:rPr>
                <w:sz w:val="20"/>
                <w:szCs w:val="20"/>
              </w:rPr>
              <w:t xml:space="preserve">PASI </w:t>
            </w:r>
            <w:r w:rsidR="00DA3255">
              <w:rPr>
                <w:sz w:val="20"/>
                <w:szCs w:val="20"/>
              </w:rPr>
              <w:t>1</w:t>
            </w:r>
            <w:r>
              <w:rPr>
                <w:sz w:val="20"/>
                <w:szCs w:val="20"/>
              </w:rPr>
              <w:t>00 response rate</w:t>
            </w:r>
          </w:p>
        </w:tc>
      </w:tr>
      <w:tr w:rsidR="00D002DA" w14:paraId="4D9976E8" w14:textId="77777777" w:rsidTr="00D002DA">
        <w:trPr>
          <w:trHeight w:hRule="exact" w:val="384"/>
          <w:jc w:val="center"/>
        </w:trPr>
        <w:tc>
          <w:tcPr>
            <w:tcW w:w="1462" w:type="pct"/>
            <w:tcBorders>
              <w:top w:val="single" w:sz="6" w:space="0" w:color="auto"/>
              <w:left w:val="single" w:sz="6" w:space="0" w:color="auto"/>
              <w:bottom w:val="single" w:sz="6" w:space="0" w:color="auto"/>
              <w:right w:val="single" w:sz="6" w:space="0" w:color="auto"/>
            </w:tcBorders>
            <w:vAlign w:val="center"/>
          </w:tcPr>
          <w:p w14:paraId="45FF2D4B" w14:textId="77777777" w:rsidR="00D002DA" w:rsidRDefault="00D002DA" w:rsidP="009B153D">
            <w:pPr>
              <w:pStyle w:val="Style"/>
              <w:ind w:left="389"/>
              <w:textAlignment w:val="baseline"/>
            </w:pPr>
            <w:r>
              <w:rPr>
                <w:sz w:val="20"/>
                <w:szCs w:val="20"/>
              </w:rPr>
              <w:t xml:space="preserve">n (%) </w:t>
            </w:r>
          </w:p>
        </w:tc>
        <w:tc>
          <w:tcPr>
            <w:tcW w:w="891" w:type="pct"/>
            <w:tcBorders>
              <w:top w:val="single" w:sz="6" w:space="0" w:color="auto"/>
              <w:left w:val="single" w:sz="6" w:space="0" w:color="auto"/>
              <w:bottom w:val="single" w:sz="6" w:space="0" w:color="auto"/>
              <w:right w:val="single" w:sz="6" w:space="0" w:color="auto"/>
            </w:tcBorders>
            <w:vAlign w:val="center"/>
          </w:tcPr>
          <w:p w14:paraId="69797BEC" w14:textId="77777777" w:rsidR="00D002DA" w:rsidRDefault="00D002DA" w:rsidP="009B153D">
            <w:pPr>
              <w:pStyle w:val="Style"/>
              <w:ind w:left="43"/>
              <w:jc w:val="center"/>
              <w:textAlignment w:val="baseline"/>
            </w:pPr>
            <w:r>
              <w:rPr>
                <w:sz w:val="20"/>
                <w:szCs w:val="20"/>
              </w:rPr>
              <w:t xml:space="preserve">106 (65.8) </w:t>
            </w:r>
          </w:p>
        </w:tc>
        <w:tc>
          <w:tcPr>
            <w:tcW w:w="878" w:type="pct"/>
            <w:tcBorders>
              <w:top w:val="single" w:sz="6" w:space="0" w:color="auto"/>
              <w:left w:val="single" w:sz="6" w:space="0" w:color="auto"/>
              <w:bottom w:val="single" w:sz="6" w:space="0" w:color="auto"/>
              <w:right w:val="single" w:sz="6" w:space="0" w:color="auto"/>
            </w:tcBorders>
            <w:vAlign w:val="center"/>
          </w:tcPr>
          <w:p w14:paraId="7493F93A" w14:textId="77777777" w:rsidR="00D002DA" w:rsidRDefault="00D002DA" w:rsidP="009B153D">
            <w:pPr>
              <w:pStyle w:val="Style"/>
              <w:ind w:left="43"/>
              <w:jc w:val="center"/>
              <w:textAlignment w:val="baseline"/>
            </w:pPr>
            <w:r>
              <w:rPr>
                <w:sz w:val="20"/>
                <w:szCs w:val="20"/>
              </w:rPr>
              <w:t xml:space="preserve">107 (67.7) </w:t>
            </w:r>
          </w:p>
        </w:tc>
        <w:tc>
          <w:tcPr>
            <w:tcW w:w="888" w:type="pct"/>
            <w:tcBorders>
              <w:top w:val="single" w:sz="6" w:space="0" w:color="auto"/>
              <w:left w:val="single" w:sz="6" w:space="0" w:color="auto"/>
              <w:bottom w:val="single" w:sz="6" w:space="0" w:color="auto"/>
              <w:right w:val="single" w:sz="6" w:space="0" w:color="auto"/>
            </w:tcBorders>
            <w:vAlign w:val="center"/>
          </w:tcPr>
          <w:p w14:paraId="6BCD26DF" w14:textId="77777777" w:rsidR="00D002DA" w:rsidRDefault="00D002DA" w:rsidP="009B153D">
            <w:pPr>
              <w:pStyle w:val="Style"/>
              <w:ind w:left="19"/>
              <w:jc w:val="center"/>
              <w:textAlignment w:val="baseline"/>
            </w:pPr>
            <w:r>
              <w:rPr>
                <w:sz w:val="20"/>
                <w:szCs w:val="20"/>
              </w:rPr>
              <w:t xml:space="preserve">213 (66.8) </w:t>
            </w:r>
          </w:p>
        </w:tc>
        <w:tc>
          <w:tcPr>
            <w:tcW w:w="881" w:type="pct"/>
            <w:tcBorders>
              <w:top w:val="single" w:sz="6" w:space="0" w:color="auto"/>
              <w:left w:val="single" w:sz="6" w:space="0" w:color="auto"/>
              <w:bottom w:val="single" w:sz="6" w:space="0" w:color="auto"/>
              <w:right w:val="single" w:sz="6" w:space="0" w:color="auto"/>
            </w:tcBorders>
            <w:vAlign w:val="center"/>
          </w:tcPr>
          <w:p w14:paraId="38591C25" w14:textId="77777777" w:rsidR="00D002DA" w:rsidRDefault="00D002DA" w:rsidP="009B153D">
            <w:pPr>
              <w:pStyle w:val="Style"/>
              <w:ind w:left="24"/>
              <w:jc w:val="center"/>
              <w:textAlignment w:val="baseline"/>
            </w:pPr>
            <w:r>
              <w:rPr>
                <w:sz w:val="20"/>
                <w:szCs w:val="20"/>
              </w:rPr>
              <w:t xml:space="preserve">47 (29.6) </w:t>
            </w:r>
          </w:p>
        </w:tc>
      </w:tr>
      <w:tr w:rsidR="00D002DA" w14:paraId="23BC81E9" w14:textId="77777777" w:rsidTr="00D002DA">
        <w:trPr>
          <w:trHeight w:hRule="exact" w:val="389"/>
          <w:jc w:val="center"/>
        </w:trPr>
        <w:tc>
          <w:tcPr>
            <w:tcW w:w="1462" w:type="pct"/>
            <w:tcBorders>
              <w:top w:val="single" w:sz="6" w:space="0" w:color="auto"/>
              <w:left w:val="single" w:sz="6" w:space="0" w:color="auto"/>
              <w:bottom w:val="single" w:sz="6" w:space="0" w:color="auto"/>
              <w:right w:val="single" w:sz="6" w:space="0" w:color="auto"/>
            </w:tcBorders>
            <w:vAlign w:val="center"/>
          </w:tcPr>
          <w:p w14:paraId="1373765B" w14:textId="77777777" w:rsidR="00D002DA" w:rsidRDefault="00D002DA" w:rsidP="009B153D">
            <w:pPr>
              <w:pStyle w:val="Style"/>
              <w:ind w:left="389"/>
              <w:textAlignment w:val="baseline"/>
            </w:pPr>
            <w:r>
              <w:rPr>
                <w:sz w:val="20"/>
                <w:szCs w:val="20"/>
              </w:rPr>
              <w:t>n/</w:t>
            </w:r>
            <w:proofErr w:type="spellStart"/>
            <w:r>
              <w:rPr>
                <w:sz w:val="20"/>
                <w:szCs w:val="20"/>
              </w:rPr>
              <w:t>Nsub</w:t>
            </w:r>
            <w:proofErr w:type="spellEnd"/>
            <w:r>
              <w:rPr>
                <w:sz w:val="20"/>
                <w:szCs w:val="20"/>
              </w:rPr>
              <w:t xml:space="preserve"> (%) </w:t>
            </w:r>
          </w:p>
        </w:tc>
        <w:tc>
          <w:tcPr>
            <w:tcW w:w="891" w:type="pct"/>
            <w:tcBorders>
              <w:top w:val="single" w:sz="6" w:space="0" w:color="auto"/>
              <w:left w:val="single" w:sz="6" w:space="0" w:color="auto"/>
              <w:bottom w:val="single" w:sz="6" w:space="0" w:color="auto"/>
              <w:right w:val="single" w:sz="6" w:space="0" w:color="auto"/>
            </w:tcBorders>
            <w:vAlign w:val="center"/>
          </w:tcPr>
          <w:p w14:paraId="4F902CE4" w14:textId="77777777" w:rsidR="00D002DA" w:rsidRDefault="00D002DA" w:rsidP="009B153D">
            <w:pPr>
              <w:pStyle w:val="Style"/>
              <w:ind w:left="43"/>
              <w:jc w:val="center"/>
              <w:textAlignment w:val="baseline"/>
            </w:pPr>
            <w:r>
              <w:rPr>
                <w:sz w:val="20"/>
                <w:szCs w:val="20"/>
              </w:rPr>
              <w:t xml:space="preserve">106/149 (71.1) </w:t>
            </w:r>
          </w:p>
        </w:tc>
        <w:tc>
          <w:tcPr>
            <w:tcW w:w="878" w:type="pct"/>
            <w:tcBorders>
              <w:top w:val="single" w:sz="6" w:space="0" w:color="auto"/>
              <w:left w:val="single" w:sz="6" w:space="0" w:color="auto"/>
              <w:bottom w:val="single" w:sz="6" w:space="0" w:color="auto"/>
              <w:right w:val="single" w:sz="6" w:space="0" w:color="auto"/>
            </w:tcBorders>
            <w:vAlign w:val="center"/>
          </w:tcPr>
          <w:p w14:paraId="69170AA1" w14:textId="77777777" w:rsidR="00D002DA" w:rsidRDefault="00D002DA" w:rsidP="009B153D">
            <w:pPr>
              <w:pStyle w:val="Style"/>
              <w:ind w:left="43"/>
              <w:jc w:val="center"/>
              <w:textAlignment w:val="baseline"/>
            </w:pPr>
            <w:r>
              <w:rPr>
                <w:sz w:val="20"/>
                <w:szCs w:val="20"/>
              </w:rPr>
              <w:t xml:space="preserve">107/149 (71.8) </w:t>
            </w:r>
          </w:p>
        </w:tc>
        <w:tc>
          <w:tcPr>
            <w:tcW w:w="888" w:type="pct"/>
            <w:tcBorders>
              <w:top w:val="single" w:sz="6" w:space="0" w:color="auto"/>
              <w:left w:val="single" w:sz="6" w:space="0" w:color="auto"/>
              <w:bottom w:val="single" w:sz="6" w:space="0" w:color="auto"/>
              <w:right w:val="single" w:sz="6" w:space="0" w:color="auto"/>
            </w:tcBorders>
            <w:vAlign w:val="center"/>
          </w:tcPr>
          <w:p w14:paraId="33FFC098" w14:textId="77777777" w:rsidR="00D002DA" w:rsidRDefault="00D002DA" w:rsidP="009B153D">
            <w:pPr>
              <w:pStyle w:val="Style"/>
              <w:ind w:left="19"/>
              <w:jc w:val="center"/>
              <w:textAlignment w:val="baseline"/>
            </w:pPr>
            <w:r>
              <w:rPr>
                <w:sz w:val="20"/>
                <w:szCs w:val="20"/>
              </w:rPr>
              <w:t xml:space="preserve">213/298 (71.5) </w:t>
            </w:r>
          </w:p>
        </w:tc>
        <w:tc>
          <w:tcPr>
            <w:tcW w:w="881" w:type="pct"/>
            <w:tcBorders>
              <w:top w:val="single" w:sz="6" w:space="0" w:color="auto"/>
              <w:left w:val="single" w:sz="6" w:space="0" w:color="auto"/>
              <w:bottom w:val="single" w:sz="6" w:space="0" w:color="auto"/>
              <w:right w:val="single" w:sz="6" w:space="0" w:color="auto"/>
            </w:tcBorders>
            <w:vAlign w:val="center"/>
          </w:tcPr>
          <w:p w14:paraId="758C5597" w14:textId="77777777" w:rsidR="00D002DA" w:rsidRDefault="00D002DA" w:rsidP="009B153D">
            <w:pPr>
              <w:pStyle w:val="Style"/>
              <w:ind w:left="24"/>
              <w:jc w:val="center"/>
              <w:textAlignment w:val="baseline"/>
            </w:pPr>
            <w:r>
              <w:rPr>
                <w:sz w:val="20"/>
                <w:szCs w:val="20"/>
              </w:rPr>
              <w:t xml:space="preserve">47/147 (32.0) </w:t>
            </w:r>
          </w:p>
        </w:tc>
      </w:tr>
      <w:tr w:rsidR="00D002DA" w14:paraId="2AEFAE4F" w14:textId="77777777" w:rsidTr="00D002DA">
        <w:trPr>
          <w:trHeight w:hRule="exact" w:val="389"/>
          <w:jc w:val="center"/>
        </w:trPr>
        <w:tc>
          <w:tcPr>
            <w:tcW w:w="1462" w:type="pct"/>
            <w:tcBorders>
              <w:top w:val="single" w:sz="6" w:space="0" w:color="auto"/>
              <w:left w:val="single" w:sz="6" w:space="0" w:color="auto"/>
              <w:bottom w:val="single" w:sz="6" w:space="0" w:color="auto"/>
              <w:right w:val="single" w:sz="6" w:space="0" w:color="auto"/>
            </w:tcBorders>
            <w:vAlign w:val="center"/>
          </w:tcPr>
          <w:p w14:paraId="11D08B75" w14:textId="09A12FCD" w:rsidR="00D002DA" w:rsidRDefault="00D002DA" w:rsidP="009B153D">
            <w:pPr>
              <w:pStyle w:val="Style"/>
              <w:ind w:left="115"/>
              <w:textAlignment w:val="baseline"/>
            </w:pPr>
            <w:r>
              <w:rPr>
                <w:sz w:val="20"/>
                <w:szCs w:val="20"/>
              </w:rPr>
              <w:t xml:space="preserve">Odds ratio </w:t>
            </w:r>
            <w:r w:rsidR="004858E7">
              <w:rPr>
                <w:sz w:val="20"/>
                <w:szCs w:val="20"/>
              </w:rPr>
              <w:t>versus</w:t>
            </w:r>
            <w:r>
              <w:rPr>
                <w:sz w:val="20"/>
                <w:szCs w:val="20"/>
              </w:rPr>
              <w:t xml:space="preserve"> ADA </w:t>
            </w:r>
            <w:r>
              <w:rPr>
                <w:w w:val="107"/>
                <w:sz w:val="12"/>
                <w:szCs w:val="12"/>
              </w:rPr>
              <w:t xml:space="preserve">a </w:t>
            </w:r>
          </w:p>
        </w:tc>
        <w:tc>
          <w:tcPr>
            <w:tcW w:w="891" w:type="pct"/>
            <w:tcBorders>
              <w:top w:val="single" w:sz="6" w:space="0" w:color="auto"/>
              <w:left w:val="single" w:sz="6" w:space="0" w:color="auto"/>
              <w:bottom w:val="single" w:sz="6" w:space="0" w:color="auto"/>
              <w:right w:val="single" w:sz="6" w:space="0" w:color="auto"/>
            </w:tcBorders>
            <w:vAlign w:val="center"/>
          </w:tcPr>
          <w:p w14:paraId="0882C9BF" w14:textId="77777777" w:rsidR="00D002DA" w:rsidRDefault="00D002DA" w:rsidP="009B153D">
            <w:pPr>
              <w:pStyle w:val="Style"/>
              <w:ind w:left="43"/>
              <w:jc w:val="center"/>
              <w:textAlignment w:val="baseline"/>
            </w:pPr>
            <w:r>
              <w:rPr>
                <w:sz w:val="20"/>
                <w:szCs w:val="20"/>
              </w:rPr>
              <w:t xml:space="preserve">4.689 </w:t>
            </w:r>
          </w:p>
        </w:tc>
        <w:tc>
          <w:tcPr>
            <w:tcW w:w="878" w:type="pct"/>
            <w:tcBorders>
              <w:top w:val="single" w:sz="6" w:space="0" w:color="auto"/>
              <w:left w:val="single" w:sz="6" w:space="0" w:color="auto"/>
              <w:bottom w:val="single" w:sz="6" w:space="0" w:color="auto"/>
              <w:right w:val="single" w:sz="6" w:space="0" w:color="auto"/>
            </w:tcBorders>
            <w:vAlign w:val="center"/>
          </w:tcPr>
          <w:p w14:paraId="1C824761" w14:textId="77777777" w:rsidR="00D002DA" w:rsidRDefault="00D002DA" w:rsidP="009B153D">
            <w:pPr>
              <w:pStyle w:val="Style"/>
              <w:ind w:left="43"/>
              <w:jc w:val="center"/>
              <w:textAlignment w:val="baseline"/>
            </w:pPr>
            <w:r>
              <w:rPr>
                <w:sz w:val="20"/>
                <w:szCs w:val="20"/>
              </w:rPr>
              <w:t xml:space="preserve">5.249 </w:t>
            </w:r>
          </w:p>
        </w:tc>
        <w:tc>
          <w:tcPr>
            <w:tcW w:w="888" w:type="pct"/>
            <w:tcBorders>
              <w:top w:val="single" w:sz="6" w:space="0" w:color="auto"/>
              <w:left w:val="single" w:sz="6" w:space="0" w:color="auto"/>
              <w:bottom w:val="single" w:sz="6" w:space="0" w:color="auto"/>
              <w:right w:val="single" w:sz="6" w:space="0" w:color="auto"/>
            </w:tcBorders>
            <w:vAlign w:val="center"/>
          </w:tcPr>
          <w:p w14:paraId="4CF92769" w14:textId="77777777" w:rsidR="00D002DA" w:rsidRDefault="00D002DA" w:rsidP="009B153D">
            <w:pPr>
              <w:pStyle w:val="Style"/>
              <w:ind w:left="19"/>
              <w:jc w:val="center"/>
              <w:textAlignment w:val="baseline"/>
            </w:pPr>
            <w:r>
              <w:rPr>
                <w:sz w:val="20"/>
                <w:szCs w:val="20"/>
              </w:rPr>
              <w:t xml:space="preserve">4.974 </w:t>
            </w:r>
          </w:p>
        </w:tc>
        <w:tc>
          <w:tcPr>
            <w:tcW w:w="881" w:type="pct"/>
            <w:tcBorders>
              <w:top w:val="single" w:sz="6" w:space="0" w:color="auto"/>
              <w:left w:val="single" w:sz="6" w:space="0" w:color="auto"/>
              <w:bottom w:val="single" w:sz="6" w:space="0" w:color="auto"/>
              <w:right w:val="single" w:sz="6" w:space="0" w:color="auto"/>
            </w:tcBorders>
            <w:vAlign w:val="center"/>
          </w:tcPr>
          <w:p w14:paraId="0D69B273" w14:textId="77777777" w:rsidR="00D002DA" w:rsidRDefault="00D002DA" w:rsidP="009B153D">
            <w:pPr>
              <w:pStyle w:val="Style"/>
              <w:ind w:left="24"/>
              <w:jc w:val="center"/>
              <w:textAlignment w:val="baseline"/>
            </w:pPr>
            <w:r>
              <w:rPr>
                <w:w w:val="110"/>
                <w:sz w:val="18"/>
                <w:szCs w:val="18"/>
              </w:rPr>
              <w:t xml:space="preserve">- </w:t>
            </w:r>
          </w:p>
        </w:tc>
      </w:tr>
      <w:tr w:rsidR="00D002DA" w14:paraId="0E49BB00" w14:textId="77777777" w:rsidTr="00D002DA">
        <w:trPr>
          <w:trHeight w:hRule="exact" w:val="384"/>
          <w:jc w:val="center"/>
        </w:trPr>
        <w:tc>
          <w:tcPr>
            <w:tcW w:w="1462" w:type="pct"/>
            <w:tcBorders>
              <w:top w:val="single" w:sz="6" w:space="0" w:color="auto"/>
              <w:left w:val="single" w:sz="6" w:space="0" w:color="auto"/>
              <w:bottom w:val="single" w:sz="6" w:space="0" w:color="auto"/>
              <w:right w:val="single" w:sz="6" w:space="0" w:color="auto"/>
            </w:tcBorders>
            <w:vAlign w:val="center"/>
          </w:tcPr>
          <w:p w14:paraId="47FEDFF2" w14:textId="77777777" w:rsidR="00D002DA" w:rsidRDefault="00D002DA" w:rsidP="009B153D">
            <w:pPr>
              <w:pStyle w:val="Style"/>
              <w:ind w:left="389"/>
              <w:textAlignment w:val="baseline"/>
            </w:pPr>
            <w:r>
              <w:rPr>
                <w:sz w:val="20"/>
                <w:szCs w:val="20"/>
              </w:rPr>
              <w:t xml:space="preserve">95% CI for odds ratio </w:t>
            </w:r>
          </w:p>
        </w:tc>
        <w:tc>
          <w:tcPr>
            <w:tcW w:w="891" w:type="pct"/>
            <w:tcBorders>
              <w:top w:val="single" w:sz="6" w:space="0" w:color="auto"/>
              <w:left w:val="single" w:sz="6" w:space="0" w:color="auto"/>
              <w:bottom w:val="single" w:sz="6" w:space="0" w:color="auto"/>
              <w:right w:val="single" w:sz="6" w:space="0" w:color="auto"/>
            </w:tcBorders>
            <w:vAlign w:val="center"/>
          </w:tcPr>
          <w:p w14:paraId="17E21930" w14:textId="77777777" w:rsidR="00D002DA" w:rsidRDefault="00D002DA" w:rsidP="009B153D">
            <w:pPr>
              <w:pStyle w:val="Style"/>
              <w:ind w:left="43"/>
              <w:jc w:val="center"/>
              <w:textAlignment w:val="baseline"/>
            </w:pPr>
            <w:r>
              <w:rPr>
                <w:sz w:val="20"/>
                <w:szCs w:val="20"/>
              </w:rPr>
              <w:t xml:space="preserve">2.904, 7.573 </w:t>
            </w:r>
          </w:p>
        </w:tc>
        <w:tc>
          <w:tcPr>
            <w:tcW w:w="878" w:type="pct"/>
            <w:tcBorders>
              <w:top w:val="single" w:sz="6" w:space="0" w:color="auto"/>
              <w:left w:val="single" w:sz="6" w:space="0" w:color="auto"/>
              <w:bottom w:val="single" w:sz="6" w:space="0" w:color="auto"/>
              <w:right w:val="single" w:sz="6" w:space="0" w:color="auto"/>
            </w:tcBorders>
            <w:vAlign w:val="center"/>
          </w:tcPr>
          <w:p w14:paraId="57ED0AD9" w14:textId="77777777" w:rsidR="00D002DA" w:rsidRDefault="00D002DA" w:rsidP="009B153D">
            <w:pPr>
              <w:pStyle w:val="Style"/>
              <w:ind w:left="43"/>
              <w:jc w:val="center"/>
              <w:textAlignment w:val="baseline"/>
            </w:pPr>
            <w:r>
              <w:rPr>
                <w:sz w:val="20"/>
                <w:szCs w:val="20"/>
              </w:rPr>
              <w:t xml:space="preserve">3.207, 8.593 </w:t>
            </w:r>
          </w:p>
        </w:tc>
        <w:tc>
          <w:tcPr>
            <w:tcW w:w="888" w:type="pct"/>
            <w:tcBorders>
              <w:top w:val="single" w:sz="6" w:space="0" w:color="auto"/>
              <w:left w:val="single" w:sz="6" w:space="0" w:color="auto"/>
              <w:bottom w:val="single" w:sz="6" w:space="0" w:color="auto"/>
              <w:right w:val="single" w:sz="6" w:space="0" w:color="auto"/>
            </w:tcBorders>
            <w:vAlign w:val="center"/>
          </w:tcPr>
          <w:p w14:paraId="3BC5FA74" w14:textId="77777777" w:rsidR="00D002DA" w:rsidRDefault="00D002DA" w:rsidP="009B153D">
            <w:pPr>
              <w:pStyle w:val="Style"/>
              <w:ind w:left="19"/>
              <w:jc w:val="center"/>
              <w:textAlignment w:val="baseline"/>
            </w:pPr>
            <w:r>
              <w:rPr>
                <w:sz w:val="20"/>
                <w:szCs w:val="20"/>
              </w:rPr>
              <w:t xml:space="preserve">3.257, 7.594 </w:t>
            </w:r>
          </w:p>
        </w:tc>
        <w:tc>
          <w:tcPr>
            <w:tcW w:w="881" w:type="pct"/>
            <w:tcBorders>
              <w:top w:val="single" w:sz="6" w:space="0" w:color="auto"/>
              <w:left w:val="single" w:sz="6" w:space="0" w:color="auto"/>
              <w:bottom w:val="single" w:sz="6" w:space="0" w:color="auto"/>
              <w:right w:val="single" w:sz="6" w:space="0" w:color="auto"/>
            </w:tcBorders>
            <w:vAlign w:val="center"/>
          </w:tcPr>
          <w:p w14:paraId="352602E4" w14:textId="77777777" w:rsidR="00D002DA" w:rsidRDefault="00D002DA" w:rsidP="009B153D">
            <w:pPr>
              <w:pStyle w:val="Style"/>
              <w:ind w:left="24"/>
              <w:jc w:val="center"/>
              <w:textAlignment w:val="baseline"/>
            </w:pPr>
            <w:r>
              <w:rPr>
                <w:w w:val="110"/>
                <w:sz w:val="18"/>
                <w:szCs w:val="18"/>
              </w:rPr>
              <w:t xml:space="preserve">- </w:t>
            </w:r>
          </w:p>
        </w:tc>
      </w:tr>
      <w:tr w:rsidR="00D002DA" w14:paraId="2E163945" w14:textId="77777777" w:rsidTr="00D002DA">
        <w:trPr>
          <w:trHeight w:hRule="exact" w:val="389"/>
          <w:jc w:val="center"/>
        </w:trPr>
        <w:tc>
          <w:tcPr>
            <w:tcW w:w="1462" w:type="pct"/>
            <w:tcBorders>
              <w:top w:val="single" w:sz="6" w:space="0" w:color="auto"/>
              <w:left w:val="single" w:sz="6" w:space="0" w:color="auto"/>
              <w:bottom w:val="single" w:sz="6" w:space="0" w:color="auto"/>
              <w:right w:val="single" w:sz="6" w:space="0" w:color="auto"/>
            </w:tcBorders>
            <w:vAlign w:val="center"/>
          </w:tcPr>
          <w:p w14:paraId="3D979E21" w14:textId="77777777" w:rsidR="00D002DA" w:rsidRDefault="00D002DA" w:rsidP="009B153D">
            <w:pPr>
              <w:pStyle w:val="Style"/>
              <w:ind w:left="389"/>
              <w:textAlignment w:val="baseline"/>
            </w:pPr>
            <w:r>
              <w:rPr>
                <w:sz w:val="20"/>
                <w:szCs w:val="20"/>
              </w:rPr>
              <w:t xml:space="preserve">p-value </w:t>
            </w:r>
            <w:r>
              <w:rPr>
                <w:rFonts w:ascii="Arial" w:eastAsia="Arial" w:hAnsi="Arial" w:cs="Arial"/>
                <w:sz w:val="12"/>
                <w:szCs w:val="12"/>
              </w:rPr>
              <w:t xml:space="preserve">b </w:t>
            </w:r>
          </w:p>
        </w:tc>
        <w:tc>
          <w:tcPr>
            <w:tcW w:w="891" w:type="pct"/>
            <w:tcBorders>
              <w:top w:val="single" w:sz="6" w:space="0" w:color="auto"/>
              <w:left w:val="single" w:sz="6" w:space="0" w:color="auto"/>
              <w:bottom w:val="single" w:sz="6" w:space="0" w:color="auto"/>
              <w:right w:val="single" w:sz="6" w:space="0" w:color="auto"/>
            </w:tcBorders>
            <w:vAlign w:val="center"/>
          </w:tcPr>
          <w:p w14:paraId="7C9A3B7D" w14:textId="77777777" w:rsidR="00D002DA" w:rsidRDefault="00D002DA" w:rsidP="009B153D">
            <w:pPr>
              <w:pStyle w:val="Style"/>
              <w:ind w:left="43"/>
              <w:jc w:val="center"/>
              <w:textAlignment w:val="baseline"/>
            </w:pPr>
            <w:r>
              <w:rPr>
                <w:sz w:val="20"/>
                <w:szCs w:val="20"/>
              </w:rPr>
              <w:t xml:space="preserve">&lt;0.001 </w:t>
            </w:r>
            <w:r>
              <w:rPr>
                <w:sz w:val="8"/>
                <w:szCs w:val="8"/>
              </w:rPr>
              <w:t xml:space="preserve">C </w:t>
            </w:r>
          </w:p>
        </w:tc>
        <w:tc>
          <w:tcPr>
            <w:tcW w:w="878" w:type="pct"/>
            <w:tcBorders>
              <w:top w:val="single" w:sz="6" w:space="0" w:color="auto"/>
              <w:left w:val="single" w:sz="6" w:space="0" w:color="auto"/>
              <w:bottom w:val="single" w:sz="6" w:space="0" w:color="auto"/>
              <w:right w:val="single" w:sz="6" w:space="0" w:color="auto"/>
            </w:tcBorders>
            <w:vAlign w:val="center"/>
          </w:tcPr>
          <w:p w14:paraId="43E93301" w14:textId="77777777" w:rsidR="00D002DA" w:rsidRDefault="00D002DA" w:rsidP="009B153D">
            <w:pPr>
              <w:pStyle w:val="Style"/>
              <w:ind w:left="43"/>
              <w:jc w:val="center"/>
              <w:textAlignment w:val="baseline"/>
            </w:pPr>
            <w:r>
              <w:rPr>
                <w:sz w:val="20"/>
                <w:szCs w:val="20"/>
              </w:rPr>
              <w:t xml:space="preserve">&lt;0.001 </w:t>
            </w:r>
          </w:p>
        </w:tc>
        <w:tc>
          <w:tcPr>
            <w:tcW w:w="888" w:type="pct"/>
            <w:tcBorders>
              <w:top w:val="single" w:sz="6" w:space="0" w:color="auto"/>
              <w:left w:val="single" w:sz="6" w:space="0" w:color="auto"/>
              <w:bottom w:val="single" w:sz="6" w:space="0" w:color="auto"/>
              <w:right w:val="single" w:sz="6" w:space="0" w:color="auto"/>
            </w:tcBorders>
            <w:vAlign w:val="center"/>
          </w:tcPr>
          <w:p w14:paraId="64568C4C" w14:textId="77777777" w:rsidR="00D002DA" w:rsidRDefault="00D002DA" w:rsidP="009B153D">
            <w:pPr>
              <w:pStyle w:val="Style"/>
              <w:ind w:left="19"/>
              <w:jc w:val="center"/>
              <w:textAlignment w:val="baseline"/>
            </w:pPr>
            <w:r>
              <w:rPr>
                <w:sz w:val="20"/>
                <w:szCs w:val="20"/>
              </w:rPr>
              <w:t xml:space="preserve">&lt;0.001 </w:t>
            </w:r>
          </w:p>
        </w:tc>
        <w:tc>
          <w:tcPr>
            <w:tcW w:w="881" w:type="pct"/>
            <w:tcBorders>
              <w:top w:val="single" w:sz="6" w:space="0" w:color="auto"/>
              <w:left w:val="single" w:sz="6" w:space="0" w:color="auto"/>
              <w:bottom w:val="single" w:sz="6" w:space="0" w:color="auto"/>
              <w:right w:val="single" w:sz="6" w:space="0" w:color="auto"/>
            </w:tcBorders>
            <w:vAlign w:val="center"/>
          </w:tcPr>
          <w:p w14:paraId="67511EC4" w14:textId="77777777" w:rsidR="00D002DA" w:rsidRDefault="00D002DA" w:rsidP="009B153D">
            <w:pPr>
              <w:pStyle w:val="Style"/>
              <w:ind w:left="24"/>
              <w:jc w:val="center"/>
              <w:textAlignment w:val="baseline"/>
            </w:pPr>
            <w:r>
              <w:rPr>
                <w:w w:val="110"/>
                <w:sz w:val="18"/>
                <w:szCs w:val="18"/>
              </w:rPr>
              <w:t xml:space="preserve">- </w:t>
            </w:r>
          </w:p>
        </w:tc>
      </w:tr>
    </w:tbl>
    <w:p w14:paraId="7B189D18" w14:textId="554B18C5" w:rsidR="00850F6B" w:rsidRDefault="00280740" w:rsidP="00850F6B">
      <w:pPr>
        <w:pStyle w:val="TableDescription"/>
      </w:pPr>
      <w:r>
        <w:t xml:space="preserve">Abbreviations: </w:t>
      </w:r>
      <w:r w:rsidR="00850F6B">
        <w:t xml:space="preserve">ADA = adalimumab; BKZ = </w:t>
      </w:r>
      <w:proofErr w:type="spellStart"/>
      <w:r w:rsidR="00850F6B">
        <w:t>bimekizumab</w:t>
      </w:r>
      <w:proofErr w:type="spellEnd"/>
      <w:r w:rsidR="00850F6B">
        <w:t xml:space="preserve">; CI = confidence interval; CMH = Cochran-Mantel-Haenszel; NRI = </w:t>
      </w:r>
      <w:proofErr w:type="spellStart"/>
      <w:r w:rsidR="00850F6B">
        <w:t>nonresponder</w:t>
      </w:r>
      <w:proofErr w:type="spellEnd"/>
      <w:r w:rsidR="00850F6B">
        <w:t xml:space="preserve"> imputation; OC = observed case; PASI = Psoriasis Area and Severity Index; Q4W = every 4 weeks; Q8W = every 8 weeks; RS = Randomised Set</w:t>
      </w:r>
    </w:p>
    <w:p w14:paraId="7A4FA0DE" w14:textId="77777777" w:rsidR="00850F6B" w:rsidRDefault="00850F6B" w:rsidP="00850F6B">
      <w:pPr>
        <w:pStyle w:val="TableDescription"/>
      </w:pPr>
      <w:r>
        <w:t xml:space="preserve">Note: In the n (%) row, study participants with missing data at a given week were counted as </w:t>
      </w:r>
      <w:proofErr w:type="spellStart"/>
      <w:r>
        <w:t>nonresponders</w:t>
      </w:r>
      <w:proofErr w:type="spellEnd"/>
      <w:r>
        <w:t xml:space="preserve"> (NRI).</w:t>
      </w:r>
    </w:p>
    <w:p w14:paraId="0C2300A7" w14:textId="652AE5F7" w:rsidR="00850F6B" w:rsidRDefault="00850F6B" w:rsidP="00850F6B">
      <w:pPr>
        <w:pStyle w:val="TableDescription"/>
      </w:pPr>
      <w:r>
        <w:t>Note: In the n/</w:t>
      </w:r>
      <w:proofErr w:type="spellStart"/>
      <w:r>
        <w:t>Nsub</w:t>
      </w:r>
      <w:proofErr w:type="spellEnd"/>
      <w:r>
        <w:t xml:space="preserve"> (%) row, </w:t>
      </w:r>
      <w:proofErr w:type="spellStart"/>
      <w:r>
        <w:t>Nsub</w:t>
      </w:r>
      <w:proofErr w:type="spellEnd"/>
      <w:r>
        <w:t xml:space="preserve"> represented the number of study participants with a </w:t>
      </w:r>
      <w:proofErr w:type="spellStart"/>
      <w:r>
        <w:t>nonmissing</w:t>
      </w:r>
      <w:proofErr w:type="spellEnd"/>
      <w:r>
        <w:t xml:space="preserve"> measurement for PASI at the given week, and percentages were calculated accordingly (OC).</w:t>
      </w:r>
    </w:p>
    <w:p w14:paraId="6DC4674B" w14:textId="5C2256CA" w:rsidR="00850F6B" w:rsidRDefault="00850F6B" w:rsidP="00850F6B">
      <w:pPr>
        <w:pStyle w:val="TableDescription"/>
      </w:pPr>
      <w:proofErr w:type="spellStart"/>
      <w:proofErr w:type="gramStart"/>
      <w:r>
        <w:rPr>
          <w:sz w:val="13"/>
          <w:szCs w:val="13"/>
        </w:rPr>
        <w:t>a</w:t>
      </w:r>
      <w:proofErr w:type="spellEnd"/>
      <w:proofErr w:type="gramEnd"/>
      <w:r>
        <w:rPr>
          <w:sz w:val="13"/>
          <w:szCs w:val="13"/>
        </w:rPr>
        <w:t xml:space="preserve"> </w:t>
      </w:r>
      <w:r>
        <w:t>Odds ratio for BKZ/ADA was calculated using stratified CMH test with region and prior biologic exposure as stratification variables.</w:t>
      </w:r>
    </w:p>
    <w:p w14:paraId="22BBAB5F" w14:textId="77777777" w:rsidR="00850F6B" w:rsidRDefault="00850F6B" w:rsidP="00850F6B">
      <w:pPr>
        <w:pStyle w:val="TableDescription"/>
      </w:pPr>
      <w:r>
        <w:rPr>
          <w:sz w:val="13"/>
          <w:szCs w:val="13"/>
        </w:rPr>
        <w:t xml:space="preserve">b </w:t>
      </w:r>
      <w:r>
        <w:t>P-values for the comparison of treatment groups were based on the CMH test from the general association.</w:t>
      </w:r>
    </w:p>
    <w:p w14:paraId="29CA7CD4" w14:textId="14AA308F" w:rsidR="00850F6B" w:rsidRDefault="00850F6B" w:rsidP="00850F6B">
      <w:pPr>
        <w:pStyle w:val="TableDescription"/>
      </w:pPr>
      <w:r>
        <w:rPr>
          <w:sz w:val="13"/>
          <w:szCs w:val="13"/>
        </w:rPr>
        <w:t xml:space="preserve">c </w:t>
      </w:r>
      <w:r>
        <w:t>Nominal p-value</w:t>
      </w:r>
    </w:p>
    <w:p w14:paraId="2EA223E9" w14:textId="5EF5BEFB" w:rsidR="00D002DA" w:rsidRDefault="00D002DA" w:rsidP="00D002DA">
      <w:r>
        <w:t xml:space="preserve">For the </w:t>
      </w:r>
      <w:proofErr w:type="spellStart"/>
      <w:r>
        <w:t>PASl</w:t>
      </w:r>
      <w:proofErr w:type="spellEnd"/>
      <w:r>
        <w:t xml:space="preserve"> 75 response rate at Week 4, as per </w:t>
      </w:r>
      <w:r w:rsidR="00850F6B">
        <w:fldChar w:fldCharType="begin"/>
      </w:r>
      <w:r w:rsidR="00850F6B">
        <w:instrText xml:space="preserve"> REF _Ref129952980 \h </w:instrText>
      </w:r>
      <w:r w:rsidR="00850F6B">
        <w:fldChar w:fldCharType="separate"/>
      </w:r>
      <w:r w:rsidR="00B54079" w:rsidRPr="00850F6B">
        <w:t xml:space="preserve">Table </w:t>
      </w:r>
      <w:r w:rsidR="00B54079">
        <w:rPr>
          <w:noProof/>
        </w:rPr>
        <w:t>20</w:t>
      </w:r>
      <w:r w:rsidR="00850F6B">
        <w:fldChar w:fldCharType="end"/>
      </w:r>
      <w:r>
        <w:t>:</w:t>
      </w:r>
    </w:p>
    <w:p w14:paraId="1D487365" w14:textId="24330856" w:rsidR="00D002DA" w:rsidRDefault="00D002DA" w:rsidP="00D002DA">
      <w:pPr>
        <w:pStyle w:val="ListBullet"/>
      </w:pPr>
      <w:r>
        <w:t xml:space="preserve">the </w:t>
      </w:r>
      <w:proofErr w:type="spellStart"/>
      <w:r w:rsidR="008B40FD">
        <w:t>bimekizumab</w:t>
      </w:r>
      <w:proofErr w:type="spellEnd"/>
      <w:r>
        <w:t xml:space="preserve"> total group had a higher PASI 75 response rate compared with the </w:t>
      </w:r>
    </w:p>
    <w:p w14:paraId="02C89A1B" w14:textId="77B50CB3" w:rsidR="00D002DA" w:rsidRDefault="004858E7" w:rsidP="00D002DA">
      <w:pPr>
        <w:pStyle w:val="ListBullet"/>
      </w:pPr>
      <w:r>
        <w:t>adalimumab</w:t>
      </w:r>
      <w:r w:rsidR="00D002DA">
        <w:t xml:space="preserve"> group at Week 4 after only a single dose of </w:t>
      </w:r>
      <w:proofErr w:type="spellStart"/>
      <w:r w:rsidR="008B40FD">
        <w:t>bimekizumab</w:t>
      </w:r>
      <w:proofErr w:type="spellEnd"/>
      <w:r w:rsidR="00D002DA">
        <w:t xml:space="preserve"> (76.5% </w:t>
      </w:r>
      <w:r>
        <w:t>versus</w:t>
      </w:r>
      <w:r w:rsidR="00D002DA">
        <w:t xml:space="preserve"> 31.4%, respectively; p&lt;0.001), which was a statistically significant difference.</w:t>
      </w:r>
    </w:p>
    <w:p w14:paraId="1174B402" w14:textId="75515C25" w:rsidR="00280740" w:rsidRPr="00280740" w:rsidRDefault="00280740" w:rsidP="006E4137">
      <w:pPr>
        <w:spacing w:before="0" w:after="200" w:line="0" w:lineRule="auto"/>
      </w:pPr>
      <w:r>
        <w:br w:type="page"/>
      </w:r>
    </w:p>
    <w:p w14:paraId="54C83A3F" w14:textId="4BC7DB3C" w:rsidR="00D002DA" w:rsidRDefault="00D002DA" w:rsidP="00850F6B">
      <w:pPr>
        <w:pStyle w:val="TableTitle"/>
      </w:pPr>
      <w:bookmarkStart w:id="97" w:name="_Ref129952980"/>
      <w:r w:rsidRPr="00850F6B">
        <w:lastRenderedPageBreak/>
        <w:t xml:space="preserve">Table </w:t>
      </w:r>
      <w:r w:rsidR="00172397">
        <w:fldChar w:fldCharType="begin"/>
      </w:r>
      <w:r w:rsidR="00172397">
        <w:instrText xml:space="preserve"> SEQ Table \* ARABIC </w:instrText>
      </w:r>
      <w:r w:rsidR="00172397">
        <w:fldChar w:fldCharType="separate"/>
      </w:r>
      <w:r w:rsidR="00B54079">
        <w:rPr>
          <w:noProof/>
        </w:rPr>
        <w:t>20</w:t>
      </w:r>
      <w:r w:rsidR="00172397">
        <w:rPr>
          <w:noProof/>
        </w:rPr>
        <w:fldChar w:fldCharType="end"/>
      </w:r>
      <w:bookmarkEnd w:id="97"/>
      <w:r>
        <w:t>:</w:t>
      </w:r>
      <w:r w:rsidR="00850F6B">
        <w:t xml:space="preserve"> Study PS0008 </w:t>
      </w:r>
      <w:r w:rsidR="00850F6B" w:rsidRPr="00850F6B">
        <w:t>PASI</w:t>
      </w:r>
      <w:r w:rsidR="00850F6B">
        <w:t xml:space="preserve"> </w:t>
      </w:r>
      <w:r w:rsidR="00850F6B" w:rsidRPr="00850F6B">
        <w:t>75 response at Week 4</w:t>
      </w:r>
    </w:p>
    <w:tbl>
      <w:tblPr>
        <w:tblW w:w="5000" w:type="pct"/>
        <w:jc w:val="center"/>
        <w:tblCellMar>
          <w:left w:w="0" w:type="dxa"/>
          <w:right w:w="0" w:type="dxa"/>
        </w:tblCellMar>
        <w:tblLook w:val="0000" w:firstRow="0" w:lastRow="0" w:firstColumn="0" w:lastColumn="0" w:noHBand="0" w:noVBand="0"/>
      </w:tblPr>
      <w:tblGrid>
        <w:gridCol w:w="3853"/>
        <w:gridCol w:w="2319"/>
        <w:gridCol w:w="2322"/>
      </w:tblGrid>
      <w:tr w:rsidR="00D002DA" w14:paraId="3F24709D" w14:textId="77777777" w:rsidTr="009B153D">
        <w:trPr>
          <w:trHeight w:hRule="exact" w:val="331"/>
          <w:jc w:val="center"/>
        </w:trPr>
        <w:tc>
          <w:tcPr>
            <w:tcW w:w="2268" w:type="pct"/>
            <w:vMerge w:val="restart"/>
            <w:tcBorders>
              <w:top w:val="single" w:sz="4" w:space="0" w:color="auto"/>
              <w:left w:val="single" w:sz="4" w:space="0" w:color="auto"/>
              <w:right w:val="single" w:sz="4" w:space="0" w:color="auto"/>
            </w:tcBorders>
            <w:vAlign w:val="center"/>
          </w:tcPr>
          <w:p w14:paraId="3357025D" w14:textId="2DC87D8E" w:rsidR="00D002DA" w:rsidRDefault="00D002DA" w:rsidP="009B153D">
            <w:pPr>
              <w:pStyle w:val="Style"/>
              <w:textAlignment w:val="baseline"/>
            </w:pPr>
          </w:p>
        </w:tc>
        <w:tc>
          <w:tcPr>
            <w:tcW w:w="1365" w:type="pct"/>
            <w:tcBorders>
              <w:top w:val="single" w:sz="4" w:space="0" w:color="auto"/>
              <w:left w:val="single" w:sz="4" w:space="0" w:color="auto"/>
              <w:bottom w:val="nil"/>
              <w:right w:val="single" w:sz="4" w:space="0" w:color="auto"/>
            </w:tcBorders>
            <w:vAlign w:val="center"/>
          </w:tcPr>
          <w:p w14:paraId="2C02710B" w14:textId="77777777" w:rsidR="00D002DA" w:rsidRDefault="00D002DA" w:rsidP="009B153D">
            <w:pPr>
              <w:pStyle w:val="Style"/>
              <w:ind w:left="19"/>
              <w:jc w:val="center"/>
              <w:textAlignment w:val="baseline"/>
            </w:pPr>
            <w:r>
              <w:rPr>
                <w:b/>
                <w:sz w:val="20"/>
                <w:szCs w:val="20"/>
              </w:rPr>
              <w:t xml:space="preserve">BKZ Total </w:t>
            </w:r>
          </w:p>
        </w:tc>
        <w:tc>
          <w:tcPr>
            <w:tcW w:w="1367" w:type="pct"/>
            <w:tcBorders>
              <w:top w:val="single" w:sz="4" w:space="0" w:color="auto"/>
              <w:left w:val="single" w:sz="4" w:space="0" w:color="auto"/>
              <w:bottom w:val="nil"/>
              <w:right w:val="single" w:sz="4" w:space="0" w:color="auto"/>
            </w:tcBorders>
            <w:vAlign w:val="center"/>
          </w:tcPr>
          <w:p w14:paraId="74B782DE" w14:textId="77777777" w:rsidR="00D002DA" w:rsidRDefault="00D002DA" w:rsidP="009B153D">
            <w:pPr>
              <w:pStyle w:val="Style"/>
              <w:ind w:left="29"/>
              <w:jc w:val="center"/>
              <w:textAlignment w:val="baseline"/>
            </w:pPr>
            <w:r>
              <w:rPr>
                <w:b/>
                <w:sz w:val="20"/>
                <w:szCs w:val="20"/>
              </w:rPr>
              <w:t xml:space="preserve">ADA </w:t>
            </w:r>
          </w:p>
        </w:tc>
      </w:tr>
      <w:tr w:rsidR="00D002DA" w14:paraId="2C560CC5" w14:textId="77777777" w:rsidTr="009B153D">
        <w:trPr>
          <w:trHeight w:hRule="exact" w:val="307"/>
          <w:jc w:val="center"/>
        </w:trPr>
        <w:tc>
          <w:tcPr>
            <w:tcW w:w="2268" w:type="pct"/>
            <w:vMerge/>
            <w:tcBorders>
              <w:left w:val="single" w:sz="4" w:space="0" w:color="auto"/>
              <w:bottom w:val="single" w:sz="4" w:space="0" w:color="auto"/>
              <w:right w:val="single" w:sz="4" w:space="0" w:color="auto"/>
            </w:tcBorders>
            <w:vAlign w:val="center"/>
          </w:tcPr>
          <w:p w14:paraId="74011B83" w14:textId="21A7BA99" w:rsidR="00D002DA" w:rsidRDefault="00D002DA" w:rsidP="009B153D">
            <w:pPr>
              <w:pStyle w:val="Style"/>
              <w:textAlignment w:val="baseline"/>
            </w:pPr>
          </w:p>
        </w:tc>
        <w:tc>
          <w:tcPr>
            <w:tcW w:w="1365" w:type="pct"/>
            <w:tcBorders>
              <w:top w:val="nil"/>
              <w:left w:val="single" w:sz="4" w:space="0" w:color="auto"/>
              <w:bottom w:val="single" w:sz="4" w:space="0" w:color="auto"/>
              <w:right w:val="single" w:sz="4" w:space="0" w:color="auto"/>
            </w:tcBorders>
            <w:vAlign w:val="center"/>
          </w:tcPr>
          <w:p w14:paraId="698960AE" w14:textId="60403B0E" w:rsidR="00D002DA" w:rsidRDefault="001D2CFA" w:rsidP="009B153D">
            <w:pPr>
              <w:pStyle w:val="Style"/>
              <w:ind w:left="19"/>
              <w:jc w:val="center"/>
              <w:textAlignment w:val="baseline"/>
            </w:pPr>
            <w:r>
              <w:rPr>
                <w:b/>
                <w:sz w:val="20"/>
                <w:szCs w:val="20"/>
              </w:rPr>
              <w:t xml:space="preserve">N = </w:t>
            </w:r>
            <w:r w:rsidR="00D002DA">
              <w:rPr>
                <w:b/>
                <w:sz w:val="20"/>
                <w:szCs w:val="20"/>
              </w:rPr>
              <w:t xml:space="preserve">319 </w:t>
            </w:r>
          </w:p>
        </w:tc>
        <w:tc>
          <w:tcPr>
            <w:tcW w:w="1367" w:type="pct"/>
            <w:tcBorders>
              <w:top w:val="nil"/>
              <w:left w:val="single" w:sz="4" w:space="0" w:color="auto"/>
              <w:bottom w:val="single" w:sz="4" w:space="0" w:color="auto"/>
              <w:right w:val="single" w:sz="4" w:space="0" w:color="auto"/>
            </w:tcBorders>
            <w:vAlign w:val="center"/>
          </w:tcPr>
          <w:p w14:paraId="564EE939" w14:textId="2A7373AD" w:rsidR="00D002DA" w:rsidRDefault="001D2CFA" w:rsidP="009B153D">
            <w:pPr>
              <w:pStyle w:val="Style"/>
              <w:ind w:left="29"/>
              <w:jc w:val="center"/>
              <w:textAlignment w:val="baseline"/>
            </w:pPr>
            <w:r>
              <w:rPr>
                <w:b/>
                <w:sz w:val="20"/>
                <w:szCs w:val="20"/>
              </w:rPr>
              <w:t xml:space="preserve">N = </w:t>
            </w:r>
            <w:r w:rsidR="00D002DA">
              <w:rPr>
                <w:b/>
                <w:sz w:val="20"/>
                <w:szCs w:val="20"/>
              </w:rPr>
              <w:t xml:space="preserve">159 </w:t>
            </w:r>
          </w:p>
        </w:tc>
      </w:tr>
      <w:tr w:rsidR="00D002DA" w14:paraId="24ED9ADD" w14:textId="77777777" w:rsidTr="00D002DA">
        <w:trPr>
          <w:trHeight w:hRule="exact" w:val="389"/>
          <w:jc w:val="center"/>
        </w:trPr>
        <w:tc>
          <w:tcPr>
            <w:tcW w:w="5000" w:type="pct"/>
            <w:gridSpan w:val="3"/>
            <w:tcBorders>
              <w:top w:val="single" w:sz="4" w:space="0" w:color="auto"/>
              <w:left w:val="single" w:sz="8" w:space="0" w:color="auto"/>
              <w:bottom w:val="single" w:sz="4" w:space="0" w:color="auto"/>
              <w:right w:val="single" w:sz="4" w:space="0" w:color="auto"/>
            </w:tcBorders>
            <w:vAlign w:val="center"/>
          </w:tcPr>
          <w:p w14:paraId="6786440D" w14:textId="7CF6ED66" w:rsidR="00D002DA" w:rsidRDefault="009C2290" w:rsidP="00D002DA">
            <w:pPr>
              <w:pStyle w:val="Style"/>
              <w:ind w:left="120"/>
              <w:textAlignment w:val="baseline"/>
            </w:pPr>
            <w:r>
              <w:rPr>
                <w:sz w:val="22"/>
                <w:szCs w:val="22"/>
              </w:rPr>
              <w:t>\</w:t>
            </w:r>
            <w:r w:rsidR="00D002DA">
              <w:rPr>
                <w:sz w:val="22"/>
                <w:szCs w:val="22"/>
              </w:rPr>
              <w:t>PASI75 response rate</w:t>
            </w:r>
          </w:p>
        </w:tc>
      </w:tr>
      <w:tr w:rsidR="00D002DA" w14:paraId="457B7EC7" w14:textId="77777777" w:rsidTr="00D002DA">
        <w:trPr>
          <w:trHeight w:hRule="exact" w:val="384"/>
          <w:jc w:val="center"/>
        </w:trPr>
        <w:tc>
          <w:tcPr>
            <w:tcW w:w="2268" w:type="pct"/>
            <w:tcBorders>
              <w:top w:val="single" w:sz="4" w:space="0" w:color="auto"/>
              <w:left w:val="single" w:sz="4" w:space="0" w:color="auto"/>
              <w:bottom w:val="single" w:sz="4" w:space="0" w:color="auto"/>
              <w:right w:val="single" w:sz="4" w:space="0" w:color="auto"/>
            </w:tcBorders>
            <w:vAlign w:val="center"/>
          </w:tcPr>
          <w:p w14:paraId="4A5AD897" w14:textId="77777777" w:rsidR="00D002DA" w:rsidRDefault="00D002DA" w:rsidP="009B153D">
            <w:pPr>
              <w:pStyle w:val="Style"/>
              <w:ind w:left="389"/>
              <w:textAlignment w:val="baseline"/>
            </w:pPr>
            <w:r>
              <w:rPr>
                <w:sz w:val="22"/>
                <w:szCs w:val="22"/>
              </w:rPr>
              <w:t xml:space="preserve">n </w:t>
            </w:r>
            <w:r>
              <w:rPr>
                <w:sz w:val="21"/>
                <w:szCs w:val="21"/>
              </w:rPr>
              <w:t xml:space="preserve">(%) </w:t>
            </w:r>
          </w:p>
        </w:tc>
        <w:tc>
          <w:tcPr>
            <w:tcW w:w="1365" w:type="pct"/>
            <w:tcBorders>
              <w:top w:val="single" w:sz="4" w:space="0" w:color="auto"/>
              <w:left w:val="single" w:sz="4" w:space="0" w:color="auto"/>
              <w:bottom w:val="single" w:sz="4" w:space="0" w:color="auto"/>
              <w:right w:val="single" w:sz="4" w:space="0" w:color="auto"/>
            </w:tcBorders>
            <w:vAlign w:val="center"/>
          </w:tcPr>
          <w:p w14:paraId="1A33FD90" w14:textId="77777777" w:rsidR="00D002DA" w:rsidRDefault="00D002DA" w:rsidP="009B153D">
            <w:pPr>
              <w:pStyle w:val="Style"/>
              <w:ind w:left="19"/>
              <w:jc w:val="center"/>
              <w:textAlignment w:val="baseline"/>
            </w:pPr>
            <w:r>
              <w:rPr>
                <w:sz w:val="22"/>
                <w:szCs w:val="22"/>
              </w:rPr>
              <w:t xml:space="preserve">244 (76.5) </w:t>
            </w:r>
          </w:p>
        </w:tc>
        <w:tc>
          <w:tcPr>
            <w:tcW w:w="1367" w:type="pct"/>
            <w:tcBorders>
              <w:top w:val="single" w:sz="4" w:space="0" w:color="auto"/>
              <w:left w:val="single" w:sz="4" w:space="0" w:color="auto"/>
              <w:bottom w:val="single" w:sz="4" w:space="0" w:color="auto"/>
              <w:right w:val="single" w:sz="4" w:space="0" w:color="auto"/>
            </w:tcBorders>
            <w:vAlign w:val="center"/>
          </w:tcPr>
          <w:p w14:paraId="57933595" w14:textId="77777777" w:rsidR="00D002DA" w:rsidRDefault="00D002DA" w:rsidP="009B153D">
            <w:pPr>
              <w:pStyle w:val="Style"/>
              <w:ind w:left="29"/>
              <w:jc w:val="center"/>
              <w:textAlignment w:val="baseline"/>
            </w:pPr>
            <w:r>
              <w:rPr>
                <w:sz w:val="22"/>
                <w:szCs w:val="22"/>
              </w:rPr>
              <w:t xml:space="preserve">50 (31.4) </w:t>
            </w:r>
          </w:p>
        </w:tc>
      </w:tr>
      <w:tr w:rsidR="00D002DA" w14:paraId="15513207" w14:textId="77777777" w:rsidTr="00D002DA">
        <w:trPr>
          <w:trHeight w:hRule="exact" w:val="384"/>
          <w:jc w:val="center"/>
        </w:trPr>
        <w:tc>
          <w:tcPr>
            <w:tcW w:w="2268" w:type="pct"/>
            <w:tcBorders>
              <w:top w:val="single" w:sz="4" w:space="0" w:color="auto"/>
              <w:left w:val="single" w:sz="4" w:space="0" w:color="auto"/>
              <w:bottom w:val="single" w:sz="4" w:space="0" w:color="auto"/>
              <w:right w:val="single" w:sz="4" w:space="0" w:color="auto"/>
            </w:tcBorders>
            <w:vAlign w:val="center"/>
          </w:tcPr>
          <w:p w14:paraId="2DBB767B" w14:textId="77777777" w:rsidR="00D002DA" w:rsidRDefault="00D002DA" w:rsidP="009B153D">
            <w:pPr>
              <w:pStyle w:val="Style"/>
              <w:ind w:left="389"/>
              <w:textAlignment w:val="baseline"/>
            </w:pPr>
            <w:r>
              <w:rPr>
                <w:sz w:val="22"/>
                <w:szCs w:val="22"/>
              </w:rPr>
              <w:t>n/</w:t>
            </w:r>
            <w:proofErr w:type="spellStart"/>
            <w:r>
              <w:rPr>
                <w:sz w:val="22"/>
                <w:szCs w:val="22"/>
              </w:rPr>
              <w:t>Nsub</w:t>
            </w:r>
            <w:proofErr w:type="spellEnd"/>
            <w:r>
              <w:rPr>
                <w:sz w:val="22"/>
                <w:szCs w:val="22"/>
              </w:rPr>
              <w:t xml:space="preserve"> (%) </w:t>
            </w:r>
          </w:p>
        </w:tc>
        <w:tc>
          <w:tcPr>
            <w:tcW w:w="1365" w:type="pct"/>
            <w:tcBorders>
              <w:top w:val="single" w:sz="4" w:space="0" w:color="auto"/>
              <w:left w:val="single" w:sz="4" w:space="0" w:color="auto"/>
              <w:bottom w:val="single" w:sz="4" w:space="0" w:color="auto"/>
              <w:right w:val="single" w:sz="4" w:space="0" w:color="auto"/>
            </w:tcBorders>
            <w:vAlign w:val="center"/>
          </w:tcPr>
          <w:p w14:paraId="0BBD0C87" w14:textId="77777777" w:rsidR="00D002DA" w:rsidRDefault="00D002DA" w:rsidP="009B153D">
            <w:pPr>
              <w:pStyle w:val="Style"/>
              <w:ind w:left="19"/>
              <w:jc w:val="center"/>
              <w:textAlignment w:val="baseline"/>
            </w:pPr>
            <w:r>
              <w:rPr>
                <w:sz w:val="22"/>
                <w:szCs w:val="22"/>
              </w:rPr>
              <w:t xml:space="preserve">244/309 (79.0) </w:t>
            </w:r>
          </w:p>
        </w:tc>
        <w:tc>
          <w:tcPr>
            <w:tcW w:w="1367" w:type="pct"/>
            <w:tcBorders>
              <w:top w:val="single" w:sz="4" w:space="0" w:color="auto"/>
              <w:left w:val="single" w:sz="4" w:space="0" w:color="auto"/>
              <w:bottom w:val="single" w:sz="4" w:space="0" w:color="auto"/>
              <w:right w:val="single" w:sz="4" w:space="0" w:color="auto"/>
            </w:tcBorders>
            <w:vAlign w:val="center"/>
          </w:tcPr>
          <w:p w14:paraId="6E96413A" w14:textId="77777777" w:rsidR="00D002DA" w:rsidRDefault="00D002DA" w:rsidP="009B153D">
            <w:pPr>
              <w:pStyle w:val="Style"/>
              <w:ind w:left="29"/>
              <w:jc w:val="center"/>
              <w:textAlignment w:val="baseline"/>
            </w:pPr>
            <w:r>
              <w:rPr>
                <w:sz w:val="22"/>
                <w:szCs w:val="22"/>
              </w:rPr>
              <w:t xml:space="preserve">50/152 (32.9) </w:t>
            </w:r>
          </w:p>
        </w:tc>
      </w:tr>
      <w:tr w:rsidR="00D002DA" w14:paraId="7DAED636" w14:textId="77777777" w:rsidTr="00D002DA">
        <w:trPr>
          <w:trHeight w:hRule="exact" w:val="374"/>
          <w:jc w:val="center"/>
        </w:trPr>
        <w:tc>
          <w:tcPr>
            <w:tcW w:w="2268" w:type="pct"/>
            <w:tcBorders>
              <w:top w:val="single" w:sz="4" w:space="0" w:color="auto"/>
              <w:left w:val="single" w:sz="8" w:space="0" w:color="auto"/>
              <w:bottom w:val="single" w:sz="4" w:space="0" w:color="auto"/>
              <w:right w:val="single" w:sz="4" w:space="0" w:color="auto"/>
            </w:tcBorders>
            <w:vAlign w:val="center"/>
          </w:tcPr>
          <w:p w14:paraId="66F8F601" w14:textId="0E8D8308" w:rsidR="00D002DA" w:rsidRDefault="00D002DA" w:rsidP="009B153D">
            <w:pPr>
              <w:pStyle w:val="Style"/>
              <w:ind w:left="120"/>
              <w:textAlignment w:val="baseline"/>
            </w:pPr>
            <w:r>
              <w:rPr>
                <w:sz w:val="22"/>
                <w:szCs w:val="22"/>
              </w:rPr>
              <w:t xml:space="preserve">Odds ratio </w:t>
            </w:r>
            <w:r w:rsidR="004858E7">
              <w:rPr>
                <w:sz w:val="22"/>
                <w:szCs w:val="22"/>
              </w:rPr>
              <w:t>versus</w:t>
            </w:r>
            <w:r>
              <w:rPr>
                <w:sz w:val="22"/>
                <w:szCs w:val="22"/>
              </w:rPr>
              <w:t xml:space="preserve"> ADA </w:t>
            </w:r>
            <w:r>
              <w:rPr>
                <w:rFonts w:ascii="Arial" w:eastAsia="Arial" w:hAnsi="Arial" w:cs="Arial"/>
                <w:sz w:val="11"/>
                <w:szCs w:val="11"/>
              </w:rPr>
              <w:t xml:space="preserve">a </w:t>
            </w:r>
          </w:p>
        </w:tc>
        <w:tc>
          <w:tcPr>
            <w:tcW w:w="1365" w:type="pct"/>
            <w:tcBorders>
              <w:top w:val="single" w:sz="4" w:space="0" w:color="auto"/>
              <w:left w:val="single" w:sz="4" w:space="0" w:color="auto"/>
              <w:bottom w:val="single" w:sz="4" w:space="0" w:color="auto"/>
              <w:right w:val="single" w:sz="4" w:space="0" w:color="auto"/>
            </w:tcBorders>
            <w:vAlign w:val="center"/>
          </w:tcPr>
          <w:p w14:paraId="78027ECB" w14:textId="77777777" w:rsidR="00D002DA" w:rsidRDefault="00D002DA" w:rsidP="009B153D">
            <w:pPr>
              <w:pStyle w:val="Style"/>
              <w:ind w:left="19"/>
              <w:jc w:val="center"/>
              <w:textAlignment w:val="baseline"/>
            </w:pPr>
            <w:r>
              <w:rPr>
                <w:sz w:val="22"/>
                <w:szCs w:val="22"/>
              </w:rPr>
              <w:t xml:space="preserve">7.103 </w:t>
            </w:r>
          </w:p>
        </w:tc>
        <w:tc>
          <w:tcPr>
            <w:tcW w:w="1367" w:type="pct"/>
            <w:tcBorders>
              <w:top w:val="single" w:sz="4" w:space="0" w:color="auto"/>
              <w:left w:val="single" w:sz="4" w:space="0" w:color="auto"/>
              <w:bottom w:val="single" w:sz="4" w:space="0" w:color="auto"/>
              <w:right w:val="single" w:sz="4" w:space="0" w:color="auto"/>
            </w:tcBorders>
            <w:vAlign w:val="center"/>
          </w:tcPr>
          <w:p w14:paraId="12C72A4F" w14:textId="77777777" w:rsidR="00D002DA" w:rsidRDefault="00D002DA" w:rsidP="009B153D">
            <w:pPr>
              <w:pStyle w:val="Style"/>
              <w:ind w:left="29"/>
              <w:jc w:val="center"/>
              <w:textAlignment w:val="baseline"/>
            </w:pPr>
            <w:r>
              <w:rPr>
                <w:w w:val="110"/>
                <w:sz w:val="18"/>
                <w:szCs w:val="18"/>
              </w:rPr>
              <w:t xml:space="preserve">- </w:t>
            </w:r>
          </w:p>
        </w:tc>
      </w:tr>
      <w:tr w:rsidR="00D002DA" w14:paraId="5C7FD5E2" w14:textId="77777777" w:rsidTr="00D002DA">
        <w:trPr>
          <w:trHeight w:hRule="exact" w:val="384"/>
          <w:jc w:val="center"/>
        </w:trPr>
        <w:tc>
          <w:tcPr>
            <w:tcW w:w="2268" w:type="pct"/>
            <w:tcBorders>
              <w:top w:val="single" w:sz="4" w:space="0" w:color="auto"/>
              <w:left w:val="single" w:sz="4" w:space="0" w:color="auto"/>
              <w:bottom w:val="single" w:sz="4" w:space="0" w:color="auto"/>
              <w:right w:val="single" w:sz="4" w:space="0" w:color="auto"/>
            </w:tcBorders>
            <w:vAlign w:val="center"/>
          </w:tcPr>
          <w:p w14:paraId="375CDAB1" w14:textId="77777777" w:rsidR="00D002DA" w:rsidRDefault="00D002DA" w:rsidP="009B153D">
            <w:pPr>
              <w:pStyle w:val="Style"/>
              <w:ind w:left="389"/>
              <w:textAlignment w:val="baseline"/>
            </w:pPr>
            <w:r>
              <w:rPr>
                <w:sz w:val="22"/>
                <w:szCs w:val="22"/>
              </w:rPr>
              <w:t xml:space="preserve">95% CI for odds ratio </w:t>
            </w:r>
          </w:p>
        </w:tc>
        <w:tc>
          <w:tcPr>
            <w:tcW w:w="1365" w:type="pct"/>
            <w:tcBorders>
              <w:top w:val="single" w:sz="4" w:space="0" w:color="auto"/>
              <w:left w:val="single" w:sz="4" w:space="0" w:color="auto"/>
              <w:bottom w:val="single" w:sz="4" w:space="0" w:color="auto"/>
              <w:right w:val="single" w:sz="4" w:space="0" w:color="auto"/>
            </w:tcBorders>
            <w:vAlign w:val="center"/>
          </w:tcPr>
          <w:p w14:paraId="003E828F" w14:textId="77777777" w:rsidR="00D002DA" w:rsidRDefault="00D002DA" w:rsidP="009B153D">
            <w:pPr>
              <w:pStyle w:val="Style"/>
              <w:ind w:left="19"/>
              <w:jc w:val="center"/>
              <w:textAlignment w:val="baseline"/>
            </w:pPr>
            <w:r>
              <w:rPr>
                <w:sz w:val="22"/>
                <w:szCs w:val="22"/>
              </w:rPr>
              <w:t xml:space="preserve">4.637, 10.880 </w:t>
            </w:r>
          </w:p>
        </w:tc>
        <w:tc>
          <w:tcPr>
            <w:tcW w:w="1367" w:type="pct"/>
            <w:tcBorders>
              <w:top w:val="single" w:sz="4" w:space="0" w:color="auto"/>
              <w:left w:val="single" w:sz="4" w:space="0" w:color="auto"/>
              <w:bottom w:val="single" w:sz="4" w:space="0" w:color="auto"/>
              <w:right w:val="single" w:sz="4" w:space="0" w:color="auto"/>
            </w:tcBorders>
            <w:vAlign w:val="center"/>
          </w:tcPr>
          <w:p w14:paraId="79235BA6" w14:textId="77777777" w:rsidR="00D002DA" w:rsidRDefault="00D002DA" w:rsidP="009B153D">
            <w:pPr>
              <w:pStyle w:val="Style"/>
              <w:ind w:left="29"/>
              <w:jc w:val="center"/>
              <w:textAlignment w:val="baseline"/>
            </w:pPr>
            <w:r>
              <w:rPr>
                <w:w w:val="110"/>
                <w:sz w:val="18"/>
                <w:szCs w:val="18"/>
              </w:rPr>
              <w:t xml:space="preserve">- </w:t>
            </w:r>
          </w:p>
        </w:tc>
      </w:tr>
      <w:tr w:rsidR="00D002DA" w14:paraId="210CE4C5" w14:textId="77777777" w:rsidTr="00D002DA">
        <w:trPr>
          <w:trHeight w:hRule="exact" w:val="379"/>
          <w:jc w:val="center"/>
        </w:trPr>
        <w:tc>
          <w:tcPr>
            <w:tcW w:w="2268" w:type="pct"/>
            <w:tcBorders>
              <w:top w:val="single" w:sz="4" w:space="0" w:color="auto"/>
              <w:left w:val="single" w:sz="4" w:space="0" w:color="auto"/>
              <w:bottom w:val="single" w:sz="4" w:space="0" w:color="auto"/>
              <w:right w:val="single" w:sz="4" w:space="0" w:color="auto"/>
            </w:tcBorders>
            <w:vAlign w:val="center"/>
          </w:tcPr>
          <w:p w14:paraId="2F3D1A97" w14:textId="77777777" w:rsidR="00D002DA" w:rsidRDefault="00D002DA" w:rsidP="009B153D">
            <w:pPr>
              <w:pStyle w:val="Style"/>
              <w:ind w:left="389"/>
              <w:textAlignment w:val="baseline"/>
            </w:pPr>
            <w:r>
              <w:rPr>
                <w:sz w:val="22"/>
                <w:szCs w:val="22"/>
              </w:rPr>
              <w:t xml:space="preserve">p-value </w:t>
            </w:r>
            <w:r>
              <w:rPr>
                <w:sz w:val="12"/>
                <w:szCs w:val="12"/>
              </w:rPr>
              <w:t xml:space="preserve">b </w:t>
            </w:r>
          </w:p>
        </w:tc>
        <w:tc>
          <w:tcPr>
            <w:tcW w:w="1365" w:type="pct"/>
            <w:tcBorders>
              <w:top w:val="single" w:sz="4" w:space="0" w:color="auto"/>
              <w:left w:val="single" w:sz="4" w:space="0" w:color="auto"/>
              <w:bottom w:val="single" w:sz="4" w:space="0" w:color="auto"/>
              <w:right w:val="single" w:sz="4" w:space="0" w:color="auto"/>
            </w:tcBorders>
            <w:vAlign w:val="center"/>
          </w:tcPr>
          <w:p w14:paraId="5631E460" w14:textId="77777777" w:rsidR="00D002DA" w:rsidRDefault="00D002DA" w:rsidP="009B153D">
            <w:pPr>
              <w:pStyle w:val="Style"/>
              <w:ind w:left="19"/>
              <w:jc w:val="center"/>
              <w:textAlignment w:val="baseline"/>
            </w:pPr>
            <w:r>
              <w:rPr>
                <w:sz w:val="22"/>
                <w:szCs w:val="22"/>
              </w:rPr>
              <w:t xml:space="preserve">&lt;0.001 </w:t>
            </w:r>
          </w:p>
        </w:tc>
        <w:tc>
          <w:tcPr>
            <w:tcW w:w="1367" w:type="pct"/>
            <w:tcBorders>
              <w:top w:val="single" w:sz="4" w:space="0" w:color="auto"/>
              <w:left w:val="single" w:sz="4" w:space="0" w:color="auto"/>
              <w:bottom w:val="single" w:sz="4" w:space="0" w:color="auto"/>
              <w:right w:val="single" w:sz="4" w:space="0" w:color="auto"/>
            </w:tcBorders>
            <w:vAlign w:val="center"/>
          </w:tcPr>
          <w:p w14:paraId="531328B1" w14:textId="77777777" w:rsidR="00D002DA" w:rsidRDefault="00D002DA" w:rsidP="009B153D">
            <w:pPr>
              <w:pStyle w:val="Style"/>
              <w:ind w:left="29"/>
              <w:jc w:val="center"/>
              <w:textAlignment w:val="baseline"/>
            </w:pPr>
            <w:r>
              <w:rPr>
                <w:w w:val="110"/>
                <w:sz w:val="18"/>
                <w:szCs w:val="18"/>
              </w:rPr>
              <w:t xml:space="preserve">- </w:t>
            </w:r>
          </w:p>
        </w:tc>
      </w:tr>
    </w:tbl>
    <w:p w14:paraId="006F93F6" w14:textId="7A09F1D4" w:rsidR="00DA69D2" w:rsidRDefault="00280740" w:rsidP="00DA69D2">
      <w:pPr>
        <w:pStyle w:val="TableDescription"/>
      </w:pPr>
      <w:r>
        <w:t xml:space="preserve">Abbreviations: </w:t>
      </w:r>
      <w:r w:rsidR="00DA69D2">
        <w:t xml:space="preserve">ADA = adalimumab; BKZ = </w:t>
      </w:r>
      <w:proofErr w:type="spellStart"/>
      <w:r w:rsidR="00DA69D2">
        <w:t>bimekizumab</w:t>
      </w:r>
      <w:proofErr w:type="spellEnd"/>
      <w:r w:rsidR="00DA69D2">
        <w:t xml:space="preserve">; CI = confidence interval; CMH = Cochran-Mantel-Haenszel; NRI = </w:t>
      </w:r>
      <w:proofErr w:type="spellStart"/>
      <w:r w:rsidR="00DA69D2">
        <w:t>nonresponder</w:t>
      </w:r>
      <w:proofErr w:type="spellEnd"/>
      <w:r w:rsidR="00DA69D2">
        <w:t xml:space="preserve"> imputation; OC = observed case; PASI = Psoriasis Area and Severity Index; RS = Randomised Set</w:t>
      </w:r>
    </w:p>
    <w:p w14:paraId="538BFAFD" w14:textId="77777777" w:rsidR="00DA69D2" w:rsidRDefault="00DA69D2" w:rsidP="00DA69D2">
      <w:pPr>
        <w:pStyle w:val="TableDescription"/>
      </w:pPr>
      <w:r>
        <w:t xml:space="preserve">Note: In the n (%) row, study participants with missing data at a given week were counted as </w:t>
      </w:r>
      <w:proofErr w:type="spellStart"/>
      <w:r>
        <w:t>nonresponders</w:t>
      </w:r>
      <w:proofErr w:type="spellEnd"/>
      <w:r>
        <w:t xml:space="preserve"> (NRI).</w:t>
      </w:r>
    </w:p>
    <w:p w14:paraId="7E6A0856" w14:textId="4F802934" w:rsidR="00DA69D2" w:rsidRDefault="00DA69D2" w:rsidP="00DA69D2">
      <w:pPr>
        <w:pStyle w:val="TableDescription"/>
      </w:pPr>
      <w:r>
        <w:t>Note: In the n/</w:t>
      </w:r>
      <w:proofErr w:type="spellStart"/>
      <w:r>
        <w:t>Nsub</w:t>
      </w:r>
      <w:proofErr w:type="spellEnd"/>
      <w:r>
        <w:t xml:space="preserve"> (%) row, </w:t>
      </w:r>
      <w:proofErr w:type="spellStart"/>
      <w:r>
        <w:t>Nsub</w:t>
      </w:r>
      <w:proofErr w:type="spellEnd"/>
      <w:r>
        <w:t xml:space="preserve"> represented the number of study participants with a </w:t>
      </w:r>
      <w:proofErr w:type="spellStart"/>
      <w:r>
        <w:t>nonmissing</w:t>
      </w:r>
      <w:proofErr w:type="spellEnd"/>
      <w:r>
        <w:t xml:space="preserve"> measurement for PASI at the given week, and percentages were calculated accordingly (OC).</w:t>
      </w:r>
    </w:p>
    <w:p w14:paraId="4BCA2CE3" w14:textId="21E2E83F" w:rsidR="00DA69D2" w:rsidRDefault="00DA69D2" w:rsidP="00DA69D2">
      <w:pPr>
        <w:pStyle w:val="TableDescription"/>
      </w:pPr>
      <w:proofErr w:type="spellStart"/>
      <w:proofErr w:type="gramStart"/>
      <w:r>
        <w:rPr>
          <w:sz w:val="13"/>
          <w:szCs w:val="13"/>
        </w:rPr>
        <w:t>a</w:t>
      </w:r>
      <w:proofErr w:type="spellEnd"/>
      <w:proofErr w:type="gramEnd"/>
      <w:r>
        <w:rPr>
          <w:sz w:val="13"/>
          <w:szCs w:val="13"/>
        </w:rPr>
        <w:t xml:space="preserve"> </w:t>
      </w:r>
      <w:r>
        <w:t>Odds ratio for BKZ/ADA was calculated using stratified CMH test with region and prior biologic exposure as stratification variables.</w:t>
      </w:r>
    </w:p>
    <w:p w14:paraId="7B96FAC7" w14:textId="2628D0F1" w:rsidR="00850F6B" w:rsidRDefault="00DA69D2" w:rsidP="00DA69D2">
      <w:pPr>
        <w:pStyle w:val="TableDescription"/>
      </w:pPr>
      <w:r>
        <w:rPr>
          <w:sz w:val="13"/>
          <w:szCs w:val="13"/>
        </w:rPr>
        <w:t xml:space="preserve">b </w:t>
      </w:r>
      <w:r>
        <w:t>P-values for the comparison of treatment groups were based on the CMH test from the general association.</w:t>
      </w:r>
    </w:p>
    <w:p w14:paraId="2B24EA5B" w14:textId="2A54F09B" w:rsidR="00D002DA" w:rsidRPr="00ED4E8B" w:rsidRDefault="00D002DA" w:rsidP="00ED4E8B">
      <w:r w:rsidRPr="00ED4E8B">
        <w:t xml:space="preserve">For the </w:t>
      </w:r>
      <w:proofErr w:type="spellStart"/>
      <w:r w:rsidRPr="00ED4E8B">
        <w:t>PASl</w:t>
      </w:r>
      <w:proofErr w:type="spellEnd"/>
      <w:r w:rsidRPr="00ED4E8B">
        <w:t xml:space="preserve"> 90 response rate at Week 24 and Week 56, as per </w:t>
      </w:r>
      <w:r w:rsidR="00DA69D2">
        <w:fldChar w:fldCharType="begin"/>
      </w:r>
      <w:r w:rsidR="00DA69D2">
        <w:instrText xml:space="preserve"> REF _Ref129953077 \h </w:instrText>
      </w:r>
      <w:r w:rsidR="00DA69D2">
        <w:fldChar w:fldCharType="separate"/>
      </w:r>
      <w:r w:rsidR="00B54079" w:rsidRPr="00DA69D2">
        <w:t xml:space="preserve">Table </w:t>
      </w:r>
      <w:r w:rsidR="00B54079">
        <w:rPr>
          <w:noProof/>
        </w:rPr>
        <w:t>21</w:t>
      </w:r>
      <w:r w:rsidR="00DA69D2">
        <w:fldChar w:fldCharType="end"/>
      </w:r>
      <w:r w:rsidRPr="00ED4E8B">
        <w:t>:</w:t>
      </w:r>
    </w:p>
    <w:p w14:paraId="7698840B" w14:textId="377FDC40" w:rsidR="00D002DA" w:rsidRPr="00ED4E8B" w:rsidRDefault="00D002DA" w:rsidP="00ED4E8B">
      <w:pPr>
        <w:pStyle w:val="ListBullet"/>
      </w:pPr>
      <w:r w:rsidRPr="00ED4E8B">
        <w:t xml:space="preserve">the BKZ total group had a higher PASI 90 response rate compared with the </w:t>
      </w:r>
      <w:r w:rsidR="004858E7">
        <w:t>adalimumab</w:t>
      </w:r>
      <w:r w:rsidRPr="00ED4E8B">
        <w:t xml:space="preserve"> group at Week 24 (85.6% </w:t>
      </w:r>
      <w:r w:rsidR="004858E7">
        <w:t>versus</w:t>
      </w:r>
      <w:r w:rsidRPr="00ED4E8B">
        <w:t xml:space="preserve"> 51.6%, respectively, p</w:t>
      </w:r>
      <w:r w:rsidR="00DA69D2">
        <w:t xml:space="preserve"> </w:t>
      </w:r>
      <w:r w:rsidRPr="00ED4E8B">
        <w:t>&lt;</w:t>
      </w:r>
      <w:r w:rsidR="00DA69D2">
        <w:t xml:space="preserve"> </w:t>
      </w:r>
      <w:r w:rsidRPr="00ED4E8B">
        <w:t xml:space="preserve">0.001), which was a statistically significant </w:t>
      </w:r>
      <w:proofErr w:type="gramStart"/>
      <w:r w:rsidRPr="00ED4E8B">
        <w:t>difference;</w:t>
      </w:r>
      <w:proofErr w:type="gramEnd"/>
    </w:p>
    <w:p w14:paraId="4E1C1569" w14:textId="09753063" w:rsidR="00D002DA" w:rsidRPr="00ED4E8B" w:rsidRDefault="00D002DA" w:rsidP="00ED4E8B">
      <w:pPr>
        <w:pStyle w:val="ListBullet"/>
      </w:pPr>
      <w:r w:rsidRPr="00ED4E8B">
        <w:t xml:space="preserve">for the </w:t>
      </w:r>
      <w:proofErr w:type="spellStart"/>
      <w:r w:rsidR="008B40FD">
        <w:t>bimekizumab</w:t>
      </w:r>
      <w:proofErr w:type="spellEnd"/>
      <w:r w:rsidRPr="00ED4E8B">
        <w:t xml:space="preserve"> total group, the PASI 90 response rate observed at Week 24 was sustained through Week 56 (83. 7%</w:t>
      </w:r>
      <w:proofErr w:type="gramStart"/>
      <w:r w:rsidRPr="00ED4E8B">
        <w:t>);</w:t>
      </w:r>
      <w:proofErr w:type="gramEnd"/>
    </w:p>
    <w:p w14:paraId="314E5F79" w14:textId="0E8B5F1E" w:rsidR="00D002DA" w:rsidRPr="00ED4E8B" w:rsidRDefault="00D002DA" w:rsidP="00ED4E8B">
      <w:pPr>
        <w:pStyle w:val="ListBullet"/>
      </w:pPr>
      <w:r w:rsidRPr="00ED4E8B">
        <w:t xml:space="preserve">in addition, the </w:t>
      </w:r>
      <w:proofErr w:type="spellStart"/>
      <w:r w:rsidR="008B40FD">
        <w:t>bimekizumab</w:t>
      </w:r>
      <w:proofErr w:type="spellEnd"/>
      <w:r w:rsidRPr="00ED4E8B">
        <w:t xml:space="preserve"> 320</w:t>
      </w:r>
      <w:r w:rsidR="00DA69D2">
        <w:t xml:space="preserve"> </w:t>
      </w:r>
      <w:r w:rsidRPr="00ED4E8B">
        <w:t xml:space="preserve">mg </w:t>
      </w:r>
      <w:r w:rsidR="00F23C97">
        <w:t>every 4 weeks</w:t>
      </w:r>
      <w:r w:rsidRPr="00ED4E8B">
        <w:t xml:space="preserve"> group demonstrated a statistically significant and superior PASI 90 response rate compared to the </w:t>
      </w:r>
      <w:r w:rsidR="004858E7">
        <w:t>adalimumab</w:t>
      </w:r>
      <w:r w:rsidRPr="00ED4E8B">
        <w:t xml:space="preserve"> group at Week 24 (86.1 % </w:t>
      </w:r>
      <w:r w:rsidR="004858E7">
        <w:t>versus</w:t>
      </w:r>
      <w:r w:rsidRPr="00ED4E8B">
        <w:t xml:space="preserve"> 51.6%, respectively, p</w:t>
      </w:r>
      <w:r w:rsidR="00DA69D2">
        <w:t xml:space="preserve"> </w:t>
      </w:r>
      <w:r w:rsidRPr="00ED4E8B">
        <w:t>&lt;</w:t>
      </w:r>
      <w:r w:rsidR="00DA69D2">
        <w:t xml:space="preserve"> </w:t>
      </w:r>
      <w:r w:rsidRPr="00ED4E8B">
        <w:t>0.001</w:t>
      </w:r>
      <w:proofErr w:type="gramStart"/>
      <w:r w:rsidRPr="00ED4E8B">
        <w:t>);</w:t>
      </w:r>
      <w:proofErr w:type="gramEnd"/>
    </w:p>
    <w:p w14:paraId="5E32D7AA" w14:textId="50346314" w:rsidR="00D002DA" w:rsidRDefault="00D002DA" w:rsidP="00ED4E8B">
      <w:pPr>
        <w:pStyle w:val="ListBullet"/>
      </w:pPr>
      <w:r w:rsidRPr="00ED4E8B">
        <w:t xml:space="preserve">the PASI 90 response rate observed at Week 56 was similar for the </w:t>
      </w:r>
      <w:proofErr w:type="spellStart"/>
      <w:r w:rsidR="008B40FD">
        <w:t>bimekizumab</w:t>
      </w:r>
      <w:proofErr w:type="spellEnd"/>
      <w:r w:rsidRPr="00ED4E8B">
        <w:t xml:space="preserve"> 320</w:t>
      </w:r>
      <w:r w:rsidR="00DA69D2">
        <w:t> </w:t>
      </w:r>
      <w:r w:rsidRPr="00ED4E8B">
        <w:t xml:space="preserve">mg </w:t>
      </w:r>
      <w:r w:rsidR="00F23C97">
        <w:t>every 4 weeks</w:t>
      </w:r>
      <w:r w:rsidRPr="00ED4E8B">
        <w:t xml:space="preserve"> group (84.8%) and the </w:t>
      </w:r>
      <w:proofErr w:type="spellStart"/>
      <w:r w:rsidR="008B40FD">
        <w:t>bimekizumab</w:t>
      </w:r>
      <w:proofErr w:type="spellEnd"/>
      <w:r w:rsidRPr="00ED4E8B">
        <w:t xml:space="preserve"> 320</w:t>
      </w:r>
      <w:r w:rsidR="00DA69D2">
        <w:t> </w:t>
      </w:r>
      <w:r w:rsidRPr="00ED4E8B">
        <w:t xml:space="preserve">mg </w:t>
      </w:r>
      <w:r w:rsidR="00F23C97">
        <w:t>every 4</w:t>
      </w:r>
      <w:r w:rsidR="00280740">
        <w:t> </w:t>
      </w:r>
      <w:r w:rsidR="00F23C97">
        <w:t>weeks</w:t>
      </w:r>
      <w:r w:rsidRPr="00ED4E8B">
        <w:t>/</w:t>
      </w:r>
      <w:r w:rsidR="00F23C97">
        <w:t>every 8 weeks</w:t>
      </w:r>
      <w:r w:rsidRPr="00ED4E8B">
        <w:t xml:space="preserve"> group (82.6%).</w:t>
      </w:r>
    </w:p>
    <w:p w14:paraId="072847D2" w14:textId="1A765597" w:rsidR="00280740" w:rsidRPr="00280740" w:rsidRDefault="00280740" w:rsidP="006E4137">
      <w:pPr>
        <w:spacing w:before="0" w:after="200" w:line="0" w:lineRule="auto"/>
      </w:pPr>
      <w:r>
        <w:br w:type="page"/>
      </w:r>
    </w:p>
    <w:p w14:paraId="75A0C29D" w14:textId="532A5CB7" w:rsidR="00D002DA" w:rsidRDefault="00ED4E8B" w:rsidP="00DA69D2">
      <w:pPr>
        <w:pStyle w:val="TableTitle"/>
      </w:pPr>
      <w:bookmarkStart w:id="98" w:name="_Ref129953077"/>
      <w:r w:rsidRPr="00DA69D2">
        <w:lastRenderedPageBreak/>
        <w:t xml:space="preserve">Table </w:t>
      </w:r>
      <w:r w:rsidR="00172397">
        <w:fldChar w:fldCharType="begin"/>
      </w:r>
      <w:r w:rsidR="00172397">
        <w:instrText xml:space="preserve"> SEQ Table \* ARABIC </w:instrText>
      </w:r>
      <w:r w:rsidR="00172397">
        <w:fldChar w:fldCharType="separate"/>
      </w:r>
      <w:r w:rsidR="00B54079">
        <w:rPr>
          <w:noProof/>
        </w:rPr>
        <w:t>21</w:t>
      </w:r>
      <w:r w:rsidR="00172397">
        <w:rPr>
          <w:noProof/>
        </w:rPr>
        <w:fldChar w:fldCharType="end"/>
      </w:r>
      <w:bookmarkEnd w:id="98"/>
      <w:r>
        <w:t>:</w:t>
      </w:r>
      <w:r w:rsidR="00DA69D2">
        <w:t xml:space="preserve"> Study PS0008 </w:t>
      </w:r>
      <w:r w:rsidR="00DA69D2" w:rsidRPr="00DA69D2">
        <w:t>PASI90 response rates at Week 24</w:t>
      </w:r>
    </w:p>
    <w:tbl>
      <w:tblPr>
        <w:tblW w:w="5000" w:type="pct"/>
        <w:jc w:val="center"/>
        <w:tblCellMar>
          <w:left w:w="0" w:type="dxa"/>
          <w:right w:w="0" w:type="dxa"/>
        </w:tblCellMar>
        <w:tblLook w:val="0000" w:firstRow="0" w:lastRow="0" w:firstColumn="0" w:lastColumn="0" w:noHBand="0" w:noVBand="0"/>
      </w:tblPr>
      <w:tblGrid>
        <w:gridCol w:w="2488"/>
        <w:gridCol w:w="1509"/>
        <w:gridCol w:w="1500"/>
        <w:gridCol w:w="1500"/>
        <w:gridCol w:w="1497"/>
      </w:tblGrid>
      <w:tr w:rsidR="00ED4E8B" w14:paraId="628BAA95" w14:textId="77777777" w:rsidTr="009B153D">
        <w:trPr>
          <w:trHeight w:val="888"/>
          <w:jc w:val="center"/>
        </w:trPr>
        <w:tc>
          <w:tcPr>
            <w:tcW w:w="1465" w:type="pct"/>
            <w:tcBorders>
              <w:top w:val="single" w:sz="4" w:space="0" w:color="auto"/>
              <w:left w:val="single" w:sz="4" w:space="0" w:color="auto"/>
              <w:right w:val="single" w:sz="4" w:space="0" w:color="auto"/>
            </w:tcBorders>
            <w:vAlign w:val="center"/>
          </w:tcPr>
          <w:p w14:paraId="6157E4FA" w14:textId="34951F74" w:rsidR="00ED4E8B" w:rsidRDefault="00ED4E8B" w:rsidP="009B153D">
            <w:pPr>
              <w:pStyle w:val="Style"/>
              <w:textAlignment w:val="baseline"/>
            </w:pPr>
          </w:p>
        </w:tc>
        <w:tc>
          <w:tcPr>
            <w:tcW w:w="888" w:type="pct"/>
            <w:tcBorders>
              <w:top w:val="single" w:sz="4" w:space="0" w:color="auto"/>
              <w:left w:val="single" w:sz="4" w:space="0" w:color="auto"/>
              <w:right w:val="single" w:sz="4" w:space="0" w:color="auto"/>
            </w:tcBorders>
            <w:vAlign w:val="center"/>
          </w:tcPr>
          <w:p w14:paraId="607D6AFA" w14:textId="27587BE3" w:rsidR="00ED4E8B" w:rsidRDefault="00ED4E8B" w:rsidP="00ED4E8B">
            <w:pPr>
              <w:pStyle w:val="Style"/>
              <w:ind w:left="43"/>
              <w:jc w:val="center"/>
              <w:textAlignment w:val="baseline"/>
            </w:pPr>
            <w:r>
              <w:rPr>
                <w:b/>
                <w:sz w:val="21"/>
                <w:szCs w:val="21"/>
              </w:rPr>
              <w:t>BKZ</w:t>
            </w:r>
            <w:r w:rsidR="001D2CFA">
              <w:rPr>
                <w:b/>
                <w:sz w:val="21"/>
                <w:szCs w:val="21"/>
              </w:rPr>
              <w:t>320 mg</w:t>
            </w:r>
          </w:p>
          <w:p w14:paraId="467DF13B" w14:textId="6C8FCDC3" w:rsidR="00ED4E8B" w:rsidRDefault="00F23C97" w:rsidP="00ED4E8B">
            <w:pPr>
              <w:pStyle w:val="Style"/>
              <w:ind w:left="43"/>
              <w:jc w:val="center"/>
              <w:textAlignment w:val="baseline"/>
            </w:pPr>
            <w:r>
              <w:rPr>
                <w:b/>
                <w:sz w:val="21"/>
                <w:szCs w:val="21"/>
              </w:rPr>
              <w:t>every 4 weeks</w:t>
            </w:r>
            <w:r w:rsidR="00ED4E8B">
              <w:rPr>
                <w:b/>
                <w:sz w:val="21"/>
                <w:szCs w:val="21"/>
              </w:rPr>
              <w:t>/</w:t>
            </w:r>
            <w:r>
              <w:rPr>
                <w:b/>
                <w:sz w:val="21"/>
                <w:szCs w:val="21"/>
              </w:rPr>
              <w:t>every 8 weeks</w:t>
            </w:r>
          </w:p>
          <w:p w14:paraId="03F83B97" w14:textId="15AF1BD0" w:rsidR="00ED4E8B" w:rsidRDefault="001D2CFA" w:rsidP="00ED4E8B">
            <w:pPr>
              <w:pStyle w:val="Style"/>
              <w:ind w:left="43"/>
              <w:jc w:val="center"/>
              <w:textAlignment w:val="baseline"/>
            </w:pPr>
            <w:r>
              <w:rPr>
                <w:b/>
                <w:sz w:val="21"/>
                <w:szCs w:val="21"/>
              </w:rPr>
              <w:t xml:space="preserve">N = </w:t>
            </w:r>
            <w:r w:rsidR="00ED4E8B">
              <w:rPr>
                <w:b/>
                <w:sz w:val="21"/>
                <w:szCs w:val="21"/>
              </w:rPr>
              <w:t>161</w:t>
            </w:r>
          </w:p>
        </w:tc>
        <w:tc>
          <w:tcPr>
            <w:tcW w:w="883" w:type="pct"/>
            <w:tcBorders>
              <w:top w:val="single" w:sz="4" w:space="0" w:color="auto"/>
              <w:left w:val="single" w:sz="4" w:space="0" w:color="auto"/>
              <w:right w:val="single" w:sz="4" w:space="0" w:color="auto"/>
            </w:tcBorders>
            <w:vAlign w:val="center"/>
          </w:tcPr>
          <w:p w14:paraId="0CA34C98" w14:textId="6BC541BB" w:rsidR="00ED4E8B" w:rsidRDefault="00ED4E8B" w:rsidP="00ED4E8B">
            <w:pPr>
              <w:pStyle w:val="Style"/>
              <w:ind w:left="34"/>
              <w:jc w:val="center"/>
              <w:textAlignment w:val="baseline"/>
            </w:pPr>
            <w:r>
              <w:rPr>
                <w:b/>
                <w:sz w:val="21"/>
                <w:szCs w:val="21"/>
              </w:rPr>
              <w:t>BKZ</w:t>
            </w:r>
            <w:r w:rsidR="001D2CFA">
              <w:rPr>
                <w:b/>
                <w:sz w:val="21"/>
                <w:szCs w:val="21"/>
              </w:rPr>
              <w:t>320 mg</w:t>
            </w:r>
          </w:p>
          <w:p w14:paraId="6FBE126C" w14:textId="58BC4A93" w:rsidR="00ED4E8B" w:rsidRDefault="00F23C97" w:rsidP="00ED4E8B">
            <w:pPr>
              <w:pStyle w:val="Style"/>
              <w:ind w:left="34"/>
              <w:jc w:val="center"/>
              <w:textAlignment w:val="baseline"/>
            </w:pPr>
            <w:r>
              <w:rPr>
                <w:b/>
                <w:sz w:val="21"/>
                <w:szCs w:val="21"/>
              </w:rPr>
              <w:t>every 4 weeks</w:t>
            </w:r>
          </w:p>
          <w:p w14:paraId="6512D17E" w14:textId="7118D511" w:rsidR="00ED4E8B" w:rsidRDefault="001D2CFA" w:rsidP="00ED4E8B">
            <w:pPr>
              <w:pStyle w:val="Style"/>
              <w:ind w:left="34"/>
              <w:jc w:val="center"/>
              <w:textAlignment w:val="baseline"/>
            </w:pPr>
            <w:r>
              <w:rPr>
                <w:b/>
                <w:sz w:val="21"/>
                <w:szCs w:val="21"/>
              </w:rPr>
              <w:t xml:space="preserve">N = </w:t>
            </w:r>
            <w:r w:rsidR="00ED4E8B">
              <w:rPr>
                <w:b/>
                <w:sz w:val="21"/>
                <w:szCs w:val="21"/>
              </w:rPr>
              <w:t>158</w:t>
            </w:r>
          </w:p>
        </w:tc>
        <w:tc>
          <w:tcPr>
            <w:tcW w:w="883" w:type="pct"/>
            <w:tcBorders>
              <w:top w:val="single" w:sz="4" w:space="0" w:color="auto"/>
              <w:left w:val="single" w:sz="4" w:space="0" w:color="auto"/>
              <w:right w:val="single" w:sz="4" w:space="0" w:color="auto"/>
            </w:tcBorders>
            <w:vAlign w:val="center"/>
          </w:tcPr>
          <w:p w14:paraId="1BA4C46D" w14:textId="50F66E44" w:rsidR="00ED4E8B" w:rsidRDefault="00ED4E8B" w:rsidP="00ED4E8B">
            <w:pPr>
              <w:pStyle w:val="Style"/>
              <w:jc w:val="center"/>
              <w:textAlignment w:val="baseline"/>
            </w:pPr>
            <w:r>
              <w:rPr>
                <w:b/>
                <w:sz w:val="21"/>
                <w:szCs w:val="21"/>
              </w:rPr>
              <w:t>BKZ Total</w:t>
            </w:r>
          </w:p>
          <w:p w14:paraId="1DFBAD1C" w14:textId="4A637E55" w:rsidR="00ED4E8B" w:rsidRDefault="001D2CFA" w:rsidP="00ED4E8B">
            <w:pPr>
              <w:pStyle w:val="Style"/>
              <w:ind w:left="14"/>
              <w:jc w:val="center"/>
              <w:textAlignment w:val="baseline"/>
            </w:pPr>
            <w:r>
              <w:rPr>
                <w:b/>
                <w:sz w:val="21"/>
                <w:szCs w:val="21"/>
              </w:rPr>
              <w:t xml:space="preserve">N = </w:t>
            </w:r>
            <w:r w:rsidR="00ED4E8B">
              <w:rPr>
                <w:b/>
                <w:sz w:val="21"/>
                <w:szCs w:val="21"/>
              </w:rPr>
              <w:t>319</w:t>
            </w:r>
          </w:p>
        </w:tc>
        <w:tc>
          <w:tcPr>
            <w:tcW w:w="881" w:type="pct"/>
            <w:tcBorders>
              <w:top w:val="single" w:sz="4" w:space="0" w:color="auto"/>
              <w:left w:val="single" w:sz="4" w:space="0" w:color="auto"/>
              <w:right w:val="single" w:sz="4" w:space="0" w:color="auto"/>
            </w:tcBorders>
            <w:vAlign w:val="center"/>
          </w:tcPr>
          <w:p w14:paraId="0EC7E42A" w14:textId="711061C5" w:rsidR="00ED4E8B" w:rsidRDefault="00ED4E8B" w:rsidP="00ED4E8B">
            <w:pPr>
              <w:pStyle w:val="Style"/>
              <w:jc w:val="center"/>
              <w:textAlignment w:val="baseline"/>
            </w:pPr>
            <w:r>
              <w:rPr>
                <w:b/>
                <w:sz w:val="21"/>
                <w:szCs w:val="21"/>
              </w:rPr>
              <w:t>ADA</w:t>
            </w:r>
          </w:p>
          <w:p w14:paraId="5B2CD8F2" w14:textId="1C80002B" w:rsidR="00ED4E8B" w:rsidRDefault="001D2CFA" w:rsidP="00ED4E8B">
            <w:pPr>
              <w:pStyle w:val="Style"/>
              <w:ind w:left="34"/>
              <w:jc w:val="center"/>
              <w:textAlignment w:val="baseline"/>
            </w:pPr>
            <w:r>
              <w:rPr>
                <w:b/>
                <w:sz w:val="21"/>
                <w:szCs w:val="21"/>
              </w:rPr>
              <w:t xml:space="preserve">N = </w:t>
            </w:r>
            <w:r w:rsidR="00ED4E8B">
              <w:rPr>
                <w:b/>
                <w:sz w:val="21"/>
                <w:szCs w:val="21"/>
              </w:rPr>
              <w:t>159</w:t>
            </w:r>
          </w:p>
        </w:tc>
      </w:tr>
      <w:tr w:rsidR="00ED4E8B" w14:paraId="4A69AECD" w14:textId="77777777" w:rsidTr="00ED4E8B">
        <w:trPr>
          <w:trHeight w:hRule="exact" w:val="398"/>
          <w:jc w:val="center"/>
        </w:trPr>
        <w:tc>
          <w:tcPr>
            <w:tcW w:w="5000" w:type="pct"/>
            <w:gridSpan w:val="5"/>
            <w:tcBorders>
              <w:top w:val="single" w:sz="4" w:space="0" w:color="auto"/>
              <w:left w:val="single" w:sz="8" w:space="0" w:color="auto"/>
              <w:bottom w:val="single" w:sz="4" w:space="0" w:color="auto"/>
              <w:right w:val="single" w:sz="4" w:space="0" w:color="auto"/>
            </w:tcBorders>
            <w:vAlign w:val="center"/>
          </w:tcPr>
          <w:p w14:paraId="2DAC69F5" w14:textId="224C1F97" w:rsidR="00ED4E8B" w:rsidRDefault="00ED4E8B" w:rsidP="00ED4E8B">
            <w:pPr>
              <w:pStyle w:val="Style"/>
              <w:ind w:left="120"/>
              <w:textAlignment w:val="baseline"/>
            </w:pPr>
            <w:r>
              <w:rPr>
                <w:sz w:val="20"/>
                <w:szCs w:val="20"/>
              </w:rPr>
              <w:t>PASI90 response rate</w:t>
            </w:r>
          </w:p>
        </w:tc>
      </w:tr>
      <w:tr w:rsidR="00ED4E8B" w14:paraId="3B7EBBD2" w14:textId="77777777" w:rsidTr="00ED4E8B">
        <w:trPr>
          <w:trHeight w:hRule="exact" w:val="374"/>
          <w:jc w:val="center"/>
        </w:trPr>
        <w:tc>
          <w:tcPr>
            <w:tcW w:w="1465" w:type="pct"/>
            <w:tcBorders>
              <w:top w:val="single" w:sz="4" w:space="0" w:color="auto"/>
              <w:left w:val="single" w:sz="4" w:space="0" w:color="auto"/>
              <w:bottom w:val="single" w:sz="4" w:space="0" w:color="auto"/>
              <w:right w:val="single" w:sz="4" w:space="0" w:color="auto"/>
            </w:tcBorders>
            <w:vAlign w:val="center"/>
          </w:tcPr>
          <w:p w14:paraId="5363BD4C" w14:textId="77777777" w:rsidR="00ED4E8B" w:rsidRDefault="00ED4E8B" w:rsidP="009B153D">
            <w:pPr>
              <w:pStyle w:val="Style"/>
              <w:ind w:left="389"/>
              <w:textAlignment w:val="baseline"/>
            </w:pPr>
            <w:r>
              <w:rPr>
                <w:sz w:val="20"/>
                <w:szCs w:val="20"/>
              </w:rPr>
              <w:t xml:space="preserve">n (%) </w:t>
            </w:r>
          </w:p>
        </w:tc>
        <w:tc>
          <w:tcPr>
            <w:tcW w:w="888" w:type="pct"/>
            <w:tcBorders>
              <w:top w:val="single" w:sz="4" w:space="0" w:color="auto"/>
              <w:left w:val="single" w:sz="4" w:space="0" w:color="auto"/>
              <w:bottom w:val="single" w:sz="4" w:space="0" w:color="auto"/>
              <w:right w:val="single" w:sz="4" w:space="0" w:color="auto"/>
            </w:tcBorders>
            <w:vAlign w:val="center"/>
          </w:tcPr>
          <w:p w14:paraId="3461E9BF" w14:textId="77777777" w:rsidR="00ED4E8B" w:rsidRDefault="00ED4E8B" w:rsidP="009B153D">
            <w:pPr>
              <w:pStyle w:val="Style"/>
              <w:ind w:left="43"/>
              <w:jc w:val="center"/>
              <w:textAlignment w:val="baseline"/>
            </w:pPr>
            <w:r>
              <w:rPr>
                <w:sz w:val="20"/>
                <w:szCs w:val="20"/>
              </w:rPr>
              <w:t xml:space="preserve">137 (85.1) </w:t>
            </w:r>
          </w:p>
        </w:tc>
        <w:tc>
          <w:tcPr>
            <w:tcW w:w="883" w:type="pct"/>
            <w:tcBorders>
              <w:top w:val="single" w:sz="4" w:space="0" w:color="auto"/>
              <w:left w:val="single" w:sz="4" w:space="0" w:color="auto"/>
              <w:bottom w:val="single" w:sz="4" w:space="0" w:color="auto"/>
              <w:right w:val="single" w:sz="4" w:space="0" w:color="auto"/>
            </w:tcBorders>
            <w:vAlign w:val="center"/>
          </w:tcPr>
          <w:p w14:paraId="2B5115C3" w14:textId="77777777" w:rsidR="00ED4E8B" w:rsidRDefault="00ED4E8B" w:rsidP="009B153D">
            <w:pPr>
              <w:pStyle w:val="Style"/>
              <w:ind w:left="34"/>
              <w:jc w:val="center"/>
              <w:textAlignment w:val="baseline"/>
            </w:pPr>
            <w:r>
              <w:rPr>
                <w:sz w:val="20"/>
                <w:szCs w:val="20"/>
              </w:rPr>
              <w:t xml:space="preserve">136 (86.1) </w:t>
            </w:r>
          </w:p>
        </w:tc>
        <w:tc>
          <w:tcPr>
            <w:tcW w:w="883" w:type="pct"/>
            <w:tcBorders>
              <w:top w:val="single" w:sz="4" w:space="0" w:color="auto"/>
              <w:left w:val="single" w:sz="4" w:space="0" w:color="auto"/>
              <w:bottom w:val="single" w:sz="4" w:space="0" w:color="auto"/>
              <w:right w:val="single" w:sz="4" w:space="0" w:color="auto"/>
            </w:tcBorders>
            <w:vAlign w:val="center"/>
          </w:tcPr>
          <w:p w14:paraId="60BC975B" w14:textId="77777777" w:rsidR="00ED4E8B" w:rsidRDefault="00ED4E8B" w:rsidP="009B153D">
            <w:pPr>
              <w:pStyle w:val="Style"/>
              <w:ind w:left="14"/>
              <w:jc w:val="center"/>
              <w:textAlignment w:val="baseline"/>
            </w:pPr>
            <w:r>
              <w:rPr>
                <w:sz w:val="20"/>
                <w:szCs w:val="20"/>
              </w:rPr>
              <w:t xml:space="preserve">273 (85.6) </w:t>
            </w:r>
          </w:p>
        </w:tc>
        <w:tc>
          <w:tcPr>
            <w:tcW w:w="881" w:type="pct"/>
            <w:tcBorders>
              <w:top w:val="single" w:sz="4" w:space="0" w:color="auto"/>
              <w:left w:val="single" w:sz="4" w:space="0" w:color="auto"/>
              <w:bottom w:val="single" w:sz="4" w:space="0" w:color="auto"/>
              <w:right w:val="single" w:sz="4" w:space="0" w:color="auto"/>
            </w:tcBorders>
            <w:vAlign w:val="center"/>
          </w:tcPr>
          <w:p w14:paraId="3E075CC5" w14:textId="77777777" w:rsidR="00ED4E8B" w:rsidRDefault="00ED4E8B" w:rsidP="009B153D">
            <w:pPr>
              <w:pStyle w:val="Style"/>
              <w:ind w:left="34"/>
              <w:jc w:val="center"/>
              <w:textAlignment w:val="baseline"/>
            </w:pPr>
            <w:r>
              <w:rPr>
                <w:sz w:val="20"/>
                <w:szCs w:val="20"/>
              </w:rPr>
              <w:t xml:space="preserve">82 (51.6) </w:t>
            </w:r>
          </w:p>
        </w:tc>
      </w:tr>
      <w:tr w:rsidR="00ED4E8B" w14:paraId="0CA54547" w14:textId="77777777" w:rsidTr="00ED4E8B">
        <w:trPr>
          <w:trHeight w:hRule="exact" w:val="384"/>
          <w:jc w:val="center"/>
        </w:trPr>
        <w:tc>
          <w:tcPr>
            <w:tcW w:w="1465" w:type="pct"/>
            <w:tcBorders>
              <w:top w:val="single" w:sz="4" w:space="0" w:color="auto"/>
              <w:left w:val="single" w:sz="4" w:space="0" w:color="auto"/>
              <w:bottom w:val="single" w:sz="4" w:space="0" w:color="auto"/>
              <w:right w:val="single" w:sz="4" w:space="0" w:color="auto"/>
            </w:tcBorders>
            <w:vAlign w:val="center"/>
          </w:tcPr>
          <w:p w14:paraId="07F8415B" w14:textId="77777777" w:rsidR="00ED4E8B" w:rsidRDefault="00ED4E8B" w:rsidP="009B153D">
            <w:pPr>
              <w:pStyle w:val="Style"/>
              <w:ind w:left="389"/>
              <w:textAlignment w:val="baseline"/>
            </w:pPr>
            <w:r>
              <w:rPr>
                <w:sz w:val="20"/>
                <w:szCs w:val="20"/>
              </w:rPr>
              <w:t>n/</w:t>
            </w:r>
            <w:proofErr w:type="spellStart"/>
            <w:r>
              <w:rPr>
                <w:sz w:val="20"/>
                <w:szCs w:val="20"/>
              </w:rPr>
              <w:t>Nsub</w:t>
            </w:r>
            <w:proofErr w:type="spellEnd"/>
            <w:r>
              <w:rPr>
                <w:sz w:val="20"/>
                <w:szCs w:val="20"/>
              </w:rPr>
              <w:t xml:space="preserve"> (%) </w:t>
            </w:r>
          </w:p>
        </w:tc>
        <w:tc>
          <w:tcPr>
            <w:tcW w:w="888" w:type="pct"/>
            <w:tcBorders>
              <w:top w:val="single" w:sz="4" w:space="0" w:color="auto"/>
              <w:left w:val="single" w:sz="4" w:space="0" w:color="auto"/>
              <w:bottom w:val="single" w:sz="4" w:space="0" w:color="auto"/>
              <w:right w:val="single" w:sz="4" w:space="0" w:color="auto"/>
            </w:tcBorders>
            <w:vAlign w:val="center"/>
          </w:tcPr>
          <w:p w14:paraId="59F00045" w14:textId="77777777" w:rsidR="00ED4E8B" w:rsidRDefault="00ED4E8B" w:rsidP="009B153D">
            <w:pPr>
              <w:pStyle w:val="Style"/>
              <w:ind w:left="43"/>
              <w:jc w:val="center"/>
              <w:textAlignment w:val="baseline"/>
            </w:pPr>
            <w:r>
              <w:rPr>
                <w:sz w:val="20"/>
                <w:szCs w:val="20"/>
              </w:rPr>
              <w:t xml:space="preserve">137/149 (91.9) </w:t>
            </w:r>
          </w:p>
        </w:tc>
        <w:tc>
          <w:tcPr>
            <w:tcW w:w="883" w:type="pct"/>
            <w:tcBorders>
              <w:top w:val="single" w:sz="4" w:space="0" w:color="auto"/>
              <w:left w:val="single" w:sz="4" w:space="0" w:color="auto"/>
              <w:bottom w:val="single" w:sz="4" w:space="0" w:color="auto"/>
              <w:right w:val="single" w:sz="4" w:space="0" w:color="auto"/>
            </w:tcBorders>
            <w:vAlign w:val="center"/>
          </w:tcPr>
          <w:p w14:paraId="67474A74" w14:textId="77777777" w:rsidR="00ED4E8B" w:rsidRDefault="00ED4E8B" w:rsidP="009B153D">
            <w:pPr>
              <w:pStyle w:val="Style"/>
              <w:ind w:left="34"/>
              <w:jc w:val="center"/>
              <w:textAlignment w:val="baseline"/>
            </w:pPr>
            <w:r>
              <w:rPr>
                <w:sz w:val="20"/>
                <w:szCs w:val="20"/>
              </w:rPr>
              <w:t xml:space="preserve">136/149 (91.3) </w:t>
            </w:r>
          </w:p>
        </w:tc>
        <w:tc>
          <w:tcPr>
            <w:tcW w:w="883" w:type="pct"/>
            <w:tcBorders>
              <w:top w:val="single" w:sz="4" w:space="0" w:color="auto"/>
              <w:left w:val="single" w:sz="4" w:space="0" w:color="auto"/>
              <w:bottom w:val="single" w:sz="4" w:space="0" w:color="auto"/>
              <w:right w:val="single" w:sz="4" w:space="0" w:color="auto"/>
            </w:tcBorders>
            <w:vAlign w:val="center"/>
          </w:tcPr>
          <w:p w14:paraId="350039DB" w14:textId="77777777" w:rsidR="00ED4E8B" w:rsidRDefault="00ED4E8B" w:rsidP="009B153D">
            <w:pPr>
              <w:pStyle w:val="Style"/>
              <w:ind w:left="14"/>
              <w:jc w:val="center"/>
              <w:textAlignment w:val="baseline"/>
            </w:pPr>
            <w:r>
              <w:rPr>
                <w:sz w:val="20"/>
                <w:szCs w:val="20"/>
              </w:rPr>
              <w:t xml:space="preserve">273/298 (91.6) </w:t>
            </w:r>
          </w:p>
        </w:tc>
        <w:tc>
          <w:tcPr>
            <w:tcW w:w="881" w:type="pct"/>
            <w:tcBorders>
              <w:top w:val="single" w:sz="4" w:space="0" w:color="auto"/>
              <w:left w:val="single" w:sz="4" w:space="0" w:color="auto"/>
              <w:bottom w:val="single" w:sz="4" w:space="0" w:color="auto"/>
              <w:right w:val="single" w:sz="4" w:space="0" w:color="auto"/>
            </w:tcBorders>
            <w:vAlign w:val="center"/>
          </w:tcPr>
          <w:p w14:paraId="64B847BF" w14:textId="77777777" w:rsidR="00ED4E8B" w:rsidRDefault="00ED4E8B" w:rsidP="009B153D">
            <w:pPr>
              <w:pStyle w:val="Style"/>
              <w:ind w:left="34"/>
              <w:jc w:val="center"/>
              <w:textAlignment w:val="baseline"/>
            </w:pPr>
            <w:r>
              <w:rPr>
                <w:sz w:val="20"/>
                <w:szCs w:val="20"/>
              </w:rPr>
              <w:t xml:space="preserve">82/147 (55.8) </w:t>
            </w:r>
          </w:p>
        </w:tc>
      </w:tr>
      <w:tr w:rsidR="00ED4E8B" w14:paraId="14AA5413" w14:textId="77777777" w:rsidTr="00ED4E8B">
        <w:trPr>
          <w:trHeight w:hRule="exact" w:val="384"/>
          <w:jc w:val="center"/>
        </w:trPr>
        <w:tc>
          <w:tcPr>
            <w:tcW w:w="1465" w:type="pct"/>
            <w:tcBorders>
              <w:top w:val="single" w:sz="4" w:space="0" w:color="auto"/>
              <w:left w:val="single" w:sz="4" w:space="0" w:color="auto"/>
              <w:bottom w:val="single" w:sz="4" w:space="0" w:color="auto"/>
              <w:right w:val="single" w:sz="4" w:space="0" w:color="auto"/>
            </w:tcBorders>
            <w:vAlign w:val="center"/>
          </w:tcPr>
          <w:p w14:paraId="3B5F74EF" w14:textId="136811D3" w:rsidR="00ED4E8B" w:rsidRDefault="00ED4E8B" w:rsidP="009B153D">
            <w:pPr>
              <w:pStyle w:val="Style"/>
              <w:ind w:left="120"/>
              <w:textAlignment w:val="baseline"/>
            </w:pPr>
            <w:r>
              <w:rPr>
                <w:sz w:val="20"/>
                <w:szCs w:val="20"/>
              </w:rPr>
              <w:t xml:space="preserve">Odds ratio </w:t>
            </w:r>
            <w:r w:rsidR="004858E7">
              <w:rPr>
                <w:sz w:val="20"/>
                <w:szCs w:val="20"/>
              </w:rPr>
              <w:t>versus</w:t>
            </w:r>
            <w:r>
              <w:rPr>
                <w:sz w:val="20"/>
                <w:szCs w:val="20"/>
              </w:rPr>
              <w:t xml:space="preserve"> ADA </w:t>
            </w:r>
            <w:r>
              <w:rPr>
                <w:rFonts w:ascii="Arial" w:eastAsia="Arial" w:hAnsi="Arial" w:cs="Arial"/>
                <w:sz w:val="11"/>
                <w:szCs w:val="11"/>
              </w:rPr>
              <w:t xml:space="preserve">a </w:t>
            </w:r>
          </w:p>
        </w:tc>
        <w:tc>
          <w:tcPr>
            <w:tcW w:w="888" w:type="pct"/>
            <w:tcBorders>
              <w:top w:val="single" w:sz="4" w:space="0" w:color="auto"/>
              <w:left w:val="single" w:sz="4" w:space="0" w:color="auto"/>
              <w:bottom w:val="single" w:sz="4" w:space="0" w:color="auto"/>
              <w:right w:val="single" w:sz="4" w:space="0" w:color="auto"/>
            </w:tcBorders>
            <w:vAlign w:val="center"/>
          </w:tcPr>
          <w:p w14:paraId="5815BAE2" w14:textId="77777777" w:rsidR="00ED4E8B" w:rsidRDefault="00ED4E8B" w:rsidP="009B153D">
            <w:pPr>
              <w:pStyle w:val="Style"/>
              <w:ind w:left="43"/>
              <w:jc w:val="center"/>
              <w:textAlignment w:val="baseline"/>
            </w:pPr>
            <w:r>
              <w:rPr>
                <w:sz w:val="20"/>
                <w:szCs w:val="20"/>
              </w:rPr>
              <w:t xml:space="preserve">5.284 </w:t>
            </w:r>
          </w:p>
        </w:tc>
        <w:tc>
          <w:tcPr>
            <w:tcW w:w="883" w:type="pct"/>
            <w:tcBorders>
              <w:top w:val="single" w:sz="4" w:space="0" w:color="auto"/>
              <w:left w:val="single" w:sz="4" w:space="0" w:color="auto"/>
              <w:bottom w:val="single" w:sz="4" w:space="0" w:color="auto"/>
              <w:right w:val="single" w:sz="4" w:space="0" w:color="auto"/>
            </w:tcBorders>
            <w:vAlign w:val="center"/>
          </w:tcPr>
          <w:p w14:paraId="54AF4392" w14:textId="77777777" w:rsidR="00ED4E8B" w:rsidRDefault="00ED4E8B" w:rsidP="009B153D">
            <w:pPr>
              <w:pStyle w:val="Style"/>
              <w:ind w:left="34"/>
              <w:jc w:val="center"/>
              <w:textAlignment w:val="baseline"/>
            </w:pPr>
            <w:r>
              <w:rPr>
                <w:sz w:val="20"/>
                <w:szCs w:val="20"/>
              </w:rPr>
              <w:t xml:space="preserve">6.231 </w:t>
            </w:r>
          </w:p>
        </w:tc>
        <w:tc>
          <w:tcPr>
            <w:tcW w:w="883" w:type="pct"/>
            <w:tcBorders>
              <w:top w:val="single" w:sz="4" w:space="0" w:color="auto"/>
              <w:left w:val="single" w:sz="4" w:space="0" w:color="auto"/>
              <w:bottom w:val="single" w:sz="4" w:space="0" w:color="auto"/>
              <w:right w:val="single" w:sz="4" w:space="0" w:color="auto"/>
            </w:tcBorders>
            <w:vAlign w:val="center"/>
          </w:tcPr>
          <w:p w14:paraId="62C01F37" w14:textId="77777777" w:rsidR="00ED4E8B" w:rsidRDefault="00ED4E8B" w:rsidP="009B153D">
            <w:pPr>
              <w:pStyle w:val="Style"/>
              <w:ind w:left="14"/>
              <w:jc w:val="center"/>
              <w:textAlignment w:val="baseline"/>
            </w:pPr>
            <w:r>
              <w:rPr>
                <w:sz w:val="20"/>
                <w:szCs w:val="20"/>
              </w:rPr>
              <w:t xml:space="preserve">5.750 </w:t>
            </w:r>
          </w:p>
        </w:tc>
        <w:tc>
          <w:tcPr>
            <w:tcW w:w="881" w:type="pct"/>
            <w:tcBorders>
              <w:top w:val="single" w:sz="4" w:space="0" w:color="auto"/>
              <w:left w:val="single" w:sz="4" w:space="0" w:color="auto"/>
              <w:bottom w:val="single" w:sz="4" w:space="0" w:color="auto"/>
              <w:right w:val="single" w:sz="4" w:space="0" w:color="auto"/>
            </w:tcBorders>
            <w:vAlign w:val="center"/>
          </w:tcPr>
          <w:p w14:paraId="7F7A5F63" w14:textId="77777777" w:rsidR="00ED4E8B" w:rsidRDefault="00ED4E8B" w:rsidP="009B153D">
            <w:pPr>
              <w:pStyle w:val="Style"/>
              <w:ind w:left="34"/>
              <w:jc w:val="center"/>
              <w:textAlignment w:val="baseline"/>
            </w:pPr>
            <w:r>
              <w:rPr>
                <w:w w:val="110"/>
                <w:sz w:val="18"/>
                <w:szCs w:val="18"/>
              </w:rPr>
              <w:t xml:space="preserve">- </w:t>
            </w:r>
          </w:p>
        </w:tc>
      </w:tr>
      <w:tr w:rsidR="00ED4E8B" w14:paraId="4722E5D9" w14:textId="77777777" w:rsidTr="00ED4E8B">
        <w:trPr>
          <w:trHeight w:hRule="exact" w:val="384"/>
          <w:jc w:val="center"/>
        </w:trPr>
        <w:tc>
          <w:tcPr>
            <w:tcW w:w="1465" w:type="pct"/>
            <w:tcBorders>
              <w:top w:val="single" w:sz="4" w:space="0" w:color="auto"/>
              <w:left w:val="single" w:sz="4" w:space="0" w:color="auto"/>
              <w:bottom w:val="single" w:sz="4" w:space="0" w:color="auto"/>
              <w:right w:val="single" w:sz="4" w:space="0" w:color="auto"/>
            </w:tcBorders>
            <w:vAlign w:val="center"/>
          </w:tcPr>
          <w:p w14:paraId="65682129" w14:textId="77777777" w:rsidR="00ED4E8B" w:rsidRDefault="00ED4E8B" w:rsidP="009B153D">
            <w:pPr>
              <w:pStyle w:val="Style"/>
              <w:ind w:left="389"/>
              <w:textAlignment w:val="baseline"/>
            </w:pPr>
            <w:r>
              <w:rPr>
                <w:sz w:val="20"/>
                <w:szCs w:val="20"/>
              </w:rPr>
              <w:t xml:space="preserve">95% CI for odds ratio </w:t>
            </w:r>
          </w:p>
        </w:tc>
        <w:tc>
          <w:tcPr>
            <w:tcW w:w="888" w:type="pct"/>
            <w:tcBorders>
              <w:top w:val="single" w:sz="4" w:space="0" w:color="auto"/>
              <w:left w:val="single" w:sz="4" w:space="0" w:color="auto"/>
              <w:bottom w:val="single" w:sz="4" w:space="0" w:color="auto"/>
              <w:right w:val="single" w:sz="4" w:space="0" w:color="auto"/>
            </w:tcBorders>
            <w:vAlign w:val="center"/>
          </w:tcPr>
          <w:p w14:paraId="66CD0DF0" w14:textId="77777777" w:rsidR="00ED4E8B" w:rsidRDefault="00ED4E8B" w:rsidP="009B153D">
            <w:pPr>
              <w:pStyle w:val="Style"/>
              <w:ind w:left="43"/>
              <w:jc w:val="center"/>
              <w:textAlignment w:val="baseline"/>
            </w:pPr>
            <w:r>
              <w:rPr>
                <w:sz w:val="20"/>
                <w:szCs w:val="20"/>
              </w:rPr>
              <w:t xml:space="preserve">3.084, 9.054 </w:t>
            </w:r>
          </w:p>
        </w:tc>
        <w:tc>
          <w:tcPr>
            <w:tcW w:w="883" w:type="pct"/>
            <w:tcBorders>
              <w:top w:val="single" w:sz="4" w:space="0" w:color="auto"/>
              <w:left w:val="single" w:sz="4" w:space="0" w:color="auto"/>
              <w:bottom w:val="single" w:sz="4" w:space="0" w:color="auto"/>
              <w:right w:val="single" w:sz="4" w:space="0" w:color="auto"/>
            </w:tcBorders>
            <w:vAlign w:val="center"/>
          </w:tcPr>
          <w:p w14:paraId="639CAD8A" w14:textId="77777777" w:rsidR="00ED4E8B" w:rsidRDefault="00ED4E8B" w:rsidP="009B153D">
            <w:pPr>
              <w:pStyle w:val="Style"/>
              <w:ind w:left="34"/>
              <w:jc w:val="center"/>
              <w:textAlignment w:val="baseline"/>
            </w:pPr>
            <w:r>
              <w:rPr>
                <w:sz w:val="20"/>
                <w:szCs w:val="20"/>
              </w:rPr>
              <w:t xml:space="preserve">3.515, 11.046 </w:t>
            </w:r>
          </w:p>
        </w:tc>
        <w:tc>
          <w:tcPr>
            <w:tcW w:w="883" w:type="pct"/>
            <w:tcBorders>
              <w:top w:val="single" w:sz="4" w:space="0" w:color="auto"/>
              <w:left w:val="single" w:sz="4" w:space="0" w:color="auto"/>
              <w:bottom w:val="single" w:sz="4" w:space="0" w:color="auto"/>
              <w:right w:val="single" w:sz="4" w:space="0" w:color="auto"/>
            </w:tcBorders>
            <w:vAlign w:val="center"/>
          </w:tcPr>
          <w:p w14:paraId="0CBA82EB" w14:textId="77777777" w:rsidR="00ED4E8B" w:rsidRDefault="00ED4E8B" w:rsidP="009B153D">
            <w:pPr>
              <w:pStyle w:val="Style"/>
              <w:ind w:left="14"/>
              <w:jc w:val="center"/>
              <w:textAlignment w:val="baseline"/>
            </w:pPr>
            <w:r>
              <w:rPr>
                <w:sz w:val="20"/>
                <w:szCs w:val="20"/>
              </w:rPr>
              <w:t xml:space="preserve">3.657, 9.041 </w:t>
            </w:r>
          </w:p>
        </w:tc>
        <w:tc>
          <w:tcPr>
            <w:tcW w:w="881" w:type="pct"/>
            <w:tcBorders>
              <w:top w:val="single" w:sz="4" w:space="0" w:color="auto"/>
              <w:left w:val="single" w:sz="4" w:space="0" w:color="auto"/>
              <w:bottom w:val="single" w:sz="4" w:space="0" w:color="auto"/>
              <w:right w:val="single" w:sz="4" w:space="0" w:color="auto"/>
            </w:tcBorders>
            <w:vAlign w:val="center"/>
          </w:tcPr>
          <w:p w14:paraId="6A3D278B" w14:textId="77777777" w:rsidR="00ED4E8B" w:rsidRDefault="00ED4E8B" w:rsidP="009B153D">
            <w:pPr>
              <w:pStyle w:val="Style"/>
              <w:ind w:left="34"/>
              <w:jc w:val="center"/>
              <w:textAlignment w:val="baseline"/>
            </w:pPr>
            <w:r>
              <w:rPr>
                <w:w w:val="110"/>
                <w:sz w:val="18"/>
                <w:szCs w:val="18"/>
              </w:rPr>
              <w:t xml:space="preserve">- </w:t>
            </w:r>
          </w:p>
        </w:tc>
      </w:tr>
      <w:tr w:rsidR="00ED4E8B" w14:paraId="2B077B84" w14:textId="77777777" w:rsidTr="00ED4E8B">
        <w:trPr>
          <w:trHeight w:hRule="exact" w:val="379"/>
          <w:jc w:val="center"/>
        </w:trPr>
        <w:tc>
          <w:tcPr>
            <w:tcW w:w="1465" w:type="pct"/>
            <w:tcBorders>
              <w:top w:val="single" w:sz="4" w:space="0" w:color="auto"/>
              <w:left w:val="single" w:sz="4" w:space="0" w:color="auto"/>
              <w:bottom w:val="single" w:sz="4" w:space="0" w:color="auto"/>
              <w:right w:val="single" w:sz="4" w:space="0" w:color="auto"/>
            </w:tcBorders>
            <w:vAlign w:val="center"/>
          </w:tcPr>
          <w:p w14:paraId="20D89452" w14:textId="77777777" w:rsidR="00ED4E8B" w:rsidRDefault="00ED4E8B" w:rsidP="009B153D">
            <w:pPr>
              <w:pStyle w:val="Style"/>
              <w:ind w:left="389"/>
              <w:textAlignment w:val="baseline"/>
            </w:pPr>
            <w:r>
              <w:rPr>
                <w:sz w:val="20"/>
                <w:szCs w:val="20"/>
              </w:rPr>
              <w:t xml:space="preserve">p-value </w:t>
            </w:r>
            <w:r>
              <w:rPr>
                <w:sz w:val="12"/>
                <w:szCs w:val="12"/>
              </w:rPr>
              <w:t xml:space="preserve">b </w:t>
            </w:r>
          </w:p>
        </w:tc>
        <w:tc>
          <w:tcPr>
            <w:tcW w:w="888" w:type="pct"/>
            <w:tcBorders>
              <w:top w:val="single" w:sz="4" w:space="0" w:color="auto"/>
              <w:left w:val="single" w:sz="4" w:space="0" w:color="auto"/>
              <w:bottom w:val="single" w:sz="4" w:space="0" w:color="auto"/>
              <w:right w:val="single" w:sz="4" w:space="0" w:color="auto"/>
            </w:tcBorders>
            <w:vAlign w:val="center"/>
          </w:tcPr>
          <w:p w14:paraId="2FBEC324" w14:textId="77777777" w:rsidR="00ED4E8B" w:rsidRDefault="00ED4E8B" w:rsidP="009B153D">
            <w:pPr>
              <w:pStyle w:val="Style"/>
              <w:ind w:left="43"/>
              <w:jc w:val="center"/>
              <w:textAlignment w:val="baseline"/>
            </w:pPr>
            <w:r>
              <w:rPr>
                <w:sz w:val="20"/>
                <w:szCs w:val="20"/>
              </w:rPr>
              <w:t xml:space="preserve">&lt;0.001 </w:t>
            </w:r>
            <w:r>
              <w:rPr>
                <w:sz w:val="8"/>
                <w:szCs w:val="8"/>
              </w:rPr>
              <w:t xml:space="preserve">C </w:t>
            </w:r>
          </w:p>
        </w:tc>
        <w:tc>
          <w:tcPr>
            <w:tcW w:w="883" w:type="pct"/>
            <w:tcBorders>
              <w:top w:val="single" w:sz="4" w:space="0" w:color="auto"/>
              <w:left w:val="single" w:sz="4" w:space="0" w:color="auto"/>
              <w:bottom w:val="single" w:sz="4" w:space="0" w:color="auto"/>
              <w:right w:val="single" w:sz="4" w:space="0" w:color="auto"/>
            </w:tcBorders>
            <w:vAlign w:val="center"/>
          </w:tcPr>
          <w:p w14:paraId="4450FC24" w14:textId="77777777" w:rsidR="00ED4E8B" w:rsidRDefault="00ED4E8B" w:rsidP="009B153D">
            <w:pPr>
              <w:pStyle w:val="Style"/>
              <w:ind w:left="34"/>
              <w:jc w:val="center"/>
              <w:textAlignment w:val="baseline"/>
            </w:pPr>
            <w:r>
              <w:rPr>
                <w:sz w:val="20"/>
                <w:szCs w:val="20"/>
              </w:rPr>
              <w:t xml:space="preserve">&lt;0.001 </w:t>
            </w:r>
          </w:p>
        </w:tc>
        <w:tc>
          <w:tcPr>
            <w:tcW w:w="883" w:type="pct"/>
            <w:tcBorders>
              <w:top w:val="single" w:sz="4" w:space="0" w:color="auto"/>
              <w:left w:val="single" w:sz="4" w:space="0" w:color="auto"/>
              <w:bottom w:val="single" w:sz="4" w:space="0" w:color="auto"/>
              <w:right w:val="single" w:sz="4" w:space="0" w:color="auto"/>
            </w:tcBorders>
            <w:vAlign w:val="center"/>
          </w:tcPr>
          <w:p w14:paraId="71E5D687" w14:textId="77777777" w:rsidR="00ED4E8B" w:rsidRDefault="00ED4E8B" w:rsidP="009B153D">
            <w:pPr>
              <w:pStyle w:val="Style"/>
              <w:ind w:left="14"/>
              <w:jc w:val="center"/>
              <w:textAlignment w:val="baseline"/>
            </w:pPr>
            <w:r>
              <w:rPr>
                <w:sz w:val="20"/>
                <w:szCs w:val="20"/>
              </w:rPr>
              <w:t xml:space="preserve">&lt;0.001 </w:t>
            </w:r>
          </w:p>
        </w:tc>
        <w:tc>
          <w:tcPr>
            <w:tcW w:w="881" w:type="pct"/>
            <w:tcBorders>
              <w:top w:val="single" w:sz="4" w:space="0" w:color="auto"/>
              <w:left w:val="single" w:sz="4" w:space="0" w:color="auto"/>
              <w:bottom w:val="single" w:sz="4" w:space="0" w:color="auto"/>
              <w:right w:val="single" w:sz="4" w:space="0" w:color="auto"/>
            </w:tcBorders>
            <w:vAlign w:val="center"/>
          </w:tcPr>
          <w:p w14:paraId="1963F700" w14:textId="77777777" w:rsidR="00ED4E8B" w:rsidRDefault="00ED4E8B" w:rsidP="009B153D">
            <w:pPr>
              <w:pStyle w:val="Style"/>
              <w:ind w:left="34"/>
              <w:jc w:val="center"/>
              <w:textAlignment w:val="baseline"/>
            </w:pPr>
            <w:r>
              <w:rPr>
                <w:w w:val="110"/>
                <w:sz w:val="18"/>
                <w:szCs w:val="18"/>
              </w:rPr>
              <w:t xml:space="preserve">- </w:t>
            </w:r>
          </w:p>
        </w:tc>
      </w:tr>
    </w:tbl>
    <w:p w14:paraId="6132419E" w14:textId="12B5D183" w:rsidR="00DA69D2" w:rsidRDefault="00DA69D2" w:rsidP="00DA69D2">
      <w:pPr>
        <w:pStyle w:val="TableDescription"/>
      </w:pPr>
      <w:r>
        <w:t xml:space="preserve">ADA = adalimumab; BKZ = </w:t>
      </w:r>
      <w:proofErr w:type="spellStart"/>
      <w:r>
        <w:t>bimekizumab</w:t>
      </w:r>
      <w:proofErr w:type="spellEnd"/>
      <w:r>
        <w:t xml:space="preserve">; CI = confidence interval; CMH = Cochran-Mantel-Haenszel; NRI = </w:t>
      </w:r>
      <w:proofErr w:type="spellStart"/>
      <w:r>
        <w:t>nonresponder</w:t>
      </w:r>
      <w:proofErr w:type="spellEnd"/>
      <w:r>
        <w:t xml:space="preserve"> imputation; OC = observed case; PASI = Psoriasis Area and Severity Index; Q4W = every 4 weeks; Q8W = every 8 weeks; RS = Randomised Set</w:t>
      </w:r>
    </w:p>
    <w:p w14:paraId="600C2908" w14:textId="77777777" w:rsidR="00DA69D2" w:rsidRDefault="00DA69D2" w:rsidP="00DA69D2">
      <w:pPr>
        <w:pStyle w:val="TableDescription"/>
      </w:pPr>
      <w:r>
        <w:t xml:space="preserve">Note: In the n (%) row, study participants with missing data at a given week were counted as </w:t>
      </w:r>
      <w:proofErr w:type="spellStart"/>
      <w:r>
        <w:t>nonresponders</w:t>
      </w:r>
      <w:proofErr w:type="spellEnd"/>
      <w:r>
        <w:t xml:space="preserve"> (NRI).</w:t>
      </w:r>
    </w:p>
    <w:p w14:paraId="023B82C6" w14:textId="556C23C0" w:rsidR="00DA69D2" w:rsidRDefault="00DA69D2" w:rsidP="00DA69D2">
      <w:pPr>
        <w:pStyle w:val="TableDescription"/>
      </w:pPr>
      <w:r>
        <w:t>Note: In the n/</w:t>
      </w:r>
      <w:proofErr w:type="spellStart"/>
      <w:r>
        <w:t>Nsub</w:t>
      </w:r>
      <w:proofErr w:type="spellEnd"/>
      <w:r>
        <w:t xml:space="preserve"> (%) row, </w:t>
      </w:r>
      <w:proofErr w:type="spellStart"/>
      <w:r>
        <w:t>Nsub</w:t>
      </w:r>
      <w:proofErr w:type="spellEnd"/>
      <w:r>
        <w:t xml:space="preserve"> represented the number of study participants with a </w:t>
      </w:r>
      <w:proofErr w:type="spellStart"/>
      <w:r>
        <w:t>nonmissing</w:t>
      </w:r>
      <w:proofErr w:type="spellEnd"/>
      <w:r>
        <w:t xml:space="preserve"> measurement for PASI at the given week, and percentages were calculated accordingly (OC).</w:t>
      </w:r>
    </w:p>
    <w:p w14:paraId="7328471D" w14:textId="2F9FC23B" w:rsidR="00DA69D2" w:rsidRDefault="00DA69D2" w:rsidP="00DA69D2">
      <w:pPr>
        <w:pStyle w:val="TableDescription"/>
      </w:pPr>
      <w:proofErr w:type="spellStart"/>
      <w:proofErr w:type="gramStart"/>
      <w:r>
        <w:t>a</w:t>
      </w:r>
      <w:proofErr w:type="spellEnd"/>
      <w:proofErr w:type="gramEnd"/>
      <w:r>
        <w:t xml:space="preserve"> Odds ratio for BKZ/ADA was calculated using stratified CMH test with region and prior biologic exposure as stratification variables.</w:t>
      </w:r>
    </w:p>
    <w:p w14:paraId="6B3D1E7D" w14:textId="77777777" w:rsidR="00DA69D2" w:rsidRDefault="00DA69D2" w:rsidP="00DA69D2">
      <w:pPr>
        <w:pStyle w:val="TableDescription"/>
      </w:pPr>
      <w:r>
        <w:t>b P-values for the comparison of treatment groups were based on the CMH test from the general association.</w:t>
      </w:r>
    </w:p>
    <w:p w14:paraId="50709F5F" w14:textId="22C7A476" w:rsidR="00DA69D2" w:rsidRDefault="00DA69D2" w:rsidP="00DA69D2">
      <w:pPr>
        <w:pStyle w:val="TableDescription"/>
      </w:pPr>
      <w:r>
        <w:t>c Nominal p-value</w:t>
      </w:r>
    </w:p>
    <w:p w14:paraId="024B775F" w14:textId="1C98D050" w:rsidR="00ED4E8B" w:rsidRDefault="00ED4E8B" w:rsidP="00ED4E8B">
      <w:r>
        <w:t xml:space="preserve">For the IGA 0/1 response rates at Week 24 and Week 56, as per </w:t>
      </w:r>
      <w:r w:rsidR="00DA69D2">
        <w:fldChar w:fldCharType="begin"/>
      </w:r>
      <w:r w:rsidR="00DA69D2">
        <w:instrText xml:space="preserve"> REF _Ref129953221 \h </w:instrText>
      </w:r>
      <w:r w:rsidR="00DA69D2">
        <w:fldChar w:fldCharType="separate"/>
      </w:r>
      <w:r w:rsidR="00B54079" w:rsidRPr="00DA69D2">
        <w:t xml:space="preserve">Table </w:t>
      </w:r>
      <w:r w:rsidR="00B54079">
        <w:rPr>
          <w:noProof/>
        </w:rPr>
        <w:t>22</w:t>
      </w:r>
      <w:r w:rsidR="00DA69D2">
        <w:fldChar w:fldCharType="end"/>
      </w:r>
      <w:r w:rsidR="00DA69D2">
        <w:t xml:space="preserve"> and </w:t>
      </w:r>
      <w:r w:rsidR="00DA69D2">
        <w:fldChar w:fldCharType="begin"/>
      </w:r>
      <w:r w:rsidR="00DA69D2">
        <w:instrText xml:space="preserve"> REF _Ref129953370 \h </w:instrText>
      </w:r>
      <w:r w:rsidR="00DA69D2">
        <w:fldChar w:fldCharType="separate"/>
      </w:r>
      <w:r w:rsidR="00B54079" w:rsidRPr="00DA69D2">
        <w:t xml:space="preserve">Table </w:t>
      </w:r>
      <w:r w:rsidR="00B54079">
        <w:rPr>
          <w:noProof/>
        </w:rPr>
        <w:t>23</w:t>
      </w:r>
      <w:r w:rsidR="00DA69D2">
        <w:fldChar w:fldCharType="end"/>
      </w:r>
      <w:r w:rsidR="00DA69D2">
        <w:t>:</w:t>
      </w:r>
    </w:p>
    <w:p w14:paraId="7392AB26" w14:textId="78D7A462" w:rsidR="00ED4E8B" w:rsidRDefault="00ED4E8B" w:rsidP="00ED4E8B">
      <w:pPr>
        <w:pStyle w:val="ListBullet"/>
      </w:pPr>
      <w:r>
        <w:t xml:space="preserve">the </w:t>
      </w:r>
      <w:proofErr w:type="spellStart"/>
      <w:r w:rsidR="008B40FD">
        <w:t>bimekizumab</w:t>
      </w:r>
      <w:proofErr w:type="spellEnd"/>
      <w:r>
        <w:t xml:space="preserve"> total group had a higher IGA 0/1 response rate compared with the </w:t>
      </w:r>
      <w:r w:rsidR="004858E7">
        <w:t>adalimumab</w:t>
      </w:r>
      <w:r>
        <w:t xml:space="preserve"> group at Week 24 (86.5% </w:t>
      </w:r>
      <w:r w:rsidR="004858E7">
        <w:t>versus</w:t>
      </w:r>
      <w:r>
        <w:t xml:space="preserve"> 57.9%, respectively; p</w:t>
      </w:r>
      <w:r w:rsidR="00280740">
        <w:t xml:space="preserve"> </w:t>
      </w:r>
      <w:r>
        <w:t>&lt;</w:t>
      </w:r>
      <w:r w:rsidR="00280740">
        <w:t xml:space="preserve"> </w:t>
      </w:r>
      <w:r>
        <w:t xml:space="preserve">0.001), which was a statistically significant </w:t>
      </w:r>
      <w:proofErr w:type="gramStart"/>
      <w:r>
        <w:t>difference;</w:t>
      </w:r>
      <w:proofErr w:type="gramEnd"/>
    </w:p>
    <w:p w14:paraId="534084BF" w14:textId="6976C4D1" w:rsidR="00ED4E8B" w:rsidRDefault="00ED4E8B" w:rsidP="00ED4E8B">
      <w:pPr>
        <w:pStyle w:val="ListBullet"/>
      </w:pPr>
      <w:r>
        <w:t xml:space="preserve">for the </w:t>
      </w:r>
      <w:proofErr w:type="spellStart"/>
      <w:r w:rsidR="008B40FD">
        <w:t>bimekizumab</w:t>
      </w:r>
      <w:proofErr w:type="spellEnd"/>
      <w:r>
        <w:t xml:space="preserve"> total group, the IGA 0/1 response rate observed at Week 24 was sustained through Week 56 (82.8%</w:t>
      </w:r>
      <w:proofErr w:type="gramStart"/>
      <w:r>
        <w:t>);</w:t>
      </w:r>
      <w:proofErr w:type="gramEnd"/>
    </w:p>
    <w:p w14:paraId="7BCACECB" w14:textId="6AAF4D99" w:rsidR="00ED4E8B" w:rsidRDefault="00ED4E8B" w:rsidP="00ED4E8B">
      <w:pPr>
        <w:pStyle w:val="ListBullet"/>
      </w:pPr>
      <w:r>
        <w:t xml:space="preserve">in addition, the </w:t>
      </w:r>
      <w:proofErr w:type="spellStart"/>
      <w:r w:rsidR="008B40FD">
        <w:t>bimekizumab</w:t>
      </w:r>
      <w:proofErr w:type="spellEnd"/>
      <w:r>
        <w:t xml:space="preserve"> </w:t>
      </w:r>
      <w:r w:rsidR="001D2CFA">
        <w:t>320 mg</w:t>
      </w:r>
      <w:r>
        <w:t xml:space="preserve"> </w:t>
      </w:r>
      <w:r w:rsidR="00F23C97">
        <w:t>every 4 weeks</w:t>
      </w:r>
      <w:r>
        <w:t xml:space="preserve"> group demonstrated a statistically significant superior IGA 0/1 response rate compared to the </w:t>
      </w:r>
      <w:r w:rsidR="004858E7">
        <w:t>adalimumab</w:t>
      </w:r>
      <w:r>
        <w:t xml:space="preserve"> group at Week 24 (86.1 % </w:t>
      </w:r>
      <w:r w:rsidR="004858E7">
        <w:t>versus</w:t>
      </w:r>
      <w:r>
        <w:t xml:space="preserve"> 57.9%, respectively; p</w:t>
      </w:r>
      <w:r w:rsidR="00280740">
        <w:t xml:space="preserve"> </w:t>
      </w:r>
      <w:r>
        <w:t>&lt;</w:t>
      </w:r>
      <w:r w:rsidR="00280740">
        <w:t xml:space="preserve"> </w:t>
      </w:r>
      <w:r>
        <w:t>0.001</w:t>
      </w:r>
      <w:proofErr w:type="gramStart"/>
      <w:r>
        <w:t>);</w:t>
      </w:r>
      <w:proofErr w:type="gramEnd"/>
    </w:p>
    <w:p w14:paraId="1914B8B4" w14:textId="4006F4A8" w:rsidR="00B57A0A" w:rsidRDefault="00ED4E8B" w:rsidP="00B57A0A">
      <w:pPr>
        <w:pStyle w:val="ListBullet"/>
      </w:pPr>
      <w:r>
        <w:t xml:space="preserve">The IGA 0/1 response rate observed at Week 56 was similar for the </w:t>
      </w:r>
      <w:proofErr w:type="spellStart"/>
      <w:r w:rsidR="008B40FD">
        <w:t>bimekizumab</w:t>
      </w:r>
      <w:proofErr w:type="spellEnd"/>
      <w:r>
        <w:t xml:space="preserve"> </w:t>
      </w:r>
      <w:r w:rsidR="001D2CFA">
        <w:t>320 mg</w:t>
      </w:r>
      <w:r>
        <w:t xml:space="preserve"> </w:t>
      </w:r>
      <w:r w:rsidR="00F23C97">
        <w:t>every 4 weeks</w:t>
      </w:r>
      <w:r>
        <w:t xml:space="preserve"> group (82.3%) and the </w:t>
      </w:r>
      <w:proofErr w:type="spellStart"/>
      <w:r w:rsidR="008B40FD">
        <w:t>bimekizumab</w:t>
      </w:r>
      <w:proofErr w:type="spellEnd"/>
      <w:r>
        <w:t xml:space="preserve"> </w:t>
      </w:r>
      <w:r w:rsidR="001D2CFA">
        <w:t>320 mg</w:t>
      </w:r>
      <w:r>
        <w:t xml:space="preserve"> </w:t>
      </w:r>
      <w:r w:rsidR="00F23C97">
        <w:t>every 4 weeks</w:t>
      </w:r>
      <w:r>
        <w:t>/</w:t>
      </w:r>
      <w:r w:rsidR="00F23C97">
        <w:t>every 8</w:t>
      </w:r>
      <w:r w:rsidR="00280740">
        <w:t> </w:t>
      </w:r>
      <w:r w:rsidR="00F23C97">
        <w:t>weeks</w:t>
      </w:r>
      <w:r>
        <w:t xml:space="preserve"> group (83.2%).</w:t>
      </w:r>
    </w:p>
    <w:p w14:paraId="187E81EF" w14:textId="484B7049" w:rsidR="00B57A0A" w:rsidRDefault="00B57A0A">
      <w:pPr>
        <w:spacing w:before="0" w:after="200" w:line="0" w:lineRule="auto"/>
      </w:pPr>
      <w:r>
        <w:br w:type="page"/>
      </w:r>
    </w:p>
    <w:p w14:paraId="3E2EE3AB" w14:textId="3371E0C0" w:rsidR="00ED4E8B" w:rsidRDefault="00ED4E8B" w:rsidP="00DA69D2">
      <w:pPr>
        <w:pStyle w:val="TableTitle"/>
      </w:pPr>
      <w:bookmarkStart w:id="99" w:name="_Ref129953221"/>
      <w:r w:rsidRPr="00DA69D2">
        <w:lastRenderedPageBreak/>
        <w:t xml:space="preserve">Table </w:t>
      </w:r>
      <w:r w:rsidR="00172397">
        <w:fldChar w:fldCharType="begin"/>
      </w:r>
      <w:r w:rsidR="00172397">
        <w:instrText xml:space="preserve"> SEQ Table \* ARABIC </w:instrText>
      </w:r>
      <w:r w:rsidR="00172397">
        <w:fldChar w:fldCharType="separate"/>
      </w:r>
      <w:r w:rsidR="00B54079">
        <w:rPr>
          <w:noProof/>
        </w:rPr>
        <w:t>22</w:t>
      </w:r>
      <w:r w:rsidR="00172397">
        <w:rPr>
          <w:noProof/>
        </w:rPr>
        <w:fldChar w:fldCharType="end"/>
      </w:r>
      <w:bookmarkEnd w:id="99"/>
      <w:r>
        <w:t>:</w:t>
      </w:r>
      <w:r w:rsidR="00DA69D2">
        <w:t xml:space="preserve"> Study PS0008</w:t>
      </w:r>
      <w:r w:rsidRPr="00ED4E8B">
        <w:t xml:space="preserve"> IGA 0/1 response rates at Week 24</w:t>
      </w:r>
    </w:p>
    <w:tbl>
      <w:tblPr>
        <w:tblW w:w="5000" w:type="pct"/>
        <w:jc w:val="center"/>
        <w:tblCellMar>
          <w:left w:w="0" w:type="dxa"/>
          <w:right w:w="0" w:type="dxa"/>
        </w:tblCellMar>
        <w:tblLook w:val="0000" w:firstRow="0" w:lastRow="0" w:firstColumn="0" w:lastColumn="0" w:noHBand="0" w:noVBand="0"/>
      </w:tblPr>
      <w:tblGrid>
        <w:gridCol w:w="2488"/>
        <w:gridCol w:w="1509"/>
        <w:gridCol w:w="1500"/>
        <w:gridCol w:w="1500"/>
        <w:gridCol w:w="1497"/>
      </w:tblGrid>
      <w:tr w:rsidR="00ED4E8B" w14:paraId="25F6EF21" w14:textId="77777777" w:rsidTr="009B153D">
        <w:trPr>
          <w:trHeight w:val="888"/>
          <w:jc w:val="center"/>
        </w:trPr>
        <w:tc>
          <w:tcPr>
            <w:tcW w:w="1465" w:type="pct"/>
            <w:tcBorders>
              <w:top w:val="single" w:sz="4" w:space="0" w:color="auto"/>
              <w:left w:val="single" w:sz="4" w:space="0" w:color="auto"/>
              <w:right w:val="single" w:sz="4" w:space="0" w:color="auto"/>
            </w:tcBorders>
            <w:vAlign w:val="center"/>
          </w:tcPr>
          <w:p w14:paraId="488A6577" w14:textId="77777777" w:rsidR="00ED4E8B" w:rsidRDefault="00ED4E8B" w:rsidP="009B153D">
            <w:pPr>
              <w:pStyle w:val="Style"/>
              <w:textAlignment w:val="baseline"/>
            </w:pPr>
          </w:p>
        </w:tc>
        <w:tc>
          <w:tcPr>
            <w:tcW w:w="888" w:type="pct"/>
            <w:tcBorders>
              <w:top w:val="single" w:sz="4" w:space="0" w:color="auto"/>
              <w:left w:val="single" w:sz="4" w:space="0" w:color="auto"/>
              <w:right w:val="single" w:sz="4" w:space="0" w:color="auto"/>
            </w:tcBorders>
            <w:vAlign w:val="center"/>
          </w:tcPr>
          <w:p w14:paraId="496BD0B6" w14:textId="139A65B2" w:rsidR="00ED4E8B" w:rsidRDefault="00ED4E8B" w:rsidP="009B153D">
            <w:pPr>
              <w:pStyle w:val="Style"/>
              <w:ind w:left="43"/>
              <w:textAlignment w:val="baseline"/>
            </w:pPr>
            <w:r>
              <w:rPr>
                <w:b/>
                <w:sz w:val="21"/>
                <w:szCs w:val="21"/>
              </w:rPr>
              <w:t>BKZ</w:t>
            </w:r>
            <w:r w:rsidR="00DA69D2">
              <w:rPr>
                <w:b/>
                <w:sz w:val="21"/>
                <w:szCs w:val="21"/>
              </w:rPr>
              <w:t xml:space="preserve"> </w:t>
            </w:r>
            <w:r>
              <w:rPr>
                <w:b/>
                <w:sz w:val="21"/>
                <w:szCs w:val="21"/>
              </w:rPr>
              <w:t>320</w:t>
            </w:r>
            <w:r w:rsidR="00DA69D2">
              <w:rPr>
                <w:b/>
                <w:sz w:val="21"/>
                <w:szCs w:val="21"/>
              </w:rPr>
              <w:t xml:space="preserve"> </w:t>
            </w:r>
            <w:r>
              <w:rPr>
                <w:b/>
                <w:sz w:val="21"/>
                <w:szCs w:val="21"/>
              </w:rPr>
              <w:t>mg</w:t>
            </w:r>
          </w:p>
          <w:p w14:paraId="4832B2CE" w14:textId="3BB3021E" w:rsidR="00ED4E8B" w:rsidRDefault="00F23C97" w:rsidP="009B153D">
            <w:pPr>
              <w:pStyle w:val="Style"/>
              <w:ind w:left="43"/>
              <w:textAlignment w:val="baseline"/>
            </w:pPr>
            <w:r>
              <w:rPr>
                <w:b/>
                <w:sz w:val="21"/>
                <w:szCs w:val="21"/>
              </w:rPr>
              <w:t>every 4 weeks</w:t>
            </w:r>
            <w:r w:rsidR="00ED4E8B">
              <w:rPr>
                <w:b/>
                <w:sz w:val="21"/>
                <w:szCs w:val="21"/>
              </w:rPr>
              <w:t>/</w:t>
            </w:r>
            <w:r>
              <w:rPr>
                <w:b/>
                <w:sz w:val="21"/>
                <w:szCs w:val="21"/>
              </w:rPr>
              <w:t>every 8 weeks</w:t>
            </w:r>
          </w:p>
          <w:p w14:paraId="00635E93" w14:textId="7E01BC9E" w:rsidR="00ED4E8B" w:rsidRDefault="00ED4E8B" w:rsidP="009B153D">
            <w:pPr>
              <w:pStyle w:val="Style"/>
              <w:ind w:left="43"/>
              <w:textAlignment w:val="baseline"/>
            </w:pPr>
            <w:r>
              <w:rPr>
                <w:b/>
                <w:sz w:val="21"/>
                <w:szCs w:val="21"/>
              </w:rPr>
              <w:t>N</w:t>
            </w:r>
            <w:r w:rsidR="00DA69D2">
              <w:rPr>
                <w:b/>
                <w:sz w:val="21"/>
                <w:szCs w:val="21"/>
              </w:rPr>
              <w:t xml:space="preserve"> </w:t>
            </w:r>
            <w:r>
              <w:rPr>
                <w:b/>
                <w:sz w:val="21"/>
                <w:szCs w:val="21"/>
              </w:rPr>
              <w:t>=</w:t>
            </w:r>
            <w:r w:rsidR="00DA69D2">
              <w:rPr>
                <w:b/>
                <w:sz w:val="21"/>
                <w:szCs w:val="21"/>
              </w:rPr>
              <w:t xml:space="preserve"> </w:t>
            </w:r>
            <w:r>
              <w:rPr>
                <w:b/>
                <w:sz w:val="21"/>
                <w:szCs w:val="21"/>
              </w:rPr>
              <w:t>161</w:t>
            </w:r>
          </w:p>
        </w:tc>
        <w:tc>
          <w:tcPr>
            <w:tcW w:w="883" w:type="pct"/>
            <w:tcBorders>
              <w:top w:val="single" w:sz="4" w:space="0" w:color="auto"/>
              <w:left w:val="single" w:sz="4" w:space="0" w:color="auto"/>
              <w:right w:val="single" w:sz="4" w:space="0" w:color="auto"/>
            </w:tcBorders>
            <w:vAlign w:val="center"/>
          </w:tcPr>
          <w:p w14:paraId="6AD2FEB9" w14:textId="0B4530F2" w:rsidR="00ED4E8B" w:rsidRDefault="00ED4E8B" w:rsidP="009B153D">
            <w:pPr>
              <w:pStyle w:val="Style"/>
              <w:ind w:left="34"/>
              <w:textAlignment w:val="baseline"/>
            </w:pPr>
            <w:r>
              <w:rPr>
                <w:b/>
                <w:sz w:val="21"/>
                <w:szCs w:val="21"/>
              </w:rPr>
              <w:t>BKZ</w:t>
            </w:r>
            <w:r w:rsidR="00DA69D2">
              <w:rPr>
                <w:b/>
                <w:sz w:val="21"/>
                <w:szCs w:val="21"/>
              </w:rPr>
              <w:t xml:space="preserve"> </w:t>
            </w:r>
            <w:r>
              <w:rPr>
                <w:b/>
                <w:sz w:val="21"/>
                <w:szCs w:val="21"/>
              </w:rPr>
              <w:t>320</w:t>
            </w:r>
            <w:r w:rsidR="00DA69D2">
              <w:rPr>
                <w:b/>
                <w:sz w:val="21"/>
                <w:szCs w:val="21"/>
              </w:rPr>
              <w:t xml:space="preserve"> </w:t>
            </w:r>
            <w:r>
              <w:rPr>
                <w:b/>
                <w:sz w:val="21"/>
                <w:szCs w:val="21"/>
              </w:rPr>
              <w:t>mg</w:t>
            </w:r>
          </w:p>
          <w:p w14:paraId="3B82E256" w14:textId="4E9CDEF7" w:rsidR="00ED4E8B" w:rsidRDefault="00F23C97" w:rsidP="009B153D">
            <w:pPr>
              <w:pStyle w:val="Style"/>
              <w:ind w:left="34"/>
              <w:textAlignment w:val="baseline"/>
            </w:pPr>
            <w:r>
              <w:rPr>
                <w:b/>
                <w:sz w:val="21"/>
                <w:szCs w:val="21"/>
              </w:rPr>
              <w:t>every 4 weeks</w:t>
            </w:r>
          </w:p>
          <w:p w14:paraId="7F2FE6CB" w14:textId="644D5AB1" w:rsidR="00ED4E8B" w:rsidRDefault="00ED4E8B" w:rsidP="009B153D">
            <w:pPr>
              <w:pStyle w:val="Style"/>
              <w:ind w:left="34"/>
              <w:textAlignment w:val="baseline"/>
            </w:pPr>
            <w:r>
              <w:rPr>
                <w:b/>
                <w:sz w:val="21"/>
                <w:szCs w:val="21"/>
              </w:rPr>
              <w:t>N</w:t>
            </w:r>
            <w:r w:rsidR="00DA69D2">
              <w:rPr>
                <w:b/>
                <w:sz w:val="21"/>
                <w:szCs w:val="21"/>
              </w:rPr>
              <w:t xml:space="preserve"> </w:t>
            </w:r>
            <w:r>
              <w:rPr>
                <w:b/>
                <w:sz w:val="21"/>
                <w:szCs w:val="21"/>
              </w:rPr>
              <w:t>=</w:t>
            </w:r>
            <w:r w:rsidR="00DA69D2">
              <w:rPr>
                <w:b/>
                <w:sz w:val="21"/>
                <w:szCs w:val="21"/>
              </w:rPr>
              <w:t xml:space="preserve"> </w:t>
            </w:r>
            <w:r>
              <w:rPr>
                <w:b/>
                <w:sz w:val="21"/>
                <w:szCs w:val="21"/>
              </w:rPr>
              <w:t>158</w:t>
            </w:r>
          </w:p>
        </w:tc>
        <w:tc>
          <w:tcPr>
            <w:tcW w:w="883" w:type="pct"/>
            <w:tcBorders>
              <w:top w:val="single" w:sz="4" w:space="0" w:color="auto"/>
              <w:left w:val="single" w:sz="4" w:space="0" w:color="auto"/>
              <w:right w:val="single" w:sz="4" w:space="0" w:color="auto"/>
            </w:tcBorders>
            <w:vAlign w:val="center"/>
          </w:tcPr>
          <w:p w14:paraId="10371CC4" w14:textId="77777777" w:rsidR="00ED4E8B" w:rsidRDefault="00ED4E8B" w:rsidP="009B153D">
            <w:pPr>
              <w:pStyle w:val="Style"/>
              <w:ind w:left="14"/>
              <w:textAlignment w:val="baseline"/>
            </w:pPr>
            <w:r>
              <w:rPr>
                <w:b/>
                <w:sz w:val="21"/>
                <w:szCs w:val="21"/>
              </w:rPr>
              <w:t>BKZ Total</w:t>
            </w:r>
          </w:p>
          <w:p w14:paraId="6BB5FF31" w14:textId="53C7D57F" w:rsidR="00ED4E8B" w:rsidRDefault="00ED4E8B" w:rsidP="009B153D">
            <w:pPr>
              <w:pStyle w:val="Style"/>
              <w:ind w:left="14"/>
              <w:textAlignment w:val="baseline"/>
            </w:pPr>
            <w:r>
              <w:rPr>
                <w:b/>
                <w:sz w:val="21"/>
                <w:szCs w:val="21"/>
              </w:rPr>
              <w:t>N</w:t>
            </w:r>
            <w:r w:rsidR="00DA69D2">
              <w:rPr>
                <w:b/>
                <w:sz w:val="21"/>
                <w:szCs w:val="21"/>
              </w:rPr>
              <w:t xml:space="preserve"> </w:t>
            </w:r>
            <w:r>
              <w:rPr>
                <w:b/>
                <w:sz w:val="21"/>
                <w:szCs w:val="21"/>
              </w:rPr>
              <w:t>=</w:t>
            </w:r>
            <w:r w:rsidR="00DA69D2">
              <w:rPr>
                <w:b/>
                <w:sz w:val="21"/>
                <w:szCs w:val="21"/>
              </w:rPr>
              <w:t xml:space="preserve"> </w:t>
            </w:r>
            <w:r>
              <w:rPr>
                <w:b/>
                <w:sz w:val="21"/>
                <w:szCs w:val="21"/>
              </w:rPr>
              <w:t>319</w:t>
            </w:r>
          </w:p>
        </w:tc>
        <w:tc>
          <w:tcPr>
            <w:tcW w:w="881" w:type="pct"/>
            <w:tcBorders>
              <w:top w:val="single" w:sz="4" w:space="0" w:color="auto"/>
              <w:left w:val="single" w:sz="4" w:space="0" w:color="auto"/>
              <w:right w:val="single" w:sz="4" w:space="0" w:color="auto"/>
            </w:tcBorders>
            <w:vAlign w:val="center"/>
          </w:tcPr>
          <w:p w14:paraId="02A47ACA" w14:textId="77777777" w:rsidR="00ED4E8B" w:rsidRDefault="00ED4E8B" w:rsidP="009B153D">
            <w:pPr>
              <w:pStyle w:val="Style"/>
              <w:ind w:left="29"/>
              <w:textAlignment w:val="baseline"/>
            </w:pPr>
            <w:r>
              <w:rPr>
                <w:b/>
                <w:sz w:val="21"/>
                <w:szCs w:val="21"/>
              </w:rPr>
              <w:t>ADA</w:t>
            </w:r>
          </w:p>
          <w:p w14:paraId="400BF65C" w14:textId="7005F7F1" w:rsidR="00ED4E8B" w:rsidRDefault="00ED4E8B" w:rsidP="009B153D">
            <w:pPr>
              <w:pStyle w:val="Style"/>
              <w:ind w:left="29"/>
              <w:textAlignment w:val="baseline"/>
            </w:pPr>
            <w:r>
              <w:rPr>
                <w:b/>
                <w:sz w:val="21"/>
                <w:szCs w:val="21"/>
              </w:rPr>
              <w:t>N</w:t>
            </w:r>
            <w:r w:rsidR="00DA69D2">
              <w:rPr>
                <w:b/>
                <w:sz w:val="21"/>
                <w:szCs w:val="21"/>
              </w:rPr>
              <w:t xml:space="preserve"> </w:t>
            </w:r>
            <w:r>
              <w:rPr>
                <w:b/>
                <w:sz w:val="21"/>
                <w:szCs w:val="21"/>
              </w:rPr>
              <w:t>=</w:t>
            </w:r>
            <w:r w:rsidR="00DA69D2">
              <w:rPr>
                <w:b/>
                <w:sz w:val="21"/>
                <w:szCs w:val="21"/>
              </w:rPr>
              <w:t xml:space="preserve"> </w:t>
            </w:r>
            <w:r>
              <w:rPr>
                <w:b/>
                <w:sz w:val="21"/>
                <w:szCs w:val="21"/>
              </w:rPr>
              <w:t>159</w:t>
            </w:r>
          </w:p>
        </w:tc>
      </w:tr>
      <w:tr w:rsidR="00ED4E8B" w14:paraId="1E39653C" w14:textId="77777777" w:rsidTr="00ED4E8B">
        <w:trPr>
          <w:trHeight w:hRule="exact" w:val="389"/>
          <w:jc w:val="center"/>
        </w:trPr>
        <w:tc>
          <w:tcPr>
            <w:tcW w:w="5000" w:type="pct"/>
            <w:gridSpan w:val="5"/>
            <w:tcBorders>
              <w:top w:val="single" w:sz="4" w:space="0" w:color="auto"/>
              <w:left w:val="single" w:sz="8" w:space="0" w:color="auto"/>
              <w:bottom w:val="single" w:sz="4" w:space="0" w:color="auto"/>
              <w:right w:val="single" w:sz="4" w:space="0" w:color="auto"/>
            </w:tcBorders>
            <w:vAlign w:val="center"/>
          </w:tcPr>
          <w:p w14:paraId="50A67DEA" w14:textId="12EF85C4" w:rsidR="00ED4E8B" w:rsidRDefault="00ED4E8B" w:rsidP="009B153D">
            <w:pPr>
              <w:pStyle w:val="Style"/>
              <w:textAlignment w:val="baseline"/>
            </w:pPr>
            <w:r>
              <w:rPr>
                <w:sz w:val="20"/>
                <w:szCs w:val="20"/>
              </w:rPr>
              <w:t>IGA 0/1 response rate</w:t>
            </w:r>
          </w:p>
        </w:tc>
      </w:tr>
      <w:tr w:rsidR="00ED4E8B" w14:paraId="3A1A8C24" w14:textId="77777777" w:rsidTr="00ED4E8B">
        <w:trPr>
          <w:trHeight w:hRule="exact" w:val="384"/>
          <w:jc w:val="center"/>
        </w:trPr>
        <w:tc>
          <w:tcPr>
            <w:tcW w:w="1465" w:type="pct"/>
            <w:tcBorders>
              <w:top w:val="single" w:sz="4" w:space="0" w:color="auto"/>
              <w:left w:val="single" w:sz="4" w:space="0" w:color="auto"/>
              <w:bottom w:val="single" w:sz="4" w:space="0" w:color="auto"/>
              <w:right w:val="single" w:sz="4" w:space="0" w:color="auto"/>
            </w:tcBorders>
            <w:vAlign w:val="center"/>
          </w:tcPr>
          <w:p w14:paraId="1AED5F81" w14:textId="77777777" w:rsidR="00ED4E8B" w:rsidRDefault="00ED4E8B" w:rsidP="009B153D">
            <w:pPr>
              <w:pStyle w:val="Style"/>
              <w:ind w:left="389"/>
              <w:textAlignment w:val="baseline"/>
            </w:pPr>
            <w:r>
              <w:rPr>
                <w:sz w:val="20"/>
                <w:szCs w:val="20"/>
              </w:rPr>
              <w:t>n (%)</w:t>
            </w:r>
          </w:p>
        </w:tc>
        <w:tc>
          <w:tcPr>
            <w:tcW w:w="888" w:type="pct"/>
            <w:tcBorders>
              <w:top w:val="single" w:sz="4" w:space="0" w:color="auto"/>
              <w:left w:val="single" w:sz="4" w:space="0" w:color="auto"/>
              <w:bottom w:val="single" w:sz="4" w:space="0" w:color="auto"/>
              <w:right w:val="single" w:sz="4" w:space="0" w:color="auto"/>
            </w:tcBorders>
            <w:vAlign w:val="center"/>
          </w:tcPr>
          <w:p w14:paraId="1F758DE4" w14:textId="77777777" w:rsidR="00ED4E8B" w:rsidRDefault="00ED4E8B" w:rsidP="009B153D">
            <w:pPr>
              <w:pStyle w:val="Style"/>
              <w:ind w:left="43"/>
              <w:textAlignment w:val="baseline"/>
            </w:pPr>
            <w:r>
              <w:rPr>
                <w:sz w:val="20"/>
                <w:szCs w:val="20"/>
              </w:rPr>
              <w:t>140 (87.0)</w:t>
            </w:r>
          </w:p>
        </w:tc>
        <w:tc>
          <w:tcPr>
            <w:tcW w:w="883" w:type="pct"/>
            <w:tcBorders>
              <w:top w:val="single" w:sz="4" w:space="0" w:color="auto"/>
              <w:left w:val="single" w:sz="4" w:space="0" w:color="auto"/>
              <w:bottom w:val="single" w:sz="4" w:space="0" w:color="auto"/>
              <w:right w:val="single" w:sz="4" w:space="0" w:color="auto"/>
            </w:tcBorders>
            <w:vAlign w:val="center"/>
          </w:tcPr>
          <w:p w14:paraId="7BD115E0" w14:textId="77777777" w:rsidR="00ED4E8B" w:rsidRDefault="00ED4E8B" w:rsidP="009B153D">
            <w:pPr>
              <w:pStyle w:val="Style"/>
              <w:ind w:left="34"/>
              <w:textAlignment w:val="baseline"/>
            </w:pPr>
            <w:r>
              <w:rPr>
                <w:sz w:val="20"/>
                <w:szCs w:val="20"/>
              </w:rPr>
              <w:t>136 (86.1)</w:t>
            </w:r>
          </w:p>
        </w:tc>
        <w:tc>
          <w:tcPr>
            <w:tcW w:w="883" w:type="pct"/>
            <w:tcBorders>
              <w:top w:val="single" w:sz="4" w:space="0" w:color="auto"/>
              <w:left w:val="single" w:sz="4" w:space="0" w:color="auto"/>
              <w:bottom w:val="single" w:sz="4" w:space="0" w:color="auto"/>
              <w:right w:val="single" w:sz="4" w:space="0" w:color="auto"/>
            </w:tcBorders>
            <w:vAlign w:val="center"/>
          </w:tcPr>
          <w:p w14:paraId="1F413F78" w14:textId="77777777" w:rsidR="00ED4E8B" w:rsidRDefault="00ED4E8B" w:rsidP="009B153D">
            <w:pPr>
              <w:pStyle w:val="Style"/>
              <w:ind w:left="14"/>
              <w:textAlignment w:val="baseline"/>
            </w:pPr>
            <w:r>
              <w:rPr>
                <w:sz w:val="20"/>
                <w:szCs w:val="20"/>
              </w:rPr>
              <w:t>276 (86.5)</w:t>
            </w:r>
          </w:p>
        </w:tc>
        <w:tc>
          <w:tcPr>
            <w:tcW w:w="881" w:type="pct"/>
            <w:tcBorders>
              <w:top w:val="single" w:sz="4" w:space="0" w:color="auto"/>
              <w:left w:val="single" w:sz="4" w:space="0" w:color="auto"/>
              <w:bottom w:val="single" w:sz="4" w:space="0" w:color="auto"/>
              <w:right w:val="single" w:sz="4" w:space="0" w:color="auto"/>
            </w:tcBorders>
            <w:vAlign w:val="center"/>
          </w:tcPr>
          <w:p w14:paraId="252C9345" w14:textId="77777777" w:rsidR="00ED4E8B" w:rsidRDefault="00ED4E8B" w:rsidP="009B153D">
            <w:pPr>
              <w:pStyle w:val="Style"/>
              <w:ind w:left="29"/>
              <w:textAlignment w:val="baseline"/>
            </w:pPr>
            <w:r>
              <w:rPr>
                <w:sz w:val="20"/>
                <w:szCs w:val="20"/>
              </w:rPr>
              <w:t>92 (57.9)</w:t>
            </w:r>
          </w:p>
        </w:tc>
      </w:tr>
      <w:tr w:rsidR="00ED4E8B" w14:paraId="43A685A7" w14:textId="77777777" w:rsidTr="00ED4E8B">
        <w:trPr>
          <w:trHeight w:hRule="exact" w:val="384"/>
          <w:jc w:val="center"/>
        </w:trPr>
        <w:tc>
          <w:tcPr>
            <w:tcW w:w="1465" w:type="pct"/>
            <w:tcBorders>
              <w:top w:val="single" w:sz="4" w:space="0" w:color="auto"/>
              <w:left w:val="single" w:sz="4" w:space="0" w:color="auto"/>
              <w:bottom w:val="single" w:sz="4" w:space="0" w:color="auto"/>
              <w:right w:val="single" w:sz="4" w:space="0" w:color="auto"/>
            </w:tcBorders>
            <w:vAlign w:val="center"/>
          </w:tcPr>
          <w:p w14:paraId="277F2542" w14:textId="77777777" w:rsidR="00ED4E8B" w:rsidRDefault="00ED4E8B" w:rsidP="009B153D">
            <w:pPr>
              <w:pStyle w:val="Style"/>
              <w:ind w:left="389"/>
              <w:textAlignment w:val="baseline"/>
            </w:pPr>
            <w:r>
              <w:rPr>
                <w:sz w:val="20"/>
                <w:szCs w:val="20"/>
              </w:rPr>
              <w:t>n/</w:t>
            </w:r>
            <w:proofErr w:type="spellStart"/>
            <w:r>
              <w:rPr>
                <w:sz w:val="20"/>
                <w:szCs w:val="20"/>
              </w:rPr>
              <w:t>Nsub</w:t>
            </w:r>
            <w:proofErr w:type="spellEnd"/>
            <w:r>
              <w:rPr>
                <w:sz w:val="20"/>
                <w:szCs w:val="20"/>
              </w:rPr>
              <w:t xml:space="preserve"> (%)</w:t>
            </w:r>
          </w:p>
        </w:tc>
        <w:tc>
          <w:tcPr>
            <w:tcW w:w="888" w:type="pct"/>
            <w:tcBorders>
              <w:top w:val="single" w:sz="4" w:space="0" w:color="auto"/>
              <w:left w:val="single" w:sz="4" w:space="0" w:color="auto"/>
              <w:bottom w:val="single" w:sz="4" w:space="0" w:color="auto"/>
              <w:right w:val="single" w:sz="4" w:space="0" w:color="auto"/>
            </w:tcBorders>
            <w:vAlign w:val="center"/>
          </w:tcPr>
          <w:p w14:paraId="53C52932" w14:textId="77777777" w:rsidR="00ED4E8B" w:rsidRDefault="00ED4E8B" w:rsidP="009B153D">
            <w:pPr>
              <w:pStyle w:val="Style"/>
              <w:ind w:left="43"/>
              <w:textAlignment w:val="baseline"/>
            </w:pPr>
            <w:r>
              <w:rPr>
                <w:sz w:val="20"/>
                <w:szCs w:val="20"/>
              </w:rPr>
              <w:t>140/149 (94.0)</w:t>
            </w:r>
          </w:p>
        </w:tc>
        <w:tc>
          <w:tcPr>
            <w:tcW w:w="883" w:type="pct"/>
            <w:tcBorders>
              <w:top w:val="single" w:sz="4" w:space="0" w:color="auto"/>
              <w:left w:val="single" w:sz="4" w:space="0" w:color="auto"/>
              <w:bottom w:val="single" w:sz="4" w:space="0" w:color="auto"/>
              <w:right w:val="single" w:sz="4" w:space="0" w:color="auto"/>
            </w:tcBorders>
            <w:vAlign w:val="center"/>
          </w:tcPr>
          <w:p w14:paraId="4DCA434C" w14:textId="77777777" w:rsidR="00ED4E8B" w:rsidRDefault="00ED4E8B" w:rsidP="009B153D">
            <w:pPr>
              <w:pStyle w:val="Style"/>
              <w:ind w:left="34"/>
              <w:textAlignment w:val="baseline"/>
            </w:pPr>
            <w:r>
              <w:rPr>
                <w:sz w:val="20"/>
                <w:szCs w:val="20"/>
              </w:rPr>
              <w:t>136/149 (91.3)</w:t>
            </w:r>
          </w:p>
        </w:tc>
        <w:tc>
          <w:tcPr>
            <w:tcW w:w="883" w:type="pct"/>
            <w:tcBorders>
              <w:top w:val="single" w:sz="4" w:space="0" w:color="auto"/>
              <w:left w:val="single" w:sz="4" w:space="0" w:color="auto"/>
              <w:bottom w:val="single" w:sz="4" w:space="0" w:color="auto"/>
              <w:right w:val="single" w:sz="4" w:space="0" w:color="auto"/>
            </w:tcBorders>
            <w:vAlign w:val="center"/>
          </w:tcPr>
          <w:p w14:paraId="6384962B" w14:textId="77777777" w:rsidR="00ED4E8B" w:rsidRDefault="00ED4E8B" w:rsidP="009B153D">
            <w:pPr>
              <w:pStyle w:val="Style"/>
              <w:ind w:left="14"/>
              <w:textAlignment w:val="baseline"/>
            </w:pPr>
            <w:r>
              <w:rPr>
                <w:sz w:val="20"/>
                <w:szCs w:val="20"/>
              </w:rPr>
              <w:t>276/298 (92.6)</w:t>
            </w:r>
          </w:p>
        </w:tc>
        <w:tc>
          <w:tcPr>
            <w:tcW w:w="881" w:type="pct"/>
            <w:tcBorders>
              <w:top w:val="single" w:sz="4" w:space="0" w:color="auto"/>
              <w:left w:val="single" w:sz="4" w:space="0" w:color="auto"/>
              <w:bottom w:val="single" w:sz="4" w:space="0" w:color="auto"/>
              <w:right w:val="single" w:sz="4" w:space="0" w:color="auto"/>
            </w:tcBorders>
            <w:vAlign w:val="center"/>
          </w:tcPr>
          <w:p w14:paraId="7081EE79" w14:textId="77777777" w:rsidR="00ED4E8B" w:rsidRDefault="00ED4E8B" w:rsidP="009B153D">
            <w:pPr>
              <w:pStyle w:val="Style"/>
              <w:ind w:left="29"/>
              <w:textAlignment w:val="baseline"/>
            </w:pPr>
            <w:r>
              <w:rPr>
                <w:sz w:val="20"/>
                <w:szCs w:val="20"/>
              </w:rPr>
              <w:t>92/147 (62.6)</w:t>
            </w:r>
          </w:p>
        </w:tc>
      </w:tr>
      <w:tr w:rsidR="00ED4E8B" w14:paraId="1B00CE2D" w14:textId="77777777" w:rsidTr="00ED4E8B">
        <w:trPr>
          <w:trHeight w:hRule="exact" w:val="384"/>
          <w:jc w:val="center"/>
        </w:trPr>
        <w:tc>
          <w:tcPr>
            <w:tcW w:w="1465" w:type="pct"/>
            <w:tcBorders>
              <w:top w:val="single" w:sz="4" w:space="0" w:color="auto"/>
              <w:left w:val="single" w:sz="4" w:space="0" w:color="auto"/>
              <w:bottom w:val="single" w:sz="4" w:space="0" w:color="auto"/>
              <w:right w:val="single" w:sz="4" w:space="0" w:color="auto"/>
            </w:tcBorders>
            <w:vAlign w:val="center"/>
          </w:tcPr>
          <w:p w14:paraId="66622E82" w14:textId="3D216E4C" w:rsidR="00ED4E8B" w:rsidRDefault="00ED4E8B" w:rsidP="009B153D">
            <w:pPr>
              <w:pStyle w:val="Style"/>
              <w:ind w:left="120"/>
              <w:textAlignment w:val="baseline"/>
            </w:pPr>
            <w:r>
              <w:rPr>
                <w:sz w:val="20"/>
                <w:szCs w:val="20"/>
              </w:rPr>
              <w:t xml:space="preserve">Odds ratio </w:t>
            </w:r>
            <w:r w:rsidR="004858E7">
              <w:rPr>
                <w:sz w:val="20"/>
                <w:szCs w:val="20"/>
              </w:rPr>
              <w:t>versus</w:t>
            </w:r>
            <w:r>
              <w:rPr>
                <w:sz w:val="20"/>
                <w:szCs w:val="20"/>
              </w:rPr>
              <w:t xml:space="preserve"> ADA </w:t>
            </w:r>
            <w:r>
              <w:rPr>
                <w:rFonts w:ascii="Arial" w:eastAsia="Arial" w:hAnsi="Arial" w:cs="Arial"/>
                <w:sz w:val="11"/>
                <w:szCs w:val="11"/>
              </w:rPr>
              <w:t>a</w:t>
            </w:r>
          </w:p>
        </w:tc>
        <w:tc>
          <w:tcPr>
            <w:tcW w:w="888" w:type="pct"/>
            <w:tcBorders>
              <w:top w:val="single" w:sz="4" w:space="0" w:color="auto"/>
              <w:left w:val="single" w:sz="4" w:space="0" w:color="auto"/>
              <w:bottom w:val="single" w:sz="4" w:space="0" w:color="auto"/>
              <w:right w:val="single" w:sz="4" w:space="0" w:color="auto"/>
            </w:tcBorders>
            <w:vAlign w:val="center"/>
          </w:tcPr>
          <w:p w14:paraId="5F9F1F12" w14:textId="77777777" w:rsidR="00ED4E8B" w:rsidRDefault="00ED4E8B" w:rsidP="009B153D">
            <w:pPr>
              <w:pStyle w:val="Style"/>
              <w:ind w:left="43"/>
              <w:textAlignment w:val="baseline"/>
            </w:pPr>
            <w:r>
              <w:rPr>
                <w:sz w:val="20"/>
                <w:szCs w:val="20"/>
              </w:rPr>
              <w:t>4.779</w:t>
            </w:r>
          </w:p>
        </w:tc>
        <w:tc>
          <w:tcPr>
            <w:tcW w:w="883" w:type="pct"/>
            <w:tcBorders>
              <w:top w:val="single" w:sz="4" w:space="0" w:color="auto"/>
              <w:left w:val="single" w:sz="4" w:space="0" w:color="auto"/>
              <w:bottom w:val="single" w:sz="4" w:space="0" w:color="auto"/>
              <w:right w:val="single" w:sz="4" w:space="0" w:color="auto"/>
            </w:tcBorders>
            <w:vAlign w:val="center"/>
          </w:tcPr>
          <w:p w14:paraId="7677DA51" w14:textId="77777777" w:rsidR="00ED4E8B" w:rsidRDefault="00ED4E8B" w:rsidP="009B153D">
            <w:pPr>
              <w:pStyle w:val="Style"/>
              <w:ind w:left="34"/>
              <w:textAlignment w:val="baseline"/>
            </w:pPr>
            <w:r>
              <w:rPr>
                <w:sz w:val="20"/>
                <w:szCs w:val="20"/>
              </w:rPr>
              <w:t>4.724</w:t>
            </w:r>
          </w:p>
        </w:tc>
        <w:tc>
          <w:tcPr>
            <w:tcW w:w="883" w:type="pct"/>
            <w:tcBorders>
              <w:top w:val="single" w:sz="4" w:space="0" w:color="auto"/>
              <w:left w:val="single" w:sz="4" w:space="0" w:color="auto"/>
              <w:bottom w:val="single" w:sz="4" w:space="0" w:color="auto"/>
              <w:right w:val="single" w:sz="4" w:space="0" w:color="auto"/>
            </w:tcBorders>
            <w:vAlign w:val="center"/>
          </w:tcPr>
          <w:p w14:paraId="6EFF3B07" w14:textId="77777777" w:rsidR="00ED4E8B" w:rsidRDefault="00ED4E8B" w:rsidP="009B153D">
            <w:pPr>
              <w:pStyle w:val="Style"/>
              <w:ind w:left="14"/>
              <w:textAlignment w:val="baseline"/>
            </w:pPr>
            <w:r>
              <w:rPr>
                <w:sz w:val="20"/>
                <w:szCs w:val="20"/>
              </w:rPr>
              <w:t>4.762</w:t>
            </w:r>
          </w:p>
        </w:tc>
        <w:tc>
          <w:tcPr>
            <w:tcW w:w="881" w:type="pct"/>
            <w:tcBorders>
              <w:top w:val="single" w:sz="4" w:space="0" w:color="auto"/>
              <w:left w:val="single" w:sz="4" w:space="0" w:color="auto"/>
              <w:bottom w:val="single" w:sz="4" w:space="0" w:color="auto"/>
              <w:right w:val="single" w:sz="4" w:space="0" w:color="auto"/>
            </w:tcBorders>
            <w:vAlign w:val="center"/>
          </w:tcPr>
          <w:p w14:paraId="50886112" w14:textId="77777777" w:rsidR="00ED4E8B" w:rsidRDefault="00ED4E8B" w:rsidP="009B153D">
            <w:pPr>
              <w:pStyle w:val="Style"/>
              <w:ind w:left="29"/>
              <w:textAlignment w:val="baseline"/>
            </w:pPr>
            <w:r>
              <w:rPr>
                <w:w w:val="110"/>
                <w:sz w:val="18"/>
                <w:szCs w:val="18"/>
              </w:rPr>
              <w:t>-</w:t>
            </w:r>
          </w:p>
        </w:tc>
      </w:tr>
      <w:tr w:rsidR="00ED4E8B" w14:paraId="231A8C9B" w14:textId="77777777" w:rsidTr="00ED4E8B">
        <w:trPr>
          <w:trHeight w:hRule="exact" w:val="384"/>
          <w:jc w:val="center"/>
        </w:trPr>
        <w:tc>
          <w:tcPr>
            <w:tcW w:w="1465" w:type="pct"/>
            <w:tcBorders>
              <w:top w:val="single" w:sz="4" w:space="0" w:color="auto"/>
              <w:left w:val="single" w:sz="4" w:space="0" w:color="auto"/>
              <w:bottom w:val="single" w:sz="4" w:space="0" w:color="auto"/>
              <w:right w:val="single" w:sz="4" w:space="0" w:color="auto"/>
            </w:tcBorders>
            <w:vAlign w:val="center"/>
          </w:tcPr>
          <w:p w14:paraId="08F257A3" w14:textId="77777777" w:rsidR="00ED4E8B" w:rsidRDefault="00ED4E8B" w:rsidP="009B153D">
            <w:pPr>
              <w:pStyle w:val="Style"/>
              <w:ind w:left="389"/>
              <w:textAlignment w:val="baseline"/>
            </w:pPr>
            <w:r>
              <w:rPr>
                <w:sz w:val="20"/>
                <w:szCs w:val="20"/>
              </w:rPr>
              <w:t>95% CI for odds ratio</w:t>
            </w:r>
          </w:p>
        </w:tc>
        <w:tc>
          <w:tcPr>
            <w:tcW w:w="888" w:type="pct"/>
            <w:tcBorders>
              <w:top w:val="single" w:sz="4" w:space="0" w:color="auto"/>
              <w:left w:val="single" w:sz="4" w:space="0" w:color="auto"/>
              <w:bottom w:val="single" w:sz="4" w:space="0" w:color="auto"/>
              <w:right w:val="single" w:sz="4" w:space="0" w:color="auto"/>
            </w:tcBorders>
            <w:vAlign w:val="center"/>
          </w:tcPr>
          <w:p w14:paraId="5418C009" w14:textId="77777777" w:rsidR="00ED4E8B" w:rsidRDefault="00ED4E8B" w:rsidP="009B153D">
            <w:pPr>
              <w:pStyle w:val="Style"/>
              <w:ind w:left="43"/>
              <w:textAlignment w:val="baseline"/>
            </w:pPr>
            <w:r>
              <w:rPr>
                <w:sz w:val="20"/>
                <w:szCs w:val="20"/>
              </w:rPr>
              <w:t>2.737, 8.345</w:t>
            </w:r>
          </w:p>
        </w:tc>
        <w:tc>
          <w:tcPr>
            <w:tcW w:w="883" w:type="pct"/>
            <w:tcBorders>
              <w:top w:val="single" w:sz="4" w:space="0" w:color="auto"/>
              <w:left w:val="single" w:sz="4" w:space="0" w:color="auto"/>
              <w:bottom w:val="single" w:sz="4" w:space="0" w:color="auto"/>
              <w:right w:val="single" w:sz="4" w:space="0" w:color="auto"/>
            </w:tcBorders>
            <w:vAlign w:val="center"/>
          </w:tcPr>
          <w:p w14:paraId="548BFF79" w14:textId="77777777" w:rsidR="00ED4E8B" w:rsidRDefault="00ED4E8B" w:rsidP="009B153D">
            <w:pPr>
              <w:pStyle w:val="Style"/>
              <w:ind w:left="34"/>
              <w:textAlignment w:val="baseline"/>
            </w:pPr>
            <w:r>
              <w:rPr>
                <w:sz w:val="20"/>
                <w:szCs w:val="20"/>
              </w:rPr>
              <w:t>2.683, 8.318</w:t>
            </w:r>
          </w:p>
        </w:tc>
        <w:tc>
          <w:tcPr>
            <w:tcW w:w="883" w:type="pct"/>
            <w:tcBorders>
              <w:top w:val="single" w:sz="4" w:space="0" w:color="auto"/>
              <w:left w:val="single" w:sz="4" w:space="0" w:color="auto"/>
              <w:bottom w:val="single" w:sz="4" w:space="0" w:color="auto"/>
              <w:right w:val="single" w:sz="4" w:space="0" w:color="auto"/>
            </w:tcBorders>
            <w:vAlign w:val="center"/>
          </w:tcPr>
          <w:p w14:paraId="19D49582" w14:textId="77777777" w:rsidR="00ED4E8B" w:rsidRDefault="00ED4E8B" w:rsidP="009B153D">
            <w:pPr>
              <w:pStyle w:val="Style"/>
              <w:ind w:left="14"/>
              <w:textAlignment w:val="baseline"/>
            </w:pPr>
            <w:r>
              <w:rPr>
                <w:sz w:val="20"/>
                <w:szCs w:val="20"/>
              </w:rPr>
              <w:t>3.014, 7.523</w:t>
            </w:r>
          </w:p>
        </w:tc>
        <w:tc>
          <w:tcPr>
            <w:tcW w:w="881" w:type="pct"/>
            <w:tcBorders>
              <w:top w:val="single" w:sz="4" w:space="0" w:color="auto"/>
              <w:left w:val="single" w:sz="4" w:space="0" w:color="auto"/>
              <w:bottom w:val="single" w:sz="4" w:space="0" w:color="auto"/>
              <w:right w:val="single" w:sz="4" w:space="0" w:color="auto"/>
            </w:tcBorders>
            <w:vAlign w:val="center"/>
          </w:tcPr>
          <w:p w14:paraId="0B7859D2" w14:textId="77777777" w:rsidR="00ED4E8B" w:rsidRDefault="00ED4E8B" w:rsidP="009B153D">
            <w:pPr>
              <w:pStyle w:val="Style"/>
              <w:ind w:left="29"/>
              <w:textAlignment w:val="baseline"/>
            </w:pPr>
            <w:r>
              <w:rPr>
                <w:w w:val="110"/>
                <w:sz w:val="18"/>
                <w:szCs w:val="18"/>
              </w:rPr>
              <w:t>-</w:t>
            </w:r>
          </w:p>
        </w:tc>
      </w:tr>
      <w:tr w:rsidR="00ED4E8B" w14:paraId="0B384793" w14:textId="77777777" w:rsidTr="00ED4E8B">
        <w:trPr>
          <w:trHeight w:hRule="exact" w:val="379"/>
          <w:jc w:val="center"/>
        </w:trPr>
        <w:tc>
          <w:tcPr>
            <w:tcW w:w="1465" w:type="pct"/>
            <w:tcBorders>
              <w:top w:val="single" w:sz="4" w:space="0" w:color="auto"/>
              <w:left w:val="single" w:sz="4" w:space="0" w:color="auto"/>
              <w:bottom w:val="single" w:sz="4" w:space="0" w:color="auto"/>
              <w:right w:val="single" w:sz="4" w:space="0" w:color="auto"/>
            </w:tcBorders>
            <w:vAlign w:val="center"/>
          </w:tcPr>
          <w:p w14:paraId="4C90DC71" w14:textId="77777777" w:rsidR="00ED4E8B" w:rsidRDefault="00ED4E8B" w:rsidP="009B153D">
            <w:pPr>
              <w:pStyle w:val="Style"/>
              <w:ind w:left="389"/>
              <w:textAlignment w:val="baseline"/>
            </w:pPr>
            <w:r>
              <w:rPr>
                <w:sz w:val="20"/>
                <w:szCs w:val="20"/>
              </w:rPr>
              <w:t xml:space="preserve">p-value </w:t>
            </w:r>
            <w:r>
              <w:rPr>
                <w:sz w:val="12"/>
                <w:szCs w:val="12"/>
              </w:rPr>
              <w:t>b</w:t>
            </w:r>
          </w:p>
        </w:tc>
        <w:tc>
          <w:tcPr>
            <w:tcW w:w="888" w:type="pct"/>
            <w:tcBorders>
              <w:top w:val="single" w:sz="4" w:space="0" w:color="auto"/>
              <w:left w:val="single" w:sz="4" w:space="0" w:color="auto"/>
              <w:bottom w:val="single" w:sz="4" w:space="0" w:color="auto"/>
              <w:right w:val="single" w:sz="4" w:space="0" w:color="auto"/>
            </w:tcBorders>
            <w:vAlign w:val="center"/>
          </w:tcPr>
          <w:p w14:paraId="6C65B57D" w14:textId="784109A3" w:rsidR="00ED4E8B" w:rsidRDefault="00ED4E8B" w:rsidP="009B153D">
            <w:pPr>
              <w:pStyle w:val="Style"/>
              <w:ind w:left="43"/>
              <w:textAlignment w:val="baseline"/>
            </w:pPr>
            <w:r>
              <w:rPr>
                <w:sz w:val="20"/>
                <w:szCs w:val="20"/>
              </w:rPr>
              <w:t>&lt;</w:t>
            </w:r>
            <w:r w:rsidR="00280740">
              <w:rPr>
                <w:sz w:val="20"/>
                <w:szCs w:val="20"/>
              </w:rPr>
              <w:t xml:space="preserve"> </w:t>
            </w:r>
            <w:r>
              <w:rPr>
                <w:sz w:val="20"/>
                <w:szCs w:val="20"/>
              </w:rPr>
              <w:t xml:space="preserve">0.001 </w:t>
            </w:r>
            <w:r>
              <w:rPr>
                <w:sz w:val="8"/>
                <w:szCs w:val="8"/>
              </w:rPr>
              <w:t>C</w:t>
            </w:r>
          </w:p>
        </w:tc>
        <w:tc>
          <w:tcPr>
            <w:tcW w:w="883" w:type="pct"/>
            <w:tcBorders>
              <w:top w:val="single" w:sz="4" w:space="0" w:color="auto"/>
              <w:left w:val="single" w:sz="4" w:space="0" w:color="auto"/>
              <w:bottom w:val="single" w:sz="4" w:space="0" w:color="auto"/>
              <w:right w:val="single" w:sz="4" w:space="0" w:color="auto"/>
            </w:tcBorders>
            <w:vAlign w:val="center"/>
          </w:tcPr>
          <w:p w14:paraId="14F05F78" w14:textId="08BF903E" w:rsidR="00ED4E8B" w:rsidRDefault="00ED4E8B" w:rsidP="009B153D">
            <w:pPr>
              <w:pStyle w:val="Style"/>
              <w:ind w:left="34"/>
              <w:textAlignment w:val="baseline"/>
            </w:pPr>
            <w:r>
              <w:rPr>
                <w:sz w:val="20"/>
                <w:szCs w:val="20"/>
              </w:rPr>
              <w:t>&lt;</w:t>
            </w:r>
            <w:r w:rsidR="00280740">
              <w:rPr>
                <w:sz w:val="20"/>
                <w:szCs w:val="20"/>
              </w:rPr>
              <w:t xml:space="preserve"> </w:t>
            </w:r>
            <w:r>
              <w:rPr>
                <w:sz w:val="20"/>
                <w:szCs w:val="20"/>
              </w:rPr>
              <w:t>0.001</w:t>
            </w:r>
          </w:p>
        </w:tc>
        <w:tc>
          <w:tcPr>
            <w:tcW w:w="883" w:type="pct"/>
            <w:tcBorders>
              <w:top w:val="single" w:sz="4" w:space="0" w:color="auto"/>
              <w:left w:val="single" w:sz="4" w:space="0" w:color="auto"/>
              <w:bottom w:val="single" w:sz="4" w:space="0" w:color="auto"/>
              <w:right w:val="single" w:sz="4" w:space="0" w:color="auto"/>
            </w:tcBorders>
            <w:vAlign w:val="center"/>
          </w:tcPr>
          <w:p w14:paraId="648B372A" w14:textId="2AE0C7AF" w:rsidR="00ED4E8B" w:rsidRDefault="00ED4E8B" w:rsidP="009B153D">
            <w:pPr>
              <w:pStyle w:val="Style"/>
              <w:ind w:left="14"/>
              <w:textAlignment w:val="baseline"/>
            </w:pPr>
            <w:r>
              <w:rPr>
                <w:sz w:val="20"/>
                <w:szCs w:val="20"/>
              </w:rPr>
              <w:t>&lt;</w:t>
            </w:r>
            <w:r w:rsidR="00280740">
              <w:rPr>
                <w:sz w:val="20"/>
                <w:szCs w:val="20"/>
              </w:rPr>
              <w:t xml:space="preserve"> </w:t>
            </w:r>
            <w:r>
              <w:rPr>
                <w:sz w:val="20"/>
                <w:szCs w:val="20"/>
              </w:rPr>
              <w:t>0.001</w:t>
            </w:r>
          </w:p>
        </w:tc>
        <w:tc>
          <w:tcPr>
            <w:tcW w:w="881" w:type="pct"/>
            <w:tcBorders>
              <w:top w:val="single" w:sz="4" w:space="0" w:color="auto"/>
              <w:left w:val="single" w:sz="4" w:space="0" w:color="auto"/>
              <w:bottom w:val="single" w:sz="4" w:space="0" w:color="auto"/>
              <w:right w:val="single" w:sz="4" w:space="0" w:color="auto"/>
            </w:tcBorders>
            <w:vAlign w:val="center"/>
          </w:tcPr>
          <w:p w14:paraId="4BD0256B" w14:textId="77777777" w:rsidR="00ED4E8B" w:rsidRDefault="00ED4E8B" w:rsidP="009B153D">
            <w:pPr>
              <w:pStyle w:val="Style"/>
              <w:ind w:left="29"/>
              <w:textAlignment w:val="baseline"/>
            </w:pPr>
            <w:r>
              <w:rPr>
                <w:w w:val="110"/>
                <w:sz w:val="18"/>
                <w:szCs w:val="18"/>
              </w:rPr>
              <w:t>-</w:t>
            </w:r>
          </w:p>
        </w:tc>
      </w:tr>
    </w:tbl>
    <w:p w14:paraId="79DA3B77" w14:textId="2D699DAD" w:rsidR="00DA69D2" w:rsidRDefault="00280740" w:rsidP="00DA69D2">
      <w:pPr>
        <w:pStyle w:val="TableDescription"/>
      </w:pPr>
      <w:r>
        <w:t xml:space="preserve">Abbreviations: </w:t>
      </w:r>
      <w:r w:rsidR="00DA69D2">
        <w:t xml:space="preserve">ADA = adalimumab; BKZ = </w:t>
      </w:r>
      <w:proofErr w:type="spellStart"/>
      <w:r w:rsidR="00DA69D2">
        <w:t>bimekizumab</w:t>
      </w:r>
      <w:proofErr w:type="spellEnd"/>
      <w:r w:rsidR="00DA69D2">
        <w:t xml:space="preserve">; CI = confidence interval; CMH = Cochran-Mantel-Haenszel; IGA = Investigator’s Global Assessment; NRI = </w:t>
      </w:r>
      <w:proofErr w:type="spellStart"/>
      <w:r w:rsidR="00DA69D2">
        <w:t>nonresponder</w:t>
      </w:r>
      <w:proofErr w:type="spellEnd"/>
      <w:r w:rsidR="00DA69D2">
        <w:t xml:space="preserve"> imputation; OC</w:t>
      </w:r>
      <w:r>
        <w:t> </w:t>
      </w:r>
      <w:r w:rsidR="00DA69D2">
        <w:t>=</w:t>
      </w:r>
      <w:r>
        <w:t> </w:t>
      </w:r>
      <w:r w:rsidR="00DA69D2">
        <w:t>observed case; Q4W = every 4 weeks; Q8W = every 8 weeks; RS = Randomised Set</w:t>
      </w:r>
    </w:p>
    <w:p w14:paraId="44284D33" w14:textId="77777777" w:rsidR="00DA69D2" w:rsidRDefault="00DA69D2" w:rsidP="00DA69D2">
      <w:pPr>
        <w:pStyle w:val="TableDescription"/>
      </w:pPr>
      <w:r>
        <w:t xml:space="preserve">Note: In the n (%) row, study participants with missing data at a given week were counted as </w:t>
      </w:r>
      <w:proofErr w:type="spellStart"/>
      <w:r>
        <w:t>nonresponders</w:t>
      </w:r>
      <w:proofErr w:type="spellEnd"/>
      <w:r>
        <w:t xml:space="preserve"> (NRI).</w:t>
      </w:r>
    </w:p>
    <w:p w14:paraId="33F7A03C" w14:textId="0A1B885C" w:rsidR="00DA69D2" w:rsidRDefault="00DA69D2" w:rsidP="00DA69D2">
      <w:pPr>
        <w:pStyle w:val="TableDescription"/>
      </w:pPr>
      <w:r>
        <w:t>Note In the n/</w:t>
      </w:r>
      <w:proofErr w:type="spellStart"/>
      <w:r>
        <w:t>Nsub</w:t>
      </w:r>
      <w:proofErr w:type="spellEnd"/>
      <w:r>
        <w:t xml:space="preserve"> (%) row, </w:t>
      </w:r>
      <w:proofErr w:type="spellStart"/>
      <w:r>
        <w:t>Nsub</w:t>
      </w:r>
      <w:proofErr w:type="spellEnd"/>
      <w:r>
        <w:t xml:space="preserve"> represented the number of study participants with a </w:t>
      </w:r>
      <w:proofErr w:type="spellStart"/>
      <w:r>
        <w:t>nonmissing</w:t>
      </w:r>
      <w:proofErr w:type="spellEnd"/>
      <w:r>
        <w:t xml:space="preserve"> measurement for IGA at the given week, and percentages were calculated accordingly (OC).</w:t>
      </w:r>
    </w:p>
    <w:p w14:paraId="2D9F447E" w14:textId="1F5B64C9" w:rsidR="00DA69D2" w:rsidRDefault="00DA69D2" w:rsidP="00DA69D2">
      <w:pPr>
        <w:pStyle w:val="TableDescription"/>
      </w:pPr>
      <w:proofErr w:type="spellStart"/>
      <w:proofErr w:type="gramStart"/>
      <w:r>
        <w:t>a</w:t>
      </w:r>
      <w:proofErr w:type="spellEnd"/>
      <w:proofErr w:type="gramEnd"/>
      <w:r>
        <w:t xml:space="preserve"> Odds ratio for BKZ/ADA was calculated using stratified CMH test with region and prior biologic exposure as stratification variables.</w:t>
      </w:r>
    </w:p>
    <w:p w14:paraId="521367D2" w14:textId="77777777" w:rsidR="00DA69D2" w:rsidRDefault="00DA69D2" w:rsidP="00DA69D2">
      <w:pPr>
        <w:pStyle w:val="TableDescription"/>
      </w:pPr>
      <w:r>
        <w:t>b P-values for the comparison of treatment groups were based on the CMH test from the general association.</w:t>
      </w:r>
    </w:p>
    <w:p w14:paraId="6950ED57" w14:textId="4D82B928" w:rsidR="00DA69D2" w:rsidRDefault="00DA69D2" w:rsidP="00DA69D2">
      <w:pPr>
        <w:pStyle w:val="TableDescription"/>
      </w:pPr>
      <w:r>
        <w:t>c Nominal p-value</w:t>
      </w:r>
    </w:p>
    <w:p w14:paraId="5497AFB8" w14:textId="05258B58" w:rsidR="00ED4E8B" w:rsidRDefault="00ED4E8B" w:rsidP="00DA69D2">
      <w:pPr>
        <w:pStyle w:val="TableTitle"/>
      </w:pPr>
      <w:bookmarkStart w:id="100" w:name="_Ref129953370"/>
      <w:r w:rsidRPr="00DA69D2">
        <w:t xml:space="preserve">Table </w:t>
      </w:r>
      <w:r w:rsidR="00172397">
        <w:fldChar w:fldCharType="begin"/>
      </w:r>
      <w:r w:rsidR="00172397">
        <w:instrText xml:space="preserve"> SEQ Table \* ARABIC </w:instrText>
      </w:r>
      <w:r w:rsidR="00172397">
        <w:fldChar w:fldCharType="separate"/>
      </w:r>
      <w:r w:rsidR="00B54079">
        <w:rPr>
          <w:noProof/>
        </w:rPr>
        <w:t>23</w:t>
      </w:r>
      <w:r w:rsidR="00172397">
        <w:rPr>
          <w:noProof/>
        </w:rPr>
        <w:fldChar w:fldCharType="end"/>
      </w:r>
      <w:bookmarkEnd w:id="100"/>
      <w:r>
        <w:t xml:space="preserve">: </w:t>
      </w:r>
      <w:r w:rsidR="00DA69D2">
        <w:t xml:space="preserve">Study PS0008 </w:t>
      </w:r>
      <w:r w:rsidRPr="00ED4E8B">
        <w:t>IGA 0/1 response rates at Week 56</w:t>
      </w:r>
    </w:p>
    <w:tbl>
      <w:tblPr>
        <w:tblW w:w="5000" w:type="pct"/>
        <w:jc w:val="center"/>
        <w:tblCellMar>
          <w:left w:w="0" w:type="dxa"/>
          <w:right w:w="0" w:type="dxa"/>
        </w:tblCellMar>
        <w:tblLook w:val="0000" w:firstRow="0" w:lastRow="0" w:firstColumn="0" w:lastColumn="0" w:noHBand="0" w:noVBand="0"/>
      </w:tblPr>
      <w:tblGrid>
        <w:gridCol w:w="3023"/>
        <w:gridCol w:w="1823"/>
        <w:gridCol w:w="1832"/>
        <w:gridCol w:w="1810"/>
      </w:tblGrid>
      <w:tr w:rsidR="00ED4E8B" w14:paraId="272EBBA6" w14:textId="77777777" w:rsidTr="009B153D">
        <w:trPr>
          <w:trHeight w:val="888"/>
          <w:jc w:val="center"/>
        </w:trPr>
        <w:tc>
          <w:tcPr>
            <w:tcW w:w="1781" w:type="pct"/>
            <w:tcBorders>
              <w:top w:val="single" w:sz="6" w:space="0" w:color="auto"/>
              <w:left w:val="single" w:sz="6" w:space="0" w:color="auto"/>
              <w:right w:val="single" w:sz="6" w:space="0" w:color="auto"/>
            </w:tcBorders>
            <w:vAlign w:val="center"/>
          </w:tcPr>
          <w:p w14:paraId="1817FE01" w14:textId="77777777" w:rsidR="00ED4E8B" w:rsidRDefault="00ED4E8B" w:rsidP="009B153D">
            <w:pPr>
              <w:pStyle w:val="Style"/>
              <w:textAlignment w:val="baseline"/>
            </w:pPr>
          </w:p>
        </w:tc>
        <w:tc>
          <w:tcPr>
            <w:tcW w:w="1074" w:type="pct"/>
            <w:tcBorders>
              <w:top w:val="single" w:sz="6" w:space="0" w:color="auto"/>
              <w:left w:val="single" w:sz="6" w:space="0" w:color="auto"/>
              <w:right w:val="single" w:sz="6" w:space="0" w:color="auto"/>
            </w:tcBorders>
            <w:vAlign w:val="center"/>
          </w:tcPr>
          <w:p w14:paraId="0B8868BE" w14:textId="4853DB32" w:rsidR="00ED4E8B" w:rsidRDefault="00ED4E8B" w:rsidP="009B153D">
            <w:pPr>
              <w:pStyle w:val="Style"/>
              <w:ind w:left="43"/>
              <w:textAlignment w:val="baseline"/>
            </w:pPr>
            <w:r>
              <w:rPr>
                <w:b/>
                <w:sz w:val="21"/>
                <w:szCs w:val="21"/>
              </w:rPr>
              <w:t>BKZ</w:t>
            </w:r>
            <w:r w:rsidR="001D2CFA">
              <w:rPr>
                <w:b/>
                <w:sz w:val="21"/>
                <w:szCs w:val="21"/>
              </w:rPr>
              <w:t>320 mg</w:t>
            </w:r>
          </w:p>
          <w:p w14:paraId="0B2709B5" w14:textId="085EDBEA" w:rsidR="00ED4E8B" w:rsidRDefault="00F23C97" w:rsidP="009B153D">
            <w:pPr>
              <w:pStyle w:val="Style"/>
              <w:ind w:left="43"/>
              <w:textAlignment w:val="baseline"/>
            </w:pPr>
            <w:r>
              <w:rPr>
                <w:b/>
                <w:sz w:val="21"/>
                <w:szCs w:val="21"/>
              </w:rPr>
              <w:t>every 4 weeks</w:t>
            </w:r>
            <w:r w:rsidR="00ED4E8B">
              <w:rPr>
                <w:b/>
                <w:sz w:val="21"/>
                <w:szCs w:val="21"/>
              </w:rPr>
              <w:t>/</w:t>
            </w:r>
            <w:r>
              <w:rPr>
                <w:b/>
                <w:sz w:val="21"/>
                <w:szCs w:val="21"/>
              </w:rPr>
              <w:t>every 8 weeks</w:t>
            </w:r>
          </w:p>
          <w:p w14:paraId="6B781D37" w14:textId="28EEE2A9" w:rsidR="00ED4E8B" w:rsidRDefault="001D2CFA" w:rsidP="009B153D">
            <w:pPr>
              <w:pStyle w:val="Style"/>
              <w:ind w:left="43"/>
              <w:textAlignment w:val="baseline"/>
            </w:pPr>
            <w:r>
              <w:rPr>
                <w:b/>
                <w:sz w:val="21"/>
                <w:szCs w:val="21"/>
              </w:rPr>
              <w:t xml:space="preserve">N = </w:t>
            </w:r>
            <w:r w:rsidR="00ED4E8B">
              <w:rPr>
                <w:b/>
                <w:sz w:val="21"/>
                <w:szCs w:val="21"/>
              </w:rPr>
              <w:t>161</w:t>
            </w:r>
          </w:p>
        </w:tc>
        <w:tc>
          <w:tcPr>
            <w:tcW w:w="1079" w:type="pct"/>
            <w:tcBorders>
              <w:top w:val="single" w:sz="6" w:space="0" w:color="auto"/>
              <w:left w:val="single" w:sz="6" w:space="0" w:color="auto"/>
              <w:right w:val="single" w:sz="6" w:space="0" w:color="auto"/>
            </w:tcBorders>
            <w:vAlign w:val="center"/>
          </w:tcPr>
          <w:p w14:paraId="40583200" w14:textId="0D5A6ACC" w:rsidR="00ED4E8B" w:rsidRDefault="00ED4E8B" w:rsidP="009B153D">
            <w:pPr>
              <w:pStyle w:val="Style"/>
              <w:ind w:left="34"/>
              <w:textAlignment w:val="baseline"/>
            </w:pPr>
            <w:r>
              <w:rPr>
                <w:b/>
                <w:sz w:val="21"/>
                <w:szCs w:val="21"/>
              </w:rPr>
              <w:t>BKZ</w:t>
            </w:r>
            <w:r w:rsidR="001D2CFA">
              <w:rPr>
                <w:b/>
                <w:sz w:val="21"/>
                <w:szCs w:val="21"/>
              </w:rPr>
              <w:t>320 mg</w:t>
            </w:r>
          </w:p>
          <w:p w14:paraId="12830BB6" w14:textId="5493F4B7" w:rsidR="00ED4E8B" w:rsidRDefault="00F23C97" w:rsidP="009B153D">
            <w:pPr>
              <w:pStyle w:val="Style"/>
              <w:ind w:left="34"/>
              <w:textAlignment w:val="baseline"/>
            </w:pPr>
            <w:r>
              <w:rPr>
                <w:b/>
                <w:sz w:val="21"/>
                <w:szCs w:val="21"/>
              </w:rPr>
              <w:t>every 4 weeks</w:t>
            </w:r>
          </w:p>
          <w:p w14:paraId="7A05B14D" w14:textId="3F902B8A" w:rsidR="00ED4E8B" w:rsidRDefault="001D2CFA" w:rsidP="009B153D">
            <w:pPr>
              <w:pStyle w:val="Style"/>
              <w:ind w:left="34"/>
              <w:textAlignment w:val="baseline"/>
            </w:pPr>
            <w:r>
              <w:rPr>
                <w:b/>
                <w:sz w:val="21"/>
                <w:szCs w:val="21"/>
              </w:rPr>
              <w:t xml:space="preserve">N = </w:t>
            </w:r>
            <w:r w:rsidR="00ED4E8B">
              <w:rPr>
                <w:b/>
                <w:sz w:val="21"/>
                <w:szCs w:val="21"/>
              </w:rPr>
              <w:t>158</w:t>
            </w:r>
          </w:p>
        </w:tc>
        <w:tc>
          <w:tcPr>
            <w:tcW w:w="1066" w:type="pct"/>
            <w:tcBorders>
              <w:top w:val="single" w:sz="6" w:space="0" w:color="auto"/>
              <w:left w:val="single" w:sz="6" w:space="0" w:color="auto"/>
              <w:right w:val="single" w:sz="6" w:space="0" w:color="auto"/>
            </w:tcBorders>
            <w:vAlign w:val="center"/>
          </w:tcPr>
          <w:p w14:paraId="43956788" w14:textId="77777777" w:rsidR="00ED4E8B" w:rsidRDefault="00ED4E8B" w:rsidP="009B153D">
            <w:pPr>
              <w:pStyle w:val="Style"/>
              <w:ind w:left="19"/>
              <w:textAlignment w:val="baseline"/>
            </w:pPr>
            <w:r>
              <w:rPr>
                <w:b/>
                <w:sz w:val="21"/>
                <w:szCs w:val="21"/>
              </w:rPr>
              <w:t>BKZ Total</w:t>
            </w:r>
          </w:p>
          <w:p w14:paraId="476FCD96" w14:textId="5E57E4BF" w:rsidR="00ED4E8B" w:rsidRDefault="001D2CFA" w:rsidP="009B153D">
            <w:pPr>
              <w:pStyle w:val="Style"/>
              <w:ind w:left="19"/>
              <w:textAlignment w:val="baseline"/>
            </w:pPr>
            <w:r>
              <w:rPr>
                <w:b/>
                <w:sz w:val="21"/>
                <w:szCs w:val="21"/>
              </w:rPr>
              <w:t xml:space="preserve">N = </w:t>
            </w:r>
            <w:r w:rsidR="00ED4E8B">
              <w:rPr>
                <w:b/>
                <w:sz w:val="21"/>
                <w:szCs w:val="21"/>
              </w:rPr>
              <w:t>319</w:t>
            </w:r>
          </w:p>
        </w:tc>
      </w:tr>
      <w:tr w:rsidR="00ED4E8B" w14:paraId="0654708F" w14:textId="77777777" w:rsidTr="00ED4E8B">
        <w:trPr>
          <w:trHeight w:hRule="exact" w:val="389"/>
          <w:jc w:val="center"/>
        </w:trPr>
        <w:tc>
          <w:tcPr>
            <w:tcW w:w="5000" w:type="pct"/>
            <w:gridSpan w:val="4"/>
            <w:tcBorders>
              <w:top w:val="single" w:sz="6" w:space="0" w:color="auto"/>
              <w:left w:val="single" w:sz="6" w:space="0" w:color="auto"/>
              <w:bottom w:val="single" w:sz="6" w:space="0" w:color="auto"/>
              <w:right w:val="single" w:sz="6" w:space="0" w:color="auto"/>
            </w:tcBorders>
            <w:vAlign w:val="center"/>
          </w:tcPr>
          <w:p w14:paraId="443026FC" w14:textId="60A00110" w:rsidR="00ED4E8B" w:rsidRDefault="00ED4E8B" w:rsidP="009B153D">
            <w:pPr>
              <w:pStyle w:val="Style"/>
              <w:textAlignment w:val="baseline"/>
            </w:pPr>
            <w:r>
              <w:rPr>
                <w:sz w:val="20"/>
                <w:szCs w:val="20"/>
              </w:rPr>
              <w:t xml:space="preserve">IGA 0/1 </w:t>
            </w:r>
            <w:r>
              <w:rPr>
                <w:sz w:val="23"/>
                <w:szCs w:val="23"/>
              </w:rPr>
              <w:t>response rate</w:t>
            </w:r>
          </w:p>
        </w:tc>
      </w:tr>
      <w:tr w:rsidR="00ED4E8B" w14:paraId="38C6F022" w14:textId="77777777" w:rsidTr="00ED4E8B">
        <w:trPr>
          <w:trHeight w:hRule="exact" w:val="384"/>
          <w:jc w:val="center"/>
        </w:trPr>
        <w:tc>
          <w:tcPr>
            <w:tcW w:w="1781" w:type="pct"/>
            <w:tcBorders>
              <w:top w:val="single" w:sz="6" w:space="0" w:color="auto"/>
              <w:left w:val="single" w:sz="6" w:space="0" w:color="auto"/>
              <w:bottom w:val="single" w:sz="6" w:space="0" w:color="auto"/>
              <w:right w:val="single" w:sz="6" w:space="0" w:color="auto"/>
            </w:tcBorders>
            <w:vAlign w:val="center"/>
          </w:tcPr>
          <w:p w14:paraId="706EDDB6" w14:textId="77777777" w:rsidR="00ED4E8B" w:rsidRDefault="00ED4E8B" w:rsidP="009B153D">
            <w:pPr>
              <w:pStyle w:val="Style"/>
              <w:ind w:left="394"/>
              <w:textAlignment w:val="baseline"/>
            </w:pPr>
            <w:r>
              <w:rPr>
                <w:sz w:val="23"/>
                <w:szCs w:val="23"/>
              </w:rPr>
              <w:t xml:space="preserve">n </w:t>
            </w:r>
            <w:r>
              <w:rPr>
                <w:sz w:val="20"/>
                <w:szCs w:val="20"/>
              </w:rPr>
              <w:t>(%)</w:t>
            </w:r>
          </w:p>
        </w:tc>
        <w:tc>
          <w:tcPr>
            <w:tcW w:w="1074" w:type="pct"/>
            <w:tcBorders>
              <w:top w:val="single" w:sz="6" w:space="0" w:color="auto"/>
              <w:left w:val="single" w:sz="6" w:space="0" w:color="auto"/>
              <w:bottom w:val="single" w:sz="6" w:space="0" w:color="auto"/>
              <w:right w:val="single" w:sz="6" w:space="0" w:color="auto"/>
            </w:tcBorders>
            <w:vAlign w:val="center"/>
          </w:tcPr>
          <w:p w14:paraId="683C7F0F" w14:textId="77777777" w:rsidR="00ED4E8B" w:rsidRDefault="00ED4E8B" w:rsidP="009B153D">
            <w:pPr>
              <w:pStyle w:val="Style"/>
              <w:ind w:left="43"/>
              <w:textAlignment w:val="baseline"/>
            </w:pPr>
            <w:r>
              <w:rPr>
                <w:sz w:val="20"/>
                <w:szCs w:val="20"/>
              </w:rPr>
              <w:t>134 (83.2)</w:t>
            </w:r>
          </w:p>
        </w:tc>
        <w:tc>
          <w:tcPr>
            <w:tcW w:w="1079" w:type="pct"/>
            <w:tcBorders>
              <w:top w:val="single" w:sz="6" w:space="0" w:color="auto"/>
              <w:left w:val="single" w:sz="6" w:space="0" w:color="auto"/>
              <w:bottom w:val="single" w:sz="6" w:space="0" w:color="auto"/>
              <w:right w:val="single" w:sz="6" w:space="0" w:color="auto"/>
            </w:tcBorders>
            <w:vAlign w:val="center"/>
          </w:tcPr>
          <w:p w14:paraId="73E34AAC" w14:textId="77777777" w:rsidR="00ED4E8B" w:rsidRDefault="00ED4E8B" w:rsidP="009B153D">
            <w:pPr>
              <w:pStyle w:val="Style"/>
              <w:ind w:left="34"/>
              <w:textAlignment w:val="baseline"/>
            </w:pPr>
            <w:r>
              <w:rPr>
                <w:sz w:val="20"/>
                <w:szCs w:val="20"/>
              </w:rPr>
              <w:t>130 (82.3)</w:t>
            </w:r>
          </w:p>
        </w:tc>
        <w:tc>
          <w:tcPr>
            <w:tcW w:w="1066" w:type="pct"/>
            <w:tcBorders>
              <w:top w:val="single" w:sz="6" w:space="0" w:color="auto"/>
              <w:left w:val="single" w:sz="6" w:space="0" w:color="auto"/>
              <w:bottom w:val="single" w:sz="6" w:space="0" w:color="auto"/>
              <w:right w:val="single" w:sz="6" w:space="0" w:color="auto"/>
            </w:tcBorders>
            <w:vAlign w:val="center"/>
          </w:tcPr>
          <w:p w14:paraId="71B49BB9" w14:textId="77777777" w:rsidR="00ED4E8B" w:rsidRDefault="00ED4E8B" w:rsidP="009B153D">
            <w:pPr>
              <w:pStyle w:val="Style"/>
              <w:ind w:left="19"/>
              <w:textAlignment w:val="baseline"/>
            </w:pPr>
            <w:r>
              <w:rPr>
                <w:sz w:val="20"/>
                <w:szCs w:val="20"/>
              </w:rPr>
              <w:t>264 (82.8)</w:t>
            </w:r>
          </w:p>
        </w:tc>
      </w:tr>
      <w:tr w:rsidR="00ED4E8B" w14:paraId="5D5E03E4" w14:textId="77777777" w:rsidTr="00ED4E8B">
        <w:trPr>
          <w:trHeight w:hRule="exact" w:val="379"/>
          <w:jc w:val="center"/>
        </w:trPr>
        <w:tc>
          <w:tcPr>
            <w:tcW w:w="1781" w:type="pct"/>
            <w:tcBorders>
              <w:top w:val="single" w:sz="6" w:space="0" w:color="auto"/>
              <w:left w:val="single" w:sz="6" w:space="0" w:color="auto"/>
              <w:bottom w:val="single" w:sz="6" w:space="0" w:color="auto"/>
              <w:right w:val="single" w:sz="6" w:space="0" w:color="auto"/>
            </w:tcBorders>
            <w:vAlign w:val="center"/>
          </w:tcPr>
          <w:p w14:paraId="42F71FCB" w14:textId="77777777" w:rsidR="00ED4E8B" w:rsidRDefault="00ED4E8B" w:rsidP="009B153D">
            <w:pPr>
              <w:pStyle w:val="Style"/>
              <w:ind w:left="394"/>
              <w:textAlignment w:val="baseline"/>
            </w:pPr>
            <w:r>
              <w:rPr>
                <w:sz w:val="23"/>
                <w:szCs w:val="23"/>
              </w:rPr>
              <w:t>n/</w:t>
            </w:r>
            <w:proofErr w:type="spellStart"/>
            <w:r>
              <w:rPr>
                <w:sz w:val="23"/>
                <w:szCs w:val="23"/>
              </w:rPr>
              <w:t>Nsub</w:t>
            </w:r>
            <w:proofErr w:type="spellEnd"/>
            <w:r>
              <w:rPr>
                <w:sz w:val="23"/>
                <w:szCs w:val="23"/>
              </w:rPr>
              <w:t xml:space="preserve"> </w:t>
            </w:r>
            <w:r>
              <w:rPr>
                <w:sz w:val="20"/>
                <w:szCs w:val="20"/>
              </w:rPr>
              <w:t>(%)</w:t>
            </w:r>
          </w:p>
        </w:tc>
        <w:tc>
          <w:tcPr>
            <w:tcW w:w="1074" w:type="pct"/>
            <w:tcBorders>
              <w:top w:val="single" w:sz="6" w:space="0" w:color="auto"/>
              <w:left w:val="single" w:sz="6" w:space="0" w:color="auto"/>
              <w:bottom w:val="single" w:sz="6" w:space="0" w:color="auto"/>
              <w:right w:val="single" w:sz="6" w:space="0" w:color="auto"/>
            </w:tcBorders>
            <w:vAlign w:val="center"/>
          </w:tcPr>
          <w:p w14:paraId="1D8B879D" w14:textId="77777777" w:rsidR="00ED4E8B" w:rsidRDefault="00ED4E8B" w:rsidP="009B153D">
            <w:pPr>
              <w:pStyle w:val="Style"/>
              <w:ind w:left="43"/>
              <w:textAlignment w:val="baseline"/>
            </w:pPr>
            <w:r>
              <w:rPr>
                <w:sz w:val="20"/>
                <w:szCs w:val="20"/>
              </w:rPr>
              <w:t>134/143 (93.7)</w:t>
            </w:r>
          </w:p>
        </w:tc>
        <w:tc>
          <w:tcPr>
            <w:tcW w:w="1079" w:type="pct"/>
            <w:tcBorders>
              <w:top w:val="single" w:sz="6" w:space="0" w:color="auto"/>
              <w:left w:val="single" w:sz="6" w:space="0" w:color="auto"/>
              <w:bottom w:val="single" w:sz="6" w:space="0" w:color="auto"/>
              <w:right w:val="single" w:sz="6" w:space="0" w:color="auto"/>
            </w:tcBorders>
            <w:vAlign w:val="center"/>
          </w:tcPr>
          <w:p w14:paraId="0CDE55D9" w14:textId="77777777" w:rsidR="00ED4E8B" w:rsidRDefault="00ED4E8B" w:rsidP="009B153D">
            <w:pPr>
              <w:pStyle w:val="Style"/>
              <w:ind w:left="34"/>
              <w:textAlignment w:val="baseline"/>
            </w:pPr>
            <w:r>
              <w:rPr>
                <w:sz w:val="20"/>
                <w:szCs w:val="20"/>
              </w:rPr>
              <w:t>130/140 (92.9)</w:t>
            </w:r>
          </w:p>
        </w:tc>
        <w:tc>
          <w:tcPr>
            <w:tcW w:w="1066" w:type="pct"/>
            <w:tcBorders>
              <w:top w:val="single" w:sz="6" w:space="0" w:color="auto"/>
              <w:left w:val="single" w:sz="6" w:space="0" w:color="auto"/>
              <w:bottom w:val="single" w:sz="6" w:space="0" w:color="auto"/>
              <w:right w:val="single" w:sz="6" w:space="0" w:color="auto"/>
            </w:tcBorders>
            <w:vAlign w:val="center"/>
          </w:tcPr>
          <w:p w14:paraId="48902812" w14:textId="77777777" w:rsidR="00ED4E8B" w:rsidRDefault="00ED4E8B" w:rsidP="009B153D">
            <w:pPr>
              <w:pStyle w:val="Style"/>
              <w:ind w:left="19"/>
              <w:textAlignment w:val="baseline"/>
            </w:pPr>
            <w:r>
              <w:rPr>
                <w:sz w:val="20"/>
                <w:szCs w:val="20"/>
              </w:rPr>
              <w:t>264/283 (93.3)</w:t>
            </w:r>
          </w:p>
        </w:tc>
      </w:tr>
    </w:tbl>
    <w:p w14:paraId="6AF7A133" w14:textId="1048E404" w:rsidR="00ED4E8B" w:rsidRDefault="00ED4E8B" w:rsidP="00C012B0">
      <w:pPr>
        <w:pStyle w:val="Heading6"/>
      </w:pPr>
      <w:r>
        <w:t>Subgroup analyses</w:t>
      </w:r>
    </w:p>
    <w:p w14:paraId="6FAC9048" w14:textId="77777777" w:rsidR="00ED4E8B" w:rsidRDefault="00ED4E8B" w:rsidP="00ED4E8B">
      <w:r>
        <w:t xml:space="preserve">Subgroup analyses were conducted for PASI 90 response, IGA 0/1 response, and PASI 100 response rates across the following subgroups: </w:t>
      </w:r>
    </w:p>
    <w:p w14:paraId="4A2807DA" w14:textId="5146F385" w:rsidR="00ED4E8B" w:rsidRDefault="00ED4E8B" w:rsidP="00C012B0">
      <w:pPr>
        <w:pStyle w:val="ListBullet"/>
      </w:pPr>
      <w:r>
        <w:t>age (</w:t>
      </w:r>
      <w:r w:rsidR="00DA69D2">
        <w:t xml:space="preserve">younger than </w:t>
      </w:r>
      <w:r>
        <w:t xml:space="preserve">40 years, 40 to </w:t>
      </w:r>
      <w:r w:rsidR="00DA69D2">
        <w:t xml:space="preserve">younger </w:t>
      </w:r>
      <w:r>
        <w:t xml:space="preserve">65 years, </w:t>
      </w:r>
      <w:r w:rsidR="00DA69D2">
        <w:t xml:space="preserve">greater or equal to </w:t>
      </w:r>
      <w:r>
        <w:t>65 years</w:t>
      </w:r>
      <w:proofErr w:type="gramStart"/>
      <w:r>
        <w:t>);</w:t>
      </w:r>
      <w:proofErr w:type="gramEnd"/>
    </w:p>
    <w:p w14:paraId="7CC20D09" w14:textId="1E5234A5" w:rsidR="00ED4E8B" w:rsidRDefault="00ED4E8B" w:rsidP="00C012B0">
      <w:pPr>
        <w:pStyle w:val="ListBullet"/>
      </w:pPr>
      <w:r>
        <w:t>gender (male, female); duration of disease (</w:t>
      </w:r>
      <w:r w:rsidR="00DA69D2">
        <w:t xml:space="preserve">younger than </w:t>
      </w:r>
      <w:r>
        <w:t xml:space="preserve">median </w:t>
      </w:r>
      <w:r w:rsidR="00280740">
        <w:t>(</w:t>
      </w:r>
      <w:r>
        <w:t>15.88</w:t>
      </w:r>
      <w:r w:rsidR="00280740">
        <w:t>)</w:t>
      </w:r>
      <w:r>
        <w:t xml:space="preserve"> years, </w:t>
      </w:r>
      <w:r w:rsidR="00DA69D2">
        <w:t xml:space="preserve">greater or equal to </w:t>
      </w:r>
      <w:r>
        <w:t>median</w:t>
      </w:r>
      <w:r w:rsidR="00C012B0">
        <w:t xml:space="preserve"> </w:t>
      </w:r>
      <w:r w:rsidR="00280740">
        <w:t>(</w:t>
      </w:r>
      <w:r>
        <w:t>15.88</w:t>
      </w:r>
      <w:r w:rsidR="00280740">
        <w:t>)</w:t>
      </w:r>
      <w:r>
        <w:t xml:space="preserve"> years</w:t>
      </w:r>
      <w:proofErr w:type="gramStart"/>
      <w:r>
        <w:t>);</w:t>
      </w:r>
      <w:proofErr w:type="gramEnd"/>
    </w:p>
    <w:p w14:paraId="3B7B001D" w14:textId="2656953A" w:rsidR="00ED4E8B" w:rsidRDefault="00ED4E8B" w:rsidP="00C012B0">
      <w:pPr>
        <w:pStyle w:val="ListBullet"/>
      </w:pPr>
      <w:r>
        <w:t>geographic region (North America, Western Europe, Central/Eastern Europe, Asia/Australia</w:t>
      </w:r>
      <w:proofErr w:type="gramStart"/>
      <w:r>
        <w:t>);</w:t>
      </w:r>
      <w:proofErr w:type="gramEnd"/>
    </w:p>
    <w:p w14:paraId="78C03D76" w14:textId="795D24BF" w:rsidR="00ED4E8B" w:rsidRDefault="00ED4E8B" w:rsidP="00C012B0">
      <w:pPr>
        <w:pStyle w:val="ListBullet"/>
      </w:pPr>
      <w:r>
        <w:t>body weight (</w:t>
      </w:r>
      <w:r w:rsidR="00DA69D2">
        <w:t xml:space="preserve">less or equal to </w:t>
      </w:r>
      <w:r>
        <w:t xml:space="preserve">100kg, </w:t>
      </w:r>
      <w:r w:rsidR="00DA69D2">
        <w:t xml:space="preserve">greater than </w:t>
      </w:r>
      <w:r>
        <w:t>100kg), BMI (</w:t>
      </w:r>
      <w:r w:rsidR="00DA69D2">
        <w:t xml:space="preserve">less than </w:t>
      </w:r>
      <w:r>
        <w:t>25</w:t>
      </w:r>
      <w:r w:rsidR="00DA69D2">
        <w:t xml:space="preserve"> </w:t>
      </w:r>
      <w:r>
        <w:t>kg/m</w:t>
      </w:r>
      <w:r w:rsidRPr="00DA69D2">
        <w:rPr>
          <w:vertAlign w:val="superscript"/>
        </w:rPr>
        <w:t>2</w:t>
      </w:r>
      <w:r>
        <w:t xml:space="preserve">, </w:t>
      </w:r>
      <w:r w:rsidR="00DA69D2">
        <w:t xml:space="preserve">greater or equal to </w:t>
      </w:r>
      <w:r>
        <w:t xml:space="preserve">25 to </w:t>
      </w:r>
      <w:r w:rsidR="00DA69D2">
        <w:t xml:space="preserve">less than </w:t>
      </w:r>
      <w:r>
        <w:t>30</w:t>
      </w:r>
      <w:r w:rsidR="00DA69D2">
        <w:t xml:space="preserve"> </w:t>
      </w:r>
      <w:r>
        <w:t>kg/m</w:t>
      </w:r>
      <w:r w:rsidRPr="00DA69D2">
        <w:rPr>
          <w:vertAlign w:val="superscript"/>
        </w:rPr>
        <w:t>2</w:t>
      </w:r>
      <w:r>
        <w:t xml:space="preserve">, </w:t>
      </w:r>
      <w:r w:rsidR="00DA69D2">
        <w:t xml:space="preserve">greater or equal to </w:t>
      </w:r>
      <w:r>
        <w:t>30</w:t>
      </w:r>
      <w:r w:rsidR="00280740">
        <w:t xml:space="preserve"> </w:t>
      </w:r>
      <w:r>
        <w:t>kg/m</w:t>
      </w:r>
      <w:r w:rsidRPr="00DA69D2">
        <w:rPr>
          <w:vertAlign w:val="superscript"/>
        </w:rPr>
        <w:t>2</w:t>
      </w:r>
      <w:proofErr w:type="gramStart"/>
      <w:r>
        <w:t>);</w:t>
      </w:r>
      <w:proofErr w:type="gramEnd"/>
      <w:r>
        <w:t xml:space="preserve"> </w:t>
      </w:r>
    </w:p>
    <w:p w14:paraId="0202CB69" w14:textId="1B9E1D2E" w:rsidR="00ED4E8B" w:rsidRDefault="00ED4E8B" w:rsidP="00C012B0">
      <w:pPr>
        <w:pStyle w:val="ListBullet"/>
      </w:pPr>
      <w:r>
        <w:t>prior systemic phototherapy or chemo-phototherapy (yes, no</w:t>
      </w:r>
      <w:proofErr w:type="gramStart"/>
      <w:r>
        <w:t>);</w:t>
      </w:r>
      <w:proofErr w:type="gramEnd"/>
    </w:p>
    <w:p w14:paraId="40423238" w14:textId="1E1B9C1F" w:rsidR="00ED4E8B" w:rsidRDefault="00ED4E8B" w:rsidP="00C012B0">
      <w:pPr>
        <w:pStyle w:val="ListBullet"/>
      </w:pPr>
      <w:r>
        <w:lastRenderedPageBreak/>
        <w:t>prior biological exposure (yes, no</w:t>
      </w:r>
      <w:proofErr w:type="gramStart"/>
      <w:r>
        <w:t>);</w:t>
      </w:r>
      <w:proofErr w:type="gramEnd"/>
    </w:p>
    <w:p w14:paraId="468D553A" w14:textId="109AECC3" w:rsidR="00ED4E8B" w:rsidRDefault="00ED4E8B" w:rsidP="00C012B0">
      <w:pPr>
        <w:pStyle w:val="ListBullet"/>
      </w:pPr>
      <w:r>
        <w:t>prior systemic therapy (yes, no</w:t>
      </w:r>
      <w:proofErr w:type="gramStart"/>
      <w:r>
        <w:t>);</w:t>
      </w:r>
      <w:proofErr w:type="gramEnd"/>
    </w:p>
    <w:p w14:paraId="370B7C78" w14:textId="0FCC293C" w:rsidR="00ED4E8B" w:rsidRDefault="00ED4E8B" w:rsidP="00C012B0">
      <w:pPr>
        <w:pStyle w:val="ListBullet"/>
      </w:pPr>
      <w:r>
        <w:t xml:space="preserve">baseline PASI score </w:t>
      </w:r>
      <w:r w:rsidR="00DA69D2">
        <w:t xml:space="preserve">less than </w:t>
      </w:r>
      <w:r>
        <w:t xml:space="preserve">20, </w:t>
      </w:r>
      <w:r w:rsidR="00DA69D2">
        <w:t xml:space="preserve">greater or equal to </w:t>
      </w:r>
      <w:r>
        <w:t>20).</w:t>
      </w:r>
    </w:p>
    <w:p w14:paraId="3F17B5A7" w14:textId="0D94CA24" w:rsidR="00ED4E8B" w:rsidRDefault="00ED4E8B" w:rsidP="00ED4E8B">
      <w:r>
        <w:t xml:space="preserve">All analyses demonstrated a difference in PASI 90, PASI 100 and IGA 0/1 response rates in the </w:t>
      </w:r>
      <w:proofErr w:type="spellStart"/>
      <w:r w:rsidR="008B40FD">
        <w:t>bimekizumab</w:t>
      </w:r>
      <w:proofErr w:type="spellEnd"/>
      <w:r>
        <w:t xml:space="preserve"> groups compared with the </w:t>
      </w:r>
      <w:r w:rsidR="004858E7">
        <w:t>adalimumab</w:t>
      </w:r>
      <w:r>
        <w:t xml:space="preserve"> group at Week 16 and Week </w:t>
      </w:r>
      <w:proofErr w:type="gramStart"/>
      <w:r>
        <w:t>24;</w:t>
      </w:r>
      <w:proofErr w:type="gramEnd"/>
    </w:p>
    <w:p w14:paraId="2B8C1378" w14:textId="51226D5D" w:rsidR="00ED4E8B" w:rsidRDefault="00ED4E8B" w:rsidP="00ED4E8B">
      <w:r>
        <w:t xml:space="preserve">The PASI 90, PASI100, and IGA 0/1 response rates through Week 56 were generally similar across all subgroups for the </w:t>
      </w:r>
      <w:proofErr w:type="spellStart"/>
      <w:r w:rsidR="008B40FD">
        <w:t>bimekizumab</w:t>
      </w:r>
      <w:proofErr w:type="spellEnd"/>
      <w:r>
        <w:t xml:space="preserve"> 320</w:t>
      </w:r>
      <w:r w:rsidR="00DA69D2">
        <w:t xml:space="preserve"> </w:t>
      </w:r>
      <w:r>
        <w:t xml:space="preserve">mg </w:t>
      </w:r>
      <w:r w:rsidR="00F23C97">
        <w:t>every 4 weeks</w:t>
      </w:r>
      <w:r>
        <w:t xml:space="preserve"> group and the </w:t>
      </w:r>
      <w:proofErr w:type="spellStart"/>
      <w:r w:rsidR="008B40FD">
        <w:t>bimekizumab</w:t>
      </w:r>
      <w:proofErr w:type="spellEnd"/>
      <w:r>
        <w:t xml:space="preserve"> 320</w:t>
      </w:r>
      <w:r w:rsidR="00DA69D2">
        <w:t xml:space="preserve"> </w:t>
      </w:r>
      <w:r>
        <w:t xml:space="preserve">mg </w:t>
      </w:r>
      <w:r w:rsidR="00F23C97">
        <w:t>every 4 weeks</w:t>
      </w:r>
      <w:r>
        <w:t>/</w:t>
      </w:r>
      <w:r w:rsidR="00F23C97">
        <w:t>every 8 weeks</w:t>
      </w:r>
      <w:r>
        <w:t xml:space="preserve"> group.</w:t>
      </w:r>
    </w:p>
    <w:p w14:paraId="3E46E283" w14:textId="1587DFFE" w:rsidR="00ED4E8B" w:rsidRDefault="00C012B0" w:rsidP="00ED4E8B">
      <w:r>
        <w:t xml:space="preserve">The </w:t>
      </w:r>
      <w:r w:rsidR="00280740">
        <w:t xml:space="preserve">TGA’s clinical evaluation noted </w:t>
      </w:r>
      <w:r>
        <w:t>that t</w:t>
      </w:r>
      <w:r w:rsidR="00ED4E8B">
        <w:t>he co-primary endpoint was relevant for patients with moderate to severe plaque psoriasis and, consistent with adopted guidelines;</w:t>
      </w:r>
      <w:r w:rsidR="00DA69D2">
        <w:fldChar w:fldCharType="begin"/>
      </w:r>
      <w:r w:rsidR="00DA69D2">
        <w:instrText xml:space="preserve"> NOTEREF _Ref129858909 \f \h </w:instrText>
      </w:r>
      <w:r w:rsidR="00DA69D2">
        <w:fldChar w:fldCharType="separate"/>
      </w:r>
      <w:r w:rsidR="00B54079" w:rsidRPr="00B54079">
        <w:rPr>
          <w:rStyle w:val="FootnoteReference"/>
        </w:rPr>
        <w:t>30</w:t>
      </w:r>
      <w:r w:rsidR="00DA69D2">
        <w:fldChar w:fldCharType="end"/>
      </w:r>
    </w:p>
    <w:p w14:paraId="5045AFDD" w14:textId="5BB1CECE" w:rsidR="00ED4E8B" w:rsidRDefault="00ED4E8B" w:rsidP="00C012B0">
      <w:pPr>
        <w:pStyle w:val="ListBullet"/>
      </w:pPr>
      <w:r>
        <w:t xml:space="preserve">Treatment with </w:t>
      </w:r>
      <w:proofErr w:type="spellStart"/>
      <w:r w:rsidR="008B40FD">
        <w:t>bimekizumab</w:t>
      </w:r>
      <w:proofErr w:type="spellEnd"/>
      <w:r>
        <w:t xml:space="preserve"> resulted in a statistically and clinically significant reduction in the disease burden of psoriasis as measured by PASI and IGA versus patients treated with </w:t>
      </w:r>
      <w:proofErr w:type="gramStart"/>
      <w:r w:rsidR="004858E7">
        <w:t>adalimumab</w:t>
      </w:r>
      <w:r>
        <w:t>;</w:t>
      </w:r>
      <w:proofErr w:type="gramEnd"/>
    </w:p>
    <w:p w14:paraId="568F8708" w14:textId="557E11BE" w:rsidR="00ED4E8B" w:rsidRDefault="00ED4E8B" w:rsidP="00C012B0">
      <w:pPr>
        <w:pStyle w:val="ListBullet"/>
      </w:pPr>
      <w:r>
        <w:t>The reduction was evident four weeks after treatment and, was sustained through 56</w:t>
      </w:r>
      <w:r w:rsidR="00280740">
        <w:t> </w:t>
      </w:r>
      <w:r>
        <w:t xml:space="preserve">weeks of </w:t>
      </w:r>
      <w:proofErr w:type="gramStart"/>
      <w:r>
        <w:t>treatment;</w:t>
      </w:r>
      <w:proofErr w:type="gramEnd"/>
    </w:p>
    <w:p w14:paraId="2ADAF266" w14:textId="1535A8CE" w:rsidR="00ED4E8B" w:rsidRDefault="00ED4E8B" w:rsidP="00C012B0">
      <w:pPr>
        <w:pStyle w:val="ListBullet"/>
      </w:pPr>
      <w:r>
        <w:t xml:space="preserve">There was little difference in response rate for patients that received </w:t>
      </w:r>
      <w:proofErr w:type="spellStart"/>
      <w:r w:rsidR="008B40FD">
        <w:t>bimekizumab</w:t>
      </w:r>
      <w:proofErr w:type="spellEnd"/>
      <w:r>
        <w:t xml:space="preserve"> </w:t>
      </w:r>
      <w:r w:rsidR="00F23C97">
        <w:t>every 4 weeks</w:t>
      </w:r>
      <w:r>
        <w:t xml:space="preserve"> versus those that received </w:t>
      </w:r>
      <w:proofErr w:type="spellStart"/>
      <w:r w:rsidR="008B40FD">
        <w:t>bimekizumab</w:t>
      </w:r>
      <w:proofErr w:type="spellEnd"/>
      <w:r>
        <w:t xml:space="preserve"> </w:t>
      </w:r>
      <w:r w:rsidR="00F23C97">
        <w:t>every 8 weeks</w:t>
      </w:r>
      <w:r>
        <w:t xml:space="preserve"> following the first 16 weeks of </w:t>
      </w:r>
      <w:proofErr w:type="gramStart"/>
      <w:r>
        <w:t>treatment;</w:t>
      </w:r>
      <w:proofErr w:type="gramEnd"/>
    </w:p>
    <w:p w14:paraId="75B89064" w14:textId="6F147CFB" w:rsidR="00ED4E8B" w:rsidRDefault="00ED4E8B" w:rsidP="00C012B0">
      <w:pPr>
        <w:pStyle w:val="ListBullet"/>
      </w:pPr>
      <w:r>
        <w:t xml:space="preserve">Importantly, </w:t>
      </w:r>
      <w:r w:rsidR="004858E7">
        <w:t>adalimumab</w:t>
      </w:r>
      <w:r>
        <w:t xml:space="preserve"> is approved in Australia for the treatment of moderate to severe plaque psoriasis and, an appropriate dose regimen was used in this study.</w:t>
      </w:r>
    </w:p>
    <w:p w14:paraId="42167FDC" w14:textId="028994E6" w:rsidR="00ED4E8B" w:rsidRDefault="00C012B0" w:rsidP="00ED4E8B">
      <w:r>
        <w:t>The D</w:t>
      </w:r>
      <w:r w:rsidR="00ED4E8B">
        <w:t>elegate contend</w:t>
      </w:r>
      <w:r w:rsidR="00DA69D2">
        <w:t>ed</w:t>
      </w:r>
      <w:r w:rsidR="00ED4E8B">
        <w:t xml:space="preserve"> that the </w:t>
      </w:r>
      <w:r w:rsidR="004858E7">
        <w:t>adalimumab</w:t>
      </w:r>
      <w:r w:rsidR="00ED4E8B">
        <w:t xml:space="preserve"> dose used in the trial was suboptimal for the purpose of determining </w:t>
      </w:r>
      <w:proofErr w:type="spellStart"/>
      <w:r w:rsidR="008B40FD">
        <w:t>bimekizumab</w:t>
      </w:r>
      <w:proofErr w:type="spellEnd"/>
      <w:r w:rsidR="00ED4E8B">
        <w:t xml:space="preserve"> superiority over </w:t>
      </w:r>
      <w:r w:rsidR="004858E7">
        <w:t>adalimumab</w:t>
      </w:r>
      <w:r w:rsidR="00ED4E8B">
        <w:t>.</w:t>
      </w:r>
    </w:p>
    <w:p w14:paraId="3DC52D8D" w14:textId="1DAB8D8F" w:rsidR="006F6291" w:rsidRDefault="006F6291" w:rsidP="006E4137">
      <w:pPr>
        <w:spacing w:before="0" w:after="200" w:line="0" w:lineRule="auto"/>
      </w:pPr>
      <w:r>
        <w:br w:type="page"/>
      </w:r>
    </w:p>
    <w:p w14:paraId="2983978B" w14:textId="44067523" w:rsidR="00ED4E8B" w:rsidRPr="008D028A" w:rsidRDefault="00C012B0" w:rsidP="008D028A">
      <w:pPr>
        <w:pStyle w:val="Heading5"/>
      </w:pPr>
      <w:bookmarkStart w:id="101" w:name="_Ref132625160"/>
      <w:r w:rsidRPr="008D028A">
        <w:lastRenderedPageBreak/>
        <w:t>Study PS0009</w:t>
      </w:r>
      <w:bookmarkEnd w:id="101"/>
    </w:p>
    <w:p w14:paraId="683EE67D" w14:textId="77777777" w:rsidR="006F6291" w:rsidRDefault="00C012B0" w:rsidP="00C012B0">
      <w:pPr>
        <w:spacing w:after="0" w:line="240" w:lineRule="auto"/>
        <w:rPr>
          <w:lang w:eastAsia="ja-JP"/>
        </w:rPr>
      </w:pPr>
      <w:r>
        <w:t>Study PS0009 is a</w:t>
      </w:r>
      <w:r w:rsidRPr="00084323">
        <w:rPr>
          <w:lang w:eastAsia="ja-JP"/>
        </w:rPr>
        <w:t xml:space="preserve"> Phase III, randomi</w:t>
      </w:r>
      <w:r w:rsidR="00DA69D2">
        <w:rPr>
          <w:lang w:eastAsia="ja-JP"/>
        </w:rPr>
        <w:t>s</w:t>
      </w:r>
      <w:r w:rsidRPr="00084323">
        <w:rPr>
          <w:lang w:eastAsia="ja-JP"/>
        </w:rPr>
        <w:t>ed, double</w:t>
      </w:r>
      <w:r w:rsidR="00DA69D2">
        <w:rPr>
          <w:lang w:eastAsia="ja-JP"/>
        </w:rPr>
        <w:t xml:space="preserve"> </w:t>
      </w:r>
      <w:r w:rsidRPr="00084323">
        <w:rPr>
          <w:lang w:eastAsia="ja-JP"/>
        </w:rPr>
        <w:t>blind, parallel</w:t>
      </w:r>
      <w:r w:rsidR="00DA69D2">
        <w:rPr>
          <w:lang w:eastAsia="ja-JP"/>
        </w:rPr>
        <w:t xml:space="preserve"> </w:t>
      </w:r>
      <w:r w:rsidRPr="00084323">
        <w:rPr>
          <w:lang w:eastAsia="ja-JP"/>
        </w:rPr>
        <w:t>group, active comparator</w:t>
      </w:r>
      <w:r w:rsidR="00DA69D2">
        <w:rPr>
          <w:lang w:eastAsia="ja-JP"/>
        </w:rPr>
        <w:t xml:space="preserve"> </w:t>
      </w:r>
      <w:r w:rsidRPr="00084323">
        <w:rPr>
          <w:lang w:eastAsia="ja-JP"/>
        </w:rPr>
        <w:t xml:space="preserve">controlled multicentre study to evaluate the efficacy and safety of </w:t>
      </w:r>
      <w:proofErr w:type="spellStart"/>
      <w:r w:rsidRPr="00084323">
        <w:rPr>
          <w:lang w:eastAsia="ja-JP"/>
        </w:rPr>
        <w:t>bimekizumab</w:t>
      </w:r>
      <w:proofErr w:type="spellEnd"/>
      <w:r>
        <w:rPr>
          <w:lang w:eastAsia="ja-JP"/>
        </w:rPr>
        <w:t xml:space="preserve"> </w:t>
      </w:r>
      <w:r w:rsidRPr="00084323">
        <w:rPr>
          <w:lang w:eastAsia="ja-JP"/>
        </w:rPr>
        <w:t>in adult</w:t>
      </w:r>
      <w:r>
        <w:rPr>
          <w:lang w:eastAsia="ja-JP"/>
        </w:rPr>
        <w:t>s</w:t>
      </w:r>
      <w:r w:rsidRPr="00084323">
        <w:rPr>
          <w:lang w:eastAsia="ja-JP"/>
        </w:rPr>
        <w:t xml:space="preserve"> with moderate to severe plaque psoriasis.</w:t>
      </w:r>
    </w:p>
    <w:p w14:paraId="5E69373A" w14:textId="2F62D640" w:rsidR="006F6291" w:rsidRPr="00084323" w:rsidRDefault="006F6291" w:rsidP="006E4137">
      <w:pPr>
        <w:pStyle w:val="Heading6"/>
        <w:rPr>
          <w:lang w:eastAsia="ja-JP"/>
        </w:rPr>
      </w:pPr>
      <w:r>
        <w:rPr>
          <w:lang w:eastAsia="ja-JP"/>
        </w:rPr>
        <w:t>Study design</w:t>
      </w:r>
    </w:p>
    <w:p w14:paraId="60E63649" w14:textId="17C015AA" w:rsidR="00C012B0" w:rsidRPr="00C012B0" w:rsidRDefault="00C012B0" w:rsidP="00C012B0">
      <w:pPr>
        <w:pStyle w:val="BodyText"/>
        <w:spacing w:before="119"/>
        <w:ind w:left="1276" w:right="736" w:hanging="1276"/>
        <w:rPr>
          <w:sz w:val="22"/>
          <w:szCs w:val="22"/>
        </w:rPr>
      </w:pPr>
      <w:r w:rsidRPr="00440F91">
        <w:rPr>
          <w:sz w:val="22"/>
          <w:szCs w:val="22"/>
        </w:rPr>
        <w:t>The study design</w:t>
      </w:r>
      <w:r>
        <w:rPr>
          <w:sz w:val="22"/>
          <w:szCs w:val="22"/>
        </w:rPr>
        <w:t xml:space="preserve">, as depicted schematically below, </w:t>
      </w:r>
      <w:r w:rsidRPr="00440F91">
        <w:rPr>
          <w:sz w:val="22"/>
          <w:szCs w:val="22"/>
        </w:rPr>
        <w:t>consisted of</w:t>
      </w:r>
      <w:r>
        <w:rPr>
          <w:sz w:val="22"/>
          <w:szCs w:val="22"/>
        </w:rPr>
        <w:t xml:space="preserve"> four periods:</w:t>
      </w:r>
    </w:p>
    <w:p w14:paraId="7ABD843B" w14:textId="00665489" w:rsidR="00C012B0" w:rsidRPr="00440F91" w:rsidRDefault="00DA69D2" w:rsidP="00C012B0">
      <w:pPr>
        <w:pStyle w:val="ListBullet"/>
        <w:rPr>
          <w:lang w:eastAsia="ja-JP"/>
        </w:rPr>
      </w:pPr>
      <w:r>
        <w:rPr>
          <w:lang w:eastAsia="ja-JP"/>
        </w:rPr>
        <w:t>One</w:t>
      </w:r>
      <w:r w:rsidR="00C012B0">
        <w:rPr>
          <w:lang w:eastAsia="ja-JP"/>
        </w:rPr>
        <w:t xml:space="preserve"> week </w:t>
      </w:r>
      <w:r w:rsidR="00C012B0" w:rsidRPr="00440F91">
        <w:rPr>
          <w:lang w:eastAsia="ja-JP"/>
        </w:rPr>
        <w:t xml:space="preserve">screening </w:t>
      </w:r>
      <w:proofErr w:type="gramStart"/>
      <w:r w:rsidR="00C012B0" w:rsidRPr="00440F91">
        <w:rPr>
          <w:lang w:eastAsia="ja-JP"/>
        </w:rPr>
        <w:t>period</w:t>
      </w:r>
      <w:r w:rsidR="00C012B0">
        <w:rPr>
          <w:lang w:eastAsia="ja-JP"/>
        </w:rPr>
        <w:t>;</w:t>
      </w:r>
      <w:proofErr w:type="gramEnd"/>
    </w:p>
    <w:p w14:paraId="5386B2FC" w14:textId="77777777" w:rsidR="00C012B0" w:rsidRDefault="00C012B0" w:rsidP="00C012B0">
      <w:pPr>
        <w:pStyle w:val="ListBullet"/>
        <w:rPr>
          <w:lang w:eastAsia="ja-JP"/>
        </w:rPr>
      </w:pPr>
      <w:r w:rsidRPr="00C208A2">
        <w:rPr>
          <w:lang w:eastAsia="ja-JP"/>
        </w:rPr>
        <w:t>16</w:t>
      </w:r>
      <w:r>
        <w:rPr>
          <w:lang w:eastAsia="ja-JP"/>
        </w:rPr>
        <w:t xml:space="preserve"> </w:t>
      </w:r>
      <w:r w:rsidRPr="00C208A2">
        <w:rPr>
          <w:lang w:eastAsia="ja-JP"/>
        </w:rPr>
        <w:t xml:space="preserve">weeks initial treatment </w:t>
      </w:r>
      <w:proofErr w:type="gramStart"/>
      <w:r w:rsidRPr="00C208A2">
        <w:rPr>
          <w:lang w:eastAsia="ja-JP"/>
        </w:rPr>
        <w:t>period</w:t>
      </w:r>
      <w:r>
        <w:rPr>
          <w:lang w:eastAsia="ja-JP"/>
        </w:rPr>
        <w:t>;</w:t>
      </w:r>
      <w:proofErr w:type="gramEnd"/>
    </w:p>
    <w:p w14:paraId="718D4895" w14:textId="77777777" w:rsidR="00C012B0" w:rsidRPr="00C208A2" w:rsidRDefault="00C012B0" w:rsidP="00C012B0">
      <w:pPr>
        <w:pStyle w:val="ListBullet"/>
        <w:rPr>
          <w:lang w:eastAsia="ja-JP"/>
        </w:rPr>
      </w:pPr>
      <w:r>
        <w:rPr>
          <w:lang w:eastAsia="ja-JP"/>
        </w:rPr>
        <w:t xml:space="preserve">36 </w:t>
      </w:r>
      <w:r w:rsidRPr="00C208A2">
        <w:rPr>
          <w:lang w:eastAsia="ja-JP"/>
        </w:rPr>
        <w:t xml:space="preserve">weeks maintenance treatment </w:t>
      </w:r>
      <w:proofErr w:type="gramStart"/>
      <w:r w:rsidRPr="00C208A2">
        <w:rPr>
          <w:lang w:eastAsia="ja-JP"/>
        </w:rPr>
        <w:t>period</w:t>
      </w:r>
      <w:r>
        <w:rPr>
          <w:lang w:eastAsia="ja-JP"/>
        </w:rPr>
        <w:t>;</w:t>
      </w:r>
      <w:proofErr w:type="gramEnd"/>
    </w:p>
    <w:p w14:paraId="54267091" w14:textId="294934A7" w:rsidR="00C012B0" w:rsidRDefault="00C012B0" w:rsidP="00C012B0">
      <w:pPr>
        <w:pStyle w:val="ListBullet"/>
        <w:rPr>
          <w:lang w:eastAsia="ja-JP"/>
        </w:rPr>
      </w:pPr>
      <w:r w:rsidRPr="00B24CA6">
        <w:rPr>
          <w:lang w:eastAsia="ja-JP"/>
        </w:rPr>
        <w:t>20 weeks safety follow up period.</w:t>
      </w:r>
    </w:p>
    <w:p w14:paraId="46C8A5C4" w14:textId="32D957BF" w:rsidR="00C012B0" w:rsidRDefault="00C012B0" w:rsidP="00DA69D2">
      <w:pPr>
        <w:pStyle w:val="FigureTitle"/>
      </w:pPr>
      <w:r w:rsidRPr="00DA69D2">
        <w:t xml:space="preserve">Figure </w:t>
      </w:r>
      <w:r w:rsidR="00172397">
        <w:fldChar w:fldCharType="begin"/>
      </w:r>
      <w:r w:rsidR="00172397">
        <w:instrText xml:space="preserve"> SEQ Figure \* ARABIC </w:instrText>
      </w:r>
      <w:r w:rsidR="00172397">
        <w:fldChar w:fldCharType="separate"/>
      </w:r>
      <w:r w:rsidR="00B54079">
        <w:rPr>
          <w:noProof/>
        </w:rPr>
        <w:t>17</w:t>
      </w:r>
      <w:r w:rsidR="00172397">
        <w:rPr>
          <w:noProof/>
        </w:rPr>
        <w:fldChar w:fldCharType="end"/>
      </w:r>
      <w:r>
        <w:t>:</w:t>
      </w:r>
      <w:r w:rsidR="00DA69D2">
        <w:t xml:space="preserve"> Study </w:t>
      </w:r>
      <w:r w:rsidR="00DA69D2" w:rsidRPr="001162D0">
        <w:t>PS0009</w:t>
      </w:r>
      <w:r w:rsidR="00DA69D2">
        <w:t xml:space="preserve"> </w:t>
      </w:r>
      <w:r w:rsidR="00DA69D2" w:rsidRPr="001162D0">
        <w:t>Schematic diagram</w:t>
      </w:r>
    </w:p>
    <w:p w14:paraId="11604E45" w14:textId="1F07B9CD" w:rsidR="00C012B0" w:rsidRDefault="00C012B0" w:rsidP="00C012B0">
      <w:r w:rsidRPr="00C012B0">
        <w:rPr>
          <w:noProof/>
          <w:lang w:val="en-GB" w:eastAsia="en-GB"/>
        </w:rPr>
        <w:drawing>
          <wp:inline distT="0" distB="0" distL="0" distR="0" wp14:anchorId="5B7B8E0A" wp14:editId="6613F17A">
            <wp:extent cx="5400040" cy="2770505"/>
            <wp:effectExtent l="0" t="0" r="0" b="0"/>
            <wp:docPr id="12" name="Picture 12" descr="Study PS0009 Schematic diagram&#10;Study PS0009 is a Phase III, randomised, double blind, parallel group, active comparator controlled multicentre study to evaluate the efficacy and safety of bimekizumab in adults with moderate to severe plaque psoriasis.&#10;&#10;Study design consists of 4 periods, one week screening, 16 weeks initial treatment period, 36 weeks maintenance treatment period and 20 weeks safety follow up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tudy PS0009 Schematic diagram&#10;Study PS0009 is a Phase III, randomised, double blind, parallel group, active comparator controlled multicentre study to evaluate the efficacy and safety of bimekizumab in adults with moderate to severe plaque psoriasis.&#10;&#10;Study design consists of 4 periods, one week screening, 16 weeks initial treatment period, 36 weeks maintenance treatment period and 20 weeks safety follow up period. "/>
                    <pic:cNvPicPr/>
                  </pic:nvPicPr>
                  <pic:blipFill>
                    <a:blip r:embed="rId36"/>
                    <a:stretch>
                      <a:fillRect/>
                    </a:stretch>
                  </pic:blipFill>
                  <pic:spPr>
                    <a:xfrm>
                      <a:off x="0" y="0"/>
                      <a:ext cx="5400040" cy="2770505"/>
                    </a:xfrm>
                    <a:prstGeom prst="rect">
                      <a:avLst/>
                    </a:prstGeom>
                  </pic:spPr>
                </pic:pic>
              </a:graphicData>
            </a:graphic>
          </wp:inline>
        </w:drawing>
      </w:r>
    </w:p>
    <w:p w14:paraId="012B12E3" w14:textId="17315AA2" w:rsidR="00C012B0" w:rsidRPr="008D028A" w:rsidRDefault="00C012B0" w:rsidP="008D028A">
      <w:r w:rsidRPr="00D70C8D">
        <w:t>The primary objective</w:t>
      </w:r>
      <w:r w:rsidR="008D028A">
        <w:t xml:space="preserve"> is t</w:t>
      </w:r>
      <w:r w:rsidRPr="001B7A26">
        <w:rPr>
          <w:rFonts w:asciiTheme="minorHAnsi" w:hAnsiTheme="minorHAnsi"/>
          <w:lang w:eastAsia="ja-JP"/>
        </w:rPr>
        <w:t xml:space="preserve">o evaluate the efficacy and safety of </w:t>
      </w:r>
      <w:proofErr w:type="spellStart"/>
      <w:r w:rsidRPr="001B7A26">
        <w:rPr>
          <w:rFonts w:asciiTheme="minorHAnsi" w:hAnsiTheme="minorHAnsi"/>
          <w:lang w:eastAsia="ja-JP"/>
        </w:rPr>
        <w:t>bimekizumab</w:t>
      </w:r>
      <w:proofErr w:type="spellEnd"/>
      <w:r>
        <w:rPr>
          <w:rFonts w:asciiTheme="minorHAnsi" w:hAnsiTheme="minorHAnsi"/>
          <w:lang w:eastAsia="ja-JP"/>
        </w:rPr>
        <w:t xml:space="preserve"> </w:t>
      </w:r>
      <w:r w:rsidRPr="001B7A26">
        <w:rPr>
          <w:rFonts w:asciiTheme="minorHAnsi" w:hAnsiTheme="minorHAnsi"/>
          <w:lang w:eastAsia="ja-JP"/>
        </w:rPr>
        <w:t>in adults with moderate to severe plaque psoriasis.</w:t>
      </w:r>
    </w:p>
    <w:p w14:paraId="13894559" w14:textId="689C76C1" w:rsidR="00C012B0" w:rsidRPr="008D028A" w:rsidRDefault="00C012B0" w:rsidP="00C012B0">
      <w:pPr>
        <w:rPr>
          <w:rFonts w:asciiTheme="minorHAnsi" w:hAnsiTheme="minorHAnsi"/>
          <w:bCs/>
          <w:i/>
          <w:iCs/>
        </w:rPr>
      </w:pPr>
      <w:r w:rsidRPr="00D52518">
        <w:rPr>
          <w:rFonts w:asciiTheme="minorHAnsi" w:hAnsiTheme="minorHAnsi"/>
        </w:rPr>
        <w:t>Main inclusion criteria</w:t>
      </w:r>
      <w:r w:rsidR="008D028A">
        <w:rPr>
          <w:rFonts w:asciiTheme="minorHAnsi" w:hAnsiTheme="minorHAnsi"/>
        </w:rPr>
        <w:t xml:space="preserve"> </w:t>
      </w:r>
      <w:r w:rsidR="008D028A" w:rsidRPr="008D028A">
        <w:t>include s</w:t>
      </w:r>
      <w:r w:rsidRPr="008D028A">
        <w:t>tudy</w:t>
      </w:r>
      <w:r w:rsidRPr="00D52518">
        <w:rPr>
          <w:lang w:eastAsia="ja-JP"/>
        </w:rPr>
        <w:t xml:space="preserve"> participants must have been adults with a diagnosis of moderate to severe psoriasis (Baseline PASI </w:t>
      </w:r>
      <w:r w:rsidR="00DA69D2">
        <w:rPr>
          <w:lang w:eastAsia="ja-JP"/>
        </w:rPr>
        <w:t xml:space="preserve">greater or equal to </w:t>
      </w:r>
      <w:r w:rsidRPr="00D52518">
        <w:rPr>
          <w:lang w:eastAsia="ja-JP"/>
        </w:rPr>
        <w:t xml:space="preserve">12 and body surface area affected by psoriasis </w:t>
      </w:r>
      <w:r w:rsidR="00DA69D2">
        <w:rPr>
          <w:lang w:eastAsia="ja-JP"/>
        </w:rPr>
        <w:t xml:space="preserve">greater or equal to </w:t>
      </w:r>
      <w:r w:rsidRPr="00D52518">
        <w:rPr>
          <w:lang w:eastAsia="ja-JP"/>
        </w:rPr>
        <w:t xml:space="preserve">10% and IGA score </w:t>
      </w:r>
      <w:r w:rsidR="00DA69D2">
        <w:rPr>
          <w:lang w:eastAsia="ja-JP"/>
        </w:rPr>
        <w:t xml:space="preserve">greater or equal to </w:t>
      </w:r>
      <w:r w:rsidRPr="00D52518">
        <w:rPr>
          <w:lang w:eastAsia="ja-JP"/>
        </w:rPr>
        <w:t>3 who were candidates for systemic psoriasis therapy and/or phototherapy</w:t>
      </w:r>
      <w:r w:rsidR="00DA69D2">
        <w:rPr>
          <w:lang w:eastAsia="ja-JP"/>
        </w:rPr>
        <w:t>.</w:t>
      </w:r>
    </w:p>
    <w:p w14:paraId="33B29B9B" w14:textId="02724FE8" w:rsidR="00C012B0" w:rsidRPr="008D028A" w:rsidRDefault="00C012B0" w:rsidP="008D028A">
      <w:r w:rsidRPr="008D028A">
        <w:t xml:space="preserve">Exclusion </w:t>
      </w:r>
      <w:r w:rsidR="008D028A">
        <w:t>c</w:t>
      </w:r>
      <w:r w:rsidRPr="008D028A">
        <w:t>riteria</w:t>
      </w:r>
      <w:r w:rsidR="008D028A">
        <w:t xml:space="preserve"> </w:t>
      </w:r>
      <w:r w:rsidRPr="008D028A">
        <w:t>were identical to those for Study PS0008 apart from</w:t>
      </w:r>
      <w:r w:rsidR="008D028A">
        <w:t xml:space="preserve"> s</w:t>
      </w:r>
      <w:r w:rsidRPr="008D028A">
        <w:rPr>
          <w:lang w:eastAsia="ja-JP"/>
        </w:rPr>
        <w:t xml:space="preserve">tudy participant had a known hypersensitivity to any excipients of </w:t>
      </w:r>
      <w:proofErr w:type="spellStart"/>
      <w:r w:rsidR="008B40FD">
        <w:rPr>
          <w:lang w:eastAsia="ja-JP"/>
        </w:rPr>
        <w:t>bimekizumab</w:t>
      </w:r>
      <w:proofErr w:type="spellEnd"/>
      <w:r w:rsidRPr="008D028A">
        <w:rPr>
          <w:lang w:eastAsia="ja-JP"/>
        </w:rPr>
        <w:t xml:space="preserve"> or </w:t>
      </w:r>
      <w:proofErr w:type="spellStart"/>
      <w:r w:rsidRPr="008D028A">
        <w:rPr>
          <w:lang w:eastAsia="ja-JP"/>
        </w:rPr>
        <w:t>ustekinumab</w:t>
      </w:r>
      <w:proofErr w:type="spellEnd"/>
      <w:r w:rsidR="008D028A">
        <w:rPr>
          <w:lang w:eastAsia="ja-JP"/>
        </w:rPr>
        <w:t>.</w:t>
      </w:r>
    </w:p>
    <w:p w14:paraId="57A62002" w14:textId="6D1C39CF" w:rsidR="00C012B0" w:rsidRPr="008D028A" w:rsidRDefault="008D028A" w:rsidP="002E7BEE">
      <w:pPr>
        <w:rPr>
          <w:lang w:eastAsia="ja-JP"/>
        </w:rPr>
      </w:pPr>
      <w:r>
        <w:t xml:space="preserve">The </w:t>
      </w:r>
      <w:r w:rsidR="006F6291">
        <w:t xml:space="preserve">TGA’s clinical evaluation noted </w:t>
      </w:r>
      <w:r>
        <w:t>that t</w:t>
      </w:r>
      <w:r w:rsidR="00C012B0" w:rsidRPr="008D028A">
        <w:t xml:space="preserve">he requirement of a PASI of </w:t>
      </w:r>
      <w:r w:rsidR="002E7BEE">
        <w:t>greater or equal to</w:t>
      </w:r>
      <w:r w:rsidR="00C012B0" w:rsidRPr="008D028A">
        <w:t xml:space="preserve"> 12, </w:t>
      </w:r>
      <w:r w:rsidR="007F1555">
        <w:t>IGA</w:t>
      </w:r>
      <w:r w:rsidR="00AF306B">
        <w:t xml:space="preserve"> </w:t>
      </w:r>
      <w:r w:rsidR="00C012B0" w:rsidRPr="008D028A">
        <w:t xml:space="preserve">of </w:t>
      </w:r>
      <w:r w:rsidR="002E7BEE">
        <w:t>greater or equal to</w:t>
      </w:r>
      <w:r w:rsidR="00C012B0" w:rsidRPr="008D028A">
        <w:t xml:space="preserve"> 3 and a total body surface area of </w:t>
      </w:r>
      <w:r w:rsidR="002E7BEE">
        <w:t>greater or equal to</w:t>
      </w:r>
      <w:r w:rsidR="00C012B0" w:rsidRPr="008D028A">
        <w:t xml:space="preserve"> 10%</w:t>
      </w:r>
      <w:r>
        <w:t xml:space="preserve"> </w:t>
      </w:r>
      <w:r w:rsidR="00C012B0" w:rsidRPr="008D028A">
        <w:t>reflects published guidelines, as adopted by the TGA.</w:t>
      </w:r>
      <w:r w:rsidR="006F6291">
        <w:rPr>
          <w:vertAlign w:val="superscript"/>
        </w:rPr>
        <w:fldChar w:fldCharType="begin"/>
      </w:r>
      <w:r w:rsidR="006F6291">
        <w:rPr>
          <w:vertAlign w:val="superscript"/>
        </w:rPr>
        <w:instrText xml:space="preserve"> NOTEREF _Ref132368946 \h  \* MERGEFORMAT </w:instrText>
      </w:r>
      <w:r w:rsidR="006F6291">
        <w:rPr>
          <w:vertAlign w:val="superscript"/>
        </w:rPr>
      </w:r>
      <w:r w:rsidR="006F6291">
        <w:rPr>
          <w:vertAlign w:val="superscript"/>
        </w:rPr>
        <w:fldChar w:fldCharType="separate"/>
      </w:r>
      <w:r w:rsidR="00B54079">
        <w:rPr>
          <w:vertAlign w:val="superscript"/>
        </w:rPr>
        <w:t>37</w:t>
      </w:r>
      <w:r w:rsidR="006F6291">
        <w:rPr>
          <w:vertAlign w:val="superscript"/>
        </w:rPr>
        <w:fldChar w:fldCharType="end"/>
      </w:r>
      <w:r w:rsidR="006F6291" w:rsidDel="006F6291">
        <w:t xml:space="preserve"> </w:t>
      </w:r>
    </w:p>
    <w:p w14:paraId="3C3A3C37" w14:textId="326E7F7B" w:rsidR="00C012B0" w:rsidRPr="008D028A" w:rsidRDefault="00C012B0">
      <w:pPr>
        <w:pStyle w:val="Heading6"/>
      </w:pPr>
      <w:r w:rsidRPr="008D028A">
        <w:t>Study treatments</w:t>
      </w:r>
      <w:r w:rsidR="006E1C55">
        <w:t xml:space="preserve"> and schedule</w:t>
      </w:r>
    </w:p>
    <w:p w14:paraId="1F0863AE" w14:textId="34DCDD50" w:rsidR="00C012B0" w:rsidRPr="00ED1CC1" w:rsidRDefault="00C012B0" w:rsidP="00C012B0">
      <w:pPr>
        <w:rPr>
          <w:lang w:eastAsia="ja-JP"/>
        </w:rPr>
      </w:pPr>
      <w:r w:rsidRPr="00ED1CC1">
        <w:rPr>
          <w:lang w:eastAsia="ja-JP"/>
        </w:rPr>
        <w:t>Eligible study participants were randomi</w:t>
      </w:r>
      <w:r w:rsidR="008D028A">
        <w:rPr>
          <w:lang w:eastAsia="ja-JP"/>
        </w:rPr>
        <w:t>s</w:t>
      </w:r>
      <w:r w:rsidRPr="00ED1CC1">
        <w:rPr>
          <w:lang w:eastAsia="ja-JP"/>
        </w:rPr>
        <w:t xml:space="preserve">ed </w:t>
      </w:r>
      <w:r>
        <w:rPr>
          <w:lang w:eastAsia="ja-JP"/>
        </w:rPr>
        <w:t>4</w:t>
      </w:r>
      <w:r w:rsidR="002E7BEE">
        <w:rPr>
          <w:lang w:eastAsia="ja-JP"/>
        </w:rPr>
        <w:t>:</w:t>
      </w:r>
      <w:r w:rsidRPr="00ED1CC1">
        <w:rPr>
          <w:lang w:eastAsia="ja-JP"/>
        </w:rPr>
        <w:t xml:space="preserve">2:1 </w:t>
      </w:r>
      <w:r w:rsidR="006F6291">
        <w:rPr>
          <w:lang w:eastAsia="ja-JP"/>
        </w:rPr>
        <w:t xml:space="preserve">ratio </w:t>
      </w:r>
      <w:r w:rsidRPr="00ED1CC1">
        <w:rPr>
          <w:lang w:eastAsia="ja-JP"/>
        </w:rPr>
        <w:t>to receive the following, in a blinded fashion:</w:t>
      </w:r>
    </w:p>
    <w:p w14:paraId="1FE4C70E" w14:textId="168E9277" w:rsidR="00C012B0" w:rsidRPr="008D028A" w:rsidRDefault="008B40FD" w:rsidP="008D028A">
      <w:pPr>
        <w:pStyle w:val="ListBullet"/>
        <w:rPr>
          <w:lang w:eastAsia="ja-JP"/>
        </w:rPr>
      </w:pPr>
      <w:proofErr w:type="spellStart"/>
      <w:r>
        <w:rPr>
          <w:lang w:eastAsia="ja-JP"/>
        </w:rPr>
        <w:t>bimekizumab</w:t>
      </w:r>
      <w:proofErr w:type="spellEnd"/>
      <w:r w:rsidR="00C012B0" w:rsidRPr="00ED1CC1">
        <w:rPr>
          <w:lang w:eastAsia="ja-JP"/>
        </w:rPr>
        <w:t xml:space="preserve"> 320</w:t>
      </w:r>
      <w:r w:rsidR="002E7BEE">
        <w:rPr>
          <w:lang w:eastAsia="ja-JP"/>
        </w:rPr>
        <w:t xml:space="preserve"> </w:t>
      </w:r>
      <w:r w:rsidR="00C012B0" w:rsidRPr="00ED1CC1">
        <w:rPr>
          <w:lang w:eastAsia="ja-JP"/>
        </w:rPr>
        <w:t xml:space="preserve">mg </w:t>
      </w:r>
      <w:r w:rsidR="008D028A">
        <w:rPr>
          <w:lang w:eastAsia="ja-JP"/>
        </w:rPr>
        <w:t>once every 4 weeks</w:t>
      </w:r>
      <w:r w:rsidR="00C012B0" w:rsidRPr="00ED1CC1">
        <w:rPr>
          <w:lang w:eastAsia="ja-JP"/>
        </w:rPr>
        <w:t xml:space="preserve"> throughout the study for 52 weeks </w:t>
      </w:r>
      <w:r w:rsidR="008D028A">
        <w:rPr>
          <w:lang w:eastAsia="ja-JP"/>
        </w:rPr>
        <w:t>(</w:t>
      </w:r>
      <w:r w:rsidR="00C012B0" w:rsidRPr="008D028A">
        <w:rPr>
          <w:lang w:eastAsia="ja-JP"/>
        </w:rPr>
        <w:t>N</w:t>
      </w:r>
      <w:r w:rsidR="006F6291">
        <w:rPr>
          <w:lang w:eastAsia="ja-JP"/>
        </w:rPr>
        <w:t> </w:t>
      </w:r>
      <w:r w:rsidR="00C012B0" w:rsidRPr="008D028A">
        <w:rPr>
          <w:lang w:eastAsia="ja-JP"/>
        </w:rPr>
        <w:t>=</w:t>
      </w:r>
      <w:r w:rsidR="006F6291">
        <w:rPr>
          <w:lang w:eastAsia="ja-JP"/>
        </w:rPr>
        <w:t> </w:t>
      </w:r>
      <w:r w:rsidR="00C012B0" w:rsidRPr="008D028A">
        <w:rPr>
          <w:lang w:eastAsia="ja-JP"/>
        </w:rPr>
        <w:t>320</w:t>
      </w:r>
      <w:r w:rsidR="008D028A">
        <w:rPr>
          <w:lang w:eastAsia="ja-JP"/>
        </w:rPr>
        <w:t>)</w:t>
      </w:r>
      <w:r w:rsidR="00C012B0" w:rsidRPr="008D028A">
        <w:rPr>
          <w:lang w:eastAsia="ja-JP"/>
        </w:rPr>
        <w:t xml:space="preserve"> </w:t>
      </w:r>
      <w:r w:rsidR="008D028A">
        <w:rPr>
          <w:lang w:eastAsia="ja-JP"/>
        </w:rPr>
        <w:t xml:space="preserve">was </w:t>
      </w:r>
      <w:r w:rsidR="00C012B0" w:rsidRPr="008D028A">
        <w:rPr>
          <w:lang w:eastAsia="ja-JP"/>
        </w:rPr>
        <w:t>designated by the</w:t>
      </w:r>
      <w:r w:rsidR="002E7BEE">
        <w:rPr>
          <w:lang w:eastAsia="ja-JP"/>
        </w:rPr>
        <w:t xml:space="preserve"> </w:t>
      </w:r>
      <w:r w:rsidR="008D028A">
        <w:rPr>
          <w:lang w:eastAsia="ja-JP"/>
        </w:rPr>
        <w:t>D</w:t>
      </w:r>
      <w:r w:rsidR="00C012B0" w:rsidRPr="008D028A">
        <w:rPr>
          <w:lang w:eastAsia="ja-JP"/>
        </w:rPr>
        <w:t>elegate as Group A</w:t>
      </w:r>
      <w:r w:rsidR="006F6291">
        <w:rPr>
          <w:lang w:eastAsia="ja-JP"/>
        </w:rPr>
        <w:t xml:space="preserve"> (and discussed as such in this </w:t>
      </w:r>
      <w:proofErr w:type="spellStart"/>
      <w:r w:rsidR="006F6291">
        <w:rPr>
          <w:lang w:eastAsia="ja-JP"/>
        </w:rPr>
        <w:t>AusPAR</w:t>
      </w:r>
      <w:proofErr w:type="spellEnd"/>
      <w:proofErr w:type="gramStart"/>
      <w:r w:rsidR="006F6291">
        <w:rPr>
          <w:lang w:eastAsia="ja-JP"/>
        </w:rPr>
        <w:t>)</w:t>
      </w:r>
      <w:r w:rsidR="00C012B0" w:rsidRPr="008D028A">
        <w:rPr>
          <w:lang w:eastAsia="ja-JP"/>
        </w:rPr>
        <w:t>;</w:t>
      </w:r>
      <w:proofErr w:type="gramEnd"/>
    </w:p>
    <w:p w14:paraId="26B52A72" w14:textId="76958E22" w:rsidR="00C012B0" w:rsidRPr="008D028A" w:rsidRDefault="004858E7" w:rsidP="008D028A">
      <w:pPr>
        <w:pStyle w:val="ListBullet"/>
        <w:rPr>
          <w:lang w:eastAsia="ja-JP"/>
        </w:rPr>
      </w:pPr>
      <w:proofErr w:type="spellStart"/>
      <w:r>
        <w:rPr>
          <w:lang w:eastAsia="ja-JP"/>
        </w:rPr>
        <w:lastRenderedPageBreak/>
        <w:t>ustekinumab</w:t>
      </w:r>
      <w:proofErr w:type="spellEnd"/>
      <w:r w:rsidR="00C012B0" w:rsidRPr="008D028A">
        <w:rPr>
          <w:lang w:eastAsia="ja-JP"/>
        </w:rPr>
        <w:t xml:space="preserve"> throughout 52 weeks </w:t>
      </w:r>
      <w:r w:rsidR="008D028A">
        <w:rPr>
          <w:lang w:eastAsia="ja-JP"/>
        </w:rPr>
        <w:t>(</w:t>
      </w:r>
      <w:r w:rsidR="00C012B0" w:rsidRPr="008D028A">
        <w:rPr>
          <w:lang w:eastAsia="ja-JP"/>
        </w:rPr>
        <w:t>N</w:t>
      </w:r>
      <w:r w:rsidR="008D028A">
        <w:rPr>
          <w:lang w:eastAsia="ja-JP"/>
        </w:rPr>
        <w:t xml:space="preserve"> </w:t>
      </w:r>
      <w:r w:rsidR="00C012B0" w:rsidRPr="008D028A">
        <w:rPr>
          <w:lang w:eastAsia="ja-JP"/>
        </w:rPr>
        <w:t>= 160</w:t>
      </w:r>
      <w:r w:rsidR="008D028A">
        <w:rPr>
          <w:lang w:eastAsia="ja-JP"/>
        </w:rPr>
        <w:t xml:space="preserve">) was </w:t>
      </w:r>
      <w:r w:rsidR="00C012B0" w:rsidRPr="008D028A">
        <w:rPr>
          <w:lang w:eastAsia="ja-JP"/>
        </w:rPr>
        <w:t xml:space="preserve">designated by the </w:t>
      </w:r>
      <w:r w:rsidR="008D028A">
        <w:rPr>
          <w:lang w:eastAsia="ja-JP"/>
        </w:rPr>
        <w:t>D</w:t>
      </w:r>
      <w:r w:rsidR="00C012B0" w:rsidRPr="008D028A">
        <w:rPr>
          <w:lang w:eastAsia="ja-JP"/>
        </w:rPr>
        <w:t>elegate as Group</w:t>
      </w:r>
      <w:r w:rsidR="006F6291">
        <w:rPr>
          <w:lang w:eastAsia="ja-JP"/>
        </w:rPr>
        <w:t> </w:t>
      </w:r>
      <w:r w:rsidR="00C012B0" w:rsidRPr="008D028A">
        <w:rPr>
          <w:lang w:eastAsia="ja-JP"/>
        </w:rPr>
        <w:t>B;</w:t>
      </w:r>
      <w:r w:rsidR="006F6291">
        <w:rPr>
          <w:lang w:eastAsia="ja-JP"/>
        </w:rPr>
        <w:t xml:space="preserve"> or</w:t>
      </w:r>
    </w:p>
    <w:p w14:paraId="0F2A2066" w14:textId="54E5FE12" w:rsidR="00C012B0" w:rsidRPr="008D028A" w:rsidRDefault="00C012B0" w:rsidP="008D028A">
      <w:pPr>
        <w:pStyle w:val="ListBullet"/>
        <w:rPr>
          <w:lang w:eastAsia="ja-JP"/>
        </w:rPr>
      </w:pPr>
      <w:r w:rsidRPr="008D028A">
        <w:rPr>
          <w:lang w:eastAsia="ja-JP"/>
        </w:rPr>
        <w:t xml:space="preserve">Placebo for 16 weeks, then </w:t>
      </w:r>
      <w:proofErr w:type="spellStart"/>
      <w:r w:rsidR="008B40FD">
        <w:rPr>
          <w:lang w:eastAsia="ja-JP"/>
        </w:rPr>
        <w:t>bimekizumab</w:t>
      </w:r>
      <w:proofErr w:type="spellEnd"/>
      <w:r w:rsidRPr="008D028A">
        <w:rPr>
          <w:lang w:eastAsia="ja-JP"/>
        </w:rPr>
        <w:t xml:space="preserve"> for 36 weeks </w:t>
      </w:r>
      <w:r w:rsidR="008D028A">
        <w:rPr>
          <w:lang w:eastAsia="ja-JP"/>
        </w:rPr>
        <w:t>(</w:t>
      </w:r>
      <w:r w:rsidRPr="008D028A">
        <w:rPr>
          <w:lang w:eastAsia="ja-JP"/>
        </w:rPr>
        <w:t>N</w:t>
      </w:r>
      <w:r w:rsidR="002E7BEE">
        <w:rPr>
          <w:lang w:eastAsia="ja-JP"/>
        </w:rPr>
        <w:t xml:space="preserve"> </w:t>
      </w:r>
      <w:r w:rsidRPr="008D028A">
        <w:rPr>
          <w:lang w:eastAsia="ja-JP"/>
        </w:rPr>
        <w:t>=</w:t>
      </w:r>
      <w:r w:rsidR="002E7BEE">
        <w:rPr>
          <w:lang w:eastAsia="ja-JP"/>
        </w:rPr>
        <w:t xml:space="preserve"> </w:t>
      </w:r>
      <w:r w:rsidRPr="008D028A">
        <w:rPr>
          <w:lang w:eastAsia="ja-JP"/>
        </w:rPr>
        <w:t>80</w:t>
      </w:r>
      <w:r w:rsidR="008D028A">
        <w:rPr>
          <w:lang w:eastAsia="ja-JP"/>
        </w:rPr>
        <w:t xml:space="preserve">) </w:t>
      </w:r>
      <w:r w:rsidRPr="008D028A">
        <w:rPr>
          <w:lang w:eastAsia="ja-JP"/>
        </w:rPr>
        <w:t xml:space="preserve">designated by the </w:t>
      </w:r>
      <w:r w:rsidR="008D028A">
        <w:rPr>
          <w:lang w:eastAsia="ja-JP"/>
        </w:rPr>
        <w:t>D</w:t>
      </w:r>
      <w:r w:rsidRPr="008D028A">
        <w:rPr>
          <w:lang w:eastAsia="ja-JP"/>
        </w:rPr>
        <w:t>elegate as Group C.</w:t>
      </w:r>
    </w:p>
    <w:p w14:paraId="5E299962" w14:textId="09095253" w:rsidR="00C012B0" w:rsidRPr="008D028A" w:rsidRDefault="00C012B0" w:rsidP="008D028A">
      <w:r w:rsidRPr="008D028A">
        <w:t xml:space="preserve">As per the schematic diagram and randomisation grouping above and, </w:t>
      </w:r>
      <w:proofErr w:type="gramStart"/>
      <w:r w:rsidRPr="008D028A">
        <w:t>in order to</w:t>
      </w:r>
      <w:proofErr w:type="gramEnd"/>
      <w:r w:rsidRPr="008D028A">
        <w:t xml:space="preserve"> maintain blinding because of differences in the dosing schedule between </w:t>
      </w:r>
      <w:proofErr w:type="spellStart"/>
      <w:r w:rsidR="008B40FD">
        <w:t>bimekizumab</w:t>
      </w:r>
      <w:proofErr w:type="spellEnd"/>
      <w:r w:rsidRPr="008D028A">
        <w:t xml:space="preserve"> (</w:t>
      </w:r>
      <w:r w:rsidR="008D028A">
        <w:t>once every 4 weeks</w:t>
      </w:r>
      <w:r w:rsidRPr="008D028A">
        <w:t xml:space="preserve">) and </w:t>
      </w:r>
      <w:proofErr w:type="spellStart"/>
      <w:r w:rsidR="004858E7">
        <w:t>ustekinumab</w:t>
      </w:r>
      <w:proofErr w:type="spellEnd"/>
      <w:r w:rsidRPr="008D028A">
        <w:t xml:space="preserve"> </w:t>
      </w:r>
      <w:r w:rsidR="008D028A">
        <w:t>(once every 4 weeks</w:t>
      </w:r>
      <w:r w:rsidRPr="008D028A">
        <w:t>, then</w:t>
      </w:r>
      <w:r w:rsidR="008D028A">
        <w:t xml:space="preserve"> once every</w:t>
      </w:r>
      <w:r w:rsidRPr="008D028A">
        <w:t xml:space="preserve"> 12 week</w:t>
      </w:r>
      <w:r w:rsidR="008D028A">
        <w:t xml:space="preserve">). </w:t>
      </w:r>
      <w:proofErr w:type="spellStart"/>
      <w:r w:rsidR="004858E7">
        <w:t>ustekinumab</w:t>
      </w:r>
      <w:proofErr w:type="spellEnd"/>
      <w:r w:rsidRPr="008D028A">
        <w:t xml:space="preserve"> dosing is also based on weight, the dosing schedule for the initial treatment period was:</w:t>
      </w:r>
    </w:p>
    <w:p w14:paraId="6EE6FA8A" w14:textId="77777777" w:rsidR="006F6291" w:rsidRDefault="00C012B0" w:rsidP="00C012B0">
      <w:r w:rsidRPr="006E4137">
        <w:rPr>
          <w:i/>
        </w:rPr>
        <w:t>Group A:</w:t>
      </w:r>
    </w:p>
    <w:p w14:paraId="7CEE2482" w14:textId="627AA350" w:rsidR="00C012B0" w:rsidRPr="009C6AE6" w:rsidRDefault="00C012B0" w:rsidP="006E4137">
      <w:pPr>
        <w:pStyle w:val="ListBullet"/>
      </w:pPr>
      <w:r w:rsidRPr="009C6AE6">
        <w:t xml:space="preserve">Study participants </w:t>
      </w:r>
      <w:r w:rsidR="001D2CFA">
        <w:t>randomised</w:t>
      </w:r>
      <w:r w:rsidRPr="009C6AE6">
        <w:t xml:space="preserve"> to receive </w:t>
      </w:r>
      <w:proofErr w:type="spellStart"/>
      <w:r w:rsidR="008B40FD">
        <w:rPr>
          <w:lang w:eastAsia="ja-JP"/>
        </w:rPr>
        <w:t>bimekizumab</w:t>
      </w:r>
      <w:proofErr w:type="spellEnd"/>
      <w:r w:rsidRPr="009C6AE6">
        <w:rPr>
          <w:lang w:eastAsia="ja-JP"/>
        </w:rPr>
        <w:t xml:space="preserve"> </w:t>
      </w:r>
      <w:r w:rsidRPr="009C6AE6">
        <w:t>320</w:t>
      </w:r>
      <w:r w:rsidR="002E7BEE">
        <w:t xml:space="preserve"> </w:t>
      </w:r>
      <w:r w:rsidRPr="009C6AE6">
        <w:t xml:space="preserve">mg </w:t>
      </w:r>
      <w:r w:rsidR="00F23C97">
        <w:t>every 4 weeks</w:t>
      </w:r>
      <w:r w:rsidRPr="009C6AE6">
        <w:t xml:space="preserve"> received </w:t>
      </w:r>
      <w:r w:rsidR="002E7BEE">
        <w:t>two</w:t>
      </w:r>
      <w:r w:rsidRPr="009C6AE6">
        <w:rPr>
          <w:lang w:eastAsia="ja-JP"/>
        </w:rPr>
        <w:t xml:space="preserve"> </w:t>
      </w:r>
      <w:proofErr w:type="spellStart"/>
      <w:r w:rsidR="008B40FD">
        <w:rPr>
          <w:lang w:eastAsia="ja-JP"/>
        </w:rPr>
        <w:t>bimekizumab</w:t>
      </w:r>
      <w:proofErr w:type="spellEnd"/>
      <w:r w:rsidRPr="009C6AE6">
        <w:t xml:space="preserve"> 160</w:t>
      </w:r>
      <w:r w:rsidR="008D028A">
        <w:t> </w:t>
      </w:r>
      <w:r w:rsidRPr="009C6AE6">
        <w:t xml:space="preserve">mg injections </w:t>
      </w:r>
      <w:r w:rsidR="002E7BEE">
        <w:t>subcutaneously</w:t>
      </w:r>
      <w:r w:rsidRPr="009C6AE6">
        <w:t xml:space="preserve"> at Weeks 0 (Baseline), 4, 8, 12</w:t>
      </w:r>
      <w:r w:rsidR="008D028A">
        <w:t xml:space="preserve"> and </w:t>
      </w:r>
      <w:r w:rsidRPr="009C6AE6">
        <w:t>16.</w:t>
      </w:r>
    </w:p>
    <w:p w14:paraId="56FB7C3F" w14:textId="7FD2FABE" w:rsidR="00C012B0" w:rsidRPr="006E4137" w:rsidRDefault="00C012B0" w:rsidP="00C012B0">
      <w:pPr>
        <w:rPr>
          <w:i/>
        </w:rPr>
      </w:pPr>
      <w:r w:rsidRPr="006E4137">
        <w:rPr>
          <w:i/>
        </w:rPr>
        <w:t>Group B:</w:t>
      </w:r>
    </w:p>
    <w:p w14:paraId="08DA61D2" w14:textId="54D1F2EE" w:rsidR="00C012B0" w:rsidRPr="00881A1F" w:rsidRDefault="00C012B0" w:rsidP="008D028A">
      <w:pPr>
        <w:pStyle w:val="ListBullet"/>
      </w:pPr>
      <w:r w:rsidRPr="00881A1F">
        <w:t xml:space="preserve">only received </w:t>
      </w:r>
      <w:r w:rsidR="002E7BEE">
        <w:t>one</w:t>
      </w:r>
      <w:r w:rsidRPr="00881A1F">
        <w:t xml:space="preserve"> </w:t>
      </w:r>
      <w:proofErr w:type="spellStart"/>
      <w:r w:rsidR="004858E7">
        <w:t>ustekinumab</w:t>
      </w:r>
      <w:proofErr w:type="spellEnd"/>
      <w:r w:rsidRPr="00881A1F">
        <w:t xml:space="preserve"> 45</w:t>
      </w:r>
      <w:r w:rsidR="008D028A">
        <w:t> </w:t>
      </w:r>
      <w:r w:rsidRPr="00881A1F">
        <w:t xml:space="preserve">mg injection </w:t>
      </w:r>
      <w:r w:rsidR="002E7BEE">
        <w:t>subcutaneously</w:t>
      </w:r>
      <w:r w:rsidRPr="00881A1F">
        <w:t xml:space="preserve"> + </w:t>
      </w:r>
      <w:r w:rsidR="002E7BEE">
        <w:t>one</w:t>
      </w:r>
      <w:r w:rsidRPr="00881A1F">
        <w:t xml:space="preserve"> placebo injection </w:t>
      </w:r>
      <w:r w:rsidR="002E7BEE">
        <w:t>subcutaneously</w:t>
      </w:r>
      <w:r w:rsidRPr="00881A1F">
        <w:t xml:space="preserve"> at Weeks 0,</w:t>
      </w:r>
      <w:r w:rsidR="008D028A">
        <w:t xml:space="preserve"> </w:t>
      </w:r>
      <w:r w:rsidRPr="00881A1F">
        <w:t>4,</w:t>
      </w:r>
      <w:r w:rsidR="008D028A">
        <w:t xml:space="preserve"> </w:t>
      </w:r>
      <w:r w:rsidRPr="00881A1F">
        <w:t xml:space="preserve">16 for participants </w:t>
      </w:r>
      <w:r w:rsidR="002E7BEE">
        <w:t>less than</w:t>
      </w:r>
      <w:r w:rsidRPr="00881A1F">
        <w:t xml:space="preserve"> 100</w:t>
      </w:r>
      <w:r w:rsidR="008D028A">
        <w:t xml:space="preserve"> </w:t>
      </w:r>
      <w:proofErr w:type="gramStart"/>
      <w:r w:rsidRPr="00881A1F">
        <w:t>kg</w:t>
      </w:r>
      <w:r w:rsidR="008D028A">
        <w:t>;</w:t>
      </w:r>
      <w:proofErr w:type="gramEnd"/>
    </w:p>
    <w:p w14:paraId="3CE75C1A" w14:textId="45BA23C4" w:rsidR="00C012B0" w:rsidRPr="00881A1F" w:rsidRDefault="00C012B0" w:rsidP="008D028A">
      <w:pPr>
        <w:pStyle w:val="ListBullet"/>
      </w:pPr>
      <w:r w:rsidRPr="00881A1F">
        <w:t xml:space="preserve">received </w:t>
      </w:r>
      <w:r w:rsidR="008D028A">
        <w:t>two</w:t>
      </w:r>
      <w:r w:rsidRPr="00881A1F">
        <w:t xml:space="preserve"> placebo injections each at Weeks 8,</w:t>
      </w:r>
      <w:r w:rsidR="008D028A">
        <w:t xml:space="preserve"> </w:t>
      </w:r>
      <w:r w:rsidRPr="00881A1F">
        <w:t xml:space="preserve">12 for participants </w:t>
      </w:r>
      <w:r w:rsidR="002E7BEE">
        <w:t>less than</w:t>
      </w:r>
      <w:r w:rsidRPr="00881A1F">
        <w:t xml:space="preserve"> 100</w:t>
      </w:r>
      <w:r w:rsidR="008D028A">
        <w:t xml:space="preserve"> </w:t>
      </w:r>
      <w:proofErr w:type="gramStart"/>
      <w:r w:rsidRPr="00881A1F">
        <w:t>kg</w:t>
      </w:r>
      <w:r w:rsidR="008D028A">
        <w:t>;</w:t>
      </w:r>
      <w:proofErr w:type="gramEnd"/>
    </w:p>
    <w:p w14:paraId="12C52EBC" w14:textId="2570DF88" w:rsidR="00C012B0" w:rsidRPr="00881A1F" w:rsidRDefault="00C012B0" w:rsidP="008D028A">
      <w:pPr>
        <w:pStyle w:val="ListBullet"/>
      </w:pPr>
      <w:r w:rsidRPr="00881A1F">
        <w:t xml:space="preserve">only received </w:t>
      </w:r>
      <w:r w:rsidR="008D028A">
        <w:t>two</w:t>
      </w:r>
      <w:r w:rsidRPr="00881A1F">
        <w:t xml:space="preserve"> </w:t>
      </w:r>
      <w:proofErr w:type="spellStart"/>
      <w:r w:rsidR="004858E7">
        <w:t>ustekinumab</w:t>
      </w:r>
      <w:proofErr w:type="spellEnd"/>
      <w:r w:rsidRPr="00881A1F">
        <w:t xml:space="preserve"> 45</w:t>
      </w:r>
      <w:r w:rsidR="008D028A">
        <w:t> </w:t>
      </w:r>
      <w:r w:rsidRPr="00881A1F">
        <w:t xml:space="preserve">mg injections </w:t>
      </w:r>
      <w:r w:rsidR="002E7BEE">
        <w:t>subcutaneously</w:t>
      </w:r>
      <w:r w:rsidRPr="00881A1F">
        <w:t xml:space="preserve"> at Weeks 0,</w:t>
      </w:r>
      <w:r w:rsidR="008D028A">
        <w:t xml:space="preserve"> </w:t>
      </w:r>
      <w:r w:rsidRPr="00881A1F">
        <w:t>4,</w:t>
      </w:r>
      <w:r w:rsidR="008D028A">
        <w:t xml:space="preserve"> </w:t>
      </w:r>
      <w:r w:rsidRPr="00881A1F">
        <w:t xml:space="preserve">16 for participants </w:t>
      </w:r>
      <w:r w:rsidR="002E7BEE">
        <w:t>greater than</w:t>
      </w:r>
      <w:r w:rsidRPr="00881A1F">
        <w:t xml:space="preserve"> 100</w:t>
      </w:r>
      <w:r w:rsidR="008D028A">
        <w:t xml:space="preserve"> </w:t>
      </w:r>
      <w:proofErr w:type="gramStart"/>
      <w:r w:rsidRPr="00881A1F">
        <w:t>kg</w:t>
      </w:r>
      <w:r>
        <w:t>;</w:t>
      </w:r>
      <w:proofErr w:type="gramEnd"/>
    </w:p>
    <w:p w14:paraId="319E9B3E" w14:textId="08004985" w:rsidR="00C012B0" w:rsidRPr="00881A1F" w:rsidRDefault="00C012B0" w:rsidP="008D028A">
      <w:pPr>
        <w:pStyle w:val="ListBullet"/>
      </w:pPr>
      <w:r w:rsidRPr="00881A1F">
        <w:t xml:space="preserve">received </w:t>
      </w:r>
      <w:r w:rsidR="002E7BEE">
        <w:t>two</w:t>
      </w:r>
      <w:r w:rsidRPr="00881A1F">
        <w:t xml:space="preserve"> placebo injections </w:t>
      </w:r>
      <w:r w:rsidR="002E7BEE">
        <w:t>subcutaneously</w:t>
      </w:r>
      <w:r w:rsidRPr="00881A1F">
        <w:t xml:space="preserve"> at Weeks 8, 12 for participants </w:t>
      </w:r>
      <w:r w:rsidR="002E7BEE">
        <w:t>greater</w:t>
      </w:r>
      <w:r w:rsidRPr="00881A1F">
        <w:t xml:space="preserve"> 100</w:t>
      </w:r>
      <w:r w:rsidR="008D028A">
        <w:t xml:space="preserve"> </w:t>
      </w:r>
      <w:r w:rsidRPr="00881A1F">
        <w:t>kg</w:t>
      </w:r>
      <w:r w:rsidR="006F6291">
        <w:t>.</w:t>
      </w:r>
    </w:p>
    <w:p w14:paraId="37A56F9A" w14:textId="77777777" w:rsidR="006F6291" w:rsidRPr="006E4137" w:rsidRDefault="00C012B0" w:rsidP="00C012B0">
      <w:pPr>
        <w:rPr>
          <w:i/>
        </w:rPr>
      </w:pPr>
      <w:r w:rsidRPr="006E4137">
        <w:rPr>
          <w:i/>
        </w:rPr>
        <w:t>Group C:</w:t>
      </w:r>
    </w:p>
    <w:p w14:paraId="2CB6752A" w14:textId="15D822BC" w:rsidR="00C012B0" w:rsidRPr="009C6AE6" w:rsidRDefault="00C012B0" w:rsidP="006E4137">
      <w:pPr>
        <w:pStyle w:val="ListBullet"/>
      </w:pPr>
      <w:r w:rsidRPr="009C6AE6">
        <w:t xml:space="preserve">Study participants </w:t>
      </w:r>
      <w:r w:rsidR="001D2CFA">
        <w:t>randomised</w:t>
      </w:r>
      <w:r w:rsidRPr="009C6AE6">
        <w:t xml:space="preserve"> to receive placebo received</w:t>
      </w:r>
      <w:r w:rsidR="008D028A">
        <w:t xml:space="preserve"> two</w:t>
      </w:r>
      <w:r w:rsidRPr="009C6AE6">
        <w:t xml:space="preserve"> placebo injections </w:t>
      </w:r>
      <w:r w:rsidR="002E7BEE">
        <w:t xml:space="preserve">subcutaneously </w:t>
      </w:r>
      <w:r w:rsidR="00F23C97">
        <w:t>every 4 weeks</w:t>
      </w:r>
      <w:r>
        <w:t xml:space="preserve"> from </w:t>
      </w:r>
      <w:r w:rsidR="008D028A">
        <w:t>B</w:t>
      </w:r>
      <w:r>
        <w:t xml:space="preserve">aseline (Week 0) for 16 weeks </w:t>
      </w:r>
      <w:r w:rsidR="008D028A">
        <w:t>that is</w:t>
      </w:r>
      <w:r>
        <w:t xml:space="preserve"> Weeks 4,</w:t>
      </w:r>
      <w:r w:rsidR="008D028A">
        <w:t xml:space="preserve"> </w:t>
      </w:r>
      <w:r>
        <w:t>8,</w:t>
      </w:r>
      <w:r w:rsidR="008D028A">
        <w:t xml:space="preserve"> </w:t>
      </w:r>
      <w:r>
        <w:t>12</w:t>
      </w:r>
      <w:r w:rsidR="008D028A">
        <w:t xml:space="preserve"> and </w:t>
      </w:r>
      <w:r>
        <w:t>16</w:t>
      </w:r>
      <w:r w:rsidRPr="009C6AE6">
        <w:t>.</w:t>
      </w:r>
    </w:p>
    <w:p w14:paraId="6EB9855A" w14:textId="018A7C8D" w:rsidR="00C012B0" w:rsidRPr="004C542E" w:rsidRDefault="008D028A" w:rsidP="008D028A">
      <w:r>
        <w:rPr>
          <w:lang w:eastAsia="ja-JP"/>
        </w:rPr>
        <w:t>T</w:t>
      </w:r>
      <w:r w:rsidR="00C012B0" w:rsidRPr="00ED1CC1">
        <w:rPr>
          <w:lang w:eastAsia="ja-JP"/>
        </w:rPr>
        <w:t>he dosing schedule for the</w:t>
      </w:r>
      <w:r w:rsidR="00C012B0">
        <w:rPr>
          <w:lang w:eastAsia="ja-JP"/>
        </w:rPr>
        <w:t xml:space="preserve"> </w:t>
      </w:r>
      <w:r w:rsidR="00C012B0" w:rsidRPr="004C542E">
        <w:rPr>
          <w:lang w:eastAsia="ja-JP"/>
        </w:rPr>
        <w:t xml:space="preserve">maintenance </w:t>
      </w:r>
      <w:r w:rsidR="00C012B0" w:rsidRPr="004C542E">
        <w:t>treatment period was:</w:t>
      </w:r>
    </w:p>
    <w:p w14:paraId="3B693314" w14:textId="77777777" w:rsidR="006E1C55" w:rsidRDefault="00C012B0" w:rsidP="00C012B0">
      <w:r w:rsidRPr="006E4137">
        <w:rPr>
          <w:i/>
        </w:rPr>
        <w:t>Group A</w:t>
      </w:r>
      <w:r w:rsidRPr="00881A1F">
        <w:t>:</w:t>
      </w:r>
    </w:p>
    <w:p w14:paraId="5E3DB745" w14:textId="218AFFDA" w:rsidR="00C012B0" w:rsidRPr="00881A1F" w:rsidRDefault="00C012B0" w:rsidP="006E4137">
      <w:pPr>
        <w:pStyle w:val="ListBullet"/>
      </w:pPr>
      <w:r w:rsidRPr="00881A1F">
        <w:t xml:space="preserve">received </w:t>
      </w:r>
      <w:r w:rsidR="008D028A">
        <w:t>two</w:t>
      </w:r>
      <w:r w:rsidRPr="00881A1F">
        <w:t xml:space="preserve"> </w:t>
      </w:r>
      <w:proofErr w:type="spellStart"/>
      <w:r w:rsidR="008B40FD">
        <w:t>bimekizumab</w:t>
      </w:r>
      <w:proofErr w:type="spellEnd"/>
      <w:r w:rsidRPr="00881A1F">
        <w:t xml:space="preserve"> 160</w:t>
      </w:r>
      <w:r w:rsidR="008D028A">
        <w:t xml:space="preserve"> </w:t>
      </w:r>
      <w:r w:rsidRPr="00881A1F">
        <w:t xml:space="preserve">mg injections </w:t>
      </w:r>
      <w:r w:rsidR="002E7BEE">
        <w:t>subcutaneously</w:t>
      </w:r>
      <w:r w:rsidRPr="00881A1F">
        <w:t xml:space="preserve"> </w:t>
      </w:r>
      <w:r w:rsidR="00F23C97">
        <w:t>every 4 weeks</w:t>
      </w:r>
      <w:r w:rsidRPr="00881A1F">
        <w:t xml:space="preserve"> at Weeks</w:t>
      </w:r>
      <w:r w:rsidR="006E1C55">
        <w:t> </w:t>
      </w:r>
      <w:r w:rsidRPr="00881A1F">
        <w:t>20,</w:t>
      </w:r>
      <w:r w:rsidR="008D028A">
        <w:t xml:space="preserve"> </w:t>
      </w:r>
      <w:r w:rsidRPr="00881A1F">
        <w:t>24,</w:t>
      </w:r>
      <w:r w:rsidR="008D028A">
        <w:t xml:space="preserve"> </w:t>
      </w:r>
      <w:r w:rsidRPr="00881A1F">
        <w:t>28,</w:t>
      </w:r>
      <w:r w:rsidR="008D028A">
        <w:t xml:space="preserve"> </w:t>
      </w:r>
      <w:r w:rsidRPr="00881A1F">
        <w:t>32,</w:t>
      </w:r>
      <w:r w:rsidR="008D028A">
        <w:t xml:space="preserve"> </w:t>
      </w:r>
      <w:r w:rsidRPr="00881A1F">
        <w:t>36,</w:t>
      </w:r>
      <w:r w:rsidR="008D028A">
        <w:t xml:space="preserve"> </w:t>
      </w:r>
      <w:r w:rsidRPr="00881A1F">
        <w:t>40,</w:t>
      </w:r>
      <w:r w:rsidR="008D028A">
        <w:t xml:space="preserve"> </w:t>
      </w:r>
      <w:r w:rsidRPr="00881A1F">
        <w:t>44,</w:t>
      </w:r>
      <w:r w:rsidR="008D028A">
        <w:t xml:space="preserve"> </w:t>
      </w:r>
      <w:r w:rsidRPr="00881A1F">
        <w:t>48</w:t>
      </w:r>
      <w:r w:rsidR="008D028A">
        <w:t xml:space="preserve"> and </w:t>
      </w:r>
      <w:r w:rsidRPr="00881A1F">
        <w:t>52</w:t>
      </w:r>
    </w:p>
    <w:p w14:paraId="0DFA9BB3" w14:textId="77777777" w:rsidR="008D028A" w:rsidRDefault="00C012B0" w:rsidP="008D028A">
      <w:r w:rsidRPr="006E4137">
        <w:rPr>
          <w:i/>
        </w:rPr>
        <w:t>Group B</w:t>
      </w:r>
      <w:r w:rsidRPr="00881A1F">
        <w:t>:</w:t>
      </w:r>
    </w:p>
    <w:p w14:paraId="7D0FBDBF" w14:textId="3179E028" w:rsidR="00C012B0" w:rsidRPr="008D028A" w:rsidRDefault="00C012B0" w:rsidP="008D028A">
      <w:pPr>
        <w:pStyle w:val="ListBullet"/>
      </w:pPr>
      <w:r w:rsidRPr="00881A1F">
        <w:t xml:space="preserve">only received </w:t>
      </w:r>
      <w:r w:rsidR="002E7BEE">
        <w:t xml:space="preserve">one </w:t>
      </w:r>
      <w:proofErr w:type="spellStart"/>
      <w:r w:rsidR="004858E7">
        <w:t>ustekinumab</w:t>
      </w:r>
      <w:proofErr w:type="spellEnd"/>
      <w:r w:rsidRPr="00881A1F">
        <w:t xml:space="preserve"> 45</w:t>
      </w:r>
      <w:r w:rsidR="002E7BEE">
        <w:t xml:space="preserve"> </w:t>
      </w:r>
      <w:r w:rsidRPr="00881A1F">
        <w:t xml:space="preserve">mg injection </w:t>
      </w:r>
      <w:r w:rsidR="002E7BEE">
        <w:t>subcutaneously</w:t>
      </w:r>
      <w:r w:rsidRPr="00881A1F">
        <w:t xml:space="preserve"> + </w:t>
      </w:r>
      <w:r w:rsidR="002E7BEE">
        <w:t>one</w:t>
      </w:r>
      <w:r w:rsidRPr="00881A1F">
        <w:t xml:space="preserve"> placebo injection </w:t>
      </w:r>
      <w:r w:rsidR="002E7BEE">
        <w:t>subcutaneously</w:t>
      </w:r>
      <w:r w:rsidRPr="00881A1F">
        <w:t xml:space="preserve"> every 12 weeks after Week 16 </w:t>
      </w:r>
      <w:r w:rsidRPr="008D028A">
        <w:t>dose (</w:t>
      </w:r>
      <w:r w:rsidR="008D028A">
        <w:t>that is</w:t>
      </w:r>
      <w:r w:rsidRPr="008D028A">
        <w:t xml:space="preserve"> Weeks 28, 40</w:t>
      </w:r>
      <w:r w:rsidR="008D028A">
        <w:t xml:space="preserve"> and </w:t>
      </w:r>
      <w:r w:rsidRPr="008D028A">
        <w:t xml:space="preserve">52) for participants </w:t>
      </w:r>
      <w:r w:rsidR="002E7BEE">
        <w:t>less than</w:t>
      </w:r>
      <w:r w:rsidRPr="008D028A">
        <w:t xml:space="preserve"> 100</w:t>
      </w:r>
      <w:r w:rsidR="006A3BFD">
        <w:t xml:space="preserve"> </w:t>
      </w:r>
      <w:proofErr w:type="gramStart"/>
      <w:r w:rsidRPr="008D028A">
        <w:t>kg;</w:t>
      </w:r>
      <w:proofErr w:type="gramEnd"/>
    </w:p>
    <w:p w14:paraId="77D7F096" w14:textId="0427B443" w:rsidR="00C012B0" w:rsidRPr="008D028A" w:rsidRDefault="00C012B0" w:rsidP="008D028A">
      <w:pPr>
        <w:pStyle w:val="ListBullet"/>
      </w:pPr>
      <w:r w:rsidRPr="008D028A">
        <w:t xml:space="preserve">received </w:t>
      </w:r>
      <w:r w:rsidR="002E7BEE">
        <w:t>two</w:t>
      </w:r>
      <w:r w:rsidRPr="008D028A">
        <w:t xml:space="preserve"> placebo injections </w:t>
      </w:r>
      <w:r w:rsidR="002E7BEE">
        <w:t>subcutaneously</w:t>
      </w:r>
      <w:r w:rsidRPr="008D028A">
        <w:t xml:space="preserve"> on Weeks 20, 24, 32, 36, 44, and 48 for participants </w:t>
      </w:r>
      <w:r w:rsidR="002E7BEE">
        <w:t>less than</w:t>
      </w:r>
      <w:r w:rsidR="006A3BFD">
        <w:t> </w:t>
      </w:r>
      <w:r w:rsidRPr="008D028A">
        <w:t>100</w:t>
      </w:r>
      <w:r w:rsidR="006A3BFD">
        <w:t> </w:t>
      </w:r>
      <w:proofErr w:type="gramStart"/>
      <w:r w:rsidRPr="008D028A">
        <w:t>kg;</w:t>
      </w:r>
      <w:proofErr w:type="gramEnd"/>
    </w:p>
    <w:p w14:paraId="4C9DC5F8" w14:textId="7D47D39D" w:rsidR="00C012B0" w:rsidRPr="008D028A" w:rsidRDefault="00C012B0" w:rsidP="008D028A">
      <w:pPr>
        <w:pStyle w:val="ListBullet"/>
      </w:pPr>
      <w:r w:rsidRPr="008D028A">
        <w:t xml:space="preserve">only received </w:t>
      </w:r>
      <w:r w:rsidR="002E7BEE">
        <w:t>two</w:t>
      </w:r>
      <w:r w:rsidRPr="008D028A">
        <w:t xml:space="preserve"> </w:t>
      </w:r>
      <w:proofErr w:type="spellStart"/>
      <w:r w:rsidR="004858E7">
        <w:t>ustekinumab</w:t>
      </w:r>
      <w:proofErr w:type="spellEnd"/>
      <w:r w:rsidRPr="008D028A">
        <w:t xml:space="preserve"> 45</w:t>
      </w:r>
      <w:r w:rsidR="002E7BEE">
        <w:t xml:space="preserve"> </w:t>
      </w:r>
      <w:r w:rsidRPr="008D028A">
        <w:t xml:space="preserve">mg injections </w:t>
      </w:r>
      <w:r w:rsidR="002E7BEE">
        <w:t>subcutaneously</w:t>
      </w:r>
      <w:r w:rsidRPr="008D028A">
        <w:t xml:space="preserve"> every 12 weeks after Week 16 dose (</w:t>
      </w:r>
      <w:r w:rsidR="006A3BFD">
        <w:t>that is</w:t>
      </w:r>
      <w:r w:rsidRPr="008D028A">
        <w:t xml:space="preserve"> Weeks 28, 40,</w:t>
      </w:r>
      <w:r w:rsidR="008D028A">
        <w:t xml:space="preserve"> </w:t>
      </w:r>
      <w:r w:rsidRPr="008D028A">
        <w:t xml:space="preserve">52) for participants </w:t>
      </w:r>
      <w:r w:rsidR="002E7BEE">
        <w:t>greater than</w:t>
      </w:r>
      <w:r w:rsidRPr="008D028A">
        <w:t xml:space="preserve"> 100</w:t>
      </w:r>
      <w:r w:rsidR="006A3BFD">
        <w:t xml:space="preserve"> </w:t>
      </w:r>
      <w:proofErr w:type="gramStart"/>
      <w:r w:rsidRPr="008D028A">
        <w:t>kg</w:t>
      </w:r>
      <w:r w:rsidR="008D028A">
        <w:t>;</w:t>
      </w:r>
      <w:proofErr w:type="gramEnd"/>
    </w:p>
    <w:p w14:paraId="078B7613" w14:textId="27408870" w:rsidR="00C012B0" w:rsidRPr="006A3BFD" w:rsidRDefault="00C012B0" w:rsidP="006A3BFD">
      <w:pPr>
        <w:pStyle w:val="ListBullet"/>
      </w:pPr>
      <w:r w:rsidRPr="006A3BFD">
        <w:t xml:space="preserve">received </w:t>
      </w:r>
      <w:r w:rsidR="002E7BEE">
        <w:t>two</w:t>
      </w:r>
      <w:r w:rsidRPr="006A3BFD">
        <w:t xml:space="preserve"> placebo injections </w:t>
      </w:r>
      <w:r w:rsidR="002E7BEE">
        <w:t>subcutaneously</w:t>
      </w:r>
      <w:r w:rsidRPr="006A3BFD">
        <w:t xml:space="preserve"> on Weeks 20, 24, 32, 36, 44, and 48 for participants </w:t>
      </w:r>
      <w:r w:rsidR="002E7BEE">
        <w:t>greater than</w:t>
      </w:r>
      <w:r w:rsidR="006A3BFD">
        <w:t> </w:t>
      </w:r>
      <w:r w:rsidRPr="006A3BFD">
        <w:t>100</w:t>
      </w:r>
      <w:r w:rsidR="006A3BFD">
        <w:t> </w:t>
      </w:r>
      <w:proofErr w:type="gramStart"/>
      <w:r w:rsidRPr="006A3BFD">
        <w:t>kg;</w:t>
      </w:r>
      <w:proofErr w:type="gramEnd"/>
    </w:p>
    <w:p w14:paraId="6DDDD0EE" w14:textId="77777777" w:rsidR="006E1C55" w:rsidRDefault="00C012B0" w:rsidP="00C012B0">
      <w:r w:rsidRPr="006E4137">
        <w:rPr>
          <w:i/>
        </w:rPr>
        <w:t>Group C</w:t>
      </w:r>
      <w:r>
        <w:t>:</w:t>
      </w:r>
    </w:p>
    <w:p w14:paraId="0C3D77A5" w14:textId="6C86117B" w:rsidR="00C012B0" w:rsidRPr="009C6AE6" w:rsidRDefault="00C012B0" w:rsidP="006E4137">
      <w:pPr>
        <w:pStyle w:val="ListBullet"/>
      </w:pPr>
      <w:r w:rsidRPr="009C6AE6">
        <w:t xml:space="preserve">Study participants </w:t>
      </w:r>
      <w:r>
        <w:t>who initially received</w:t>
      </w:r>
      <w:r w:rsidRPr="009C6AE6">
        <w:t xml:space="preserve"> placebo</w:t>
      </w:r>
      <w:r>
        <w:t xml:space="preserve"> up to 16weeks, transferred to </w:t>
      </w:r>
      <w:proofErr w:type="spellStart"/>
      <w:r w:rsidR="008B40FD">
        <w:t>bimekizumab</w:t>
      </w:r>
      <w:proofErr w:type="spellEnd"/>
      <w:r w:rsidRPr="009C6AE6">
        <w:rPr>
          <w:lang w:eastAsia="ja-JP"/>
        </w:rPr>
        <w:t xml:space="preserve"> </w:t>
      </w:r>
      <w:r w:rsidRPr="009C6AE6">
        <w:t>320</w:t>
      </w:r>
      <w:r w:rsidR="002E7BEE">
        <w:t xml:space="preserve"> </w:t>
      </w:r>
      <w:r w:rsidRPr="009C6AE6">
        <w:t xml:space="preserve">mg </w:t>
      </w:r>
      <w:r w:rsidR="00F23C97">
        <w:t>every 4 weeks</w:t>
      </w:r>
      <w:r w:rsidRPr="009C6AE6">
        <w:t xml:space="preserve"> </w:t>
      </w:r>
      <w:r>
        <w:t xml:space="preserve">at </w:t>
      </w:r>
      <w:r w:rsidR="006A3BFD">
        <w:t>two</w:t>
      </w:r>
      <w:r w:rsidRPr="009C6AE6">
        <w:rPr>
          <w:lang w:eastAsia="ja-JP"/>
        </w:rPr>
        <w:t xml:space="preserve"> </w:t>
      </w:r>
      <w:proofErr w:type="spellStart"/>
      <w:r w:rsidR="008B40FD">
        <w:rPr>
          <w:lang w:eastAsia="ja-JP"/>
        </w:rPr>
        <w:t>bimekizumab</w:t>
      </w:r>
      <w:proofErr w:type="spellEnd"/>
      <w:r w:rsidRPr="009C6AE6">
        <w:t xml:space="preserve"> 160</w:t>
      </w:r>
      <w:r w:rsidR="006A3BFD">
        <w:t> </w:t>
      </w:r>
      <w:r w:rsidRPr="009C6AE6">
        <w:t xml:space="preserve">mg injections </w:t>
      </w:r>
      <w:r w:rsidR="002E7BEE">
        <w:t>subcutaneously</w:t>
      </w:r>
      <w:r w:rsidRPr="009C6AE6">
        <w:t xml:space="preserve"> </w:t>
      </w:r>
      <w:r w:rsidR="007F50AC">
        <w:t>(</w:t>
      </w:r>
      <w:r w:rsidRPr="009C6AE6">
        <w:t>Weeks</w:t>
      </w:r>
      <w:r>
        <w:t xml:space="preserve"> 20,</w:t>
      </w:r>
      <w:r w:rsidR="006A3BFD">
        <w:t xml:space="preserve"> </w:t>
      </w:r>
      <w:r>
        <w:t>24,</w:t>
      </w:r>
      <w:r w:rsidR="006A3BFD">
        <w:t xml:space="preserve"> </w:t>
      </w:r>
      <w:r>
        <w:t>28,</w:t>
      </w:r>
      <w:r w:rsidR="006A3BFD">
        <w:t xml:space="preserve"> </w:t>
      </w:r>
      <w:r>
        <w:t>32,</w:t>
      </w:r>
      <w:r w:rsidR="006A3BFD">
        <w:t xml:space="preserve"> </w:t>
      </w:r>
      <w:r>
        <w:t>36,</w:t>
      </w:r>
      <w:r w:rsidR="006A3BFD">
        <w:t xml:space="preserve"> </w:t>
      </w:r>
      <w:r>
        <w:t>40,</w:t>
      </w:r>
      <w:r w:rsidR="006A3BFD">
        <w:t xml:space="preserve"> </w:t>
      </w:r>
      <w:r>
        <w:t>44,</w:t>
      </w:r>
      <w:r w:rsidR="006A3BFD">
        <w:t xml:space="preserve"> </w:t>
      </w:r>
      <w:r>
        <w:t>48</w:t>
      </w:r>
      <w:r w:rsidR="006A3BFD">
        <w:t xml:space="preserve"> and </w:t>
      </w:r>
      <w:r>
        <w:t>52</w:t>
      </w:r>
      <w:r w:rsidR="007F50AC">
        <w:t>)</w:t>
      </w:r>
      <w:r w:rsidRPr="009C6AE6">
        <w:t>.</w:t>
      </w:r>
    </w:p>
    <w:p w14:paraId="6E27459F" w14:textId="6E5979DE" w:rsidR="00C012B0" w:rsidRDefault="007F50AC" w:rsidP="007F50AC">
      <w:r>
        <w:lastRenderedPageBreak/>
        <w:t xml:space="preserve">The </w:t>
      </w:r>
      <w:r w:rsidR="006E1C55">
        <w:t xml:space="preserve">TGA’s clinical evaluation noted </w:t>
      </w:r>
      <w:r>
        <w:t>that t</w:t>
      </w:r>
      <w:r w:rsidR="00C012B0" w:rsidRPr="000E4FC2">
        <w:t>his is an active comparator study that complies with relevant guidelines</w:t>
      </w:r>
      <w:r>
        <w:t xml:space="preserve">. </w:t>
      </w:r>
      <w:r w:rsidR="00C012B0" w:rsidRPr="000E4FC2">
        <w:t xml:space="preserve">Ustekinumab is a human monoclonal antibody that inhibits the activity of the cytokines, </w:t>
      </w:r>
      <w:r w:rsidR="002E7BEE">
        <w:t>IL-</w:t>
      </w:r>
      <w:proofErr w:type="gramStart"/>
      <w:r w:rsidR="00C012B0" w:rsidRPr="000E4FC2">
        <w:t>12</w:t>
      </w:r>
      <w:proofErr w:type="gramEnd"/>
      <w:r w:rsidR="00C012B0" w:rsidRPr="000E4FC2">
        <w:t xml:space="preserve"> and </w:t>
      </w:r>
      <w:r w:rsidR="002E7BEE">
        <w:t>IL</w:t>
      </w:r>
      <w:r w:rsidR="00C012B0" w:rsidRPr="000E4FC2">
        <w:t>‑23 that is indicated for the treatment of adult patients (18 years or older) with moderate to severe plaque psoriasis who are candidates for phototherapy or systemic therapy (amongst other indications) and is an acceptable active comparator.</w:t>
      </w:r>
    </w:p>
    <w:p w14:paraId="0C85FC9A" w14:textId="2912533B" w:rsidR="00C012B0" w:rsidRPr="00A57AB5" w:rsidRDefault="00D06E8C" w:rsidP="00D06E8C">
      <w:pPr>
        <w:pStyle w:val="Heading6"/>
        <w:rPr>
          <w:lang w:eastAsia="ja-JP"/>
        </w:rPr>
      </w:pPr>
      <w:r>
        <w:rPr>
          <w:lang w:eastAsia="ja-JP"/>
        </w:rPr>
        <w:t>Endpoint</w:t>
      </w:r>
      <w:r w:rsidR="006E1C55">
        <w:rPr>
          <w:lang w:eastAsia="ja-JP"/>
        </w:rPr>
        <w:t>s</w:t>
      </w:r>
    </w:p>
    <w:p w14:paraId="5154947E" w14:textId="79A51FEC" w:rsidR="006E1C55" w:rsidRDefault="006E1C55" w:rsidP="00D06E8C">
      <w:pPr>
        <w:rPr>
          <w:lang w:eastAsia="ja-JP"/>
        </w:rPr>
      </w:pPr>
      <w:r>
        <w:rPr>
          <w:lang w:eastAsia="ja-JP"/>
        </w:rPr>
        <w:t>The p</w:t>
      </w:r>
      <w:r w:rsidR="00D06E8C">
        <w:rPr>
          <w:lang w:eastAsia="ja-JP"/>
        </w:rPr>
        <w:t>rimary endpoint</w:t>
      </w:r>
      <w:r w:rsidR="000946F2">
        <w:rPr>
          <w:lang w:eastAsia="ja-JP"/>
        </w:rPr>
        <w:t>s</w:t>
      </w:r>
      <w:r>
        <w:rPr>
          <w:lang w:eastAsia="ja-JP"/>
        </w:rPr>
        <w:t xml:space="preserve"> for Study PS0009</w:t>
      </w:r>
      <w:r w:rsidR="00D06E8C">
        <w:rPr>
          <w:lang w:eastAsia="ja-JP"/>
        </w:rPr>
        <w:t xml:space="preserve"> include</w:t>
      </w:r>
      <w:r>
        <w:rPr>
          <w:lang w:eastAsia="ja-JP"/>
        </w:rPr>
        <w:t>:</w:t>
      </w:r>
    </w:p>
    <w:p w14:paraId="29B86C7B" w14:textId="4EC69EB0" w:rsidR="006E1C55" w:rsidRDefault="00C012B0" w:rsidP="006E4137">
      <w:pPr>
        <w:pStyle w:val="ListBullet"/>
        <w:rPr>
          <w:lang w:eastAsia="ja-JP"/>
        </w:rPr>
      </w:pPr>
      <w:r w:rsidRPr="000F6E30">
        <w:rPr>
          <w:lang w:eastAsia="ja-JP"/>
        </w:rPr>
        <w:t>PASI 90 response at Week 16</w:t>
      </w:r>
      <w:r w:rsidR="00D06E8C">
        <w:rPr>
          <w:lang w:eastAsia="ja-JP"/>
        </w:rPr>
        <w:t>; and</w:t>
      </w:r>
    </w:p>
    <w:p w14:paraId="690184FC" w14:textId="7EEEE417" w:rsidR="00C012B0" w:rsidRPr="00D06E8C" w:rsidRDefault="00C012B0" w:rsidP="006E4137">
      <w:pPr>
        <w:pStyle w:val="ListBullet"/>
        <w:rPr>
          <w:lang w:eastAsia="ja-JP"/>
        </w:rPr>
      </w:pPr>
      <w:r w:rsidRPr="000F6E30">
        <w:rPr>
          <w:lang w:eastAsia="ja-JP"/>
        </w:rPr>
        <w:t>IGA 0/1 response at Week 16.</w:t>
      </w:r>
    </w:p>
    <w:p w14:paraId="5C386599" w14:textId="070B862A" w:rsidR="00D06E8C" w:rsidRDefault="00D06E8C" w:rsidP="00D06E8C">
      <w:r>
        <w:t xml:space="preserve">Secondary </w:t>
      </w:r>
      <w:r w:rsidR="000946F2">
        <w:t>endpoints</w:t>
      </w:r>
      <w:r>
        <w:t xml:space="preserve"> include:</w:t>
      </w:r>
    </w:p>
    <w:p w14:paraId="0E48BF6E" w14:textId="75A15437" w:rsidR="00C012B0" w:rsidRPr="006D54A9" w:rsidRDefault="00C012B0" w:rsidP="00D06E8C">
      <w:pPr>
        <w:pStyle w:val="ListBullet"/>
      </w:pPr>
      <w:r w:rsidRPr="006D54A9">
        <w:t>PASI</w:t>
      </w:r>
      <w:r w:rsidR="002E7BEE">
        <w:t xml:space="preserve"> 1</w:t>
      </w:r>
      <w:r w:rsidRPr="006D54A9">
        <w:t xml:space="preserve">00 response at Week </w:t>
      </w:r>
      <w:proofErr w:type="gramStart"/>
      <w:r w:rsidRPr="006D54A9">
        <w:t>16</w:t>
      </w:r>
      <w:r>
        <w:t>;</w:t>
      </w:r>
      <w:proofErr w:type="gramEnd"/>
    </w:p>
    <w:p w14:paraId="17E4A0D3" w14:textId="62976820" w:rsidR="00C012B0" w:rsidRPr="006D54A9" w:rsidRDefault="00C012B0" w:rsidP="00D06E8C">
      <w:pPr>
        <w:pStyle w:val="ListBullet"/>
      </w:pPr>
      <w:r w:rsidRPr="006D54A9">
        <w:t>IGA response (Clear [0] with at least a</w:t>
      </w:r>
      <w:r w:rsidR="002E7BEE">
        <w:t xml:space="preserve"> </w:t>
      </w:r>
      <w:proofErr w:type="gramStart"/>
      <w:r w:rsidR="002E7BEE">
        <w:t xml:space="preserve">two </w:t>
      </w:r>
      <w:r w:rsidRPr="006D54A9">
        <w:t>category</w:t>
      </w:r>
      <w:proofErr w:type="gramEnd"/>
      <w:r w:rsidRPr="006D54A9">
        <w:t xml:space="preserve"> improvement relative to Baseline) at Week 16</w:t>
      </w:r>
      <w:r>
        <w:t>;</w:t>
      </w:r>
    </w:p>
    <w:p w14:paraId="38FA8B88" w14:textId="65828597" w:rsidR="00C012B0" w:rsidRPr="006D54A9" w:rsidRDefault="00C012B0" w:rsidP="00D06E8C">
      <w:pPr>
        <w:pStyle w:val="ListBullet"/>
      </w:pPr>
      <w:r w:rsidRPr="006D54A9">
        <w:t>PASI</w:t>
      </w:r>
      <w:r w:rsidR="002E7BEE">
        <w:t xml:space="preserve"> </w:t>
      </w:r>
      <w:r w:rsidRPr="006D54A9">
        <w:t xml:space="preserve">75 response at Week </w:t>
      </w:r>
      <w:proofErr w:type="gramStart"/>
      <w:r w:rsidRPr="006D54A9">
        <w:t>4</w:t>
      </w:r>
      <w:r>
        <w:t>;</w:t>
      </w:r>
      <w:proofErr w:type="gramEnd"/>
    </w:p>
    <w:p w14:paraId="7EC7A1D1" w14:textId="0380254D" w:rsidR="00C012B0" w:rsidRPr="006D54A9" w:rsidRDefault="00C012B0" w:rsidP="00D06E8C">
      <w:pPr>
        <w:pStyle w:val="ListBullet"/>
      </w:pPr>
      <w:r w:rsidRPr="006D54A9">
        <w:t xml:space="preserve">PSD responses for pain, itch, and scaling at Week </w:t>
      </w:r>
      <w:proofErr w:type="gramStart"/>
      <w:r w:rsidRPr="006D54A9">
        <w:t>16</w:t>
      </w:r>
      <w:r>
        <w:t>;</w:t>
      </w:r>
      <w:proofErr w:type="gramEnd"/>
    </w:p>
    <w:p w14:paraId="4B97BEB8" w14:textId="60663097" w:rsidR="00C012B0" w:rsidRPr="006D54A9" w:rsidRDefault="00C012B0" w:rsidP="00D06E8C">
      <w:pPr>
        <w:pStyle w:val="ListBullet"/>
      </w:pPr>
      <w:r w:rsidRPr="006D54A9">
        <w:t>Scalp IGA response (</w:t>
      </w:r>
      <w:r w:rsidR="001D2CFA">
        <w:t>c</w:t>
      </w:r>
      <w:r w:rsidRPr="006D54A9">
        <w:t xml:space="preserve">lear [0] or </w:t>
      </w:r>
      <w:r w:rsidR="001D2CFA">
        <w:t>a</w:t>
      </w:r>
      <w:r w:rsidRPr="006D54A9">
        <w:t xml:space="preserve">lmost </w:t>
      </w:r>
      <w:r w:rsidR="001D2CFA">
        <w:t>c</w:t>
      </w:r>
      <w:r w:rsidRPr="006D54A9">
        <w:t xml:space="preserve">lear [1]) at Week 16 for study participants with scalp </w:t>
      </w:r>
      <w:r w:rsidR="008B40FD">
        <w:t>psoriasis</w:t>
      </w:r>
      <w:r w:rsidRPr="006D54A9">
        <w:t xml:space="preserve"> at </w:t>
      </w:r>
      <w:proofErr w:type="gramStart"/>
      <w:r w:rsidRPr="006D54A9">
        <w:t>Baseline</w:t>
      </w:r>
      <w:r>
        <w:t>;</w:t>
      </w:r>
      <w:proofErr w:type="gramEnd"/>
    </w:p>
    <w:p w14:paraId="177C72FC" w14:textId="4CBF5177" w:rsidR="00C012B0" w:rsidRPr="006D54A9" w:rsidRDefault="005960C5" w:rsidP="00D06E8C">
      <w:pPr>
        <w:pStyle w:val="ListBullet"/>
      </w:pPr>
      <w:r>
        <w:t>PASI 90</w:t>
      </w:r>
      <w:r w:rsidR="00C012B0" w:rsidRPr="006D54A9">
        <w:t xml:space="preserve"> response at Week 12 and </w:t>
      </w:r>
      <w:proofErr w:type="gramStart"/>
      <w:r w:rsidR="00C012B0" w:rsidRPr="006D54A9">
        <w:t>52</w:t>
      </w:r>
      <w:r w:rsidR="00C012B0">
        <w:t>;</w:t>
      </w:r>
      <w:proofErr w:type="gramEnd"/>
    </w:p>
    <w:p w14:paraId="1C53F4BB" w14:textId="0F261047" w:rsidR="00C012B0" w:rsidRPr="006D54A9" w:rsidRDefault="00C012B0" w:rsidP="00D06E8C">
      <w:pPr>
        <w:pStyle w:val="ListBullet"/>
      </w:pPr>
      <w:r w:rsidRPr="006D54A9">
        <w:t>IGA response (</w:t>
      </w:r>
      <w:r w:rsidR="001D2CFA">
        <w:t>c</w:t>
      </w:r>
      <w:r w:rsidRPr="006D54A9">
        <w:t xml:space="preserve">lear [0] or </w:t>
      </w:r>
      <w:r w:rsidR="001D2CFA">
        <w:t>a</w:t>
      </w:r>
      <w:r w:rsidRPr="006D54A9">
        <w:t xml:space="preserve">lmost </w:t>
      </w:r>
      <w:r w:rsidR="001D2CFA">
        <w:t>c</w:t>
      </w:r>
      <w:r w:rsidRPr="006D54A9">
        <w:t xml:space="preserve">lear [1] with at least a </w:t>
      </w:r>
      <w:proofErr w:type="gramStart"/>
      <w:r w:rsidR="002E7BEE">
        <w:t xml:space="preserve">two </w:t>
      </w:r>
      <w:r w:rsidRPr="006D54A9">
        <w:t>category</w:t>
      </w:r>
      <w:proofErr w:type="gramEnd"/>
      <w:r w:rsidRPr="006D54A9">
        <w:t xml:space="preserve"> improvement relative to Baseline) at Week 12 and 52</w:t>
      </w:r>
      <w:r>
        <w:t>.</w:t>
      </w:r>
    </w:p>
    <w:p w14:paraId="066FA5F9" w14:textId="2DB155C5" w:rsidR="00C012B0" w:rsidRDefault="000946F2" w:rsidP="00D06E8C">
      <w:r>
        <w:rPr>
          <w:bCs/>
        </w:rPr>
        <w:t xml:space="preserve">The </w:t>
      </w:r>
      <w:r w:rsidR="006E1C55">
        <w:t xml:space="preserve">TGA’s clinical evaluation noted </w:t>
      </w:r>
      <w:r>
        <w:rPr>
          <w:bCs/>
        </w:rPr>
        <w:t>that t</w:t>
      </w:r>
      <w:r w:rsidR="00C012B0" w:rsidRPr="005B2E8A">
        <w:t>he main efficacy endpoints in this study were appropriate and complied with relevant regulatory guidelines.</w:t>
      </w:r>
    </w:p>
    <w:p w14:paraId="36FC353A" w14:textId="170EC34F" w:rsidR="002B7493" w:rsidRDefault="002B7493" w:rsidP="006E4137">
      <w:pPr>
        <w:pStyle w:val="Heading6"/>
      </w:pPr>
      <w:r>
        <w:t>Subject disposition</w:t>
      </w:r>
    </w:p>
    <w:p w14:paraId="2647D38C" w14:textId="0E58B31C" w:rsidR="000946F2" w:rsidRDefault="000946F2" w:rsidP="002E7BEE">
      <w:pPr>
        <w:pStyle w:val="TableTitle"/>
      </w:pPr>
      <w:bookmarkStart w:id="102" w:name="_Ref130207155"/>
      <w:r w:rsidRPr="002E7BEE">
        <w:t xml:space="preserve">Table </w:t>
      </w:r>
      <w:r w:rsidR="00172397">
        <w:fldChar w:fldCharType="begin"/>
      </w:r>
      <w:r w:rsidR="00172397">
        <w:instrText xml:space="preserve"> SE</w:instrText>
      </w:r>
      <w:r w:rsidR="00172397">
        <w:instrText xml:space="preserve">Q Table \* ARABIC </w:instrText>
      </w:r>
      <w:r w:rsidR="00172397">
        <w:fldChar w:fldCharType="separate"/>
      </w:r>
      <w:r w:rsidR="00B54079">
        <w:rPr>
          <w:noProof/>
        </w:rPr>
        <w:t>24</w:t>
      </w:r>
      <w:r w:rsidR="00172397">
        <w:rPr>
          <w:noProof/>
        </w:rPr>
        <w:fldChar w:fldCharType="end"/>
      </w:r>
      <w:bookmarkEnd w:id="102"/>
      <w:r w:rsidRPr="002E7BEE">
        <w:t>:</w:t>
      </w:r>
      <w:r>
        <w:t xml:space="preserve"> </w:t>
      </w:r>
      <w:r w:rsidR="002E7BEE">
        <w:t xml:space="preserve">Study PS0009 </w:t>
      </w:r>
      <w:r w:rsidR="002E7BEE" w:rsidRPr="002E7BEE">
        <w:t>Disposition and discontinuation reasons, initial treatment period</w:t>
      </w:r>
    </w:p>
    <w:tbl>
      <w:tblPr>
        <w:tblW w:w="8812" w:type="dxa"/>
        <w:jc w:val="center"/>
        <w:tblLayout w:type="fixed"/>
        <w:tblCellMar>
          <w:left w:w="0" w:type="dxa"/>
          <w:right w:w="0" w:type="dxa"/>
        </w:tblCellMar>
        <w:tblLook w:val="0000" w:firstRow="0" w:lastRow="0" w:firstColumn="0" w:lastColumn="0" w:noHBand="0" w:noVBand="0"/>
      </w:tblPr>
      <w:tblGrid>
        <w:gridCol w:w="3412"/>
        <w:gridCol w:w="1260"/>
        <w:gridCol w:w="1530"/>
        <w:gridCol w:w="1260"/>
        <w:gridCol w:w="1350"/>
      </w:tblGrid>
      <w:tr w:rsidR="000946F2" w14:paraId="347FC5FF" w14:textId="77777777" w:rsidTr="006E4137">
        <w:trPr>
          <w:trHeight w:val="987"/>
          <w:jc w:val="center"/>
        </w:trPr>
        <w:tc>
          <w:tcPr>
            <w:tcW w:w="3412" w:type="dxa"/>
            <w:tcBorders>
              <w:top w:val="single" w:sz="6" w:space="0" w:color="auto"/>
              <w:left w:val="single" w:sz="6" w:space="0" w:color="auto"/>
              <w:right w:val="single" w:sz="6" w:space="0" w:color="auto"/>
            </w:tcBorders>
            <w:vAlign w:val="center"/>
          </w:tcPr>
          <w:p w14:paraId="5E42B3BF" w14:textId="4E1ABD5D" w:rsidR="000946F2" w:rsidRDefault="000946F2" w:rsidP="000946F2">
            <w:pPr>
              <w:pStyle w:val="Style"/>
              <w:textAlignment w:val="baseline"/>
            </w:pPr>
            <w:r>
              <w:rPr>
                <w:b/>
                <w:sz w:val="21"/>
                <w:szCs w:val="21"/>
              </w:rPr>
              <w:t xml:space="preserve">Disposition </w:t>
            </w:r>
          </w:p>
        </w:tc>
        <w:tc>
          <w:tcPr>
            <w:tcW w:w="1260" w:type="dxa"/>
            <w:tcBorders>
              <w:top w:val="single" w:sz="6" w:space="0" w:color="auto"/>
              <w:left w:val="single" w:sz="6" w:space="0" w:color="auto"/>
              <w:right w:val="single" w:sz="6" w:space="0" w:color="auto"/>
            </w:tcBorders>
            <w:vAlign w:val="center"/>
          </w:tcPr>
          <w:p w14:paraId="2C15DE42" w14:textId="7BA50809" w:rsidR="000946F2" w:rsidRDefault="002B7493" w:rsidP="006E4137">
            <w:pPr>
              <w:pStyle w:val="Style"/>
              <w:jc w:val="center"/>
              <w:textAlignment w:val="baseline"/>
            </w:pPr>
            <w:r>
              <w:rPr>
                <w:b/>
                <w:sz w:val="21"/>
                <w:szCs w:val="21"/>
              </w:rPr>
              <w:t>P</w:t>
            </w:r>
            <w:r w:rsidR="004858E7">
              <w:rPr>
                <w:b/>
                <w:sz w:val="21"/>
                <w:szCs w:val="21"/>
              </w:rPr>
              <w:t>lacebo</w:t>
            </w:r>
            <w:r>
              <w:rPr>
                <w:b/>
                <w:sz w:val="21"/>
                <w:szCs w:val="21"/>
              </w:rPr>
              <w:br/>
            </w:r>
            <w:r w:rsidR="001D2CFA">
              <w:rPr>
                <w:b/>
                <w:sz w:val="21"/>
                <w:szCs w:val="21"/>
              </w:rPr>
              <w:t xml:space="preserve">N = </w:t>
            </w:r>
            <w:r w:rsidR="000946F2">
              <w:rPr>
                <w:b/>
                <w:sz w:val="21"/>
                <w:szCs w:val="21"/>
              </w:rPr>
              <w:t>83</w:t>
            </w:r>
          </w:p>
          <w:p w14:paraId="3FF67C2E" w14:textId="31F46F67" w:rsidR="000946F2" w:rsidRDefault="000946F2" w:rsidP="000946F2">
            <w:pPr>
              <w:pStyle w:val="Style"/>
              <w:ind w:left="19"/>
              <w:jc w:val="center"/>
              <w:textAlignment w:val="baseline"/>
            </w:pPr>
            <w:r>
              <w:rPr>
                <w:b/>
                <w:sz w:val="21"/>
                <w:szCs w:val="21"/>
              </w:rPr>
              <w:t xml:space="preserve">n </w:t>
            </w:r>
            <w:r>
              <w:rPr>
                <w:rFonts w:ascii="Arial" w:eastAsia="Arial" w:hAnsi="Arial" w:cs="Arial"/>
                <w:w w:val="114"/>
                <w:sz w:val="20"/>
                <w:szCs w:val="20"/>
              </w:rPr>
              <w:t>(%)</w:t>
            </w:r>
          </w:p>
        </w:tc>
        <w:tc>
          <w:tcPr>
            <w:tcW w:w="1530" w:type="dxa"/>
            <w:tcBorders>
              <w:top w:val="single" w:sz="6" w:space="0" w:color="auto"/>
              <w:left w:val="single" w:sz="6" w:space="0" w:color="auto"/>
              <w:right w:val="single" w:sz="6" w:space="0" w:color="auto"/>
            </w:tcBorders>
            <w:vAlign w:val="center"/>
          </w:tcPr>
          <w:p w14:paraId="7AEF9BD8" w14:textId="3AD6BA74" w:rsidR="000946F2" w:rsidRDefault="000946F2" w:rsidP="009B153D">
            <w:pPr>
              <w:pStyle w:val="Style"/>
              <w:ind w:left="14"/>
              <w:jc w:val="center"/>
              <w:textAlignment w:val="baseline"/>
              <w:rPr>
                <w:b/>
                <w:sz w:val="21"/>
                <w:szCs w:val="21"/>
              </w:rPr>
            </w:pPr>
            <w:r>
              <w:rPr>
                <w:b/>
                <w:sz w:val="21"/>
                <w:szCs w:val="21"/>
              </w:rPr>
              <w:t>BKZ</w:t>
            </w:r>
            <w:r w:rsidR="001D2CFA">
              <w:rPr>
                <w:b/>
                <w:sz w:val="21"/>
                <w:szCs w:val="21"/>
              </w:rPr>
              <w:t>320 mg</w:t>
            </w:r>
          </w:p>
          <w:p w14:paraId="74044F4A" w14:textId="15A13236" w:rsidR="000946F2" w:rsidRDefault="00F23C97" w:rsidP="009B153D">
            <w:pPr>
              <w:pStyle w:val="Style"/>
              <w:ind w:left="14"/>
              <w:jc w:val="center"/>
              <w:textAlignment w:val="baseline"/>
            </w:pPr>
            <w:r>
              <w:rPr>
                <w:b/>
                <w:sz w:val="21"/>
                <w:szCs w:val="21"/>
              </w:rPr>
              <w:t>every 4 weeks</w:t>
            </w:r>
            <w:r w:rsidR="000946F2">
              <w:rPr>
                <w:b/>
                <w:sz w:val="21"/>
                <w:szCs w:val="21"/>
              </w:rPr>
              <w:t xml:space="preserve"> </w:t>
            </w:r>
          </w:p>
          <w:p w14:paraId="6462CF07" w14:textId="51AAE54A" w:rsidR="000946F2" w:rsidRDefault="001D2CFA" w:rsidP="009B153D">
            <w:pPr>
              <w:pStyle w:val="Style"/>
              <w:ind w:left="14"/>
              <w:jc w:val="center"/>
              <w:textAlignment w:val="baseline"/>
            </w:pPr>
            <w:r>
              <w:rPr>
                <w:b/>
                <w:sz w:val="21"/>
                <w:szCs w:val="21"/>
              </w:rPr>
              <w:t xml:space="preserve">N = </w:t>
            </w:r>
            <w:r w:rsidR="000946F2">
              <w:rPr>
                <w:b/>
                <w:sz w:val="21"/>
                <w:szCs w:val="21"/>
              </w:rPr>
              <w:t xml:space="preserve">321 </w:t>
            </w:r>
          </w:p>
          <w:p w14:paraId="6E06C9B9" w14:textId="3DAD3734" w:rsidR="000946F2" w:rsidRDefault="000946F2" w:rsidP="009B153D">
            <w:pPr>
              <w:pStyle w:val="Style"/>
              <w:ind w:left="14"/>
              <w:jc w:val="center"/>
              <w:textAlignment w:val="baseline"/>
            </w:pPr>
            <w:r>
              <w:rPr>
                <w:b/>
                <w:sz w:val="21"/>
                <w:szCs w:val="21"/>
              </w:rPr>
              <w:t xml:space="preserve">n </w:t>
            </w:r>
            <w:r>
              <w:rPr>
                <w:rFonts w:ascii="Arial" w:eastAsia="Arial" w:hAnsi="Arial" w:cs="Arial"/>
                <w:w w:val="114"/>
                <w:sz w:val="20"/>
                <w:szCs w:val="20"/>
              </w:rPr>
              <w:t xml:space="preserve">(%) </w:t>
            </w:r>
          </w:p>
        </w:tc>
        <w:tc>
          <w:tcPr>
            <w:tcW w:w="1260" w:type="dxa"/>
            <w:tcBorders>
              <w:top w:val="single" w:sz="6" w:space="0" w:color="auto"/>
              <w:left w:val="single" w:sz="6" w:space="0" w:color="auto"/>
              <w:right w:val="single" w:sz="6" w:space="0" w:color="auto"/>
            </w:tcBorders>
            <w:vAlign w:val="center"/>
          </w:tcPr>
          <w:p w14:paraId="03810B29" w14:textId="57670851" w:rsidR="000946F2" w:rsidRDefault="000946F2" w:rsidP="000946F2">
            <w:pPr>
              <w:pStyle w:val="Style"/>
              <w:jc w:val="center"/>
              <w:textAlignment w:val="baseline"/>
            </w:pPr>
            <w:proofErr w:type="spellStart"/>
            <w:r>
              <w:rPr>
                <w:b/>
                <w:sz w:val="21"/>
                <w:szCs w:val="21"/>
              </w:rPr>
              <w:t>Uste</w:t>
            </w:r>
            <w:proofErr w:type="spellEnd"/>
          </w:p>
          <w:p w14:paraId="0895DCC5" w14:textId="287CA811" w:rsidR="000946F2" w:rsidRDefault="001D2CFA" w:rsidP="000946F2">
            <w:pPr>
              <w:pStyle w:val="Style"/>
              <w:ind w:left="43"/>
              <w:jc w:val="center"/>
              <w:textAlignment w:val="baseline"/>
            </w:pPr>
            <w:r>
              <w:rPr>
                <w:b/>
                <w:sz w:val="21"/>
                <w:szCs w:val="21"/>
              </w:rPr>
              <w:t xml:space="preserve">N = </w:t>
            </w:r>
            <w:r w:rsidR="000946F2">
              <w:rPr>
                <w:b/>
                <w:sz w:val="21"/>
                <w:szCs w:val="21"/>
              </w:rPr>
              <w:t>163</w:t>
            </w:r>
          </w:p>
          <w:p w14:paraId="1575B652" w14:textId="52B125ED" w:rsidR="000946F2" w:rsidRDefault="000946F2" w:rsidP="000946F2">
            <w:pPr>
              <w:pStyle w:val="Style"/>
              <w:ind w:left="43"/>
              <w:jc w:val="center"/>
              <w:textAlignment w:val="baseline"/>
            </w:pPr>
            <w:r>
              <w:rPr>
                <w:b/>
                <w:sz w:val="21"/>
                <w:szCs w:val="21"/>
              </w:rPr>
              <w:t xml:space="preserve">n </w:t>
            </w:r>
            <w:r>
              <w:rPr>
                <w:rFonts w:ascii="Arial" w:eastAsia="Arial" w:hAnsi="Arial" w:cs="Arial"/>
                <w:w w:val="114"/>
                <w:sz w:val="20"/>
                <w:szCs w:val="20"/>
              </w:rPr>
              <w:t>(%)</w:t>
            </w:r>
          </w:p>
        </w:tc>
        <w:tc>
          <w:tcPr>
            <w:tcW w:w="1350" w:type="dxa"/>
            <w:tcBorders>
              <w:top w:val="single" w:sz="6" w:space="0" w:color="auto"/>
              <w:left w:val="single" w:sz="6" w:space="0" w:color="auto"/>
              <w:right w:val="single" w:sz="6" w:space="0" w:color="auto"/>
            </w:tcBorders>
            <w:vAlign w:val="center"/>
          </w:tcPr>
          <w:p w14:paraId="5879F6E3" w14:textId="77777777" w:rsidR="000946F2" w:rsidRDefault="000946F2" w:rsidP="009B153D">
            <w:pPr>
              <w:pStyle w:val="Style"/>
              <w:ind w:left="29"/>
              <w:jc w:val="center"/>
              <w:textAlignment w:val="baseline"/>
            </w:pPr>
            <w:r>
              <w:rPr>
                <w:b/>
                <w:sz w:val="21"/>
                <w:szCs w:val="21"/>
              </w:rPr>
              <w:t xml:space="preserve">All Study </w:t>
            </w:r>
          </w:p>
          <w:p w14:paraId="5A01539B" w14:textId="77777777" w:rsidR="000946F2" w:rsidRDefault="000946F2" w:rsidP="009B153D">
            <w:pPr>
              <w:pStyle w:val="Style"/>
              <w:ind w:left="29"/>
              <w:jc w:val="center"/>
              <w:textAlignment w:val="baseline"/>
            </w:pPr>
            <w:r>
              <w:rPr>
                <w:b/>
                <w:sz w:val="21"/>
                <w:szCs w:val="21"/>
              </w:rPr>
              <w:t xml:space="preserve">participants </w:t>
            </w:r>
          </w:p>
          <w:p w14:paraId="7FF145C9" w14:textId="602D7E18" w:rsidR="000946F2" w:rsidRDefault="001D2CFA" w:rsidP="009B153D">
            <w:pPr>
              <w:pStyle w:val="Style"/>
              <w:ind w:left="29"/>
              <w:jc w:val="center"/>
              <w:textAlignment w:val="baseline"/>
            </w:pPr>
            <w:r>
              <w:rPr>
                <w:b/>
                <w:sz w:val="21"/>
                <w:szCs w:val="21"/>
              </w:rPr>
              <w:t xml:space="preserve">N = </w:t>
            </w:r>
            <w:r w:rsidR="000946F2">
              <w:rPr>
                <w:b/>
                <w:sz w:val="21"/>
                <w:szCs w:val="21"/>
              </w:rPr>
              <w:t xml:space="preserve">567 </w:t>
            </w:r>
          </w:p>
          <w:p w14:paraId="5FE021DB" w14:textId="660F201C" w:rsidR="000946F2" w:rsidRDefault="000946F2" w:rsidP="009B153D">
            <w:pPr>
              <w:pStyle w:val="Style"/>
              <w:ind w:left="29"/>
              <w:jc w:val="center"/>
              <w:textAlignment w:val="baseline"/>
            </w:pPr>
            <w:r>
              <w:rPr>
                <w:b/>
                <w:sz w:val="21"/>
                <w:szCs w:val="21"/>
              </w:rPr>
              <w:t xml:space="preserve">n </w:t>
            </w:r>
            <w:r>
              <w:rPr>
                <w:rFonts w:ascii="Arial" w:eastAsia="Arial" w:hAnsi="Arial" w:cs="Arial"/>
                <w:w w:val="114"/>
                <w:sz w:val="20"/>
                <w:szCs w:val="20"/>
              </w:rPr>
              <w:t xml:space="preserve">(%) </w:t>
            </w:r>
          </w:p>
        </w:tc>
      </w:tr>
      <w:tr w:rsidR="000946F2" w14:paraId="78EC4ADD" w14:textId="77777777" w:rsidTr="006E4137">
        <w:trPr>
          <w:trHeight w:hRule="exact" w:val="414"/>
          <w:jc w:val="center"/>
        </w:trPr>
        <w:tc>
          <w:tcPr>
            <w:tcW w:w="3412" w:type="dxa"/>
            <w:tcBorders>
              <w:top w:val="single" w:sz="6" w:space="0" w:color="auto"/>
              <w:left w:val="single" w:sz="6" w:space="0" w:color="auto"/>
              <w:bottom w:val="single" w:sz="6" w:space="0" w:color="auto"/>
              <w:right w:val="single" w:sz="6" w:space="0" w:color="auto"/>
            </w:tcBorders>
            <w:vAlign w:val="center"/>
          </w:tcPr>
          <w:p w14:paraId="306E7B5E" w14:textId="47A13DBB" w:rsidR="000946F2" w:rsidRDefault="000946F2" w:rsidP="009B153D">
            <w:pPr>
              <w:pStyle w:val="Style"/>
              <w:ind w:left="120"/>
              <w:textAlignment w:val="baseline"/>
            </w:pPr>
            <w:r>
              <w:rPr>
                <w:sz w:val="21"/>
                <w:szCs w:val="21"/>
              </w:rPr>
              <w:t xml:space="preserve">Started </w:t>
            </w:r>
            <w:r w:rsidR="001D2CFA">
              <w:rPr>
                <w:sz w:val="21"/>
                <w:szCs w:val="21"/>
              </w:rPr>
              <w:t>initial treatment period</w:t>
            </w:r>
            <w:r>
              <w:rPr>
                <w:sz w:val="21"/>
                <w:szCs w:val="21"/>
              </w:rPr>
              <w:t xml:space="preserve"> </w:t>
            </w:r>
          </w:p>
        </w:tc>
        <w:tc>
          <w:tcPr>
            <w:tcW w:w="1260" w:type="dxa"/>
            <w:tcBorders>
              <w:top w:val="single" w:sz="6" w:space="0" w:color="auto"/>
              <w:left w:val="single" w:sz="6" w:space="0" w:color="auto"/>
              <w:bottom w:val="single" w:sz="6" w:space="0" w:color="auto"/>
              <w:right w:val="single" w:sz="6" w:space="0" w:color="auto"/>
            </w:tcBorders>
            <w:vAlign w:val="center"/>
          </w:tcPr>
          <w:p w14:paraId="197F8990" w14:textId="77777777" w:rsidR="000946F2" w:rsidRDefault="000946F2" w:rsidP="009B153D">
            <w:pPr>
              <w:pStyle w:val="Style"/>
              <w:ind w:left="19"/>
              <w:jc w:val="center"/>
              <w:textAlignment w:val="baseline"/>
            </w:pPr>
            <w:r>
              <w:rPr>
                <w:sz w:val="21"/>
                <w:szCs w:val="21"/>
              </w:rPr>
              <w:t xml:space="preserve">83 (100) </w:t>
            </w:r>
          </w:p>
        </w:tc>
        <w:tc>
          <w:tcPr>
            <w:tcW w:w="1530" w:type="dxa"/>
            <w:tcBorders>
              <w:top w:val="single" w:sz="6" w:space="0" w:color="auto"/>
              <w:left w:val="single" w:sz="6" w:space="0" w:color="auto"/>
              <w:bottom w:val="single" w:sz="6" w:space="0" w:color="auto"/>
              <w:right w:val="single" w:sz="6" w:space="0" w:color="auto"/>
            </w:tcBorders>
            <w:vAlign w:val="center"/>
          </w:tcPr>
          <w:p w14:paraId="4CCD0692" w14:textId="77777777" w:rsidR="000946F2" w:rsidRDefault="000946F2" w:rsidP="009B153D">
            <w:pPr>
              <w:pStyle w:val="Style"/>
              <w:ind w:left="14"/>
              <w:jc w:val="center"/>
              <w:textAlignment w:val="baseline"/>
            </w:pPr>
            <w:r>
              <w:rPr>
                <w:sz w:val="21"/>
                <w:szCs w:val="21"/>
              </w:rPr>
              <w:t xml:space="preserve">321 (100) </w:t>
            </w:r>
          </w:p>
        </w:tc>
        <w:tc>
          <w:tcPr>
            <w:tcW w:w="1260" w:type="dxa"/>
            <w:tcBorders>
              <w:top w:val="single" w:sz="6" w:space="0" w:color="auto"/>
              <w:left w:val="single" w:sz="6" w:space="0" w:color="auto"/>
              <w:bottom w:val="single" w:sz="6" w:space="0" w:color="auto"/>
              <w:right w:val="single" w:sz="6" w:space="0" w:color="auto"/>
            </w:tcBorders>
            <w:vAlign w:val="center"/>
          </w:tcPr>
          <w:p w14:paraId="7081DDC9" w14:textId="77777777" w:rsidR="000946F2" w:rsidRDefault="000946F2" w:rsidP="009B153D">
            <w:pPr>
              <w:pStyle w:val="Style"/>
              <w:ind w:left="43"/>
              <w:jc w:val="center"/>
              <w:textAlignment w:val="baseline"/>
            </w:pPr>
            <w:r>
              <w:rPr>
                <w:sz w:val="21"/>
                <w:szCs w:val="21"/>
              </w:rPr>
              <w:t xml:space="preserve">163 (100) </w:t>
            </w:r>
          </w:p>
        </w:tc>
        <w:tc>
          <w:tcPr>
            <w:tcW w:w="1350" w:type="dxa"/>
            <w:tcBorders>
              <w:top w:val="single" w:sz="6" w:space="0" w:color="auto"/>
              <w:left w:val="single" w:sz="6" w:space="0" w:color="auto"/>
              <w:bottom w:val="single" w:sz="6" w:space="0" w:color="auto"/>
              <w:right w:val="single" w:sz="6" w:space="0" w:color="auto"/>
            </w:tcBorders>
            <w:vAlign w:val="center"/>
          </w:tcPr>
          <w:p w14:paraId="4126648D" w14:textId="77777777" w:rsidR="000946F2" w:rsidRDefault="000946F2" w:rsidP="009B153D">
            <w:pPr>
              <w:pStyle w:val="Style"/>
              <w:ind w:left="29"/>
              <w:jc w:val="center"/>
              <w:textAlignment w:val="baseline"/>
            </w:pPr>
            <w:r>
              <w:rPr>
                <w:sz w:val="21"/>
                <w:szCs w:val="21"/>
              </w:rPr>
              <w:t xml:space="preserve">567 (100) </w:t>
            </w:r>
          </w:p>
        </w:tc>
      </w:tr>
      <w:tr w:rsidR="000946F2" w14:paraId="4BB851AE" w14:textId="77777777" w:rsidTr="006E4137">
        <w:trPr>
          <w:trHeight w:hRule="exact" w:val="360"/>
          <w:jc w:val="center"/>
        </w:trPr>
        <w:tc>
          <w:tcPr>
            <w:tcW w:w="3412" w:type="dxa"/>
            <w:tcBorders>
              <w:top w:val="single" w:sz="6" w:space="0" w:color="auto"/>
              <w:left w:val="single" w:sz="6" w:space="0" w:color="auto"/>
              <w:bottom w:val="single" w:sz="6" w:space="0" w:color="auto"/>
              <w:right w:val="single" w:sz="6" w:space="0" w:color="auto"/>
            </w:tcBorders>
            <w:vAlign w:val="center"/>
          </w:tcPr>
          <w:p w14:paraId="1C00F1BB" w14:textId="57040B7A" w:rsidR="000946F2" w:rsidRDefault="000946F2" w:rsidP="009B153D">
            <w:pPr>
              <w:pStyle w:val="Style"/>
              <w:ind w:left="120"/>
              <w:textAlignment w:val="baseline"/>
            </w:pPr>
            <w:r>
              <w:rPr>
                <w:sz w:val="21"/>
                <w:szCs w:val="21"/>
              </w:rPr>
              <w:t xml:space="preserve">Completed </w:t>
            </w:r>
            <w:r w:rsidR="001D2CFA">
              <w:rPr>
                <w:sz w:val="21"/>
                <w:szCs w:val="21"/>
              </w:rPr>
              <w:t>initial treatment period</w:t>
            </w:r>
            <w:r>
              <w:rPr>
                <w:sz w:val="21"/>
                <w:szCs w:val="21"/>
              </w:rPr>
              <w:t xml:space="preserve"> </w:t>
            </w:r>
          </w:p>
        </w:tc>
        <w:tc>
          <w:tcPr>
            <w:tcW w:w="1260" w:type="dxa"/>
            <w:tcBorders>
              <w:top w:val="single" w:sz="6" w:space="0" w:color="auto"/>
              <w:left w:val="single" w:sz="6" w:space="0" w:color="auto"/>
              <w:bottom w:val="single" w:sz="6" w:space="0" w:color="auto"/>
              <w:right w:val="single" w:sz="6" w:space="0" w:color="auto"/>
            </w:tcBorders>
            <w:vAlign w:val="center"/>
          </w:tcPr>
          <w:p w14:paraId="6B4646B5" w14:textId="77777777" w:rsidR="000946F2" w:rsidRDefault="000946F2" w:rsidP="009B153D">
            <w:pPr>
              <w:pStyle w:val="Style"/>
              <w:ind w:left="19"/>
              <w:jc w:val="center"/>
              <w:textAlignment w:val="baseline"/>
            </w:pPr>
            <w:r>
              <w:rPr>
                <w:sz w:val="21"/>
                <w:szCs w:val="21"/>
              </w:rPr>
              <w:t xml:space="preserve">74 (89.2) </w:t>
            </w:r>
          </w:p>
        </w:tc>
        <w:tc>
          <w:tcPr>
            <w:tcW w:w="1530" w:type="dxa"/>
            <w:tcBorders>
              <w:top w:val="single" w:sz="6" w:space="0" w:color="auto"/>
              <w:left w:val="single" w:sz="6" w:space="0" w:color="auto"/>
              <w:bottom w:val="single" w:sz="6" w:space="0" w:color="auto"/>
              <w:right w:val="single" w:sz="6" w:space="0" w:color="auto"/>
            </w:tcBorders>
            <w:vAlign w:val="center"/>
          </w:tcPr>
          <w:p w14:paraId="02137B4E" w14:textId="77777777" w:rsidR="000946F2" w:rsidRDefault="000946F2" w:rsidP="009B153D">
            <w:pPr>
              <w:pStyle w:val="Style"/>
              <w:ind w:left="14"/>
              <w:jc w:val="center"/>
              <w:textAlignment w:val="baseline"/>
            </w:pPr>
            <w:r>
              <w:rPr>
                <w:sz w:val="21"/>
                <w:szCs w:val="21"/>
              </w:rPr>
              <w:t xml:space="preserve">306 (95.3) </w:t>
            </w:r>
          </w:p>
        </w:tc>
        <w:tc>
          <w:tcPr>
            <w:tcW w:w="1260" w:type="dxa"/>
            <w:tcBorders>
              <w:top w:val="single" w:sz="6" w:space="0" w:color="auto"/>
              <w:left w:val="single" w:sz="6" w:space="0" w:color="auto"/>
              <w:bottom w:val="single" w:sz="6" w:space="0" w:color="auto"/>
              <w:right w:val="single" w:sz="6" w:space="0" w:color="auto"/>
            </w:tcBorders>
            <w:vAlign w:val="center"/>
          </w:tcPr>
          <w:p w14:paraId="406E0207" w14:textId="77777777" w:rsidR="000946F2" w:rsidRDefault="000946F2" w:rsidP="009B153D">
            <w:pPr>
              <w:pStyle w:val="Style"/>
              <w:ind w:left="43"/>
              <w:jc w:val="center"/>
              <w:textAlignment w:val="baseline"/>
            </w:pPr>
            <w:r>
              <w:rPr>
                <w:sz w:val="21"/>
                <w:szCs w:val="21"/>
              </w:rPr>
              <w:t xml:space="preserve">157 (96.3) </w:t>
            </w:r>
          </w:p>
        </w:tc>
        <w:tc>
          <w:tcPr>
            <w:tcW w:w="1350" w:type="dxa"/>
            <w:tcBorders>
              <w:top w:val="single" w:sz="6" w:space="0" w:color="auto"/>
              <w:left w:val="single" w:sz="6" w:space="0" w:color="auto"/>
              <w:bottom w:val="single" w:sz="6" w:space="0" w:color="auto"/>
              <w:right w:val="single" w:sz="6" w:space="0" w:color="auto"/>
            </w:tcBorders>
            <w:vAlign w:val="center"/>
          </w:tcPr>
          <w:p w14:paraId="5750A434" w14:textId="77777777" w:rsidR="000946F2" w:rsidRDefault="000946F2" w:rsidP="009B153D">
            <w:pPr>
              <w:pStyle w:val="Style"/>
              <w:ind w:left="29"/>
              <w:jc w:val="center"/>
              <w:textAlignment w:val="baseline"/>
            </w:pPr>
            <w:r>
              <w:rPr>
                <w:sz w:val="21"/>
                <w:szCs w:val="21"/>
              </w:rPr>
              <w:t xml:space="preserve">537 (94.7) </w:t>
            </w:r>
          </w:p>
        </w:tc>
      </w:tr>
      <w:tr w:rsidR="000946F2" w14:paraId="5CA61658" w14:textId="77777777" w:rsidTr="006E4137">
        <w:trPr>
          <w:trHeight w:hRule="exact" w:val="360"/>
          <w:jc w:val="center"/>
        </w:trPr>
        <w:tc>
          <w:tcPr>
            <w:tcW w:w="3412" w:type="dxa"/>
            <w:tcBorders>
              <w:top w:val="single" w:sz="6" w:space="0" w:color="auto"/>
              <w:left w:val="single" w:sz="6" w:space="0" w:color="auto"/>
              <w:bottom w:val="single" w:sz="6" w:space="0" w:color="auto"/>
              <w:right w:val="single" w:sz="6" w:space="0" w:color="auto"/>
            </w:tcBorders>
            <w:vAlign w:val="center"/>
          </w:tcPr>
          <w:p w14:paraId="79226489" w14:textId="1963606E" w:rsidR="000946F2" w:rsidRDefault="000946F2" w:rsidP="009B153D">
            <w:pPr>
              <w:pStyle w:val="Style"/>
              <w:ind w:left="120"/>
              <w:textAlignment w:val="baseline"/>
            </w:pPr>
            <w:r>
              <w:rPr>
                <w:sz w:val="21"/>
                <w:szCs w:val="21"/>
              </w:rPr>
              <w:t xml:space="preserve">Discontinued </w:t>
            </w:r>
            <w:r w:rsidR="001D2CFA">
              <w:rPr>
                <w:sz w:val="21"/>
                <w:szCs w:val="21"/>
              </w:rPr>
              <w:t>initial treatment period</w:t>
            </w:r>
            <w:r>
              <w:rPr>
                <w:sz w:val="21"/>
                <w:szCs w:val="21"/>
              </w:rPr>
              <w:t xml:space="preserve"> </w:t>
            </w:r>
          </w:p>
        </w:tc>
        <w:tc>
          <w:tcPr>
            <w:tcW w:w="1260" w:type="dxa"/>
            <w:tcBorders>
              <w:top w:val="single" w:sz="6" w:space="0" w:color="auto"/>
              <w:left w:val="single" w:sz="6" w:space="0" w:color="auto"/>
              <w:bottom w:val="single" w:sz="6" w:space="0" w:color="auto"/>
              <w:right w:val="single" w:sz="6" w:space="0" w:color="auto"/>
            </w:tcBorders>
            <w:vAlign w:val="center"/>
          </w:tcPr>
          <w:p w14:paraId="3777E44A" w14:textId="77777777" w:rsidR="000946F2" w:rsidRDefault="000946F2" w:rsidP="009B153D">
            <w:pPr>
              <w:pStyle w:val="Style"/>
              <w:ind w:left="19"/>
              <w:jc w:val="center"/>
              <w:textAlignment w:val="baseline"/>
            </w:pPr>
            <w:r>
              <w:rPr>
                <w:sz w:val="21"/>
                <w:szCs w:val="21"/>
              </w:rPr>
              <w:t xml:space="preserve">9 (10.8) </w:t>
            </w:r>
          </w:p>
        </w:tc>
        <w:tc>
          <w:tcPr>
            <w:tcW w:w="1530" w:type="dxa"/>
            <w:tcBorders>
              <w:top w:val="single" w:sz="6" w:space="0" w:color="auto"/>
              <w:left w:val="single" w:sz="6" w:space="0" w:color="auto"/>
              <w:bottom w:val="single" w:sz="6" w:space="0" w:color="auto"/>
              <w:right w:val="single" w:sz="6" w:space="0" w:color="auto"/>
            </w:tcBorders>
            <w:vAlign w:val="center"/>
          </w:tcPr>
          <w:p w14:paraId="0D7DC2ED" w14:textId="77777777" w:rsidR="000946F2" w:rsidRDefault="000946F2" w:rsidP="009B153D">
            <w:pPr>
              <w:pStyle w:val="Style"/>
              <w:ind w:left="14"/>
              <w:jc w:val="center"/>
              <w:textAlignment w:val="baseline"/>
            </w:pPr>
            <w:r>
              <w:rPr>
                <w:sz w:val="21"/>
                <w:szCs w:val="21"/>
              </w:rPr>
              <w:t xml:space="preserve">15 (4.7) </w:t>
            </w:r>
          </w:p>
        </w:tc>
        <w:tc>
          <w:tcPr>
            <w:tcW w:w="1260" w:type="dxa"/>
            <w:tcBorders>
              <w:top w:val="single" w:sz="6" w:space="0" w:color="auto"/>
              <w:left w:val="single" w:sz="6" w:space="0" w:color="auto"/>
              <w:bottom w:val="single" w:sz="6" w:space="0" w:color="auto"/>
              <w:right w:val="single" w:sz="6" w:space="0" w:color="auto"/>
            </w:tcBorders>
            <w:vAlign w:val="center"/>
          </w:tcPr>
          <w:p w14:paraId="2CABC1FC" w14:textId="77777777" w:rsidR="000946F2" w:rsidRDefault="000946F2" w:rsidP="009B153D">
            <w:pPr>
              <w:pStyle w:val="Style"/>
              <w:ind w:left="43"/>
              <w:jc w:val="center"/>
              <w:textAlignment w:val="baseline"/>
            </w:pPr>
            <w:r>
              <w:rPr>
                <w:sz w:val="21"/>
                <w:szCs w:val="21"/>
              </w:rPr>
              <w:t xml:space="preserve">6 (3.7) </w:t>
            </w:r>
          </w:p>
        </w:tc>
        <w:tc>
          <w:tcPr>
            <w:tcW w:w="1350" w:type="dxa"/>
            <w:tcBorders>
              <w:top w:val="single" w:sz="6" w:space="0" w:color="auto"/>
              <w:left w:val="single" w:sz="6" w:space="0" w:color="auto"/>
              <w:bottom w:val="single" w:sz="6" w:space="0" w:color="auto"/>
              <w:right w:val="single" w:sz="6" w:space="0" w:color="auto"/>
            </w:tcBorders>
            <w:vAlign w:val="center"/>
          </w:tcPr>
          <w:p w14:paraId="543DA9C0" w14:textId="77777777" w:rsidR="000946F2" w:rsidRDefault="000946F2" w:rsidP="009B153D">
            <w:pPr>
              <w:pStyle w:val="Style"/>
              <w:ind w:left="29"/>
              <w:jc w:val="center"/>
              <w:textAlignment w:val="baseline"/>
            </w:pPr>
            <w:r>
              <w:rPr>
                <w:sz w:val="21"/>
                <w:szCs w:val="21"/>
              </w:rPr>
              <w:t xml:space="preserve">30 (5.3) </w:t>
            </w:r>
          </w:p>
        </w:tc>
      </w:tr>
      <w:tr w:rsidR="000946F2" w14:paraId="0ABB09A1" w14:textId="77777777" w:rsidTr="006E4137">
        <w:trPr>
          <w:trHeight w:hRule="exact" w:val="324"/>
          <w:jc w:val="center"/>
        </w:trPr>
        <w:tc>
          <w:tcPr>
            <w:tcW w:w="8812" w:type="dxa"/>
            <w:gridSpan w:val="5"/>
            <w:tcBorders>
              <w:top w:val="single" w:sz="6" w:space="0" w:color="auto"/>
              <w:left w:val="single" w:sz="6" w:space="0" w:color="auto"/>
              <w:bottom w:val="single" w:sz="6" w:space="0" w:color="auto"/>
              <w:right w:val="single" w:sz="6" w:space="0" w:color="auto"/>
            </w:tcBorders>
            <w:vAlign w:val="center"/>
          </w:tcPr>
          <w:p w14:paraId="38FE316E" w14:textId="15486195" w:rsidR="000946F2" w:rsidRDefault="000946F2" w:rsidP="000946F2">
            <w:pPr>
              <w:pStyle w:val="Style"/>
              <w:ind w:left="120"/>
              <w:textAlignment w:val="baseline"/>
            </w:pPr>
            <w:r>
              <w:rPr>
                <w:sz w:val="21"/>
                <w:szCs w:val="21"/>
              </w:rPr>
              <w:t>Primary reason for discontinuation</w:t>
            </w:r>
          </w:p>
        </w:tc>
      </w:tr>
      <w:tr w:rsidR="000946F2" w14:paraId="29A4CA85" w14:textId="77777777" w:rsidTr="006E4137">
        <w:trPr>
          <w:trHeight w:hRule="exact" w:val="394"/>
          <w:jc w:val="center"/>
        </w:trPr>
        <w:tc>
          <w:tcPr>
            <w:tcW w:w="3412" w:type="dxa"/>
            <w:tcBorders>
              <w:top w:val="single" w:sz="6" w:space="0" w:color="auto"/>
              <w:left w:val="single" w:sz="6" w:space="0" w:color="auto"/>
              <w:bottom w:val="single" w:sz="6" w:space="0" w:color="auto"/>
              <w:right w:val="single" w:sz="6" w:space="0" w:color="auto"/>
            </w:tcBorders>
            <w:vAlign w:val="center"/>
          </w:tcPr>
          <w:p w14:paraId="446D0F99" w14:textId="4133FB44" w:rsidR="000946F2" w:rsidRDefault="000946F2" w:rsidP="009B153D">
            <w:pPr>
              <w:pStyle w:val="Style"/>
              <w:ind w:left="298"/>
              <w:textAlignment w:val="baseline"/>
            </w:pPr>
            <w:r>
              <w:t>AE</w:t>
            </w:r>
          </w:p>
        </w:tc>
        <w:tc>
          <w:tcPr>
            <w:tcW w:w="1260" w:type="dxa"/>
            <w:tcBorders>
              <w:top w:val="single" w:sz="6" w:space="0" w:color="auto"/>
              <w:left w:val="single" w:sz="6" w:space="0" w:color="auto"/>
              <w:bottom w:val="single" w:sz="6" w:space="0" w:color="auto"/>
              <w:right w:val="single" w:sz="2" w:space="0" w:color="auto"/>
            </w:tcBorders>
            <w:vAlign w:val="center"/>
          </w:tcPr>
          <w:p w14:paraId="26FC3D92" w14:textId="77777777" w:rsidR="000946F2" w:rsidRDefault="000946F2" w:rsidP="009B153D">
            <w:pPr>
              <w:pStyle w:val="Style"/>
              <w:ind w:left="19"/>
              <w:jc w:val="center"/>
              <w:textAlignment w:val="baseline"/>
            </w:pPr>
            <w:r>
              <w:rPr>
                <w:sz w:val="21"/>
                <w:szCs w:val="21"/>
              </w:rPr>
              <w:t xml:space="preserve">6 (7.2) </w:t>
            </w:r>
          </w:p>
        </w:tc>
        <w:tc>
          <w:tcPr>
            <w:tcW w:w="1530" w:type="dxa"/>
            <w:tcBorders>
              <w:top w:val="single" w:sz="6" w:space="0" w:color="auto"/>
              <w:left w:val="single" w:sz="2" w:space="0" w:color="auto"/>
              <w:bottom w:val="single" w:sz="6" w:space="0" w:color="auto"/>
              <w:right w:val="single" w:sz="6" w:space="0" w:color="auto"/>
            </w:tcBorders>
            <w:vAlign w:val="center"/>
          </w:tcPr>
          <w:p w14:paraId="35D2CD7A" w14:textId="77777777" w:rsidR="000946F2" w:rsidRDefault="000946F2" w:rsidP="009B153D">
            <w:pPr>
              <w:pStyle w:val="Style"/>
              <w:ind w:left="14"/>
              <w:jc w:val="center"/>
              <w:textAlignment w:val="baseline"/>
            </w:pPr>
            <w:r>
              <w:rPr>
                <w:sz w:val="21"/>
                <w:szCs w:val="21"/>
              </w:rPr>
              <w:t xml:space="preserve">6 (1.9) </w:t>
            </w:r>
          </w:p>
        </w:tc>
        <w:tc>
          <w:tcPr>
            <w:tcW w:w="1260" w:type="dxa"/>
            <w:tcBorders>
              <w:top w:val="single" w:sz="6" w:space="0" w:color="auto"/>
              <w:left w:val="single" w:sz="6" w:space="0" w:color="auto"/>
              <w:bottom w:val="single" w:sz="6" w:space="0" w:color="auto"/>
              <w:right w:val="single" w:sz="6" w:space="0" w:color="auto"/>
            </w:tcBorders>
            <w:vAlign w:val="center"/>
          </w:tcPr>
          <w:p w14:paraId="73218713" w14:textId="77777777" w:rsidR="000946F2" w:rsidRDefault="000946F2" w:rsidP="009B153D">
            <w:pPr>
              <w:pStyle w:val="Style"/>
              <w:ind w:left="43"/>
              <w:jc w:val="center"/>
              <w:textAlignment w:val="baseline"/>
            </w:pPr>
            <w:r>
              <w:rPr>
                <w:sz w:val="21"/>
                <w:szCs w:val="21"/>
              </w:rPr>
              <w:t xml:space="preserve">3 (1.8) </w:t>
            </w:r>
          </w:p>
        </w:tc>
        <w:tc>
          <w:tcPr>
            <w:tcW w:w="1350" w:type="dxa"/>
            <w:tcBorders>
              <w:top w:val="single" w:sz="6" w:space="0" w:color="auto"/>
              <w:left w:val="single" w:sz="6" w:space="0" w:color="auto"/>
              <w:bottom w:val="single" w:sz="6" w:space="0" w:color="auto"/>
              <w:right w:val="single" w:sz="6" w:space="0" w:color="auto"/>
            </w:tcBorders>
            <w:vAlign w:val="center"/>
          </w:tcPr>
          <w:p w14:paraId="6847E839" w14:textId="77777777" w:rsidR="000946F2" w:rsidRDefault="000946F2" w:rsidP="009B153D">
            <w:pPr>
              <w:pStyle w:val="Style"/>
              <w:ind w:left="29"/>
              <w:jc w:val="center"/>
              <w:textAlignment w:val="baseline"/>
            </w:pPr>
            <w:r>
              <w:rPr>
                <w:sz w:val="21"/>
                <w:szCs w:val="21"/>
              </w:rPr>
              <w:t xml:space="preserve">15 (2.6) </w:t>
            </w:r>
          </w:p>
        </w:tc>
      </w:tr>
      <w:tr w:rsidR="000946F2" w14:paraId="0E41DFB4" w14:textId="77777777" w:rsidTr="006E4137">
        <w:trPr>
          <w:trHeight w:hRule="exact" w:val="384"/>
          <w:jc w:val="center"/>
        </w:trPr>
        <w:tc>
          <w:tcPr>
            <w:tcW w:w="3412" w:type="dxa"/>
            <w:tcBorders>
              <w:top w:val="single" w:sz="6" w:space="0" w:color="auto"/>
              <w:left w:val="single" w:sz="6" w:space="0" w:color="auto"/>
              <w:bottom w:val="single" w:sz="6" w:space="0" w:color="auto"/>
              <w:right w:val="single" w:sz="6" w:space="0" w:color="auto"/>
            </w:tcBorders>
            <w:vAlign w:val="center"/>
          </w:tcPr>
          <w:p w14:paraId="31FA14CD" w14:textId="77777777" w:rsidR="000946F2" w:rsidRDefault="000946F2" w:rsidP="009B153D">
            <w:pPr>
              <w:pStyle w:val="Style"/>
              <w:ind w:left="298"/>
              <w:textAlignment w:val="baseline"/>
            </w:pPr>
            <w:r>
              <w:rPr>
                <w:sz w:val="21"/>
                <w:szCs w:val="21"/>
              </w:rPr>
              <w:t xml:space="preserve">Lack of efficacy </w:t>
            </w:r>
          </w:p>
        </w:tc>
        <w:tc>
          <w:tcPr>
            <w:tcW w:w="1260" w:type="dxa"/>
            <w:tcBorders>
              <w:top w:val="single" w:sz="6" w:space="0" w:color="auto"/>
              <w:left w:val="single" w:sz="6" w:space="0" w:color="auto"/>
              <w:bottom w:val="single" w:sz="6" w:space="0" w:color="auto"/>
              <w:right w:val="single" w:sz="2" w:space="0" w:color="auto"/>
            </w:tcBorders>
            <w:vAlign w:val="center"/>
          </w:tcPr>
          <w:p w14:paraId="61FCD70F" w14:textId="77777777" w:rsidR="000946F2" w:rsidRDefault="000946F2" w:rsidP="009B153D">
            <w:pPr>
              <w:pStyle w:val="Style"/>
              <w:ind w:left="19"/>
              <w:jc w:val="center"/>
              <w:textAlignment w:val="baseline"/>
            </w:pPr>
            <w:r>
              <w:rPr>
                <w:sz w:val="21"/>
                <w:szCs w:val="21"/>
              </w:rPr>
              <w:t xml:space="preserve">2 (2.4) </w:t>
            </w:r>
          </w:p>
        </w:tc>
        <w:tc>
          <w:tcPr>
            <w:tcW w:w="1530" w:type="dxa"/>
            <w:tcBorders>
              <w:top w:val="single" w:sz="6" w:space="0" w:color="auto"/>
              <w:left w:val="single" w:sz="2" w:space="0" w:color="auto"/>
              <w:bottom w:val="single" w:sz="6" w:space="0" w:color="auto"/>
              <w:right w:val="single" w:sz="6" w:space="0" w:color="auto"/>
            </w:tcBorders>
            <w:vAlign w:val="center"/>
          </w:tcPr>
          <w:p w14:paraId="3BD34B71" w14:textId="77777777" w:rsidR="000946F2" w:rsidRDefault="000946F2" w:rsidP="009B153D">
            <w:pPr>
              <w:pStyle w:val="Style"/>
              <w:ind w:left="14"/>
              <w:jc w:val="center"/>
              <w:textAlignment w:val="baseline"/>
            </w:pPr>
            <w:r>
              <w:rPr>
                <w:b/>
                <w:w w:val="64"/>
                <w:sz w:val="22"/>
                <w:szCs w:val="22"/>
              </w:rPr>
              <w:t xml:space="preserve">1 </w:t>
            </w:r>
            <w:r>
              <w:rPr>
                <w:sz w:val="21"/>
                <w:szCs w:val="21"/>
              </w:rPr>
              <w:t xml:space="preserve">(0.3) </w:t>
            </w:r>
          </w:p>
        </w:tc>
        <w:tc>
          <w:tcPr>
            <w:tcW w:w="1260" w:type="dxa"/>
            <w:tcBorders>
              <w:top w:val="single" w:sz="6" w:space="0" w:color="auto"/>
              <w:left w:val="single" w:sz="6" w:space="0" w:color="auto"/>
              <w:bottom w:val="single" w:sz="6" w:space="0" w:color="auto"/>
              <w:right w:val="single" w:sz="6" w:space="0" w:color="auto"/>
            </w:tcBorders>
            <w:vAlign w:val="center"/>
          </w:tcPr>
          <w:p w14:paraId="34020498" w14:textId="77777777" w:rsidR="000946F2" w:rsidRDefault="000946F2" w:rsidP="009B153D">
            <w:pPr>
              <w:pStyle w:val="Style"/>
              <w:ind w:left="43"/>
              <w:jc w:val="center"/>
              <w:textAlignment w:val="baseline"/>
            </w:pPr>
            <w:r>
              <w:rPr>
                <w:sz w:val="21"/>
                <w:szCs w:val="21"/>
              </w:rPr>
              <w:t xml:space="preserve">0 </w:t>
            </w:r>
          </w:p>
        </w:tc>
        <w:tc>
          <w:tcPr>
            <w:tcW w:w="1350" w:type="dxa"/>
            <w:tcBorders>
              <w:top w:val="single" w:sz="6" w:space="0" w:color="auto"/>
              <w:left w:val="single" w:sz="6" w:space="0" w:color="auto"/>
              <w:bottom w:val="single" w:sz="6" w:space="0" w:color="auto"/>
              <w:right w:val="single" w:sz="6" w:space="0" w:color="auto"/>
            </w:tcBorders>
            <w:vAlign w:val="center"/>
          </w:tcPr>
          <w:p w14:paraId="4C770D31" w14:textId="77777777" w:rsidR="000946F2" w:rsidRDefault="000946F2" w:rsidP="009B153D">
            <w:pPr>
              <w:pStyle w:val="Style"/>
              <w:ind w:left="29"/>
              <w:jc w:val="center"/>
              <w:textAlignment w:val="baseline"/>
            </w:pPr>
            <w:r>
              <w:rPr>
                <w:sz w:val="21"/>
                <w:szCs w:val="21"/>
              </w:rPr>
              <w:t xml:space="preserve">3 (0.5) </w:t>
            </w:r>
          </w:p>
        </w:tc>
      </w:tr>
      <w:tr w:rsidR="000946F2" w14:paraId="04469BB7" w14:textId="77777777" w:rsidTr="006E4137">
        <w:trPr>
          <w:trHeight w:hRule="exact" w:val="394"/>
          <w:jc w:val="center"/>
        </w:trPr>
        <w:tc>
          <w:tcPr>
            <w:tcW w:w="3412" w:type="dxa"/>
            <w:tcBorders>
              <w:top w:val="single" w:sz="6" w:space="0" w:color="auto"/>
              <w:left w:val="single" w:sz="6" w:space="0" w:color="auto"/>
              <w:bottom w:val="single" w:sz="6" w:space="0" w:color="auto"/>
              <w:right w:val="single" w:sz="6" w:space="0" w:color="auto"/>
            </w:tcBorders>
            <w:vAlign w:val="center"/>
          </w:tcPr>
          <w:p w14:paraId="102FBA23" w14:textId="77777777" w:rsidR="000946F2" w:rsidRDefault="000946F2" w:rsidP="009B153D">
            <w:pPr>
              <w:pStyle w:val="Style"/>
              <w:ind w:left="298"/>
              <w:textAlignment w:val="baseline"/>
            </w:pPr>
            <w:r>
              <w:rPr>
                <w:sz w:val="21"/>
                <w:szCs w:val="21"/>
              </w:rPr>
              <w:t xml:space="preserve">Protocol violation </w:t>
            </w:r>
          </w:p>
        </w:tc>
        <w:tc>
          <w:tcPr>
            <w:tcW w:w="1260" w:type="dxa"/>
            <w:tcBorders>
              <w:top w:val="single" w:sz="6" w:space="0" w:color="auto"/>
              <w:left w:val="single" w:sz="6" w:space="0" w:color="auto"/>
              <w:bottom w:val="single" w:sz="6" w:space="0" w:color="auto"/>
              <w:right w:val="single" w:sz="2" w:space="0" w:color="auto"/>
            </w:tcBorders>
            <w:vAlign w:val="center"/>
          </w:tcPr>
          <w:p w14:paraId="1204779B" w14:textId="77777777" w:rsidR="000946F2" w:rsidRDefault="000946F2" w:rsidP="009B153D">
            <w:pPr>
              <w:pStyle w:val="Style"/>
              <w:ind w:left="19"/>
              <w:jc w:val="center"/>
              <w:textAlignment w:val="baseline"/>
            </w:pPr>
            <w:r>
              <w:rPr>
                <w:sz w:val="21"/>
                <w:szCs w:val="21"/>
              </w:rPr>
              <w:t xml:space="preserve">0 </w:t>
            </w:r>
          </w:p>
        </w:tc>
        <w:tc>
          <w:tcPr>
            <w:tcW w:w="1530" w:type="dxa"/>
            <w:tcBorders>
              <w:top w:val="single" w:sz="6" w:space="0" w:color="auto"/>
              <w:left w:val="single" w:sz="2" w:space="0" w:color="auto"/>
              <w:bottom w:val="single" w:sz="6" w:space="0" w:color="auto"/>
              <w:right w:val="single" w:sz="6" w:space="0" w:color="auto"/>
            </w:tcBorders>
            <w:vAlign w:val="center"/>
          </w:tcPr>
          <w:p w14:paraId="506D3333" w14:textId="77777777" w:rsidR="000946F2" w:rsidRDefault="000946F2" w:rsidP="009B153D">
            <w:pPr>
              <w:pStyle w:val="Style"/>
              <w:ind w:left="14"/>
              <w:jc w:val="center"/>
              <w:textAlignment w:val="baseline"/>
            </w:pPr>
            <w:r>
              <w:rPr>
                <w:sz w:val="21"/>
                <w:szCs w:val="21"/>
              </w:rPr>
              <w:t xml:space="preserve">0 </w:t>
            </w:r>
          </w:p>
        </w:tc>
        <w:tc>
          <w:tcPr>
            <w:tcW w:w="1260" w:type="dxa"/>
            <w:tcBorders>
              <w:top w:val="single" w:sz="6" w:space="0" w:color="auto"/>
              <w:left w:val="single" w:sz="6" w:space="0" w:color="auto"/>
              <w:bottom w:val="single" w:sz="6" w:space="0" w:color="auto"/>
              <w:right w:val="single" w:sz="6" w:space="0" w:color="auto"/>
            </w:tcBorders>
            <w:vAlign w:val="center"/>
          </w:tcPr>
          <w:p w14:paraId="085206B8" w14:textId="77777777" w:rsidR="000946F2" w:rsidRDefault="000946F2" w:rsidP="009B153D">
            <w:pPr>
              <w:pStyle w:val="Style"/>
              <w:ind w:left="43"/>
              <w:jc w:val="center"/>
              <w:textAlignment w:val="baseline"/>
            </w:pPr>
            <w:r>
              <w:rPr>
                <w:sz w:val="21"/>
                <w:szCs w:val="21"/>
              </w:rPr>
              <w:t xml:space="preserve">2 (1.2) </w:t>
            </w:r>
          </w:p>
        </w:tc>
        <w:tc>
          <w:tcPr>
            <w:tcW w:w="1350" w:type="dxa"/>
            <w:tcBorders>
              <w:top w:val="single" w:sz="6" w:space="0" w:color="auto"/>
              <w:left w:val="single" w:sz="6" w:space="0" w:color="auto"/>
              <w:bottom w:val="single" w:sz="6" w:space="0" w:color="auto"/>
              <w:right w:val="single" w:sz="6" w:space="0" w:color="auto"/>
            </w:tcBorders>
            <w:vAlign w:val="center"/>
          </w:tcPr>
          <w:p w14:paraId="4DD8767E" w14:textId="77777777" w:rsidR="000946F2" w:rsidRDefault="000946F2" w:rsidP="009B153D">
            <w:pPr>
              <w:pStyle w:val="Style"/>
              <w:ind w:left="29"/>
              <w:jc w:val="center"/>
              <w:textAlignment w:val="baseline"/>
            </w:pPr>
            <w:r>
              <w:rPr>
                <w:sz w:val="21"/>
                <w:szCs w:val="21"/>
              </w:rPr>
              <w:t xml:space="preserve">2 (0.4) </w:t>
            </w:r>
          </w:p>
        </w:tc>
      </w:tr>
      <w:tr w:rsidR="000946F2" w14:paraId="545D9D0D" w14:textId="77777777" w:rsidTr="006E4137">
        <w:trPr>
          <w:trHeight w:hRule="exact" w:val="384"/>
          <w:jc w:val="center"/>
        </w:trPr>
        <w:tc>
          <w:tcPr>
            <w:tcW w:w="3412" w:type="dxa"/>
            <w:tcBorders>
              <w:top w:val="single" w:sz="6" w:space="0" w:color="auto"/>
              <w:left w:val="single" w:sz="6" w:space="0" w:color="auto"/>
              <w:bottom w:val="single" w:sz="6" w:space="0" w:color="auto"/>
              <w:right w:val="single" w:sz="6" w:space="0" w:color="auto"/>
            </w:tcBorders>
            <w:vAlign w:val="center"/>
          </w:tcPr>
          <w:p w14:paraId="23D06A17" w14:textId="77777777" w:rsidR="000946F2" w:rsidRDefault="000946F2" w:rsidP="009B153D">
            <w:pPr>
              <w:pStyle w:val="Style"/>
              <w:ind w:left="298"/>
              <w:textAlignment w:val="baseline"/>
            </w:pPr>
            <w:r>
              <w:rPr>
                <w:sz w:val="21"/>
                <w:szCs w:val="21"/>
              </w:rPr>
              <w:t xml:space="preserve">Lost to follow up </w:t>
            </w:r>
          </w:p>
        </w:tc>
        <w:tc>
          <w:tcPr>
            <w:tcW w:w="1260" w:type="dxa"/>
            <w:tcBorders>
              <w:top w:val="single" w:sz="6" w:space="0" w:color="auto"/>
              <w:left w:val="single" w:sz="6" w:space="0" w:color="auto"/>
              <w:bottom w:val="single" w:sz="6" w:space="0" w:color="auto"/>
              <w:right w:val="single" w:sz="2" w:space="0" w:color="auto"/>
            </w:tcBorders>
            <w:vAlign w:val="center"/>
          </w:tcPr>
          <w:p w14:paraId="0D82A716" w14:textId="77777777" w:rsidR="000946F2" w:rsidRDefault="000946F2" w:rsidP="009B153D">
            <w:pPr>
              <w:pStyle w:val="Style"/>
              <w:ind w:left="19"/>
              <w:jc w:val="center"/>
              <w:textAlignment w:val="baseline"/>
            </w:pPr>
            <w:r>
              <w:rPr>
                <w:sz w:val="21"/>
                <w:szCs w:val="21"/>
              </w:rPr>
              <w:t xml:space="preserve">0 </w:t>
            </w:r>
          </w:p>
        </w:tc>
        <w:tc>
          <w:tcPr>
            <w:tcW w:w="1530" w:type="dxa"/>
            <w:tcBorders>
              <w:top w:val="single" w:sz="6" w:space="0" w:color="auto"/>
              <w:left w:val="single" w:sz="2" w:space="0" w:color="auto"/>
              <w:bottom w:val="single" w:sz="6" w:space="0" w:color="auto"/>
              <w:right w:val="single" w:sz="6" w:space="0" w:color="auto"/>
            </w:tcBorders>
            <w:vAlign w:val="center"/>
          </w:tcPr>
          <w:p w14:paraId="6850A958" w14:textId="77777777" w:rsidR="000946F2" w:rsidRDefault="000946F2" w:rsidP="009B153D">
            <w:pPr>
              <w:pStyle w:val="Style"/>
              <w:ind w:left="14"/>
              <w:jc w:val="center"/>
              <w:textAlignment w:val="baseline"/>
            </w:pPr>
            <w:r>
              <w:rPr>
                <w:sz w:val="21"/>
                <w:szCs w:val="21"/>
              </w:rPr>
              <w:t xml:space="preserve">3 (0.9) </w:t>
            </w:r>
          </w:p>
        </w:tc>
        <w:tc>
          <w:tcPr>
            <w:tcW w:w="1260" w:type="dxa"/>
            <w:tcBorders>
              <w:top w:val="single" w:sz="6" w:space="0" w:color="auto"/>
              <w:left w:val="single" w:sz="6" w:space="0" w:color="auto"/>
              <w:bottom w:val="single" w:sz="6" w:space="0" w:color="auto"/>
              <w:right w:val="single" w:sz="6" w:space="0" w:color="auto"/>
            </w:tcBorders>
            <w:vAlign w:val="center"/>
          </w:tcPr>
          <w:p w14:paraId="797D7134" w14:textId="77777777" w:rsidR="000946F2" w:rsidRDefault="000946F2" w:rsidP="009B153D">
            <w:pPr>
              <w:pStyle w:val="Style"/>
              <w:ind w:left="43"/>
              <w:jc w:val="center"/>
              <w:textAlignment w:val="baseline"/>
            </w:pPr>
            <w:r>
              <w:rPr>
                <w:sz w:val="21"/>
                <w:szCs w:val="21"/>
              </w:rPr>
              <w:t xml:space="preserve">0 </w:t>
            </w:r>
          </w:p>
        </w:tc>
        <w:tc>
          <w:tcPr>
            <w:tcW w:w="1350" w:type="dxa"/>
            <w:tcBorders>
              <w:top w:val="single" w:sz="6" w:space="0" w:color="auto"/>
              <w:left w:val="single" w:sz="6" w:space="0" w:color="auto"/>
              <w:bottom w:val="single" w:sz="6" w:space="0" w:color="auto"/>
              <w:right w:val="single" w:sz="6" w:space="0" w:color="auto"/>
            </w:tcBorders>
            <w:vAlign w:val="center"/>
          </w:tcPr>
          <w:p w14:paraId="5C6CC8BB" w14:textId="77777777" w:rsidR="000946F2" w:rsidRDefault="000946F2" w:rsidP="009B153D">
            <w:pPr>
              <w:pStyle w:val="Style"/>
              <w:ind w:left="29"/>
              <w:jc w:val="center"/>
              <w:textAlignment w:val="baseline"/>
            </w:pPr>
            <w:r>
              <w:rPr>
                <w:sz w:val="21"/>
                <w:szCs w:val="21"/>
              </w:rPr>
              <w:t xml:space="preserve">3 (0.5) </w:t>
            </w:r>
          </w:p>
        </w:tc>
      </w:tr>
      <w:tr w:rsidR="000946F2" w14:paraId="44295673" w14:textId="77777777" w:rsidTr="006E4137">
        <w:trPr>
          <w:trHeight w:hRule="exact" w:val="384"/>
          <w:jc w:val="center"/>
        </w:trPr>
        <w:tc>
          <w:tcPr>
            <w:tcW w:w="3412" w:type="dxa"/>
            <w:tcBorders>
              <w:top w:val="single" w:sz="6" w:space="0" w:color="auto"/>
              <w:left w:val="single" w:sz="6" w:space="0" w:color="auto"/>
              <w:bottom w:val="single" w:sz="6" w:space="0" w:color="auto"/>
              <w:right w:val="single" w:sz="6" w:space="0" w:color="auto"/>
            </w:tcBorders>
            <w:vAlign w:val="center"/>
          </w:tcPr>
          <w:p w14:paraId="265EE3E0" w14:textId="77777777" w:rsidR="000946F2" w:rsidRDefault="000946F2" w:rsidP="009B153D">
            <w:pPr>
              <w:pStyle w:val="Style"/>
              <w:ind w:left="298"/>
              <w:textAlignment w:val="baseline"/>
            </w:pPr>
            <w:r>
              <w:rPr>
                <w:sz w:val="21"/>
                <w:szCs w:val="21"/>
              </w:rPr>
              <w:t xml:space="preserve">Consent withdrawn </w:t>
            </w:r>
          </w:p>
        </w:tc>
        <w:tc>
          <w:tcPr>
            <w:tcW w:w="1260" w:type="dxa"/>
            <w:tcBorders>
              <w:top w:val="single" w:sz="6" w:space="0" w:color="auto"/>
              <w:left w:val="single" w:sz="6" w:space="0" w:color="auto"/>
              <w:bottom w:val="single" w:sz="6" w:space="0" w:color="auto"/>
              <w:right w:val="single" w:sz="2" w:space="0" w:color="auto"/>
            </w:tcBorders>
            <w:vAlign w:val="center"/>
          </w:tcPr>
          <w:p w14:paraId="2158CE49" w14:textId="77777777" w:rsidR="000946F2" w:rsidRDefault="000946F2" w:rsidP="009B153D">
            <w:pPr>
              <w:pStyle w:val="Style"/>
              <w:ind w:left="19"/>
              <w:jc w:val="center"/>
              <w:textAlignment w:val="baseline"/>
            </w:pPr>
            <w:r>
              <w:rPr>
                <w:b/>
                <w:w w:val="64"/>
                <w:sz w:val="22"/>
                <w:szCs w:val="22"/>
              </w:rPr>
              <w:t xml:space="preserve">1 </w:t>
            </w:r>
            <w:r>
              <w:rPr>
                <w:sz w:val="21"/>
                <w:szCs w:val="21"/>
              </w:rPr>
              <w:t xml:space="preserve">(1.2) </w:t>
            </w:r>
          </w:p>
        </w:tc>
        <w:tc>
          <w:tcPr>
            <w:tcW w:w="1530" w:type="dxa"/>
            <w:tcBorders>
              <w:top w:val="single" w:sz="6" w:space="0" w:color="auto"/>
              <w:left w:val="single" w:sz="2" w:space="0" w:color="auto"/>
              <w:bottom w:val="single" w:sz="6" w:space="0" w:color="auto"/>
              <w:right w:val="single" w:sz="6" w:space="0" w:color="auto"/>
            </w:tcBorders>
            <w:vAlign w:val="center"/>
          </w:tcPr>
          <w:p w14:paraId="66EE8C0D" w14:textId="77777777" w:rsidR="000946F2" w:rsidRDefault="000946F2" w:rsidP="009B153D">
            <w:pPr>
              <w:pStyle w:val="Style"/>
              <w:ind w:left="14"/>
              <w:jc w:val="center"/>
              <w:textAlignment w:val="baseline"/>
            </w:pPr>
            <w:r>
              <w:rPr>
                <w:sz w:val="21"/>
                <w:szCs w:val="21"/>
              </w:rPr>
              <w:t xml:space="preserve">2 (0.6) </w:t>
            </w:r>
          </w:p>
        </w:tc>
        <w:tc>
          <w:tcPr>
            <w:tcW w:w="1260" w:type="dxa"/>
            <w:tcBorders>
              <w:top w:val="single" w:sz="6" w:space="0" w:color="auto"/>
              <w:left w:val="single" w:sz="6" w:space="0" w:color="auto"/>
              <w:bottom w:val="single" w:sz="6" w:space="0" w:color="auto"/>
              <w:right w:val="single" w:sz="6" w:space="0" w:color="auto"/>
            </w:tcBorders>
            <w:vAlign w:val="center"/>
          </w:tcPr>
          <w:p w14:paraId="687FBE24" w14:textId="77777777" w:rsidR="000946F2" w:rsidRDefault="000946F2" w:rsidP="009B153D">
            <w:pPr>
              <w:pStyle w:val="Style"/>
              <w:ind w:left="43"/>
              <w:jc w:val="center"/>
              <w:textAlignment w:val="baseline"/>
            </w:pPr>
            <w:r>
              <w:rPr>
                <w:b/>
                <w:w w:val="64"/>
                <w:sz w:val="22"/>
                <w:szCs w:val="22"/>
              </w:rPr>
              <w:t xml:space="preserve">1 </w:t>
            </w:r>
            <w:r>
              <w:rPr>
                <w:sz w:val="21"/>
                <w:szCs w:val="21"/>
              </w:rPr>
              <w:t xml:space="preserve">(0.6) </w:t>
            </w:r>
          </w:p>
        </w:tc>
        <w:tc>
          <w:tcPr>
            <w:tcW w:w="1350" w:type="dxa"/>
            <w:tcBorders>
              <w:top w:val="single" w:sz="6" w:space="0" w:color="auto"/>
              <w:left w:val="single" w:sz="6" w:space="0" w:color="auto"/>
              <w:bottom w:val="single" w:sz="6" w:space="0" w:color="auto"/>
              <w:right w:val="single" w:sz="6" w:space="0" w:color="auto"/>
            </w:tcBorders>
            <w:vAlign w:val="center"/>
          </w:tcPr>
          <w:p w14:paraId="07AE48BE" w14:textId="77777777" w:rsidR="000946F2" w:rsidRDefault="000946F2" w:rsidP="009B153D">
            <w:pPr>
              <w:pStyle w:val="Style"/>
              <w:ind w:left="29"/>
              <w:jc w:val="center"/>
              <w:textAlignment w:val="baseline"/>
            </w:pPr>
            <w:r>
              <w:rPr>
                <w:sz w:val="21"/>
                <w:szCs w:val="21"/>
              </w:rPr>
              <w:t xml:space="preserve">4 (0.7) </w:t>
            </w:r>
          </w:p>
        </w:tc>
      </w:tr>
      <w:tr w:rsidR="000946F2" w14:paraId="6E5C9AC8" w14:textId="77777777" w:rsidTr="006E4137">
        <w:trPr>
          <w:trHeight w:hRule="exact" w:val="389"/>
          <w:jc w:val="center"/>
        </w:trPr>
        <w:tc>
          <w:tcPr>
            <w:tcW w:w="3412" w:type="dxa"/>
            <w:tcBorders>
              <w:top w:val="single" w:sz="6" w:space="0" w:color="auto"/>
              <w:left w:val="single" w:sz="6" w:space="0" w:color="auto"/>
              <w:bottom w:val="single" w:sz="6" w:space="0" w:color="auto"/>
              <w:right w:val="single" w:sz="6" w:space="0" w:color="auto"/>
            </w:tcBorders>
            <w:vAlign w:val="center"/>
          </w:tcPr>
          <w:p w14:paraId="00E640D0" w14:textId="77777777" w:rsidR="000946F2" w:rsidRDefault="000946F2" w:rsidP="009B153D">
            <w:pPr>
              <w:pStyle w:val="Style"/>
              <w:ind w:left="298"/>
              <w:textAlignment w:val="baseline"/>
            </w:pPr>
            <w:r>
              <w:rPr>
                <w:sz w:val="21"/>
                <w:szCs w:val="21"/>
              </w:rPr>
              <w:t xml:space="preserve">Other </w:t>
            </w:r>
          </w:p>
        </w:tc>
        <w:tc>
          <w:tcPr>
            <w:tcW w:w="1260" w:type="dxa"/>
            <w:tcBorders>
              <w:top w:val="single" w:sz="6" w:space="0" w:color="auto"/>
              <w:left w:val="single" w:sz="6" w:space="0" w:color="auto"/>
              <w:bottom w:val="single" w:sz="6" w:space="0" w:color="auto"/>
              <w:right w:val="single" w:sz="2" w:space="0" w:color="auto"/>
            </w:tcBorders>
            <w:vAlign w:val="center"/>
          </w:tcPr>
          <w:p w14:paraId="1C512689" w14:textId="77777777" w:rsidR="000946F2" w:rsidRDefault="000946F2" w:rsidP="009B153D">
            <w:pPr>
              <w:pStyle w:val="Style"/>
              <w:ind w:left="19"/>
              <w:jc w:val="center"/>
              <w:textAlignment w:val="baseline"/>
            </w:pPr>
            <w:r>
              <w:rPr>
                <w:sz w:val="21"/>
                <w:szCs w:val="21"/>
              </w:rPr>
              <w:t xml:space="preserve">0 </w:t>
            </w:r>
          </w:p>
        </w:tc>
        <w:tc>
          <w:tcPr>
            <w:tcW w:w="1530" w:type="dxa"/>
            <w:tcBorders>
              <w:top w:val="single" w:sz="6" w:space="0" w:color="auto"/>
              <w:left w:val="single" w:sz="2" w:space="0" w:color="auto"/>
              <w:bottom w:val="single" w:sz="6" w:space="0" w:color="auto"/>
              <w:right w:val="single" w:sz="6" w:space="0" w:color="auto"/>
            </w:tcBorders>
            <w:vAlign w:val="center"/>
          </w:tcPr>
          <w:p w14:paraId="7040075F" w14:textId="77777777" w:rsidR="000946F2" w:rsidRDefault="000946F2" w:rsidP="009B153D">
            <w:pPr>
              <w:pStyle w:val="Style"/>
              <w:ind w:left="14"/>
              <w:jc w:val="center"/>
              <w:textAlignment w:val="baseline"/>
            </w:pPr>
            <w:r>
              <w:rPr>
                <w:sz w:val="21"/>
                <w:szCs w:val="21"/>
              </w:rPr>
              <w:t xml:space="preserve">3 (0.9) </w:t>
            </w:r>
          </w:p>
        </w:tc>
        <w:tc>
          <w:tcPr>
            <w:tcW w:w="1260" w:type="dxa"/>
            <w:tcBorders>
              <w:top w:val="single" w:sz="6" w:space="0" w:color="auto"/>
              <w:left w:val="single" w:sz="6" w:space="0" w:color="auto"/>
              <w:bottom w:val="single" w:sz="6" w:space="0" w:color="auto"/>
              <w:right w:val="single" w:sz="6" w:space="0" w:color="auto"/>
            </w:tcBorders>
            <w:vAlign w:val="center"/>
          </w:tcPr>
          <w:p w14:paraId="6367B64B" w14:textId="77777777" w:rsidR="000946F2" w:rsidRDefault="000946F2" w:rsidP="009B153D">
            <w:pPr>
              <w:pStyle w:val="Style"/>
              <w:ind w:left="43"/>
              <w:jc w:val="center"/>
              <w:textAlignment w:val="baseline"/>
            </w:pPr>
            <w:r>
              <w:rPr>
                <w:sz w:val="21"/>
                <w:szCs w:val="21"/>
              </w:rPr>
              <w:t xml:space="preserve">0 </w:t>
            </w:r>
          </w:p>
        </w:tc>
        <w:tc>
          <w:tcPr>
            <w:tcW w:w="1350" w:type="dxa"/>
            <w:tcBorders>
              <w:top w:val="single" w:sz="6" w:space="0" w:color="auto"/>
              <w:left w:val="single" w:sz="6" w:space="0" w:color="auto"/>
              <w:bottom w:val="single" w:sz="6" w:space="0" w:color="auto"/>
              <w:right w:val="single" w:sz="6" w:space="0" w:color="auto"/>
            </w:tcBorders>
            <w:vAlign w:val="center"/>
          </w:tcPr>
          <w:p w14:paraId="1CC93756" w14:textId="77777777" w:rsidR="000946F2" w:rsidRDefault="000946F2" w:rsidP="009B153D">
            <w:pPr>
              <w:pStyle w:val="Style"/>
              <w:ind w:left="29"/>
              <w:jc w:val="center"/>
              <w:textAlignment w:val="baseline"/>
            </w:pPr>
            <w:r>
              <w:rPr>
                <w:sz w:val="21"/>
                <w:szCs w:val="21"/>
              </w:rPr>
              <w:t xml:space="preserve">3 (0.5) </w:t>
            </w:r>
          </w:p>
        </w:tc>
      </w:tr>
    </w:tbl>
    <w:p w14:paraId="307F7F67" w14:textId="42EA1A80" w:rsidR="000946F2" w:rsidRDefault="006E1C55" w:rsidP="000946F2">
      <w:pPr>
        <w:pStyle w:val="TableDescription"/>
      </w:pPr>
      <w:r>
        <w:t xml:space="preserve">Abbreviations: </w:t>
      </w:r>
      <w:r w:rsidR="000946F2" w:rsidRPr="000946F2">
        <w:t>BKZ</w:t>
      </w:r>
      <w:r>
        <w:t xml:space="preserve"> </w:t>
      </w:r>
      <w:r w:rsidR="000946F2" w:rsidRPr="000946F2">
        <w:t>=</w:t>
      </w:r>
      <w:r>
        <w:t xml:space="preserve"> </w:t>
      </w:r>
      <w:proofErr w:type="spellStart"/>
      <w:r w:rsidR="000946F2" w:rsidRPr="000946F2">
        <w:t>bimekizumab</w:t>
      </w:r>
      <w:proofErr w:type="spellEnd"/>
      <w:r w:rsidR="000946F2" w:rsidRPr="000946F2">
        <w:t xml:space="preserve">; </w:t>
      </w:r>
      <w:r w:rsidR="001D2CFA">
        <w:t>initial treatment period</w:t>
      </w:r>
      <w:r w:rsidR="002E7BEE">
        <w:t xml:space="preserve"> = </w:t>
      </w:r>
      <w:r w:rsidR="002E7BEE" w:rsidRPr="002E7BEE">
        <w:t>initial treatment period</w:t>
      </w:r>
      <w:r w:rsidR="002E7BEE">
        <w:t xml:space="preserve">; </w:t>
      </w:r>
      <w:r w:rsidR="000946F2" w:rsidRPr="000946F2">
        <w:t>PBO</w:t>
      </w:r>
      <w:r>
        <w:t xml:space="preserve"> </w:t>
      </w:r>
      <w:r w:rsidR="000946F2" w:rsidRPr="000946F2">
        <w:t>=</w:t>
      </w:r>
      <w:r>
        <w:t xml:space="preserve"> </w:t>
      </w:r>
      <w:r w:rsidR="000946F2" w:rsidRPr="000946F2">
        <w:t xml:space="preserve">placebo; </w:t>
      </w:r>
      <w:r w:rsidR="002E7BEE">
        <w:t>Q4W</w:t>
      </w:r>
      <w:r>
        <w:t> </w:t>
      </w:r>
      <w:r w:rsidR="000946F2" w:rsidRPr="000946F2">
        <w:t>=</w:t>
      </w:r>
      <w:r>
        <w:t> </w:t>
      </w:r>
      <w:r w:rsidR="000946F2" w:rsidRPr="000946F2">
        <w:t xml:space="preserve">every 4 weeks; </w:t>
      </w:r>
      <w:proofErr w:type="spellStart"/>
      <w:r w:rsidR="000946F2" w:rsidRPr="000946F2">
        <w:t>Uste</w:t>
      </w:r>
      <w:proofErr w:type="spellEnd"/>
      <w:r>
        <w:t xml:space="preserve"> </w:t>
      </w:r>
      <w:r w:rsidR="000946F2" w:rsidRPr="000946F2">
        <w:t>=</w:t>
      </w:r>
      <w:r>
        <w:t xml:space="preserve"> </w:t>
      </w:r>
      <w:proofErr w:type="spellStart"/>
      <w:r w:rsidR="000946F2" w:rsidRPr="000946F2">
        <w:t>ustekinumab</w:t>
      </w:r>
      <w:proofErr w:type="spellEnd"/>
      <w:r w:rsidR="002B7493">
        <w:t>.</w:t>
      </w:r>
    </w:p>
    <w:p w14:paraId="33D45B3F" w14:textId="08C86497" w:rsidR="000946F2" w:rsidRDefault="000946F2" w:rsidP="000946F2">
      <w:r>
        <w:lastRenderedPageBreak/>
        <w:t>A total of 735 study participants signed the informed consent form and were screened for the study</w:t>
      </w:r>
      <w:r w:rsidR="00B57A0A">
        <w:t xml:space="preserve"> (</w:t>
      </w:r>
      <w:r w:rsidR="00B57A0A">
        <w:fldChar w:fldCharType="begin"/>
      </w:r>
      <w:r w:rsidR="00B57A0A">
        <w:instrText xml:space="preserve"> REF _Ref130207155 \h </w:instrText>
      </w:r>
      <w:r w:rsidR="00B57A0A">
        <w:fldChar w:fldCharType="separate"/>
      </w:r>
      <w:r w:rsidR="00B54079" w:rsidRPr="002E7BEE">
        <w:t xml:space="preserve">Table </w:t>
      </w:r>
      <w:r w:rsidR="00B54079">
        <w:rPr>
          <w:noProof/>
        </w:rPr>
        <w:t>24</w:t>
      </w:r>
      <w:r w:rsidR="00B57A0A">
        <w:fldChar w:fldCharType="end"/>
      </w:r>
      <w:r w:rsidR="00B57A0A">
        <w:t>)</w:t>
      </w:r>
      <w:r>
        <w:t>.</w:t>
      </w:r>
    </w:p>
    <w:p w14:paraId="74BD523B" w14:textId="329E1FA8" w:rsidR="000946F2" w:rsidRDefault="000946F2" w:rsidP="000946F2">
      <w:r>
        <w:t>168 of the 735 participants were screen failures, the most common reason for being a screen failure was ineligibility (151 study participants).</w:t>
      </w:r>
    </w:p>
    <w:p w14:paraId="1E08932D" w14:textId="08E9E696" w:rsidR="000946F2" w:rsidRDefault="000946F2" w:rsidP="000946F2">
      <w:r>
        <w:t xml:space="preserve">A total of 567 study participants were </w:t>
      </w:r>
      <w:r w:rsidR="001D2CFA">
        <w:t>randomised</w:t>
      </w:r>
      <w:r>
        <w:t xml:space="preserve"> and started the i</w:t>
      </w:r>
      <w:r w:rsidRPr="000946F2">
        <w:t xml:space="preserve">nitial </w:t>
      </w:r>
      <w:r>
        <w:t>t</w:t>
      </w:r>
      <w:r w:rsidRPr="000946F2">
        <w:t xml:space="preserve">reatment </w:t>
      </w:r>
      <w:r>
        <w:t>p</w:t>
      </w:r>
      <w:r w:rsidRPr="000946F2">
        <w:t>eriod</w:t>
      </w:r>
      <w:r>
        <w:t xml:space="preserve"> as follows:</w:t>
      </w:r>
    </w:p>
    <w:p w14:paraId="4A02F4FF" w14:textId="7CC1B49A" w:rsidR="000946F2" w:rsidRDefault="000946F2" w:rsidP="000946F2">
      <w:pPr>
        <w:pStyle w:val="ListBullet"/>
      </w:pPr>
      <w:r>
        <w:t xml:space="preserve">321 study participants in the </w:t>
      </w:r>
      <w:proofErr w:type="spellStart"/>
      <w:r w:rsidR="008B40FD">
        <w:t>bimekizumab</w:t>
      </w:r>
      <w:proofErr w:type="spellEnd"/>
      <w:r>
        <w:t xml:space="preserve"> 320</w:t>
      </w:r>
      <w:r w:rsidR="002E7BEE">
        <w:t xml:space="preserve"> </w:t>
      </w:r>
      <w:r>
        <w:t>mg once every 4 weeks group,</w:t>
      </w:r>
    </w:p>
    <w:p w14:paraId="6E7DB7B2" w14:textId="3711D3AC" w:rsidR="000946F2" w:rsidRDefault="000946F2" w:rsidP="000946F2">
      <w:pPr>
        <w:pStyle w:val="ListBullet"/>
      </w:pPr>
      <w:r>
        <w:t xml:space="preserve">163 study participants in the </w:t>
      </w:r>
      <w:proofErr w:type="spellStart"/>
      <w:r w:rsidR="004858E7">
        <w:t>ustekinumab</w:t>
      </w:r>
      <w:proofErr w:type="spellEnd"/>
      <w:r>
        <w:t xml:space="preserve"> group,</w:t>
      </w:r>
    </w:p>
    <w:p w14:paraId="67FD186E" w14:textId="6140692E" w:rsidR="000946F2" w:rsidRDefault="000946F2" w:rsidP="000946F2">
      <w:pPr>
        <w:pStyle w:val="ListBullet"/>
      </w:pPr>
      <w:r>
        <w:t>83 study participants in the placebo group.</w:t>
      </w:r>
    </w:p>
    <w:p w14:paraId="739F1C09" w14:textId="72A8DE8B" w:rsidR="000946F2" w:rsidRDefault="000946F2" w:rsidP="000946F2">
      <w:r>
        <w:t>Overall, the percentages of study participants who completed the i</w:t>
      </w:r>
      <w:r w:rsidRPr="000946F2">
        <w:t xml:space="preserve">nitial </w:t>
      </w:r>
      <w:r>
        <w:t>t</w:t>
      </w:r>
      <w:r w:rsidRPr="000946F2">
        <w:t xml:space="preserve">reatment </w:t>
      </w:r>
      <w:r>
        <w:t>p</w:t>
      </w:r>
      <w:r w:rsidRPr="000946F2">
        <w:t>eriod</w:t>
      </w:r>
      <w:r>
        <w:t xml:space="preserve"> were higher in the </w:t>
      </w:r>
      <w:proofErr w:type="spellStart"/>
      <w:r w:rsidR="008B40FD">
        <w:t>bimekizumab</w:t>
      </w:r>
      <w:proofErr w:type="spellEnd"/>
      <w:r>
        <w:t xml:space="preserve"> </w:t>
      </w:r>
      <w:r w:rsidR="001D2CFA">
        <w:t>320 mg</w:t>
      </w:r>
      <w:r>
        <w:t xml:space="preserve"> once every 4 weeks group (95.3%) and </w:t>
      </w:r>
      <w:proofErr w:type="spellStart"/>
      <w:r w:rsidR="004858E7">
        <w:t>ustekinumab</w:t>
      </w:r>
      <w:proofErr w:type="spellEnd"/>
      <w:r>
        <w:t xml:space="preserve"> (96.3%) groups compared with the placebo group (89 .2%).</w:t>
      </w:r>
    </w:p>
    <w:p w14:paraId="5ECE9F93" w14:textId="444967B7" w:rsidR="00B57A0A" w:rsidRDefault="000946F2" w:rsidP="000946F2">
      <w:r>
        <w:t>The frequency of study discontinuation during the i</w:t>
      </w:r>
      <w:r w:rsidRPr="000946F2">
        <w:t xml:space="preserve">nitial </w:t>
      </w:r>
      <w:r>
        <w:t>t</w:t>
      </w:r>
      <w:r w:rsidRPr="000946F2">
        <w:t xml:space="preserve">reatment </w:t>
      </w:r>
      <w:r>
        <w:t>p</w:t>
      </w:r>
      <w:r w:rsidRPr="000946F2">
        <w:t>eriod</w:t>
      </w:r>
      <w:r>
        <w:t xml:space="preserve"> was low across the treatment groups.</w:t>
      </w:r>
    </w:p>
    <w:p w14:paraId="4F1CBF55" w14:textId="1CE4F048" w:rsidR="00B57A0A" w:rsidRDefault="00B57A0A">
      <w:pPr>
        <w:spacing w:before="0" w:after="200" w:line="0" w:lineRule="auto"/>
      </w:pPr>
      <w:r>
        <w:br w:type="page"/>
      </w:r>
    </w:p>
    <w:p w14:paraId="3E897FAB" w14:textId="330803F9" w:rsidR="000946F2" w:rsidRDefault="000946F2" w:rsidP="002E7BEE">
      <w:pPr>
        <w:pStyle w:val="TableTitle"/>
      </w:pPr>
      <w:bookmarkStart w:id="103" w:name="_Ref130207193"/>
      <w:r w:rsidRPr="002E7BEE">
        <w:lastRenderedPageBreak/>
        <w:t xml:space="preserve">Table </w:t>
      </w:r>
      <w:r w:rsidR="00172397">
        <w:fldChar w:fldCharType="begin"/>
      </w:r>
      <w:r w:rsidR="00172397">
        <w:instrText xml:space="preserve"> SEQ Table \* ARABIC </w:instrText>
      </w:r>
      <w:r w:rsidR="00172397">
        <w:fldChar w:fldCharType="separate"/>
      </w:r>
      <w:r w:rsidR="00B54079">
        <w:rPr>
          <w:noProof/>
        </w:rPr>
        <w:t>25</w:t>
      </w:r>
      <w:r w:rsidR="00172397">
        <w:rPr>
          <w:noProof/>
        </w:rPr>
        <w:fldChar w:fldCharType="end"/>
      </w:r>
      <w:bookmarkEnd w:id="103"/>
      <w:r w:rsidRPr="002E7BEE">
        <w:t>:</w:t>
      </w:r>
      <w:r>
        <w:t xml:space="preserve"> </w:t>
      </w:r>
      <w:r w:rsidR="002E7BEE">
        <w:t xml:space="preserve">Study PS0009 </w:t>
      </w:r>
      <w:r w:rsidR="002E7BEE" w:rsidRPr="002E7BEE">
        <w:t>Disposition and discontinuation reasons</w:t>
      </w:r>
      <w:r w:rsidR="002E7BEE">
        <w:t>,</w:t>
      </w:r>
      <w:r w:rsidR="002E7BEE" w:rsidRPr="002E7BEE">
        <w:t xml:space="preserve"> </w:t>
      </w:r>
      <w:r w:rsidR="002E7BEE">
        <w:t>m</w:t>
      </w:r>
      <w:r w:rsidR="002E7BEE" w:rsidRPr="002E7BEE">
        <w:t xml:space="preserve">aintenance </w:t>
      </w:r>
      <w:r w:rsidR="002E7BEE">
        <w:t>t</w:t>
      </w:r>
      <w:r w:rsidR="002E7BEE" w:rsidRPr="002E7BEE">
        <w:t xml:space="preserve">reatment </w:t>
      </w:r>
      <w:r w:rsidR="002E7BEE">
        <w:t>p</w:t>
      </w:r>
      <w:r w:rsidR="002E7BEE" w:rsidRPr="002E7BEE">
        <w:t>eriod</w:t>
      </w:r>
    </w:p>
    <w:tbl>
      <w:tblPr>
        <w:tblW w:w="5000" w:type="pct"/>
        <w:jc w:val="center"/>
        <w:tblCellMar>
          <w:left w:w="0" w:type="dxa"/>
          <w:right w:w="0" w:type="dxa"/>
        </w:tblCellMar>
        <w:tblLook w:val="0000" w:firstRow="0" w:lastRow="0" w:firstColumn="0" w:lastColumn="0" w:noHBand="0" w:noVBand="0"/>
      </w:tblPr>
      <w:tblGrid>
        <w:gridCol w:w="2656"/>
        <w:gridCol w:w="1635"/>
        <w:gridCol w:w="1287"/>
        <w:gridCol w:w="1457"/>
        <w:gridCol w:w="1453"/>
      </w:tblGrid>
      <w:tr w:rsidR="000946F2" w14:paraId="02EB8DA6" w14:textId="77777777" w:rsidTr="009B153D">
        <w:trPr>
          <w:trHeight w:val="1152"/>
          <w:jc w:val="center"/>
        </w:trPr>
        <w:tc>
          <w:tcPr>
            <w:tcW w:w="1565" w:type="pct"/>
            <w:tcBorders>
              <w:top w:val="single" w:sz="6" w:space="0" w:color="auto"/>
              <w:left w:val="single" w:sz="6" w:space="0" w:color="auto"/>
              <w:right w:val="single" w:sz="6" w:space="0" w:color="auto"/>
            </w:tcBorders>
            <w:vAlign w:val="center"/>
          </w:tcPr>
          <w:p w14:paraId="4AC983D3" w14:textId="3DF40D38" w:rsidR="000946F2" w:rsidRDefault="000946F2" w:rsidP="000946F2">
            <w:pPr>
              <w:pStyle w:val="Style"/>
              <w:textAlignment w:val="baseline"/>
            </w:pPr>
            <w:r>
              <w:rPr>
                <w:b/>
                <w:sz w:val="21"/>
                <w:szCs w:val="21"/>
              </w:rPr>
              <w:t xml:space="preserve">Disposition </w:t>
            </w:r>
          </w:p>
        </w:tc>
        <w:tc>
          <w:tcPr>
            <w:tcW w:w="963" w:type="pct"/>
            <w:tcBorders>
              <w:top w:val="single" w:sz="6" w:space="0" w:color="auto"/>
              <w:left w:val="single" w:sz="6" w:space="0" w:color="auto"/>
              <w:right w:val="single" w:sz="6" w:space="0" w:color="auto"/>
            </w:tcBorders>
            <w:vAlign w:val="center"/>
          </w:tcPr>
          <w:p w14:paraId="7137F8EB" w14:textId="77777777" w:rsidR="000946F2" w:rsidRDefault="000946F2" w:rsidP="009B153D">
            <w:pPr>
              <w:pStyle w:val="Style"/>
              <w:ind w:left="24"/>
              <w:jc w:val="center"/>
              <w:textAlignment w:val="baseline"/>
            </w:pPr>
            <w:r>
              <w:rPr>
                <w:b/>
                <w:sz w:val="21"/>
                <w:szCs w:val="21"/>
              </w:rPr>
              <w:t xml:space="preserve">PBO/BKZ </w:t>
            </w:r>
          </w:p>
          <w:p w14:paraId="0B554AC8" w14:textId="4C1BE82D" w:rsidR="000946F2" w:rsidRDefault="001D2CFA" w:rsidP="009B153D">
            <w:pPr>
              <w:pStyle w:val="Style"/>
              <w:ind w:left="24"/>
              <w:jc w:val="center"/>
              <w:textAlignment w:val="baseline"/>
            </w:pPr>
            <w:r>
              <w:rPr>
                <w:b/>
                <w:sz w:val="21"/>
                <w:szCs w:val="21"/>
              </w:rPr>
              <w:t xml:space="preserve">320 </w:t>
            </w:r>
            <w:proofErr w:type="spellStart"/>
            <w:r>
              <w:rPr>
                <w:b/>
                <w:sz w:val="21"/>
                <w:szCs w:val="21"/>
              </w:rPr>
              <w:t>mg</w:t>
            </w:r>
            <w:r w:rsidR="00F23C97">
              <w:rPr>
                <w:b/>
                <w:sz w:val="21"/>
                <w:szCs w:val="21"/>
              </w:rPr>
              <w:t>every</w:t>
            </w:r>
            <w:proofErr w:type="spellEnd"/>
            <w:r w:rsidR="00F23C97">
              <w:rPr>
                <w:b/>
                <w:sz w:val="21"/>
                <w:szCs w:val="21"/>
              </w:rPr>
              <w:t xml:space="preserve"> 4 weeks</w:t>
            </w:r>
            <w:r w:rsidR="000946F2">
              <w:rPr>
                <w:b/>
                <w:sz w:val="21"/>
                <w:szCs w:val="21"/>
              </w:rPr>
              <w:t xml:space="preserve"> </w:t>
            </w:r>
          </w:p>
          <w:p w14:paraId="6222946D" w14:textId="7D105441" w:rsidR="000946F2" w:rsidRDefault="001D2CFA" w:rsidP="009B153D">
            <w:pPr>
              <w:pStyle w:val="Style"/>
              <w:ind w:left="24"/>
              <w:jc w:val="center"/>
              <w:textAlignment w:val="baseline"/>
            </w:pPr>
            <w:r>
              <w:rPr>
                <w:b/>
                <w:sz w:val="21"/>
                <w:szCs w:val="21"/>
              </w:rPr>
              <w:t xml:space="preserve">N = </w:t>
            </w:r>
            <w:r w:rsidR="000946F2">
              <w:rPr>
                <w:b/>
                <w:sz w:val="21"/>
                <w:szCs w:val="21"/>
              </w:rPr>
              <w:t xml:space="preserve">74 </w:t>
            </w:r>
          </w:p>
          <w:p w14:paraId="2FD30527" w14:textId="63A4F528" w:rsidR="000946F2" w:rsidRDefault="000946F2" w:rsidP="009B153D">
            <w:pPr>
              <w:pStyle w:val="Style"/>
              <w:ind w:left="24"/>
              <w:jc w:val="center"/>
              <w:textAlignment w:val="baseline"/>
            </w:pPr>
            <w:r>
              <w:rPr>
                <w:b/>
                <w:sz w:val="21"/>
                <w:szCs w:val="21"/>
              </w:rPr>
              <w:t xml:space="preserve">n </w:t>
            </w:r>
            <w:r>
              <w:rPr>
                <w:rFonts w:ascii="Arial" w:eastAsia="Arial" w:hAnsi="Arial" w:cs="Arial"/>
                <w:w w:val="114"/>
                <w:sz w:val="20"/>
                <w:szCs w:val="20"/>
              </w:rPr>
              <w:t xml:space="preserve">(%) </w:t>
            </w:r>
          </w:p>
        </w:tc>
        <w:tc>
          <w:tcPr>
            <w:tcW w:w="758" w:type="pct"/>
            <w:tcBorders>
              <w:top w:val="single" w:sz="6" w:space="0" w:color="auto"/>
              <w:left w:val="single" w:sz="6" w:space="0" w:color="auto"/>
              <w:right w:val="single" w:sz="6" w:space="0" w:color="auto"/>
            </w:tcBorders>
            <w:vAlign w:val="center"/>
          </w:tcPr>
          <w:p w14:paraId="48021AE3" w14:textId="4F213588" w:rsidR="000946F2" w:rsidRDefault="000946F2" w:rsidP="009B153D">
            <w:pPr>
              <w:pStyle w:val="Style"/>
              <w:ind w:left="14"/>
              <w:jc w:val="center"/>
              <w:textAlignment w:val="baseline"/>
            </w:pPr>
            <w:r>
              <w:rPr>
                <w:b/>
                <w:sz w:val="21"/>
                <w:szCs w:val="21"/>
              </w:rPr>
              <w:t>BKZ</w:t>
            </w:r>
            <w:r w:rsidR="001D2CFA">
              <w:rPr>
                <w:b/>
                <w:sz w:val="21"/>
                <w:szCs w:val="21"/>
              </w:rPr>
              <w:t>320 mg</w:t>
            </w:r>
            <w:r>
              <w:rPr>
                <w:b/>
                <w:sz w:val="21"/>
                <w:szCs w:val="21"/>
              </w:rPr>
              <w:t xml:space="preserve"> </w:t>
            </w:r>
          </w:p>
          <w:p w14:paraId="13CE4F2F" w14:textId="424A0CF6" w:rsidR="000946F2" w:rsidRDefault="00F23C97" w:rsidP="009B153D">
            <w:pPr>
              <w:pStyle w:val="Style"/>
              <w:ind w:left="14"/>
              <w:jc w:val="center"/>
              <w:textAlignment w:val="baseline"/>
            </w:pPr>
            <w:r>
              <w:rPr>
                <w:b/>
                <w:sz w:val="21"/>
                <w:szCs w:val="21"/>
              </w:rPr>
              <w:t>every 4 weeks</w:t>
            </w:r>
            <w:r w:rsidR="000946F2">
              <w:rPr>
                <w:b/>
                <w:sz w:val="21"/>
                <w:szCs w:val="21"/>
              </w:rPr>
              <w:t xml:space="preserve"> </w:t>
            </w:r>
          </w:p>
          <w:p w14:paraId="6CC073F2" w14:textId="3F7233BE" w:rsidR="000946F2" w:rsidRDefault="001D2CFA" w:rsidP="009B153D">
            <w:pPr>
              <w:pStyle w:val="Style"/>
              <w:ind w:left="14"/>
              <w:jc w:val="center"/>
              <w:textAlignment w:val="baseline"/>
            </w:pPr>
            <w:r>
              <w:rPr>
                <w:b/>
                <w:sz w:val="21"/>
                <w:szCs w:val="21"/>
              </w:rPr>
              <w:t xml:space="preserve">N = </w:t>
            </w:r>
            <w:r w:rsidR="000946F2">
              <w:rPr>
                <w:b/>
                <w:sz w:val="21"/>
                <w:szCs w:val="21"/>
              </w:rPr>
              <w:t xml:space="preserve">306 </w:t>
            </w:r>
          </w:p>
          <w:p w14:paraId="4D79784B" w14:textId="2E2CFBC2" w:rsidR="000946F2" w:rsidRDefault="000946F2" w:rsidP="009B153D">
            <w:pPr>
              <w:pStyle w:val="Style"/>
              <w:ind w:left="14"/>
              <w:jc w:val="center"/>
              <w:textAlignment w:val="baseline"/>
            </w:pPr>
            <w:r>
              <w:rPr>
                <w:b/>
                <w:sz w:val="21"/>
                <w:szCs w:val="21"/>
              </w:rPr>
              <w:t xml:space="preserve">n </w:t>
            </w:r>
            <w:r>
              <w:rPr>
                <w:rFonts w:ascii="Arial" w:eastAsia="Arial" w:hAnsi="Arial" w:cs="Arial"/>
                <w:w w:val="114"/>
                <w:sz w:val="20"/>
                <w:szCs w:val="20"/>
              </w:rPr>
              <w:t xml:space="preserve">(%) </w:t>
            </w:r>
          </w:p>
        </w:tc>
        <w:tc>
          <w:tcPr>
            <w:tcW w:w="858" w:type="pct"/>
            <w:tcBorders>
              <w:top w:val="single" w:sz="6" w:space="0" w:color="auto"/>
              <w:left w:val="single" w:sz="6" w:space="0" w:color="auto"/>
              <w:right w:val="single" w:sz="6" w:space="0" w:color="auto"/>
            </w:tcBorders>
            <w:vAlign w:val="center"/>
          </w:tcPr>
          <w:p w14:paraId="2D553D18" w14:textId="77777777" w:rsidR="000946F2" w:rsidRDefault="000946F2" w:rsidP="009B153D">
            <w:pPr>
              <w:pStyle w:val="Style"/>
              <w:ind w:left="43"/>
              <w:jc w:val="center"/>
              <w:textAlignment w:val="baseline"/>
            </w:pPr>
            <w:proofErr w:type="spellStart"/>
            <w:r>
              <w:rPr>
                <w:b/>
                <w:sz w:val="21"/>
                <w:szCs w:val="21"/>
              </w:rPr>
              <w:t>Uste</w:t>
            </w:r>
            <w:proofErr w:type="spellEnd"/>
            <w:r>
              <w:rPr>
                <w:b/>
                <w:sz w:val="21"/>
                <w:szCs w:val="21"/>
              </w:rPr>
              <w:t xml:space="preserve"> </w:t>
            </w:r>
          </w:p>
          <w:p w14:paraId="3A157DBD" w14:textId="45666AB8" w:rsidR="000946F2" w:rsidRDefault="001D2CFA" w:rsidP="009B153D">
            <w:pPr>
              <w:pStyle w:val="Style"/>
              <w:ind w:left="43"/>
              <w:jc w:val="center"/>
              <w:textAlignment w:val="baseline"/>
            </w:pPr>
            <w:r>
              <w:rPr>
                <w:b/>
                <w:sz w:val="21"/>
                <w:szCs w:val="21"/>
              </w:rPr>
              <w:t xml:space="preserve">N = </w:t>
            </w:r>
            <w:r w:rsidR="000946F2">
              <w:rPr>
                <w:b/>
                <w:sz w:val="21"/>
                <w:szCs w:val="21"/>
              </w:rPr>
              <w:t xml:space="preserve">157 </w:t>
            </w:r>
          </w:p>
          <w:p w14:paraId="4808A7E4" w14:textId="65858217" w:rsidR="000946F2" w:rsidRDefault="000946F2" w:rsidP="009B153D">
            <w:pPr>
              <w:pStyle w:val="Style"/>
              <w:ind w:left="43"/>
              <w:jc w:val="center"/>
              <w:textAlignment w:val="baseline"/>
            </w:pPr>
            <w:r>
              <w:rPr>
                <w:b/>
                <w:sz w:val="21"/>
                <w:szCs w:val="21"/>
              </w:rPr>
              <w:t xml:space="preserve">n </w:t>
            </w:r>
            <w:r>
              <w:rPr>
                <w:rFonts w:ascii="Arial" w:eastAsia="Arial" w:hAnsi="Arial" w:cs="Arial"/>
                <w:w w:val="114"/>
                <w:sz w:val="20"/>
                <w:szCs w:val="20"/>
              </w:rPr>
              <w:t xml:space="preserve">(%) </w:t>
            </w:r>
          </w:p>
        </w:tc>
        <w:tc>
          <w:tcPr>
            <w:tcW w:w="856" w:type="pct"/>
            <w:tcBorders>
              <w:top w:val="single" w:sz="6" w:space="0" w:color="auto"/>
              <w:left w:val="single" w:sz="6" w:space="0" w:color="auto"/>
              <w:right w:val="single" w:sz="6" w:space="0" w:color="auto"/>
            </w:tcBorders>
            <w:vAlign w:val="center"/>
          </w:tcPr>
          <w:p w14:paraId="62C4834E" w14:textId="77777777" w:rsidR="000946F2" w:rsidRDefault="000946F2" w:rsidP="009B153D">
            <w:pPr>
              <w:pStyle w:val="Style"/>
              <w:ind w:left="29"/>
              <w:jc w:val="center"/>
              <w:textAlignment w:val="baseline"/>
            </w:pPr>
            <w:r>
              <w:rPr>
                <w:b/>
                <w:sz w:val="21"/>
                <w:szCs w:val="21"/>
              </w:rPr>
              <w:t xml:space="preserve">All Study </w:t>
            </w:r>
          </w:p>
          <w:p w14:paraId="27EE27C5" w14:textId="77777777" w:rsidR="000946F2" w:rsidRDefault="000946F2" w:rsidP="009B153D">
            <w:pPr>
              <w:pStyle w:val="Style"/>
              <w:ind w:left="29"/>
              <w:jc w:val="center"/>
              <w:textAlignment w:val="baseline"/>
            </w:pPr>
            <w:r>
              <w:rPr>
                <w:b/>
                <w:sz w:val="21"/>
                <w:szCs w:val="21"/>
              </w:rPr>
              <w:t xml:space="preserve">participants </w:t>
            </w:r>
          </w:p>
          <w:p w14:paraId="767881A3" w14:textId="2A94A9B6" w:rsidR="000946F2" w:rsidRDefault="001D2CFA" w:rsidP="009B153D">
            <w:pPr>
              <w:pStyle w:val="Style"/>
              <w:ind w:left="29"/>
              <w:jc w:val="center"/>
              <w:textAlignment w:val="baseline"/>
            </w:pPr>
            <w:r>
              <w:rPr>
                <w:b/>
                <w:sz w:val="21"/>
                <w:szCs w:val="21"/>
              </w:rPr>
              <w:t xml:space="preserve">N = </w:t>
            </w:r>
            <w:r w:rsidR="000946F2">
              <w:rPr>
                <w:b/>
                <w:sz w:val="21"/>
                <w:szCs w:val="21"/>
              </w:rPr>
              <w:t xml:space="preserve">537 </w:t>
            </w:r>
          </w:p>
          <w:p w14:paraId="0F1DBD15" w14:textId="08123897" w:rsidR="000946F2" w:rsidRDefault="000946F2" w:rsidP="009B153D">
            <w:pPr>
              <w:pStyle w:val="Style"/>
              <w:ind w:left="29"/>
              <w:jc w:val="center"/>
              <w:textAlignment w:val="baseline"/>
            </w:pPr>
            <w:r>
              <w:rPr>
                <w:b/>
                <w:sz w:val="21"/>
                <w:szCs w:val="21"/>
              </w:rPr>
              <w:t xml:space="preserve">n </w:t>
            </w:r>
            <w:r>
              <w:rPr>
                <w:rFonts w:ascii="Arial" w:eastAsia="Arial" w:hAnsi="Arial" w:cs="Arial"/>
                <w:w w:val="114"/>
                <w:sz w:val="20"/>
                <w:szCs w:val="20"/>
              </w:rPr>
              <w:t xml:space="preserve">(%) </w:t>
            </w:r>
          </w:p>
        </w:tc>
      </w:tr>
      <w:tr w:rsidR="000946F2" w14:paraId="4A5E68AE" w14:textId="77777777" w:rsidTr="000946F2">
        <w:trPr>
          <w:trHeight w:hRule="exact" w:val="384"/>
          <w:jc w:val="center"/>
        </w:trPr>
        <w:tc>
          <w:tcPr>
            <w:tcW w:w="1565" w:type="pct"/>
            <w:tcBorders>
              <w:top w:val="single" w:sz="6" w:space="0" w:color="auto"/>
              <w:left w:val="single" w:sz="6" w:space="0" w:color="auto"/>
              <w:bottom w:val="single" w:sz="6" w:space="0" w:color="auto"/>
              <w:right w:val="single" w:sz="6" w:space="0" w:color="auto"/>
            </w:tcBorders>
            <w:vAlign w:val="center"/>
          </w:tcPr>
          <w:p w14:paraId="37494A4E" w14:textId="77777777" w:rsidR="000946F2" w:rsidRDefault="000946F2" w:rsidP="009B153D">
            <w:pPr>
              <w:pStyle w:val="Style"/>
              <w:ind w:left="120"/>
              <w:textAlignment w:val="baseline"/>
            </w:pPr>
            <w:r>
              <w:rPr>
                <w:sz w:val="21"/>
                <w:szCs w:val="21"/>
              </w:rPr>
              <w:t xml:space="preserve">Started MTP </w:t>
            </w:r>
          </w:p>
        </w:tc>
        <w:tc>
          <w:tcPr>
            <w:tcW w:w="963" w:type="pct"/>
            <w:tcBorders>
              <w:top w:val="single" w:sz="6" w:space="0" w:color="auto"/>
              <w:left w:val="single" w:sz="6" w:space="0" w:color="auto"/>
              <w:bottom w:val="single" w:sz="6" w:space="0" w:color="auto"/>
              <w:right w:val="single" w:sz="6" w:space="0" w:color="auto"/>
            </w:tcBorders>
            <w:vAlign w:val="center"/>
          </w:tcPr>
          <w:p w14:paraId="11B462E3" w14:textId="77777777" w:rsidR="000946F2" w:rsidRDefault="000946F2" w:rsidP="009B153D">
            <w:pPr>
              <w:pStyle w:val="Style"/>
              <w:ind w:left="24"/>
              <w:jc w:val="center"/>
              <w:textAlignment w:val="baseline"/>
            </w:pPr>
            <w:r>
              <w:rPr>
                <w:sz w:val="21"/>
                <w:szCs w:val="21"/>
              </w:rPr>
              <w:t xml:space="preserve">74 (100) </w:t>
            </w:r>
          </w:p>
        </w:tc>
        <w:tc>
          <w:tcPr>
            <w:tcW w:w="758" w:type="pct"/>
            <w:tcBorders>
              <w:top w:val="single" w:sz="6" w:space="0" w:color="auto"/>
              <w:left w:val="single" w:sz="6" w:space="0" w:color="auto"/>
              <w:bottom w:val="single" w:sz="6" w:space="0" w:color="auto"/>
              <w:right w:val="single" w:sz="6" w:space="0" w:color="auto"/>
            </w:tcBorders>
            <w:vAlign w:val="center"/>
          </w:tcPr>
          <w:p w14:paraId="50425C0E" w14:textId="77777777" w:rsidR="000946F2" w:rsidRDefault="000946F2" w:rsidP="009B153D">
            <w:pPr>
              <w:pStyle w:val="Style"/>
              <w:ind w:left="14"/>
              <w:jc w:val="center"/>
              <w:textAlignment w:val="baseline"/>
            </w:pPr>
            <w:r>
              <w:rPr>
                <w:sz w:val="21"/>
                <w:szCs w:val="21"/>
              </w:rPr>
              <w:t xml:space="preserve">306 (100) </w:t>
            </w:r>
          </w:p>
        </w:tc>
        <w:tc>
          <w:tcPr>
            <w:tcW w:w="858" w:type="pct"/>
            <w:tcBorders>
              <w:top w:val="single" w:sz="6" w:space="0" w:color="auto"/>
              <w:left w:val="single" w:sz="6" w:space="0" w:color="auto"/>
              <w:bottom w:val="single" w:sz="6" w:space="0" w:color="auto"/>
              <w:right w:val="single" w:sz="6" w:space="0" w:color="auto"/>
            </w:tcBorders>
            <w:vAlign w:val="center"/>
          </w:tcPr>
          <w:p w14:paraId="1CD26AC4" w14:textId="77777777" w:rsidR="000946F2" w:rsidRDefault="000946F2" w:rsidP="009B153D">
            <w:pPr>
              <w:pStyle w:val="Style"/>
              <w:ind w:left="43"/>
              <w:jc w:val="center"/>
              <w:textAlignment w:val="baseline"/>
            </w:pPr>
            <w:r>
              <w:rPr>
                <w:sz w:val="21"/>
                <w:szCs w:val="21"/>
              </w:rPr>
              <w:t xml:space="preserve">157 (100) </w:t>
            </w:r>
          </w:p>
        </w:tc>
        <w:tc>
          <w:tcPr>
            <w:tcW w:w="856" w:type="pct"/>
            <w:tcBorders>
              <w:top w:val="single" w:sz="6" w:space="0" w:color="auto"/>
              <w:left w:val="single" w:sz="6" w:space="0" w:color="auto"/>
              <w:bottom w:val="single" w:sz="6" w:space="0" w:color="auto"/>
              <w:right w:val="single" w:sz="6" w:space="0" w:color="auto"/>
            </w:tcBorders>
            <w:vAlign w:val="center"/>
          </w:tcPr>
          <w:p w14:paraId="4F56A756" w14:textId="77777777" w:rsidR="000946F2" w:rsidRDefault="000946F2" w:rsidP="009B153D">
            <w:pPr>
              <w:pStyle w:val="Style"/>
              <w:ind w:left="29"/>
              <w:jc w:val="center"/>
              <w:textAlignment w:val="baseline"/>
            </w:pPr>
            <w:r>
              <w:rPr>
                <w:sz w:val="21"/>
                <w:szCs w:val="21"/>
              </w:rPr>
              <w:t xml:space="preserve">537 (100) </w:t>
            </w:r>
          </w:p>
        </w:tc>
      </w:tr>
      <w:tr w:rsidR="000946F2" w14:paraId="4B2E2367" w14:textId="77777777" w:rsidTr="000946F2">
        <w:trPr>
          <w:trHeight w:hRule="exact" w:val="384"/>
          <w:jc w:val="center"/>
        </w:trPr>
        <w:tc>
          <w:tcPr>
            <w:tcW w:w="1565" w:type="pct"/>
            <w:tcBorders>
              <w:top w:val="single" w:sz="6" w:space="0" w:color="auto"/>
              <w:left w:val="single" w:sz="6" w:space="0" w:color="auto"/>
              <w:bottom w:val="single" w:sz="6" w:space="0" w:color="auto"/>
              <w:right w:val="single" w:sz="6" w:space="0" w:color="auto"/>
            </w:tcBorders>
            <w:vAlign w:val="center"/>
          </w:tcPr>
          <w:p w14:paraId="22E2BE45" w14:textId="77777777" w:rsidR="000946F2" w:rsidRDefault="000946F2" w:rsidP="009B153D">
            <w:pPr>
              <w:pStyle w:val="Style"/>
              <w:ind w:left="120"/>
              <w:textAlignment w:val="baseline"/>
            </w:pPr>
            <w:r>
              <w:rPr>
                <w:sz w:val="21"/>
                <w:szCs w:val="21"/>
              </w:rPr>
              <w:t xml:space="preserve">Completed MTP </w:t>
            </w:r>
          </w:p>
        </w:tc>
        <w:tc>
          <w:tcPr>
            <w:tcW w:w="963" w:type="pct"/>
            <w:tcBorders>
              <w:top w:val="single" w:sz="6" w:space="0" w:color="auto"/>
              <w:left w:val="single" w:sz="6" w:space="0" w:color="auto"/>
              <w:bottom w:val="single" w:sz="6" w:space="0" w:color="auto"/>
              <w:right w:val="single" w:sz="6" w:space="0" w:color="auto"/>
            </w:tcBorders>
            <w:vAlign w:val="center"/>
          </w:tcPr>
          <w:p w14:paraId="6FAA157C" w14:textId="77777777" w:rsidR="000946F2" w:rsidRDefault="000946F2" w:rsidP="009B153D">
            <w:pPr>
              <w:pStyle w:val="Style"/>
              <w:ind w:left="24"/>
              <w:jc w:val="center"/>
              <w:textAlignment w:val="baseline"/>
            </w:pPr>
            <w:r>
              <w:rPr>
                <w:sz w:val="21"/>
                <w:szCs w:val="21"/>
              </w:rPr>
              <w:t xml:space="preserve">69 (93.2) </w:t>
            </w:r>
          </w:p>
        </w:tc>
        <w:tc>
          <w:tcPr>
            <w:tcW w:w="758" w:type="pct"/>
            <w:tcBorders>
              <w:top w:val="single" w:sz="6" w:space="0" w:color="auto"/>
              <w:left w:val="single" w:sz="6" w:space="0" w:color="auto"/>
              <w:bottom w:val="single" w:sz="6" w:space="0" w:color="auto"/>
              <w:right w:val="single" w:sz="6" w:space="0" w:color="auto"/>
            </w:tcBorders>
            <w:vAlign w:val="center"/>
          </w:tcPr>
          <w:p w14:paraId="6B072DA1" w14:textId="77777777" w:rsidR="000946F2" w:rsidRDefault="000946F2" w:rsidP="009B153D">
            <w:pPr>
              <w:pStyle w:val="Style"/>
              <w:ind w:left="14"/>
              <w:jc w:val="center"/>
              <w:textAlignment w:val="baseline"/>
            </w:pPr>
            <w:r>
              <w:rPr>
                <w:sz w:val="21"/>
                <w:szCs w:val="21"/>
              </w:rPr>
              <w:t xml:space="preserve">283 (92.5) </w:t>
            </w:r>
          </w:p>
        </w:tc>
        <w:tc>
          <w:tcPr>
            <w:tcW w:w="858" w:type="pct"/>
            <w:tcBorders>
              <w:top w:val="single" w:sz="6" w:space="0" w:color="auto"/>
              <w:left w:val="single" w:sz="6" w:space="0" w:color="auto"/>
              <w:bottom w:val="single" w:sz="6" w:space="0" w:color="auto"/>
              <w:right w:val="single" w:sz="6" w:space="0" w:color="auto"/>
            </w:tcBorders>
            <w:vAlign w:val="center"/>
          </w:tcPr>
          <w:p w14:paraId="0D6E75CC" w14:textId="77777777" w:rsidR="000946F2" w:rsidRDefault="000946F2" w:rsidP="009B153D">
            <w:pPr>
              <w:pStyle w:val="Style"/>
              <w:ind w:left="43"/>
              <w:jc w:val="center"/>
              <w:textAlignment w:val="baseline"/>
            </w:pPr>
            <w:r>
              <w:rPr>
                <w:sz w:val="21"/>
                <w:szCs w:val="21"/>
              </w:rPr>
              <w:t xml:space="preserve">141 (89.8) </w:t>
            </w:r>
          </w:p>
        </w:tc>
        <w:tc>
          <w:tcPr>
            <w:tcW w:w="856" w:type="pct"/>
            <w:tcBorders>
              <w:top w:val="single" w:sz="6" w:space="0" w:color="auto"/>
              <w:left w:val="single" w:sz="6" w:space="0" w:color="auto"/>
              <w:bottom w:val="single" w:sz="6" w:space="0" w:color="auto"/>
              <w:right w:val="single" w:sz="6" w:space="0" w:color="auto"/>
            </w:tcBorders>
            <w:vAlign w:val="center"/>
          </w:tcPr>
          <w:p w14:paraId="61A9D3C5" w14:textId="77777777" w:rsidR="000946F2" w:rsidRDefault="000946F2" w:rsidP="009B153D">
            <w:pPr>
              <w:pStyle w:val="Style"/>
              <w:ind w:left="29"/>
              <w:jc w:val="center"/>
              <w:textAlignment w:val="baseline"/>
            </w:pPr>
            <w:r>
              <w:rPr>
                <w:sz w:val="21"/>
                <w:szCs w:val="21"/>
              </w:rPr>
              <w:t xml:space="preserve">493 (91.8) </w:t>
            </w:r>
          </w:p>
        </w:tc>
      </w:tr>
      <w:tr w:rsidR="000946F2" w14:paraId="2CECA42E" w14:textId="77777777" w:rsidTr="000946F2">
        <w:trPr>
          <w:trHeight w:hRule="exact" w:val="389"/>
          <w:jc w:val="center"/>
        </w:trPr>
        <w:tc>
          <w:tcPr>
            <w:tcW w:w="1565" w:type="pct"/>
            <w:tcBorders>
              <w:top w:val="single" w:sz="6" w:space="0" w:color="auto"/>
              <w:left w:val="single" w:sz="6" w:space="0" w:color="auto"/>
              <w:bottom w:val="single" w:sz="6" w:space="0" w:color="auto"/>
              <w:right w:val="single" w:sz="6" w:space="0" w:color="auto"/>
            </w:tcBorders>
            <w:vAlign w:val="center"/>
          </w:tcPr>
          <w:p w14:paraId="44110367" w14:textId="77777777" w:rsidR="000946F2" w:rsidRDefault="000946F2" w:rsidP="009B153D">
            <w:pPr>
              <w:pStyle w:val="Style"/>
              <w:ind w:left="120"/>
              <w:textAlignment w:val="baseline"/>
            </w:pPr>
            <w:r>
              <w:rPr>
                <w:sz w:val="21"/>
                <w:szCs w:val="21"/>
              </w:rPr>
              <w:t xml:space="preserve">Discontinued study MTP </w:t>
            </w:r>
          </w:p>
        </w:tc>
        <w:tc>
          <w:tcPr>
            <w:tcW w:w="963" w:type="pct"/>
            <w:tcBorders>
              <w:top w:val="single" w:sz="6" w:space="0" w:color="auto"/>
              <w:left w:val="single" w:sz="6" w:space="0" w:color="auto"/>
              <w:bottom w:val="single" w:sz="6" w:space="0" w:color="auto"/>
              <w:right w:val="single" w:sz="6" w:space="0" w:color="auto"/>
            </w:tcBorders>
            <w:vAlign w:val="center"/>
          </w:tcPr>
          <w:p w14:paraId="5BBC7037" w14:textId="77777777" w:rsidR="000946F2" w:rsidRDefault="000946F2" w:rsidP="009B153D">
            <w:pPr>
              <w:pStyle w:val="Style"/>
              <w:ind w:left="24"/>
              <w:jc w:val="center"/>
              <w:textAlignment w:val="baseline"/>
            </w:pPr>
            <w:r>
              <w:rPr>
                <w:sz w:val="21"/>
                <w:szCs w:val="21"/>
              </w:rPr>
              <w:t xml:space="preserve">5 (6.8) </w:t>
            </w:r>
          </w:p>
        </w:tc>
        <w:tc>
          <w:tcPr>
            <w:tcW w:w="758" w:type="pct"/>
            <w:tcBorders>
              <w:top w:val="single" w:sz="6" w:space="0" w:color="auto"/>
              <w:left w:val="single" w:sz="6" w:space="0" w:color="auto"/>
              <w:bottom w:val="single" w:sz="6" w:space="0" w:color="auto"/>
              <w:right w:val="single" w:sz="6" w:space="0" w:color="auto"/>
            </w:tcBorders>
            <w:vAlign w:val="center"/>
          </w:tcPr>
          <w:p w14:paraId="6729DA1A" w14:textId="77777777" w:rsidR="000946F2" w:rsidRDefault="000946F2" w:rsidP="009B153D">
            <w:pPr>
              <w:pStyle w:val="Style"/>
              <w:ind w:left="14"/>
              <w:jc w:val="center"/>
              <w:textAlignment w:val="baseline"/>
            </w:pPr>
            <w:r>
              <w:rPr>
                <w:sz w:val="21"/>
                <w:szCs w:val="21"/>
              </w:rPr>
              <w:t xml:space="preserve">23 (7.5) </w:t>
            </w:r>
          </w:p>
        </w:tc>
        <w:tc>
          <w:tcPr>
            <w:tcW w:w="858" w:type="pct"/>
            <w:tcBorders>
              <w:top w:val="single" w:sz="6" w:space="0" w:color="auto"/>
              <w:left w:val="single" w:sz="6" w:space="0" w:color="auto"/>
              <w:bottom w:val="single" w:sz="6" w:space="0" w:color="auto"/>
              <w:right w:val="single" w:sz="6" w:space="0" w:color="auto"/>
            </w:tcBorders>
            <w:vAlign w:val="center"/>
          </w:tcPr>
          <w:p w14:paraId="4BA0F568" w14:textId="77777777" w:rsidR="000946F2" w:rsidRDefault="000946F2" w:rsidP="009B153D">
            <w:pPr>
              <w:pStyle w:val="Style"/>
              <w:ind w:left="43"/>
              <w:jc w:val="center"/>
              <w:textAlignment w:val="baseline"/>
            </w:pPr>
            <w:r>
              <w:rPr>
                <w:sz w:val="21"/>
                <w:szCs w:val="21"/>
              </w:rPr>
              <w:t xml:space="preserve">16 (10.2) </w:t>
            </w:r>
          </w:p>
        </w:tc>
        <w:tc>
          <w:tcPr>
            <w:tcW w:w="856" w:type="pct"/>
            <w:tcBorders>
              <w:top w:val="single" w:sz="6" w:space="0" w:color="auto"/>
              <w:left w:val="single" w:sz="6" w:space="0" w:color="auto"/>
              <w:bottom w:val="single" w:sz="6" w:space="0" w:color="auto"/>
              <w:right w:val="single" w:sz="6" w:space="0" w:color="auto"/>
            </w:tcBorders>
            <w:vAlign w:val="center"/>
          </w:tcPr>
          <w:p w14:paraId="78F36813" w14:textId="77777777" w:rsidR="000946F2" w:rsidRDefault="000946F2" w:rsidP="009B153D">
            <w:pPr>
              <w:pStyle w:val="Style"/>
              <w:ind w:left="29"/>
              <w:jc w:val="center"/>
              <w:textAlignment w:val="baseline"/>
            </w:pPr>
            <w:r>
              <w:rPr>
                <w:sz w:val="21"/>
                <w:szCs w:val="21"/>
              </w:rPr>
              <w:t xml:space="preserve">44 (8.2) </w:t>
            </w:r>
          </w:p>
        </w:tc>
      </w:tr>
      <w:tr w:rsidR="000946F2" w14:paraId="2E77A62B" w14:textId="77777777" w:rsidTr="000946F2">
        <w:trPr>
          <w:trHeight w:hRule="exact" w:val="389"/>
          <w:jc w:val="center"/>
        </w:trPr>
        <w:tc>
          <w:tcPr>
            <w:tcW w:w="5000" w:type="pct"/>
            <w:gridSpan w:val="5"/>
            <w:tcBorders>
              <w:top w:val="single" w:sz="6" w:space="0" w:color="auto"/>
              <w:left w:val="single" w:sz="6" w:space="0" w:color="auto"/>
              <w:bottom w:val="single" w:sz="6" w:space="0" w:color="auto"/>
              <w:right w:val="single" w:sz="6" w:space="0" w:color="auto"/>
            </w:tcBorders>
            <w:vAlign w:val="center"/>
          </w:tcPr>
          <w:p w14:paraId="4AF830DF" w14:textId="030DDDD3" w:rsidR="000946F2" w:rsidRDefault="000946F2" w:rsidP="000946F2">
            <w:pPr>
              <w:pStyle w:val="Style"/>
              <w:ind w:left="120"/>
              <w:textAlignment w:val="baseline"/>
            </w:pPr>
            <w:r>
              <w:rPr>
                <w:sz w:val="21"/>
                <w:szCs w:val="21"/>
              </w:rPr>
              <w:t>Primary reason for discontinuation</w:t>
            </w:r>
          </w:p>
        </w:tc>
      </w:tr>
      <w:tr w:rsidR="000946F2" w14:paraId="69D3B342" w14:textId="77777777" w:rsidTr="000946F2">
        <w:trPr>
          <w:trHeight w:hRule="exact" w:val="394"/>
          <w:jc w:val="center"/>
        </w:trPr>
        <w:tc>
          <w:tcPr>
            <w:tcW w:w="1565" w:type="pct"/>
            <w:tcBorders>
              <w:top w:val="single" w:sz="6" w:space="0" w:color="auto"/>
              <w:left w:val="single" w:sz="6" w:space="0" w:color="auto"/>
              <w:bottom w:val="single" w:sz="6" w:space="0" w:color="auto"/>
              <w:right w:val="single" w:sz="6" w:space="0" w:color="auto"/>
            </w:tcBorders>
            <w:vAlign w:val="center"/>
          </w:tcPr>
          <w:p w14:paraId="3F2E7A37" w14:textId="3E672B9D" w:rsidR="000946F2" w:rsidRDefault="000946F2" w:rsidP="009B153D">
            <w:pPr>
              <w:pStyle w:val="Style"/>
              <w:ind w:left="298"/>
              <w:textAlignment w:val="baseline"/>
            </w:pPr>
            <w:r>
              <w:t>AE</w:t>
            </w:r>
          </w:p>
        </w:tc>
        <w:tc>
          <w:tcPr>
            <w:tcW w:w="963" w:type="pct"/>
            <w:tcBorders>
              <w:top w:val="single" w:sz="6" w:space="0" w:color="auto"/>
              <w:left w:val="single" w:sz="6" w:space="0" w:color="auto"/>
              <w:bottom w:val="single" w:sz="6" w:space="0" w:color="auto"/>
              <w:right w:val="single" w:sz="2" w:space="0" w:color="auto"/>
            </w:tcBorders>
            <w:vAlign w:val="center"/>
          </w:tcPr>
          <w:p w14:paraId="75136B77" w14:textId="77777777" w:rsidR="000946F2" w:rsidRDefault="000946F2" w:rsidP="009B153D">
            <w:pPr>
              <w:pStyle w:val="Style"/>
              <w:ind w:left="24"/>
              <w:jc w:val="center"/>
              <w:textAlignment w:val="baseline"/>
            </w:pPr>
            <w:r>
              <w:rPr>
                <w:sz w:val="21"/>
                <w:szCs w:val="21"/>
              </w:rPr>
              <w:t xml:space="preserve">3 (4.1) </w:t>
            </w:r>
          </w:p>
        </w:tc>
        <w:tc>
          <w:tcPr>
            <w:tcW w:w="758" w:type="pct"/>
            <w:tcBorders>
              <w:top w:val="single" w:sz="6" w:space="0" w:color="auto"/>
              <w:left w:val="single" w:sz="2" w:space="0" w:color="auto"/>
              <w:bottom w:val="single" w:sz="6" w:space="0" w:color="auto"/>
              <w:right w:val="single" w:sz="6" w:space="0" w:color="auto"/>
            </w:tcBorders>
            <w:vAlign w:val="center"/>
          </w:tcPr>
          <w:p w14:paraId="050EAC1F" w14:textId="77777777" w:rsidR="000946F2" w:rsidRDefault="000946F2" w:rsidP="009B153D">
            <w:pPr>
              <w:pStyle w:val="Style"/>
              <w:ind w:left="14"/>
              <w:jc w:val="center"/>
              <w:textAlignment w:val="baseline"/>
            </w:pPr>
            <w:r>
              <w:rPr>
                <w:sz w:val="21"/>
                <w:szCs w:val="21"/>
              </w:rPr>
              <w:t xml:space="preserve">12 (3.9) </w:t>
            </w:r>
          </w:p>
        </w:tc>
        <w:tc>
          <w:tcPr>
            <w:tcW w:w="858" w:type="pct"/>
            <w:tcBorders>
              <w:top w:val="single" w:sz="6" w:space="0" w:color="auto"/>
              <w:left w:val="single" w:sz="6" w:space="0" w:color="auto"/>
              <w:bottom w:val="single" w:sz="6" w:space="0" w:color="auto"/>
              <w:right w:val="single" w:sz="6" w:space="0" w:color="auto"/>
            </w:tcBorders>
            <w:vAlign w:val="center"/>
          </w:tcPr>
          <w:p w14:paraId="1EEDC65B" w14:textId="77777777" w:rsidR="000946F2" w:rsidRDefault="000946F2" w:rsidP="009B153D">
            <w:pPr>
              <w:pStyle w:val="Style"/>
              <w:ind w:left="43"/>
              <w:jc w:val="center"/>
              <w:textAlignment w:val="baseline"/>
            </w:pPr>
            <w:r>
              <w:rPr>
                <w:sz w:val="21"/>
                <w:szCs w:val="21"/>
              </w:rPr>
              <w:t xml:space="preserve">4 (2.5) </w:t>
            </w:r>
          </w:p>
        </w:tc>
        <w:tc>
          <w:tcPr>
            <w:tcW w:w="856" w:type="pct"/>
            <w:tcBorders>
              <w:top w:val="single" w:sz="6" w:space="0" w:color="auto"/>
              <w:left w:val="single" w:sz="6" w:space="0" w:color="auto"/>
              <w:bottom w:val="single" w:sz="6" w:space="0" w:color="auto"/>
              <w:right w:val="single" w:sz="6" w:space="0" w:color="auto"/>
            </w:tcBorders>
            <w:vAlign w:val="center"/>
          </w:tcPr>
          <w:p w14:paraId="22DF412A" w14:textId="77777777" w:rsidR="000946F2" w:rsidRDefault="000946F2" w:rsidP="009B153D">
            <w:pPr>
              <w:pStyle w:val="Style"/>
              <w:ind w:left="29"/>
              <w:jc w:val="center"/>
              <w:textAlignment w:val="baseline"/>
            </w:pPr>
            <w:r>
              <w:rPr>
                <w:sz w:val="21"/>
                <w:szCs w:val="21"/>
              </w:rPr>
              <w:t xml:space="preserve">19 (3.5) </w:t>
            </w:r>
          </w:p>
        </w:tc>
      </w:tr>
      <w:tr w:rsidR="000946F2" w14:paraId="2377BE0D" w14:textId="77777777" w:rsidTr="000946F2">
        <w:trPr>
          <w:trHeight w:hRule="exact" w:val="384"/>
          <w:jc w:val="center"/>
        </w:trPr>
        <w:tc>
          <w:tcPr>
            <w:tcW w:w="1565" w:type="pct"/>
            <w:tcBorders>
              <w:top w:val="single" w:sz="6" w:space="0" w:color="auto"/>
              <w:left w:val="single" w:sz="6" w:space="0" w:color="auto"/>
              <w:bottom w:val="single" w:sz="6" w:space="0" w:color="auto"/>
              <w:right w:val="single" w:sz="6" w:space="0" w:color="auto"/>
            </w:tcBorders>
            <w:vAlign w:val="center"/>
          </w:tcPr>
          <w:p w14:paraId="7990E45B" w14:textId="77777777" w:rsidR="000946F2" w:rsidRDefault="000946F2" w:rsidP="009B153D">
            <w:pPr>
              <w:pStyle w:val="Style"/>
              <w:ind w:left="298"/>
              <w:textAlignment w:val="baseline"/>
            </w:pPr>
            <w:r>
              <w:rPr>
                <w:sz w:val="21"/>
                <w:szCs w:val="21"/>
              </w:rPr>
              <w:t xml:space="preserve">Lack of efficacy </w:t>
            </w:r>
          </w:p>
        </w:tc>
        <w:tc>
          <w:tcPr>
            <w:tcW w:w="963" w:type="pct"/>
            <w:tcBorders>
              <w:top w:val="single" w:sz="6" w:space="0" w:color="auto"/>
              <w:left w:val="single" w:sz="6" w:space="0" w:color="auto"/>
              <w:bottom w:val="single" w:sz="6" w:space="0" w:color="auto"/>
              <w:right w:val="single" w:sz="2" w:space="0" w:color="auto"/>
            </w:tcBorders>
            <w:vAlign w:val="center"/>
          </w:tcPr>
          <w:p w14:paraId="46958127" w14:textId="77777777" w:rsidR="000946F2" w:rsidRDefault="000946F2" w:rsidP="009B153D">
            <w:pPr>
              <w:pStyle w:val="Style"/>
              <w:ind w:left="24"/>
              <w:jc w:val="center"/>
              <w:textAlignment w:val="baseline"/>
            </w:pPr>
            <w:r>
              <w:rPr>
                <w:sz w:val="21"/>
                <w:szCs w:val="21"/>
              </w:rPr>
              <w:t xml:space="preserve">0 </w:t>
            </w:r>
          </w:p>
        </w:tc>
        <w:tc>
          <w:tcPr>
            <w:tcW w:w="758" w:type="pct"/>
            <w:tcBorders>
              <w:top w:val="single" w:sz="6" w:space="0" w:color="auto"/>
              <w:left w:val="single" w:sz="2" w:space="0" w:color="auto"/>
              <w:bottom w:val="single" w:sz="6" w:space="0" w:color="auto"/>
              <w:right w:val="single" w:sz="6" w:space="0" w:color="auto"/>
            </w:tcBorders>
            <w:vAlign w:val="center"/>
          </w:tcPr>
          <w:p w14:paraId="70888603" w14:textId="77777777" w:rsidR="000946F2" w:rsidRDefault="000946F2" w:rsidP="009B153D">
            <w:pPr>
              <w:pStyle w:val="Style"/>
              <w:ind w:left="14"/>
              <w:jc w:val="center"/>
              <w:textAlignment w:val="baseline"/>
            </w:pPr>
            <w:r>
              <w:rPr>
                <w:sz w:val="21"/>
                <w:szCs w:val="21"/>
              </w:rPr>
              <w:t xml:space="preserve">1 (0.3) </w:t>
            </w:r>
          </w:p>
        </w:tc>
        <w:tc>
          <w:tcPr>
            <w:tcW w:w="858" w:type="pct"/>
            <w:tcBorders>
              <w:top w:val="single" w:sz="6" w:space="0" w:color="auto"/>
              <w:left w:val="single" w:sz="6" w:space="0" w:color="auto"/>
              <w:bottom w:val="single" w:sz="6" w:space="0" w:color="auto"/>
              <w:right w:val="single" w:sz="6" w:space="0" w:color="auto"/>
            </w:tcBorders>
            <w:vAlign w:val="center"/>
          </w:tcPr>
          <w:p w14:paraId="408A20EB" w14:textId="77777777" w:rsidR="000946F2" w:rsidRDefault="000946F2" w:rsidP="009B153D">
            <w:pPr>
              <w:pStyle w:val="Style"/>
              <w:ind w:left="43"/>
              <w:jc w:val="center"/>
              <w:textAlignment w:val="baseline"/>
            </w:pPr>
            <w:r>
              <w:rPr>
                <w:sz w:val="21"/>
                <w:szCs w:val="21"/>
              </w:rPr>
              <w:t xml:space="preserve">4 (2.5) </w:t>
            </w:r>
          </w:p>
        </w:tc>
        <w:tc>
          <w:tcPr>
            <w:tcW w:w="856" w:type="pct"/>
            <w:tcBorders>
              <w:top w:val="single" w:sz="6" w:space="0" w:color="auto"/>
              <w:left w:val="single" w:sz="6" w:space="0" w:color="auto"/>
              <w:bottom w:val="single" w:sz="6" w:space="0" w:color="auto"/>
              <w:right w:val="single" w:sz="6" w:space="0" w:color="auto"/>
            </w:tcBorders>
            <w:vAlign w:val="center"/>
          </w:tcPr>
          <w:p w14:paraId="0E1DACB8" w14:textId="77777777" w:rsidR="000946F2" w:rsidRDefault="000946F2" w:rsidP="009B153D">
            <w:pPr>
              <w:pStyle w:val="Style"/>
              <w:ind w:left="29"/>
              <w:jc w:val="center"/>
              <w:textAlignment w:val="baseline"/>
            </w:pPr>
            <w:r>
              <w:rPr>
                <w:sz w:val="21"/>
                <w:szCs w:val="21"/>
              </w:rPr>
              <w:t xml:space="preserve">5 (0.9) </w:t>
            </w:r>
          </w:p>
        </w:tc>
      </w:tr>
      <w:tr w:rsidR="000946F2" w14:paraId="5562D986" w14:textId="77777777" w:rsidTr="000946F2">
        <w:trPr>
          <w:trHeight w:hRule="exact" w:val="384"/>
          <w:jc w:val="center"/>
        </w:trPr>
        <w:tc>
          <w:tcPr>
            <w:tcW w:w="1565" w:type="pct"/>
            <w:tcBorders>
              <w:top w:val="single" w:sz="6" w:space="0" w:color="auto"/>
              <w:left w:val="single" w:sz="6" w:space="0" w:color="auto"/>
              <w:bottom w:val="single" w:sz="6" w:space="0" w:color="auto"/>
              <w:right w:val="single" w:sz="6" w:space="0" w:color="auto"/>
            </w:tcBorders>
            <w:vAlign w:val="center"/>
          </w:tcPr>
          <w:p w14:paraId="43C2BCD5" w14:textId="77777777" w:rsidR="000946F2" w:rsidRDefault="000946F2" w:rsidP="009B153D">
            <w:pPr>
              <w:pStyle w:val="Style"/>
              <w:ind w:left="298"/>
              <w:textAlignment w:val="baseline"/>
            </w:pPr>
            <w:r>
              <w:rPr>
                <w:sz w:val="21"/>
                <w:szCs w:val="21"/>
              </w:rPr>
              <w:t xml:space="preserve">Protocol violation </w:t>
            </w:r>
          </w:p>
        </w:tc>
        <w:tc>
          <w:tcPr>
            <w:tcW w:w="963" w:type="pct"/>
            <w:tcBorders>
              <w:top w:val="single" w:sz="6" w:space="0" w:color="auto"/>
              <w:left w:val="single" w:sz="6" w:space="0" w:color="auto"/>
              <w:bottom w:val="single" w:sz="6" w:space="0" w:color="auto"/>
              <w:right w:val="single" w:sz="2" w:space="0" w:color="auto"/>
            </w:tcBorders>
            <w:vAlign w:val="center"/>
          </w:tcPr>
          <w:p w14:paraId="20D3157E" w14:textId="77777777" w:rsidR="000946F2" w:rsidRDefault="000946F2" w:rsidP="009B153D">
            <w:pPr>
              <w:pStyle w:val="Style"/>
              <w:ind w:left="24"/>
              <w:jc w:val="center"/>
              <w:textAlignment w:val="baseline"/>
            </w:pPr>
            <w:r>
              <w:rPr>
                <w:sz w:val="21"/>
                <w:szCs w:val="21"/>
              </w:rPr>
              <w:t xml:space="preserve">1 (1.4) </w:t>
            </w:r>
          </w:p>
        </w:tc>
        <w:tc>
          <w:tcPr>
            <w:tcW w:w="758" w:type="pct"/>
            <w:tcBorders>
              <w:top w:val="single" w:sz="6" w:space="0" w:color="auto"/>
              <w:left w:val="single" w:sz="2" w:space="0" w:color="auto"/>
              <w:bottom w:val="single" w:sz="6" w:space="0" w:color="auto"/>
              <w:right w:val="single" w:sz="6" w:space="0" w:color="auto"/>
            </w:tcBorders>
            <w:vAlign w:val="center"/>
          </w:tcPr>
          <w:p w14:paraId="5CEC3BA4" w14:textId="77777777" w:rsidR="000946F2" w:rsidRDefault="000946F2" w:rsidP="009B153D">
            <w:pPr>
              <w:pStyle w:val="Style"/>
              <w:ind w:left="14"/>
              <w:jc w:val="center"/>
              <w:textAlignment w:val="baseline"/>
            </w:pPr>
            <w:r>
              <w:rPr>
                <w:sz w:val="21"/>
                <w:szCs w:val="21"/>
              </w:rPr>
              <w:t xml:space="preserve">1 (0.3) </w:t>
            </w:r>
          </w:p>
        </w:tc>
        <w:tc>
          <w:tcPr>
            <w:tcW w:w="858" w:type="pct"/>
            <w:tcBorders>
              <w:top w:val="single" w:sz="6" w:space="0" w:color="auto"/>
              <w:left w:val="single" w:sz="6" w:space="0" w:color="auto"/>
              <w:bottom w:val="single" w:sz="6" w:space="0" w:color="auto"/>
              <w:right w:val="single" w:sz="6" w:space="0" w:color="auto"/>
            </w:tcBorders>
            <w:vAlign w:val="center"/>
          </w:tcPr>
          <w:p w14:paraId="6DB8FD9C" w14:textId="77777777" w:rsidR="000946F2" w:rsidRDefault="000946F2" w:rsidP="009B153D">
            <w:pPr>
              <w:pStyle w:val="Style"/>
              <w:ind w:left="43"/>
              <w:jc w:val="center"/>
              <w:textAlignment w:val="baseline"/>
            </w:pPr>
            <w:r>
              <w:rPr>
                <w:sz w:val="21"/>
                <w:szCs w:val="21"/>
              </w:rPr>
              <w:t xml:space="preserve">0 </w:t>
            </w:r>
          </w:p>
        </w:tc>
        <w:tc>
          <w:tcPr>
            <w:tcW w:w="856" w:type="pct"/>
            <w:tcBorders>
              <w:top w:val="single" w:sz="6" w:space="0" w:color="auto"/>
              <w:left w:val="single" w:sz="6" w:space="0" w:color="auto"/>
              <w:bottom w:val="single" w:sz="6" w:space="0" w:color="auto"/>
              <w:right w:val="single" w:sz="6" w:space="0" w:color="auto"/>
            </w:tcBorders>
            <w:vAlign w:val="center"/>
          </w:tcPr>
          <w:p w14:paraId="6CE62D40" w14:textId="77777777" w:rsidR="000946F2" w:rsidRDefault="000946F2" w:rsidP="009B153D">
            <w:pPr>
              <w:pStyle w:val="Style"/>
              <w:ind w:left="29"/>
              <w:jc w:val="center"/>
              <w:textAlignment w:val="baseline"/>
            </w:pPr>
            <w:r>
              <w:rPr>
                <w:sz w:val="21"/>
                <w:szCs w:val="21"/>
              </w:rPr>
              <w:t xml:space="preserve">2 (0.4) </w:t>
            </w:r>
          </w:p>
        </w:tc>
      </w:tr>
      <w:tr w:rsidR="000946F2" w14:paraId="6BB75737" w14:textId="77777777" w:rsidTr="000946F2">
        <w:trPr>
          <w:trHeight w:hRule="exact" w:val="394"/>
          <w:jc w:val="center"/>
        </w:trPr>
        <w:tc>
          <w:tcPr>
            <w:tcW w:w="1565" w:type="pct"/>
            <w:tcBorders>
              <w:top w:val="single" w:sz="6" w:space="0" w:color="auto"/>
              <w:left w:val="single" w:sz="6" w:space="0" w:color="auto"/>
              <w:bottom w:val="single" w:sz="6" w:space="0" w:color="auto"/>
              <w:right w:val="single" w:sz="6" w:space="0" w:color="auto"/>
            </w:tcBorders>
            <w:vAlign w:val="center"/>
          </w:tcPr>
          <w:p w14:paraId="4C3FCB76" w14:textId="77777777" w:rsidR="000946F2" w:rsidRDefault="000946F2" w:rsidP="009B153D">
            <w:pPr>
              <w:pStyle w:val="Style"/>
              <w:ind w:left="298"/>
              <w:textAlignment w:val="baseline"/>
            </w:pPr>
            <w:r>
              <w:rPr>
                <w:sz w:val="21"/>
                <w:szCs w:val="21"/>
              </w:rPr>
              <w:t xml:space="preserve">Lost to follow up </w:t>
            </w:r>
          </w:p>
        </w:tc>
        <w:tc>
          <w:tcPr>
            <w:tcW w:w="963" w:type="pct"/>
            <w:tcBorders>
              <w:top w:val="single" w:sz="6" w:space="0" w:color="auto"/>
              <w:left w:val="single" w:sz="6" w:space="0" w:color="auto"/>
              <w:bottom w:val="single" w:sz="6" w:space="0" w:color="auto"/>
              <w:right w:val="single" w:sz="2" w:space="0" w:color="auto"/>
            </w:tcBorders>
            <w:vAlign w:val="center"/>
          </w:tcPr>
          <w:p w14:paraId="466D4948" w14:textId="77777777" w:rsidR="000946F2" w:rsidRDefault="000946F2" w:rsidP="009B153D">
            <w:pPr>
              <w:pStyle w:val="Style"/>
              <w:ind w:left="24"/>
              <w:jc w:val="center"/>
              <w:textAlignment w:val="baseline"/>
            </w:pPr>
            <w:r>
              <w:rPr>
                <w:sz w:val="21"/>
                <w:szCs w:val="21"/>
              </w:rPr>
              <w:t xml:space="preserve">0 </w:t>
            </w:r>
          </w:p>
        </w:tc>
        <w:tc>
          <w:tcPr>
            <w:tcW w:w="758" w:type="pct"/>
            <w:tcBorders>
              <w:top w:val="single" w:sz="6" w:space="0" w:color="auto"/>
              <w:left w:val="single" w:sz="2" w:space="0" w:color="auto"/>
              <w:bottom w:val="single" w:sz="6" w:space="0" w:color="auto"/>
              <w:right w:val="single" w:sz="6" w:space="0" w:color="auto"/>
            </w:tcBorders>
            <w:vAlign w:val="center"/>
          </w:tcPr>
          <w:p w14:paraId="69A119B5" w14:textId="77777777" w:rsidR="000946F2" w:rsidRDefault="000946F2" w:rsidP="009B153D">
            <w:pPr>
              <w:pStyle w:val="Style"/>
              <w:ind w:left="14"/>
              <w:jc w:val="center"/>
              <w:textAlignment w:val="baseline"/>
            </w:pPr>
            <w:r>
              <w:rPr>
                <w:sz w:val="21"/>
                <w:szCs w:val="21"/>
              </w:rPr>
              <w:t xml:space="preserve">4 (1.3) </w:t>
            </w:r>
          </w:p>
        </w:tc>
        <w:tc>
          <w:tcPr>
            <w:tcW w:w="858" w:type="pct"/>
            <w:tcBorders>
              <w:top w:val="single" w:sz="6" w:space="0" w:color="auto"/>
              <w:left w:val="single" w:sz="6" w:space="0" w:color="auto"/>
              <w:bottom w:val="single" w:sz="6" w:space="0" w:color="auto"/>
              <w:right w:val="single" w:sz="6" w:space="0" w:color="auto"/>
            </w:tcBorders>
            <w:vAlign w:val="center"/>
          </w:tcPr>
          <w:p w14:paraId="64642AB0" w14:textId="77777777" w:rsidR="000946F2" w:rsidRDefault="000946F2" w:rsidP="009B153D">
            <w:pPr>
              <w:pStyle w:val="Style"/>
              <w:ind w:left="43"/>
              <w:jc w:val="center"/>
              <w:textAlignment w:val="baseline"/>
            </w:pPr>
            <w:r>
              <w:rPr>
                <w:sz w:val="21"/>
                <w:szCs w:val="21"/>
              </w:rPr>
              <w:t xml:space="preserve">3 (1.9) </w:t>
            </w:r>
          </w:p>
        </w:tc>
        <w:tc>
          <w:tcPr>
            <w:tcW w:w="856" w:type="pct"/>
            <w:tcBorders>
              <w:top w:val="single" w:sz="6" w:space="0" w:color="auto"/>
              <w:left w:val="single" w:sz="6" w:space="0" w:color="auto"/>
              <w:bottom w:val="single" w:sz="6" w:space="0" w:color="auto"/>
              <w:right w:val="single" w:sz="6" w:space="0" w:color="auto"/>
            </w:tcBorders>
            <w:vAlign w:val="center"/>
          </w:tcPr>
          <w:p w14:paraId="71C69E64" w14:textId="77777777" w:rsidR="000946F2" w:rsidRDefault="000946F2" w:rsidP="009B153D">
            <w:pPr>
              <w:pStyle w:val="Style"/>
              <w:ind w:left="29"/>
              <w:jc w:val="center"/>
              <w:textAlignment w:val="baseline"/>
            </w:pPr>
            <w:r>
              <w:rPr>
                <w:sz w:val="21"/>
                <w:szCs w:val="21"/>
              </w:rPr>
              <w:t xml:space="preserve">7 (1.3) </w:t>
            </w:r>
          </w:p>
        </w:tc>
      </w:tr>
      <w:tr w:rsidR="000946F2" w14:paraId="206861AB" w14:textId="77777777" w:rsidTr="000946F2">
        <w:trPr>
          <w:trHeight w:hRule="exact" w:val="384"/>
          <w:jc w:val="center"/>
        </w:trPr>
        <w:tc>
          <w:tcPr>
            <w:tcW w:w="1565" w:type="pct"/>
            <w:tcBorders>
              <w:top w:val="single" w:sz="6" w:space="0" w:color="auto"/>
              <w:left w:val="single" w:sz="6" w:space="0" w:color="auto"/>
              <w:bottom w:val="single" w:sz="6" w:space="0" w:color="auto"/>
              <w:right w:val="single" w:sz="6" w:space="0" w:color="auto"/>
            </w:tcBorders>
            <w:vAlign w:val="center"/>
          </w:tcPr>
          <w:p w14:paraId="7399C09A" w14:textId="77777777" w:rsidR="000946F2" w:rsidRDefault="000946F2" w:rsidP="009B153D">
            <w:pPr>
              <w:pStyle w:val="Style"/>
              <w:ind w:left="298"/>
              <w:textAlignment w:val="baseline"/>
            </w:pPr>
            <w:r>
              <w:rPr>
                <w:sz w:val="21"/>
                <w:szCs w:val="21"/>
              </w:rPr>
              <w:t xml:space="preserve">Consent withdrawn </w:t>
            </w:r>
          </w:p>
        </w:tc>
        <w:tc>
          <w:tcPr>
            <w:tcW w:w="963" w:type="pct"/>
            <w:tcBorders>
              <w:top w:val="single" w:sz="6" w:space="0" w:color="auto"/>
              <w:left w:val="single" w:sz="6" w:space="0" w:color="auto"/>
              <w:bottom w:val="single" w:sz="6" w:space="0" w:color="auto"/>
              <w:right w:val="single" w:sz="2" w:space="0" w:color="auto"/>
            </w:tcBorders>
            <w:vAlign w:val="center"/>
          </w:tcPr>
          <w:p w14:paraId="6C7EDC3D" w14:textId="77777777" w:rsidR="000946F2" w:rsidRDefault="000946F2" w:rsidP="009B153D">
            <w:pPr>
              <w:pStyle w:val="Style"/>
              <w:ind w:left="24"/>
              <w:jc w:val="center"/>
              <w:textAlignment w:val="baseline"/>
            </w:pPr>
            <w:r>
              <w:rPr>
                <w:sz w:val="21"/>
                <w:szCs w:val="21"/>
              </w:rPr>
              <w:t xml:space="preserve">1 (1.4) </w:t>
            </w:r>
          </w:p>
        </w:tc>
        <w:tc>
          <w:tcPr>
            <w:tcW w:w="758" w:type="pct"/>
            <w:tcBorders>
              <w:top w:val="single" w:sz="6" w:space="0" w:color="auto"/>
              <w:left w:val="single" w:sz="2" w:space="0" w:color="auto"/>
              <w:bottom w:val="single" w:sz="6" w:space="0" w:color="auto"/>
              <w:right w:val="single" w:sz="6" w:space="0" w:color="auto"/>
            </w:tcBorders>
            <w:vAlign w:val="center"/>
          </w:tcPr>
          <w:p w14:paraId="59D3F995" w14:textId="77777777" w:rsidR="000946F2" w:rsidRDefault="000946F2" w:rsidP="009B153D">
            <w:pPr>
              <w:pStyle w:val="Style"/>
              <w:ind w:left="14"/>
              <w:jc w:val="center"/>
              <w:textAlignment w:val="baseline"/>
            </w:pPr>
            <w:r>
              <w:rPr>
                <w:sz w:val="21"/>
                <w:szCs w:val="21"/>
              </w:rPr>
              <w:t xml:space="preserve">4 (1.3) </w:t>
            </w:r>
          </w:p>
        </w:tc>
        <w:tc>
          <w:tcPr>
            <w:tcW w:w="858" w:type="pct"/>
            <w:tcBorders>
              <w:top w:val="single" w:sz="6" w:space="0" w:color="auto"/>
              <w:left w:val="single" w:sz="6" w:space="0" w:color="auto"/>
              <w:bottom w:val="single" w:sz="6" w:space="0" w:color="auto"/>
              <w:right w:val="single" w:sz="6" w:space="0" w:color="auto"/>
            </w:tcBorders>
            <w:vAlign w:val="center"/>
          </w:tcPr>
          <w:p w14:paraId="341AB8D9" w14:textId="77777777" w:rsidR="000946F2" w:rsidRDefault="000946F2" w:rsidP="009B153D">
            <w:pPr>
              <w:pStyle w:val="Style"/>
              <w:ind w:left="43"/>
              <w:jc w:val="center"/>
              <w:textAlignment w:val="baseline"/>
            </w:pPr>
            <w:r>
              <w:rPr>
                <w:sz w:val="21"/>
                <w:szCs w:val="21"/>
              </w:rPr>
              <w:t xml:space="preserve">4 (2.5) </w:t>
            </w:r>
          </w:p>
        </w:tc>
        <w:tc>
          <w:tcPr>
            <w:tcW w:w="856" w:type="pct"/>
            <w:tcBorders>
              <w:top w:val="single" w:sz="6" w:space="0" w:color="auto"/>
              <w:left w:val="single" w:sz="6" w:space="0" w:color="auto"/>
              <w:bottom w:val="single" w:sz="6" w:space="0" w:color="auto"/>
              <w:right w:val="single" w:sz="6" w:space="0" w:color="auto"/>
            </w:tcBorders>
            <w:vAlign w:val="center"/>
          </w:tcPr>
          <w:p w14:paraId="00323002" w14:textId="77777777" w:rsidR="000946F2" w:rsidRDefault="000946F2" w:rsidP="009B153D">
            <w:pPr>
              <w:pStyle w:val="Style"/>
              <w:ind w:left="29"/>
              <w:jc w:val="center"/>
              <w:textAlignment w:val="baseline"/>
            </w:pPr>
            <w:r>
              <w:rPr>
                <w:sz w:val="21"/>
                <w:szCs w:val="21"/>
              </w:rPr>
              <w:t xml:space="preserve">9 (1.7) </w:t>
            </w:r>
          </w:p>
        </w:tc>
      </w:tr>
      <w:tr w:rsidR="000946F2" w14:paraId="1F1F0614" w14:textId="77777777" w:rsidTr="000946F2">
        <w:trPr>
          <w:trHeight w:hRule="exact" w:val="389"/>
          <w:jc w:val="center"/>
        </w:trPr>
        <w:tc>
          <w:tcPr>
            <w:tcW w:w="1565" w:type="pct"/>
            <w:tcBorders>
              <w:top w:val="single" w:sz="6" w:space="0" w:color="auto"/>
              <w:left w:val="single" w:sz="6" w:space="0" w:color="auto"/>
              <w:bottom w:val="single" w:sz="6" w:space="0" w:color="auto"/>
              <w:right w:val="single" w:sz="6" w:space="0" w:color="auto"/>
            </w:tcBorders>
            <w:vAlign w:val="center"/>
          </w:tcPr>
          <w:p w14:paraId="5F77A5A7" w14:textId="77777777" w:rsidR="000946F2" w:rsidRDefault="000946F2" w:rsidP="009B153D">
            <w:pPr>
              <w:pStyle w:val="Style"/>
              <w:ind w:left="298"/>
              <w:textAlignment w:val="baseline"/>
            </w:pPr>
            <w:r>
              <w:rPr>
                <w:sz w:val="21"/>
                <w:szCs w:val="21"/>
              </w:rPr>
              <w:t xml:space="preserve">Other </w:t>
            </w:r>
          </w:p>
        </w:tc>
        <w:tc>
          <w:tcPr>
            <w:tcW w:w="963" w:type="pct"/>
            <w:tcBorders>
              <w:top w:val="single" w:sz="6" w:space="0" w:color="auto"/>
              <w:left w:val="single" w:sz="6" w:space="0" w:color="auto"/>
              <w:bottom w:val="single" w:sz="6" w:space="0" w:color="auto"/>
              <w:right w:val="single" w:sz="2" w:space="0" w:color="auto"/>
            </w:tcBorders>
            <w:vAlign w:val="center"/>
          </w:tcPr>
          <w:p w14:paraId="0C1AD94E" w14:textId="77777777" w:rsidR="000946F2" w:rsidRDefault="000946F2" w:rsidP="009B153D">
            <w:pPr>
              <w:pStyle w:val="Style"/>
              <w:ind w:left="24"/>
              <w:jc w:val="center"/>
              <w:textAlignment w:val="baseline"/>
            </w:pPr>
            <w:r>
              <w:rPr>
                <w:sz w:val="21"/>
                <w:szCs w:val="21"/>
              </w:rPr>
              <w:t xml:space="preserve">0 </w:t>
            </w:r>
          </w:p>
        </w:tc>
        <w:tc>
          <w:tcPr>
            <w:tcW w:w="758" w:type="pct"/>
            <w:tcBorders>
              <w:top w:val="single" w:sz="6" w:space="0" w:color="auto"/>
              <w:left w:val="single" w:sz="2" w:space="0" w:color="auto"/>
              <w:bottom w:val="single" w:sz="6" w:space="0" w:color="auto"/>
              <w:right w:val="single" w:sz="6" w:space="0" w:color="auto"/>
            </w:tcBorders>
            <w:vAlign w:val="center"/>
          </w:tcPr>
          <w:p w14:paraId="7D0F2C72" w14:textId="77777777" w:rsidR="000946F2" w:rsidRDefault="000946F2" w:rsidP="009B153D">
            <w:pPr>
              <w:pStyle w:val="Style"/>
              <w:ind w:left="14"/>
              <w:jc w:val="center"/>
              <w:textAlignment w:val="baseline"/>
            </w:pPr>
            <w:r>
              <w:rPr>
                <w:sz w:val="21"/>
                <w:szCs w:val="21"/>
              </w:rPr>
              <w:t xml:space="preserve">1 (0.3) </w:t>
            </w:r>
          </w:p>
        </w:tc>
        <w:tc>
          <w:tcPr>
            <w:tcW w:w="858" w:type="pct"/>
            <w:tcBorders>
              <w:top w:val="single" w:sz="6" w:space="0" w:color="auto"/>
              <w:left w:val="single" w:sz="6" w:space="0" w:color="auto"/>
              <w:bottom w:val="single" w:sz="6" w:space="0" w:color="auto"/>
              <w:right w:val="single" w:sz="6" w:space="0" w:color="auto"/>
            </w:tcBorders>
            <w:vAlign w:val="center"/>
          </w:tcPr>
          <w:p w14:paraId="4A290A93" w14:textId="77777777" w:rsidR="000946F2" w:rsidRDefault="000946F2" w:rsidP="009B153D">
            <w:pPr>
              <w:pStyle w:val="Style"/>
              <w:ind w:left="43"/>
              <w:jc w:val="center"/>
              <w:textAlignment w:val="baseline"/>
            </w:pPr>
            <w:r>
              <w:rPr>
                <w:sz w:val="21"/>
                <w:szCs w:val="21"/>
              </w:rPr>
              <w:t xml:space="preserve">1 (0.6) </w:t>
            </w:r>
          </w:p>
        </w:tc>
        <w:tc>
          <w:tcPr>
            <w:tcW w:w="856" w:type="pct"/>
            <w:tcBorders>
              <w:top w:val="single" w:sz="6" w:space="0" w:color="auto"/>
              <w:left w:val="single" w:sz="6" w:space="0" w:color="auto"/>
              <w:bottom w:val="single" w:sz="6" w:space="0" w:color="auto"/>
              <w:right w:val="single" w:sz="6" w:space="0" w:color="auto"/>
            </w:tcBorders>
            <w:vAlign w:val="center"/>
          </w:tcPr>
          <w:p w14:paraId="2387784E" w14:textId="77777777" w:rsidR="000946F2" w:rsidRDefault="000946F2" w:rsidP="009B153D">
            <w:pPr>
              <w:pStyle w:val="Style"/>
              <w:ind w:left="29"/>
              <w:jc w:val="center"/>
              <w:textAlignment w:val="baseline"/>
            </w:pPr>
            <w:r>
              <w:rPr>
                <w:sz w:val="21"/>
                <w:szCs w:val="21"/>
              </w:rPr>
              <w:t xml:space="preserve">2 (0.4) </w:t>
            </w:r>
          </w:p>
        </w:tc>
      </w:tr>
    </w:tbl>
    <w:p w14:paraId="0C1B3839" w14:textId="0F83E0F4" w:rsidR="000946F2" w:rsidRDefault="002B7493" w:rsidP="000946F2">
      <w:pPr>
        <w:pStyle w:val="TableDescription"/>
        <w:rPr>
          <w:lang w:eastAsia="ja-JP"/>
        </w:rPr>
      </w:pPr>
      <w:r>
        <w:rPr>
          <w:lang w:eastAsia="ja-JP"/>
        </w:rPr>
        <w:t xml:space="preserve">Abbreviations: </w:t>
      </w:r>
      <w:r w:rsidR="000946F2" w:rsidRPr="008B6A34">
        <w:rPr>
          <w:lang w:eastAsia="ja-JP"/>
        </w:rPr>
        <w:t>BKZ</w:t>
      </w:r>
      <w:r>
        <w:rPr>
          <w:lang w:eastAsia="ja-JP"/>
        </w:rPr>
        <w:t xml:space="preserve"> </w:t>
      </w:r>
      <w:r w:rsidR="000946F2" w:rsidRPr="008B6A34">
        <w:rPr>
          <w:lang w:eastAsia="ja-JP"/>
        </w:rPr>
        <w:t>=</w:t>
      </w:r>
      <w:r>
        <w:rPr>
          <w:lang w:eastAsia="ja-JP"/>
        </w:rPr>
        <w:t xml:space="preserve"> </w:t>
      </w:r>
      <w:proofErr w:type="spellStart"/>
      <w:r w:rsidR="000946F2" w:rsidRPr="008B6A34">
        <w:rPr>
          <w:lang w:eastAsia="ja-JP"/>
        </w:rPr>
        <w:t>bimekizumab</w:t>
      </w:r>
      <w:proofErr w:type="spellEnd"/>
      <w:r w:rsidR="000946F2" w:rsidRPr="008B6A34">
        <w:rPr>
          <w:lang w:eastAsia="ja-JP"/>
        </w:rPr>
        <w:t>; PBO</w:t>
      </w:r>
      <w:r>
        <w:rPr>
          <w:lang w:eastAsia="ja-JP"/>
        </w:rPr>
        <w:t xml:space="preserve"> </w:t>
      </w:r>
      <w:r w:rsidR="000946F2" w:rsidRPr="008B6A34">
        <w:rPr>
          <w:lang w:eastAsia="ja-JP"/>
        </w:rPr>
        <w:t>=</w:t>
      </w:r>
      <w:r>
        <w:rPr>
          <w:lang w:eastAsia="ja-JP"/>
        </w:rPr>
        <w:t xml:space="preserve"> </w:t>
      </w:r>
      <w:r w:rsidR="000946F2" w:rsidRPr="008B6A34">
        <w:rPr>
          <w:lang w:eastAsia="ja-JP"/>
        </w:rPr>
        <w:t xml:space="preserve">placebo; </w:t>
      </w:r>
      <w:r w:rsidR="002E7BEE">
        <w:rPr>
          <w:lang w:eastAsia="ja-JP"/>
        </w:rPr>
        <w:t xml:space="preserve">MTP = </w:t>
      </w:r>
      <w:r w:rsidR="002E7BEE">
        <w:t>m</w:t>
      </w:r>
      <w:r w:rsidR="002E7BEE" w:rsidRPr="007F42AF">
        <w:t xml:space="preserve">aintenance </w:t>
      </w:r>
      <w:r w:rsidR="002E7BEE">
        <w:t>t</w:t>
      </w:r>
      <w:r w:rsidR="002E7BEE" w:rsidRPr="007F42AF">
        <w:t xml:space="preserve">reatment </w:t>
      </w:r>
      <w:r w:rsidR="002E7BEE">
        <w:t>p</w:t>
      </w:r>
      <w:r w:rsidR="002E7BEE" w:rsidRPr="007F42AF">
        <w:t>eriod</w:t>
      </w:r>
      <w:r w:rsidR="002E7BEE">
        <w:rPr>
          <w:noProof/>
        </w:rPr>
        <w:t xml:space="preserve"> </w:t>
      </w:r>
      <w:r w:rsidR="002E7BEE">
        <w:rPr>
          <w:lang w:eastAsia="ja-JP"/>
        </w:rPr>
        <w:t>Q4W</w:t>
      </w:r>
      <w:r>
        <w:rPr>
          <w:lang w:eastAsia="ja-JP"/>
        </w:rPr>
        <w:t xml:space="preserve"> </w:t>
      </w:r>
      <w:r w:rsidR="000946F2" w:rsidRPr="008B6A34">
        <w:rPr>
          <w:lang w:eastAsia="ja-JP"/>
        </w:rPr>
        <w:t>=</w:t>
      </w:r>
      <w:r>
        <w:rPr>
          <w:lang w:eastAsia="ja-JP"/>
        </w:rPr>
        <w:t xml:space="preserve"> </w:t>
      </w:r>
      <w:r w:rsidR="000946F2" w:rsidRPr="008B6A34">
        <w:rPr>
          <w:lang w:eastAsia="ja-JP"/>
        </w:rPr>
        <w:t xml:space="preserve">every 4 weeks; </w:t>
      </w:r>
      <w:proofErr w:type="spellStart"/>
      <w:r w:rsidR="000946F2" w:rsidRPr="008B6A34">
        <w:rPr>
          <w:lang w:eastAsia="ja-JP"/>
        </w:rPr>
        <w:t>Uste</w:t>
      </w:r>
      <w:proofErr w:type="spellEnd"/>
      <w:r>
        <w:rPr>
          <w:lang w:eastAsia="ja-JP"/>
        </w:rPr>
        <w:t xml:space="preserve"> </w:t>
      </w:r>
      <w:r w:rsidR="000946F2" w:rsidRPr="008B6A34">
        <w:rPr>
          <w:lang w:eastAsia="ja-JP"/>
        </w:rPr>
        <w:t>=</w:t>
      </w:r>
      <w:r>
        <w:rPr>
          <w:lang w:eastAsia="ja-JP"/>
        </w:rPr>
        <w:t xml:space="preserve"> </w:t>
      </w:r>
      <w:proofErr w:type="spellStart"/>
      <w:r w:rsidR="000946F2" w:rsidRPr="008B6A34">
        <w:rPr>
          <w:lang w:eastAsia="ja-JP"/>
        </w:rPr>
        <w:t>ustekinumab</w:t>
      </w:r>
      <w:proofErr w:type="spellEnd"/>
    </w:p>
    <w:p w14:paraId="658B7A88" w14:textId="161E7381" w:rsidR="000946F2" w:rsidRDefault="000946F2" w:rsidP="000946F2">
      <w:r>
        <w:t xml:space="preserve">A total of 537 study participants started the </w:t>
      </w:r>
      <w:r w:rsidR="002E7BEE">
        <w:t>m</w:t>
      </w:r>
      <w:r w:rsidR="002E7BEE" w:rsidRPr="007F42AF">
        <w:t xml:space="preserve">aintenance </w:t>
      </w:r>
      <w:r w:rsidR="002E7BEE">
        <w:t>t</w:t>
      </w:r>
      <w:r w:rsidR="002E7BEE" w:rsidRPr="007F42AF">
        <w:t xml:space="preserve">reatment </w:t>
      </w:r>
      <w:r w:rsidR="002E7BEE">
        <w:t>p</w:t>
      </w:r>
      <w:r w:rsidR="002E7BEE" w:rsidRPr="007F42AF">
        <w:t>eriod</w:t>
      </w:r>
      <w:r>
        <w:t xml:space="preserve"> as follows</w:t>
      </w:r>
      <w:r w:rsidR="00B57A0A">
        <w:t xml:space="preserve"> (</w:t>
      </w:r>
      <w:r w:rsidR="002B7493">
        <w:t xml:space="preserve">see </w:t>
      </w:r>
      <w:r w:rsidR="00B57A0A">
        <w:fldChar w:fldCharType="begin"/>
      </w:r>
      <w:r w:rsidR="00B57A0A">
        <w:instrText xml:space="preserve"> REF _Ref130207193 \h </w:instrText>
      </w:r>
      <w:r w:rsidR="00B57A0A">
        <w:fldChar w:fldCharType="separate"/>
      </w:r>
      <w:r w:rsidR="00B54079" w:rsidRPr="002E7BEE">
        <w:t xml:space="preserve">Table </w:t>
      </w:r>
      <w:r w:rsidR="00B54079">
        <w:rPr>
          <w:noProof/>
        </w:rPr>
        <w:t>25</w:t>
      </w:r>
      <w:r w:rsidR="00B57A0A">
        <w:fldChar w:fldCharType="end"/>
      </w:r>
      <w:r w:rsidR="00B57A0A">
        <w:t>)</w:t>
      </w:r>
      <w:r>
        <w:t>:</w:t>
      </w:r>
    </w:p>
    <w:p w14:paraId="12E42AFE" w14:textId="2E3A686A" w:rsidR="000946F2" w:rsidRDefault="000946F2" w:rsidP="000946F2">
      <w:pPr>
        <w:pStyle w:val="ListBullet"/>
      </w:pPr>
      <w:r>
        <w:t xml:space="preserve">306 study participants in the </w:t>
      </w:r>
      <w:proofErr w:type="spellStart"/>
      <w:r w:rsidR="008B40FD">
        <w:t>bimekizumab</w:t>
      </w:r>
      <w:proofErr w:type="spellEnd"/>
      <w:r>
        <w:t xml:space="preserve"> 320</w:t>
      </w:r>
      <w:r w:rsidR="002E7BEE">
        <w:t xml:space="preserve"> </w:t>
      </w:r>
      <w:r>
        <w:t xml:space="preserve">mg </w:t>
      </w:r>
      <w:r w:rsidR="00F23C97">
        <w:t>every 4 weeks</w:t>
      </w:r>
      <w:r>
        <w:t xml:space="preserve"> </w:t>
      </w:r>
      <w:proofErr w:type="gramStart"/>
      <w:r>
        <w:t>group;</w:t>
      </w:r>
      <w:proofErr w:type="gramEnd"/>
    </w:p>
    <w:p w14:paraId="56521149" w14:textId="4221A3E8" w:rsidR="000946F2" w:rsidRDefault="000946F2" w:rsidP="000946F2">
      <w:pPr>
        <w:pStyle w:val="ListBullet"/>
      </w:pPr>
      <w:r>
        <w:t xml:space="preserve">157 study participants in the </w:t>
      </w:r>
      <w:proofErr w:type="spellStart"/>
      <w:r w:rsidR="004858E7">
        <w:t>ustekinumab</w:t>
      </w:r>
      <w:proofErr w:type="spellEnd"/>
      <w:r>
        <w:t xml:space="preserve"> </w:t>
      </w:r>
      <w:proofErr w:type="gramStart"/>
      <w:r>
        <w:t>group;</w:t>
      </w:r>
      <w:proofErr w:type="gramEnd"/>
    </w:p>
    <w:p w14:paraId="256E1482" w14:textId="11C476B7" w:rsidR="000946F2" w:rsidRDefault="000946F2" w:rsidP="000946F2">
      <w:pPr>
        <w:pStyle w:val="ListBullet"/>
      </w:pPr>
      <w:r>
        <w:t>74 study participants in the placebo/</w:t>
      </w:r>
      <w:proofErr w:type="spellStart"/>
      <w:r w:rsidR="008B40FD">
        <w:t>bimekizumab</w:t>
      </w:r>
      <w:proofErr w:type="spellEnd"/>
      <w:r>
        <w:t xml:space="preserve"> 320</w:t>
      </w:r>
      <w:r w:rsidR="002E7BEE">
        <w:t xml:space="preserve"> </w:t>
      </w:r>
      <w:r>
        <w:t xml:space="preserve">mg </w:t>
      </w:r>
      <w:r w:rsidR="00F23C97">
        <w:t>every 4 weeks</w:t>
      </w:r>
      <w:r>
        <w:t xml:space="preserve"> group.</w:t>
      </w:r>
    </w:p>
    <w:p w14:paraId="0B1583CA" w14:textId="742DE3A6" w:rsidR="000946F2" w:rsidRDefault="000946F2" w:rsidP="000946F2">
      <w:r>
        <w:t xml:space="preserve">Overall, the percentages of study participants who completed the study were high and similar in the </w:t>
      </w:r>
      <w:proofErr w:type="spellStart"/>
      <w:r w:rsidR="008B40FD">
        <w:t>bimekizumab</w:t>
      </w:r>
      <w:proofErr w:type="spellEnd"/>
      <w:r>
        <w:t xml:space="preserve"> 320</w:t>
      </w:r>
      <w:r w:rsidR="002E7BEE">
        <w:t xml:space="preserve"> </w:t>
      </w:r>
      <w:r>
        <w:t xml:space="preserve">mg </w:t>
      </w:r>
      <w:r w:rsidR="00F23C97">
        <w:t>every 4 weeks</w:t>
      </w:r>
      <w:r>
        <w:t xml:space="preserve"> group (92.5%), the </w:t>
      </w:r>
      <w:proofErr w:type="spellStart"/>
      <w:r w:rsidR="004858E7">
        <w:t>ustekinumab</w:t>
      </w:r>
      <w:proofErr w:type="spellEnd"/>
      <w:r>
        <w:t xml:space="preserve"> (89.8%) group, and the placebo/</w:t>
      </w:r>
      <w:proofErr w:type="spellStart"/>
      <w:r w:rsidR="008B40FD">
        <w:t>bimekizumab</w:t>
      </w:r>
      <w:proofErr w:type="spellEnd"/>
      <w:r>
        <w:t xml:space="preserve"> 320</w:t>
      </w:r>
      <w:r w:rsidR="002E7BEE">
        <w:t xml:space="preserve"> </w:t>
      </w:r>
      <w:r>
        <w:t xml:space="preserve">mg </w:t>
      </w:r>
      <w:r w:rsidR="00F23C97">
        <w:t>every 4 weeks</w:t>
      </w:r>
      <w:r>
        <w:t xml:space="preserve"> group (93.2%).</w:t>
      </w:r>
    </w:p>
    <w:p w14:paraId="536D9793" w14:textId="024CB4B4" w:rsidR="000946F2" w:rsidRDefault="000946F2" w:rsidP="000946F2">
      <w:r>
        <w:t>The frequency of study discontinuation during the</w:t>
      </w:r>
      <w:r w:rsidR="00C13D35">
        <w:t xml:space="preserve"> m</w:t>
      </w:r>
      <w:r>
        <w:t xml:space="preserve">aintenance </w:t>
      </w:r>
      <w:r w:rsidR="00C13D35">
        <w:t>t</w:t>
      </w:r>
      <w:r>
        <w:t xml:space="preserve">reatment </w:t>
      </w:r>
      <w:r w:rsidR="00C13D35">
        <w:t>p</w:t>
      </w:r>
      <w:r>
        <w:t xml:space="preserve">eriod was low and similar across the treatment groups. The most frequently reported primary reason for study discontinuation during the </w:t>
      </w:r>
      <w:r w:rsidR="002E7BEE">
        <w:t>m</w:t>
      </w:r>
      <w:r w:rsidR="002E7BEE" w:rsidRPr="007F42AF">
        <w:t xml:space="preserve">aintenance </w:t>
      </w:r>
      <w:r w:rsidR="002E7BEE">
        <w:t>t</w:t>
      </w:r>
      <w:r w:rsidR="002E7BEE" w:rsidRPr="007F42AF">
        <w:t xml:space="preserve">reatment </w:t>
      </w:r>
      <w:r w:rsidR="002E7BEE">
        <w:t>p</w:t>
      </w:r>
      <w:r w:rsidR="002E7BEE" w:rsidRPr="007F42AF">
        <w:t>eriod</w:t>
      </w:r>
      <w:r w:rsidR="002E7BEE">
        <w:rPr>
          <w:noProof/>
        </w:rPr>
        <w:t xml:space="preserve"> </w:t>
      </w:r>
      <w:r>
        <w:t xml:space="preserve">was due to an AE in 19 study participants </w:t>
      </w:r>
      <w:r w:rsidR="002E7BEE">
        <w:t>(</w:t>
      </w:r>
      <w:r>
        <w:t>3.5%)</w:t>
      </w:r>
      <w:r w:rsidR="00C13D35">
        <w:t xml:space="preserve"> </w:t>
      </w:r>
      <w:r>
        <w:t xml:space="preserve">including 12 study participants (3.9%) in the </w:t>
      </w:r>
      <w:proofErr w:type="spellStart"/>
      <w:r w:rsidR="008B40FD">
        <w:t>bimekizumab</w:t>
      </w:r>
      <w:proofErr w:type="spellEnd"/>
      <w:r>
        <w:t xml:space="preserve"> 320</w:t>
      </w:r>
      <w:r w:rsidR="002E7BEE">
        <w:t> </w:t>
      </w:r>
      <w:r>
        <w:t xml:space="preserve">mg </w:t>
      </w:r>
      <w:r w:rsidR="00F23C97">
        <w:t>every 4 weeks</w:t>
      </w:r>
      <w:r>
        <w:t xml:space="preserve"> group, </w:t>
      </w:r>
      <w:r w:rsidR="00C13D35">
        <w:t>four</w:t>
      </w:r>
      <w:r>
        <w:t xml:space="preserve"> study participants (2.5%) in the </w:t>
      </w:r>
      <w:proofErr w:type="spellStart"/>
      <w:r w:rsidR="004858E7">
        <w:t>ustekinumab</w:t>
      </w:r>
      <w:proofErr w:type="spellEnd"/>
      <w:r>
        <w:t xml:space="preserve"> group, and </w:t>
      </w:r>
      <w:r w:rsidR="002E7BEE">
        <w:t>three</w:t>
      </w:r>
      <w:r>
        <w:t xml:space="preserve"> study participants (4.1 %) in the placebo/</w:t>
      </w:r>
      <w:proofErr w:type="spellStart"/>
      <w:r w:rsidR="008B40FD">
        <w:t>bimekizumab</w:t>
      </w:r>
      <w:proofErr w:type="spellEnd"/>
      <w:r>
        <w:t xml:space="preserve"> 320</w:t>
      </w:r>
      <w:r w:rsidR="002E7BEE">
        <w:t> </w:t>
      </w:r>
      <w:r>
        <w:t xml:space="preserve">mg </w:t>
      </w:r>
      <w:r w:rsidR="00F23C97">
        <w:t>every 4 weeks</w:t>
      </w:r>
      <w:r>
        <w:t xml:space="preserve"> group.</w:t>
      </w:r>
    </w:p>
    <w:p w14:paraId="39888759" w14:textId="105107C8" w:rsidR="000946F2" w:rsidRDefault="000946F2" w:rsidP="00C13D35">
      <w:pPr>
        <w:pStyle w:val="Heading6"/>
      </w:pPr>
      <w:r>
        <w:t>Analysis of populations</w:t>
      </w:r>
    </w:p>
    <w:p w14:paraId="05DEEC51" w14:textId="3831EDD0" w:rsidR="000946F2" w:rsidRDefault="000946F2" w:rsidP="000946F2">
      <w:r>
        <w:t>The following analysis sets were used:</w:t>
      </w:r>
    </w:p>
    <w:p w14:paraId="541C9F0A" w14:textId="4BDCD100" w:rsidR="000946F2" w:rsidRDefault="000946F2" w:rsidP="00C13D35">
      <w:pPr>
        <w:pStyle w:val="ListBullet"/>
      </w:pPr>
      <w:r>
        <w:t xml:space="preserve">The </w:t>
      </w:r>
      <w:r w:rsidR="002E7BEE">
        <w:t>e</w:t>
      </w:r>
      <w:r>
        <w:t xml:space="preserve">nrolled </w:t>
      </w:r>
      <w:r w:rsidR="002E7BEE">
        <w:t>s</w:t>
      </w:r>
      <w:r>
        <w:t xml:space="preserve">et consisted of all study participants who gave informed </w:t>
      </w:r>
      <w:proofErr w:type="gramStart"/>
      <w:r>
        <w:t>consent;</w:t>
      </w:r>
      <w:proofErr w:type="gramEnd"/>
      <w:r>
        <w:t xml:space="preserve"> </w:t>
      </w:r>
    </w:p>
    <w:p w14:paraId="690E24A3" w14:textId="77435476" w:rsidR="000946F2" w:rsidRDefault="000946F2" w:rsidP="00C13D35">
      <w:pPr>
        <w:pStyle w:val="ListBullet"/>
      </w:pPr>
      <w:r>
        <w:t xml:space="preserve">The </w:t>
      </w:r>
      <w:r w:rsidR="002E7BEE">
        <w:t>r</w:t>
      </w:r>
      <w:r>
        <w:t>andomi</w:t>
      </w:r>
      <w:r w:rsidR="00C13D35">
        <w:t>s</w:t>
      </w:r>
      <w:r>
        <w:t xml:space="preserve">ed </w:t>
      </w:r>
      <w:r w:rsidR="002E7BEE">
        <w:t>s</w:t>
      </w:r>
      <w:r>
        <w:t xml:space="preserve">et consisted of all </w:t>
      </w:r>
      <w:r w:rsidR="001D2CFA">
        <w:t>randomised</w:t>
      </w:r>
      <w:r>
        <w:t xml:space="preserve"> study </w:t>
      </w:r>
      <w:proofErr w:type="gramStart"/>
      <w:r>
        <w:t>participants;</w:t>
      </w:r>
      <w:proofErr w:type="gramEnd"/>
      <w:r>
        <w:t xml:space="preserve"> </w:t>
      </w:r>
    </w:p>
    <w:p w14:paraId="5EA07188" w14:textId="49ECD9F4" w:rsidR="000946F2" w:rsidRDefault="000946F2" w:rsidP="00C13D35">
      <w:pPr>
        <w:pStyle w:val="ListBullet"/>
      </w:pPr>
      <w:r>
        <w:t xml:space="preserve">The </w:t>
      </w:r>
      <w:r w:rsidR="002E7BEE">
        <w:t>s</w:t>
      </w:r>
      <w:r>
        <w:t xml:space="preserve">afety </w:t>
      </w:r>
      <w:r w:rsidR="002E7BEE">
        <w:t>s</w:t>
      </w:r>
      <w:r>
        <w:t xml:space="preserve">et consisted of all study participants who received at least </w:t>
      </w:r>
      <w:r w:rsidR="00227392">
        <w:t>one</w:t>
      </w:r>
      <w:r>
        <w:t xml:space="preserve"> dose of study </w:t>
      </w:r>
      <w:proofErr w:type="gramStart"/>
      <w:r>
        <w:t>medication;</w:t>
      </w:r>
      <w:proofErr w:type="gramEnd"/>
    </w:p>
    <w:p w14:paraId="4C3052F6" w14:textId="08522864" w:rsidR="000946F2" w:rsidRDefault="000946F2" w:rsidP="00C13D35">
      <w:pPr>
        <w:pStyle w:val="ListBullet"/>
      </w:pPr>
      <w:r>
        <w:t xml:space="preserve">The </w:t>
      </w:r>
      <w:r w:rsidR="002E7BEE">
        <w:t>f</w:t>
      </w:r>
      <w:r>
        <w:t xml:space="preserve">ull </w:t>
      </w:r>
      <w:r w:rsidR="002E7BEE">
        <w:t>a</w:t>
      </w:r>
      <w:r>
        <w:t xml:space="preserve">nalysis </w:t>
      </w:r>
      <w:r w:rsidR="002E7BEE">
        <w:t>s</w:t>
      </w:r>
      <w:r>
        <w:t xml:space="preserve">et consisted of all </w:t>
      </w:r>
      <w:r w:rsidR="001D2CFA">
        <w:t>randomised</w:t>
      </w:r>
      <w:r>
        <w:t xml:space="preserve"> study participants who received at least </w:t>
      </w:r>
      <w:r w:rsidR="00227392">
        <w:t>one</w:t>
      </w:r>
      <w:r>
        <w:t xml:space="preserve"> dose of study medication and had a valid measurement for each of the co-primary efficacy </w:t>
      </w:r>
      <w:r w:rsidR="002E7BEE">
        <w:t>variables</w:t>
      </w:r>
      <w:r>
        <w:t xml:space="preserve"> at </w:t>
      </w:r>
      <w:proofErr w:type="gramStart"/>
      <w:r>
        <w:t>Baseline;</w:t>
      </w:r>
      <w:proofErr w:type="gramEnd"/>
    </w:p>
    <w:p w14:paraId="0869EFB5" w14:textId="776D94BD" w:rsidR="000946F2" w:rsidRDefault="000946F2" w:rsidP="00C13D35">
      <w:pPr>
        <w:pStyle w:val="ListBullet"/>
      </w:pPr>
      <w:r>
        <w:lastRenderedPageBreak/>
        <w:t xml:space="preserve">The </w:t>
      </w:r>
      <w:r w:rsidR="002E7BEE">
        <w:t>a</w:t>
      </w:r>
      <w:r>
        <w:t xml:space="preserve">ctive </w:t>
      </w:r>
      <w:r w:rsidR="002E7BEE">
        <w:t>m</w:t>
      </w:r>
      <w:r>
        <w:t xml:space="preserve">edication </w:t>
      </w:r>
      <w:r w:rsidR="002E7BEE">
        <w:t>s</w:t>
      </w:r>
      <w:r>
        <w:t>et</w:t>
      </w:r>
      <w:r w:rsidR="002E7BEE">
        <w:t xml:space="preserve"> </w:t>
      </w:r>
      <w:r>
        <w:t xml:space="preserve">consisted of all study participants who had received at least </w:t>
      </w:r>
      <w:r w:rsidR="002E7BEE">
        <w:t xml:space="preserve">one </w:t>
      </w:r>
      <w:r>
        <w:t>dose of active IMP (</w:t>
      </w:r>
      <w:proofErr w:type="spellStart"/>
      <w:r w:rsidR="002E7BEE">
        <w:t>b</w:t>
      </w:r>
      <w:r>
        <w:t>imekizumab</w:t>
      </w:r>
      <w:proofErr w:type="spellEnd"/>
      <w:r>
        <w:t xml:space="preserve"> or </w:t>
      </w:r>
      <w:proofErr w:type="spellStart"/>
      <w:r w:rsidR="002E7BEE">
        <w:t>us</w:t>
      </w:r>
      <w:r>
        <w:t>tekinumab</w:t>
      </w:r>
      <w:proofErr w:type="spellEnd"/>
      <w:r>
        <w:t xml:space="preserve">). The </w:t>
      </w:r>
      <w:r w:rsidR="002E7BEE">
        <w:t>active medication set</w:t>
      </w:r>
      <w:r>
        <w:t xml:space="preserve"> was used for summaries of safety that included all data from the </w:t>
      </w:r>
      <w:r w:rsidR="002E7BEE">
        <w:t>i</w:t>
      </w:r>
      <w:r>
        <w:t xml:space="preserve">nitial </w:t>
      </w:r>
      <w:r w:rsidR="002E7BEE">
        <w:t>t</w:t>
      </w:r>
      <w:r>
        <w:t xml:space="preserve">reatment </w:t>
      </w:r>
      <w:r w:rsidR="002E7BEE">
        <w:t>p</w:t>
      </w:r>
      <w:r>
        <w:t xml:space="preserve">eriod and/or </w:t>
      </w:r>
      <w:r w:rsidR="002E7BEE">
        <w:t>m</w:t>
      </w:r>
      <w:r>
        <w:t xml:space="preserve">aintenance </w:t>
      </w:r>
      <w:r w:rsidR="002E7BEE">
        <w:t>t</w:t>
      </w:r>
      <w:r>
        <w:t xml:space="preserve">reatment </w:t>
      </w:r>
      <w:proofErr w:type="gramStart"/>
      <w:r w:rsidR="002E7BEE">
        <w:t>p</w:t>
      </w:r>
      <w:r>
        <w:t>eriod;</w:t>
      </w:r>
      <w:proofErr w:type="gramEnd"/>
    </w:p>
    <w:p w14:paraId="631DA9D3" w14:textId="0F7D6D26" w:rsidR="000946F2" w:rsidRDefault="000946F2" w:rsidP="00C13D35">
      <w:pPr>
        <w:pStyle w:val="ListBullet"/>
      </w:pPr>
      <w:r>
        <w:t xml:space="preserve">The </w:t>
      </w:r>
      <w:proofErr w:type="spellStart"/>
      <w:r w:rsidR="008B40FD">
        <w:t>b</w:t>
      </w:r>
      <w:r>
        <w:t>imekizumab</w:t>
      </w:r>
      <w:proofErr w:type="spellEnd"/>
      <w:r>
        <w:t xml:space="preserve"> </w:t>
      </w:r>
      <w:r w:rsidR="008B40FD">
        <w:t>s</w:t>
      </w:r>
      <w:r>
        <w:t xml:space="preserve">et consisted of all study participants who received at least </w:t>
      </w:r>
      <w:r w:rsidR="002B7493">
        <w:t>one</w:t>
      </w:r>
      <w:r>
        <w:t xml:space="preserve"> dose of </w:t>
      </w:r>
      <w:proofErr w:type="spellStart"/>
      <w:r>
        <w:t>bimekizumab</w:t>
      </w:r>
      <w:proofErr w:type="spellEnd"/>
      <w:r>
        <w:t xml:space="preserve"> in this </w:t>
      </w:r>
      <w:proofErr w:type="gramStart"/>
      <w:r>
        <w:t>study;</w:t>
      </w:r>
      <w:proofErr w:type="gramEnd"/>
    </w:p>
    <w:p w14:paraId="0408F0E7" w14:textId="59D10A0B" w:rsidR="000946F2" w:rsidRDefault="000946F2" w:rsidP="00C13D35">
      <w:pPr>
        <w:pStyle w:val="ListBullet"/>
      </w:pPr>
      <w:r>
        <w:t xml:space="preserve">The </w:t>
      </w:r>
      <w:proofErr w:type="spellStart"/>
      <w:r w:rsidR="008B40FD">
        <w:t>bimekizumab</w:t>
      </w:r>
      <w:proofErr w:type="spellEnd"/>
      <w:r>
        <w:t xml:space="preserve"> Week 24 Set consisted of all study participants who received at least </w:t>
      </w:r>
      <w:r w:rsidR="002B7493">
        <w:t>one</w:t>
      </w:r>
      <w:r>
        <w:t xml:space="preserve"> dose of </w:t>
      </w:r>
      <w:proofErr w:type="spellStart"/>
      <w:r w:rsidR="008B40FD">
        <w:t>bimekizumab</w:t>
      </w:r>
      <w:proofErr w:type="spellEnd"/>
      <w:r>
        <w:t xml:space="preserve"> on or after Week </w:t>
      </w:r>
      <w:proofErr w:type="gramStart"/>
      <w:r>
        <w:t>24;</w:t>
      </w:r>
      <w:proofErr w:type="gramEnd"/>
    </w:p>
    <w:p w14:paraId="660E7AF3" w14:textId="437B2D86" w:rsidR="000946F2" w:rsidRDefault="000946F2" w:rsidP="00C13D35">
      <w:pPr>
        <w:pStyle w:val="ListBullet"/>
      </w:pPr>
      <w:r>
        <w:t xml:space="preserve">The </w:t>
      </w:r>
      <w:r w:rsidR="002E7BEE">
        <w:t>m</w:t>
      </w:r>
      <w:r>
        <w:t xml:space="preserve">aintenance </w:t>
      </w:r>
      <w:r w:rsidR="002E7BEE">
        <w:t>s</w:t>
      </w:r>
      <w:r>
        <w:t xml:space="preserve">et consisted of all study participants who received at least </w:t>
      </w:r>
      <w:r w:rsidR="002E7BEE">
        <w:t>one</w:t>
      </w:r>
      <w:r>
        <w:t xml:space="preserve"> dose of active </w:t>
      </w:r>
      <w:r w:rsidR="002B7493">
        <w:t xml:space="preserve">investigational intervention </w:t>
      </w:r>
      <w:r>
        <w:t>(</w:t>
      </w:r>
      <w:proofErr w:type="spellStart"/>
      <w:r>
        <w:t>bimekizumab</w:t>
      </w:r>
      <w:proofErr w:type="spellEnd"/>
      <w:r>
        <w:t xml:space="preserve"> or </w:t>
      </w:r>
      <w:proofErr w:type="spellStart"/>
      <w:r>
        <w:t>ustekinumab</w:t>
      </w:r>
      <w:proofErr w:type="spellEnd"/>
      <w:r>
        <w:t xml:space="preserve">) in the </w:t>
      </w:r>
      <w:r w:rsidR="002E7BEE">
        <w:t>m</w:t>
      </w:r>
      <w:r>
        <w:t xml:space="preserve">aintenance </w:t>
      </w:r>
      <w:r w:rsidR="002E7BEE">
        <w:t>t</w:t>
      </w:r>
      <w:r>
        <w:t xml:space="preserve">reatment </w:t>
      </w:r>
      <w:r w:rsidR="002E7BEE">
        <w:t>p</w:t>
      </w:r>
      <w:r>
        <w:t>eriod (at Week 16 or later</w:t>
      </w:r>
      <w:proofErr w:type="gramStart"/>
      <w:r>
        <w:t>);</w:t>
      </w:r>
      <w:proofErr w:type="gramEnd"/>
    </w:p>
    <w:p w14:paraId="697D97B3" w14:textId="4A12F6E2" w:rsidR="000946F2" w:rsidRDefault="000946F2" w:rsidP="00C13D35">
      <w:pPr>
        <w:pStyle w:val="ListBullet"/>
      </w:pPr>
      <w:r>
        <w:t xml:space="preserve">The </w:t>
      </w:r>
      <w:r w:rsidR="002E7BEE">
        <w:t>p</w:t>
      </w:r>
      <w:r>
        <w:t>er</w:t>
      </w:r>
      <w:r w:rsidR="002E7BEE">
        <w:t xml:space="preserve"> p</w:t>
      </w:r>
      <w:r>
        <w:t xml:space="preserve">rotocol </w:t>
      </w:r>
      <w:r w:rsidR="002E7BEE">
        <w:t>s</w:t>
      </w:r>
      <w:r>
        <w:t xml:space="preserve">et consisted of all study participants in the </w:t>
      </w:r>
      <w:r w:rsidR="00227392">
        <w:t>randomised set</w:t>
      </w:r>
      <w:r>
        <w:t xml:space="preserve"> who had no important protocol deviations affecting the primary efficacy variables. Important protocol deviations were predefined, and study participants with important protocol deviations were evaluated during ongoing data cleaning meetings prior to unblinding of the data.</w:t>
      </w:r>
    </w:p>
    <w:p w14:paraId="01FEB501" w14:textId="0BB40052" w:rsidR="00C13D35" w:rsidRDefault="00C13D35" w:rsidP="00227392">
      <w:pPr>
        <w:pStyle w:val="TableTitle"/>
      </w:pPr>
      <w:r w:rsidRPr="00227392">
        <w:t xml:space="preserve">Table </w:t>
      </w:r>
      <w:r w:rsidR="00172397">
        <w:fldChar w:fldCharType="begin"/>
      </w:r>
      <w:r w:rsidR="00172397">
        <w:instrText xml:space="preserve"> SEQ Table \* ARABIC </w:instrText>
      </w:r>
      <w:r w:rsidR="00172397">
        <w:fldChar w:fldCharType="separate"/>
      </w:r>
      <w:r w:rsidR="00B54079">
        <w:rPr>
          <w:noProof/>
        </w:rPr>
        <w:t>26</w:t>
      </w:r>
      <w:r w:rsidR="00172397">
        <w:rPr>
          <w:noProof/>
        </w:rPr>
        <w:fldChar w:fldCharType="end"/>
      </w:r>
      <w:r>
        <w:t>:</w:t>
      </w:r>
      <w:r w:rsidR="00227392">
        <w:t xml:space="preserve">Study PS0009 </w:t>
      </w:r>
      <w:r w:rsidR="002B7493">
        <w:t>Study populations</w:t>
      </w:r>
    </w:p>
    <w:tbl>
      <w:tblPr>
        <w:tblW w:w="8640" w:type="dxa"/>
        <w:jc w:val="center"/>
        <w:tblLayout w:type="fixed"/>
        <w:tblCellMar>
          <w:left w:w="0" w:type="dxa"/>
          <w:right w:w="0" w:type="dxa"/>
        </w:tblCellMar>
        <w:tblLook w:val="0000" w:firstRow="0" w:lastRow="0" w:firstColumn="0" w:lastColumn="0" w:noHBand="0" w:noVBand="0"/>
      </w:tblPr>
      <w:tblGrid>
        <w:gridCol w:w="3142"/>
        <w:gridCol w:w="1448"/>
        <w:gridCol w:w="1350"/>
        <w:gridCol w:w="1350"/>
        <w:gridCol w:w="1350"/>
      </w:tblGrid>
      <w:tr w:rsidR="002B7493" w:rsidRPr="00227392" w14:paraId="2303F679" w14:textId="77777777" w:rsidTr="006E4137">
        <w:trPr>
          <w:trHeight w:hRule="exact" w:val="355"/>
          <w:jc w:val="center"/>
        </w:trPr>
        <w:tc>
          <w:tcPr>
            <w:tcW w:w="3142" w:type="dxa"/>
            <w:tcBorders>
              <w:top w:val="single" w:sz="6" w:space="0" w:color="auto"/>
              <w:left w:val="single" w:sz="6" w:space="0" w:color="auto"/>
              <w:bottom w:val="nil"/>
              <w:right w:val="single" w:sz="6" w:space="0" w:color="auto"/>
            </w:tcBorders>
            <w:vAlign w:val="center"/>
          </w:tcPr>
          <w:p w14:paraId="31447100" w14:textId="77777777" w:rsidR="002B7493" w:rsidRPr="00227392" w:rsidRDefault="002B7493" w:rsidP="009B153D">
            <w:pPr>
              <w:pStyle w:val="Style"/>
              <w:textAlignment w:val="baseline"/>
              <w:rPr>
                <w:rFonts w:ascii="Cambria" w:hAnsi="Cambria"/>
                <w:sz w:val="20"/>
                <w:szCs w:val="20"/>
              </w:rPr>
            </w:pPr>
          </w:p>
        </w:tc>
        <w:tc>
          <w:tcPr>
            <w:tcW w:w="1448" w:type="dxa"/>
            <w:vMerge w:val="restart"/>
            <w:tcBorders>
              <w:top w:val="single" w:sz="6" w:space="0" w:color="auto"/>
              <w:left w:val="single" w:sz="6" w:space="0" w:color="auto"/>
              <w:right w:val="single" w:sz="6" w:space="0" w:color="auto"/>
            </w:tcBorders>
            <w:vAlign w:val="center"/>
          </w:tcPr>
          <w:p w14:paraId="7416CA8D" w14:textId="47E6F469" w:rsidR="002B7493" w:rsidRPr="00227392" w:rsidRDefault="002B7493" w:rsidP="009B153D">
            <w:pPr>
              <w:pStyle w:val="Style"/>
              <w:ind w:left="24"/>
              <w:jc w:val="center"/>
              <w:textAlignment w:val="baseline"/>
              <w:rPr>
                <w:rFonts w:ascii="Cambria" w:hAnsi="Cambria"/>
                <w:sz w:val="20"/>
                <w:szCs w:val="20"/>
              </w:rPr>
            </w:pPr>
            <w:r w:rsidRPr="00227392">
              <w:rPr>
                <w:rFonts w:ascii="Cambria" w:hAnsi="Cambria"/>
                <w:b/>
                <w:sz w:val="20"/>
                <w:szCs w:val="20"/>
              </w:rPr>
              <w:t>PBO/</w:t>
            </w:r>
            <w:r>
              <w:rPr>
                <w:rFonts w:ascii="Cambria" w:hAnsi="Cambria"/>
                <w:b/>
                <w:sz w:val="20"/>
                <w:szCs w:val="20"/>
              </w:rPr>
              <w:t xml:space="preserve"> </w:t>
            </w:r>
            <w:r w:rsidRPr="00227392">
              <w:rPr>
                <w:rFonts w:ascii="Cambria" w:hAnsi="Cambria"/>
                <w:b/>
                <w:sz w:val="20"/>
                <w:szCs w:val="20"/>
              </w:rPr>
              <w:t xml:space="preserve">BKZ </w:t>
            </w:r>
            <w:r>
              <w:rPr>
                <w:rFonts w:ascii="Cambria" w:hAnsi="Cambria"/>
                <w:b/>
                <w:sz w:val="20"/>
                <w:szCs w:val="20"/>
              </w:rPr>
              <w:t>320 mg</w:t>
            </w:r>
            <w:r w:rsidRPr="00227392">
              <w:rPr>
                <w:rFonts w:ascii="Cambria" w:hAnsi="Cambria"/>
                <w:b/>
                <w:sz w:val="20"/>
                <w:szCs w:val="20"/>
              </w:rPr>
              <w:t xml:space="preserve"> </w:t>
            </w:r>
          </w:p>
          <w:p w14:paraId="29657EA2" w14:textId="77777777" w:rsidR="002B7493" w:rsidRPr="00227392" w:rsidRDefault="002B7493" w:rsidP="009B153D">
            <w:pPr>
              <w:pStyle w:val="Style"/>
              <w:ind w:left="24"/>
              <w:jc w:val="center"/>
              <w:textAlignment w:val="baseline"/>
              <w:rPr>
                <w:rFonts w:ascii="Cambria" w:hAnsi="Cambria"/>
                <w:sz w:val="20"/>
                <w:szCs w:val="20"/>
              </w:rPr>
            </w:pPr>
            <w:r w:rsidRPr="00227392">
              <w:rPr>
                <w:rFonts w:ascii="Cambria" w:hAnsi="Cambria"/>
                <w:b/>
                <w:sz w:val="20"/>
                <w:szCs w:val="20"/>
              </w:rPr>
              <w:t xml:space="preserve">every 4 weeks </w:t>
            </w:r>
          </w:p>
          <w:p w14:paraId="35B7C69F" w14:textId="77777777" w:rsidR="002B7493" w:rsidRPr="00227392" w:rsidRDefault="002B7493" w:rsidP="009B153D">
            <w:pPr>
              <w:pStyle w:val="Style"/>
              <w:ind w:left="24"/>
              <w:jc w:val="center"/>
              <w:textAlignment w:val="baseline"/>
              <w:rPr>
                <w:rFonts w:ascii="Cambria" w:hAnsi="Cambria"/>
                <w:sz w:val="20"/>
                <w:szCs w:val="20"/>
              </w:rPr>
            </w:pPr>
            <w:r>
              <w:rPr>
                <w:rFonts w:ascii="Cambria" w:hAnsi="Cambria"/>
                <w:b/>
                <w:sz w:val="20"/>
                <w:szCs w:val="20"/>
              </w:rPr>
              <w:t xml:space="preserve">N = </w:t>
            </w:r>
            <w:r w:rsidRPr="00227392">
              <w:rPr>
                <w:rFonts w:ascii="Cambria" w:hAnsi="Cambria"/>
                <w:b/>
                <w:sz w:val="20"/>
                <w:szCs w:val="20"/>
              </w:rPr>
              <w:t xml:space="preserve">83 </w:t>
            </w:r>
          </w:p>
          <w:p w14:paraId="29AFC93E" w14:textId="664B9D52" w:rsidR="002B7493" w:rsidRPr="00227392" w:rsidRDefault="002B7493" w:rsidP="009B153D">
            <w:pPr>
              <w:pStyle w:val="Style"/>
              <w:ind w:left="24"/>
              <w:jc w:val="center"/>
              <w:textAlignment w:val="baseline"/>
              <w:rPr>
                <w:rFonts w:ascii="Cambria" w:hAnsi="Cambria"/>
                <w:sz w:val="20"/>
                <w:szCs w:val="20"/>
              </w:rPr>
            </w:pPr>
            <w:r w:rsidRPr="00227392">
              <w:rPr>
                <w:rFonts w:ascii="Cambria" w:hAnsi="Cambria"/>
                <w:b/>
                <w:sz w:val="20"/>
                <w:szCs w:val="20"/>
              </w:rPr>
              <w:t xml:space="preserve">n </w:t>
            </w:r>
            <w:r w:rsidRPr="00227392">
              <w:rPr>
                <w:rFonts w:ascii="Cambria" w:eastAsia="Arial" w:hAnsi="Cambria" w:cs="Arial"/>
                <w:w w:val="114"/>
                <w:sz w:val="20"/>
                <w:szCs w:val="20"/>
              </w:rPr>
              <w:t xml:space="preserve">(%) </w:t>
            </w:r>
          </w:p>
        </w:tc>
        <w:tc>
          <w:tcPr>
            <w:tcW w:w="1350" w:type="dxa"/>
            <w:vMerge w:val="restart"/>
            <w:tcBorders>
              <w:top w:val="single" w:sz="6" w:space="0" w:color="auto"/>
              <w:left w:val="single" w:sz="6" w:space="0" w:color="auto"/>
              <w:right w:val="single" w:sz="6" w:space="0" w:color="auto"/>
            </w:tcBorders>
            <w:vAlign w:val="center"/>
          </w:tcPr>
          <w:p w14:paraId="7E304C45" w14:textId="77777777" w:rsidR="002B7493" w:rsidRPr="00227392" w:rsidRDefault="002B7493" w:rsidP="009B153D">
            <w:pPr>
              <w:pStyle w:val="Style"/>
              <w:textAlignment w:val="baseline"/>
              <w:rPr>
                <w:rFonts w:ascii="Cambria" w:hAnsi="Cambria"/>
                <w:sz w:val="20"/>
                <w:szCs w:val="20"/>
              </w:rPr>
            </w:pPr>
            <w:r w:rsidRPr="00227392">
              <w:rPr>
                <w:rFonts w:ascii="Cambria" w:hAnsi="Cambria"/>
                <w:sz w:val="20"/>
                <w:szCs w:val="20"/>
              </w:rPr>
              <w:t xml:space="preserve"> </w:t>
            </w:r>
          </w:p>
          <w:p w14:paraId="1DEAEF74" w14:textId="77777777" w:rsidR="002B7493" w:rsidRPr="00227392" w:rsidRDefault="002B7493" w:rsidP="002B7493">
            <w:pPr>
              <w:pStyle w:val="Style"/>
              <w:textAlignment w:val="baseline"/>
              <w:rPr>
                <w:rFonts w:ascii="Cambria" w:hAnsi="Cambria"/>
                <w:sz w:val="20"/>
                <w:szCs w:val="20"/>
              </w:rPr>
            </w:pPr>
            <w:r w:rsidRPr="00227392">
              <w:rPr>
                <w:rFonts w:ascii="Cambria" w:hAnsi="Cambria"/>
                <w:b/>
                <w:sz w:val="20"/>
                <w:szCs w:val="20"/>
              </w:rPr>
              <w:t xml:space="preserve">BKZ </w:t>
            </w:r>
            <w:r>
              <w:rPr>
                <w:rFonts w:ascii="Cambria" w:hAnsi="Cambria"/>
                <w:b/>
                <w:sz w:val="20"/>
                <w:szCs w:val="20"/>
              </w:rPr>
              <w:t>320 mg</w:t>
            </w:r>
            <w:r w:rsidRPr="00227392">
              <w:rPr>
                <w:rFonts w:ascii="Cambria" w:hAnsi="Cambria"/>
                <w:b/>
                <w:sz w:val="20"/>
                <w:szCs w:val="20"/>
              </w:rPr>
              <w:t xml:space="preserve"> every 4 weeks </w:t>
            </w:r>
          </w:p>
          <w:p w14:paraId="58F0ED69" w14:textId="77777777" w:rsidR="002B7493" w:rsidRPr="00227392" w:rsidRDefault="002B7493" w:rsidP="009B153D">
            <w:pPr>
              <w:pStyle w:val="Style"/>
              <w:ind w:left="29"/>
              <w:jc w:val="center"/>
              <w:textAlignment w:val="baseline"/>
              <w:rPr>
                <w:rFonts w:ascii="Cambria" w:hAnsi="Cambria"/>
                <w:sz w:val="20"/>
                <w:szCs w:val="20"/>
              </w:rPr>
            </w:pPr>
            <w:r>
              <w:rPr>
                <w:rFonts w:ascii="Cambria" w:hAnsi="Cambria"/>
                <w:b/>
                <w:sz w:val="20"/>
                <w:szCs w:val="20"/>
              </w:rPr>
              <w:t xml:space="preserve">N = </w:t>
            </w:r>
            <w:r w:rsidRPr="00227392">
              <w:rPr>
                <w:rFonts w:ascii="Cambria" w:hAnsi="Cambria"/>
                <w:b/>
                <w:sz w:val="20"/>
                <w:szCs w:val="20"/>
              </w:rPr>
              <w:t xml:space="preserve">321 </w:t>
            </w:r>
          </w:p>
          <w:p w14:paraId="57C82ADC" w14:textId="2DD0BECB" w:rsidR="002B7493" w:rsidRPr="00227392" w:rsidRDefault="002B7493" w:rsidP="009B153D">
            <w:pPr>
              <w:pStyle w:val="Style"/>
              <w:ind w:left="29"/>
              <w:jc w:val="center"/>
              <w:textAlignment w:val="baseline"/>
              <w:rPr>
                <w:rFonts w:ascii="Cambria" w:hAnsi="Cambria"/>
                <w:sz w:val="20"/>
                <w:szCs w:val="20"/>
              </w:rPr>
            </w:pPr>
            <w:r w:rsidRPr="00227392">
              <w:rPr>
                <w:rFonts w:ascii="Cambria" w:hAnsi="Cambria"/>
                <w:b/>
                <w:sz w:val="20"/>
                <w:szCs w:val="20"/>
              </w:rPr>
              <w:t xml:space="preserve">n </w:t>
            </w:r>
            <w:r w:rsidRPr="00227392">
              <w:rPr>
                <w:rFonts w:ascii="Cambria" w:eastAsia="Arial" w:hAnsi="Cambria" w:cs="Arial"/>
                <w:w w:val="114"/>
                <w:sz w:val="20"/>
                <w:szCs w:val="20"/>
              </w:rPr>
              <w:t xml:space="preserve">(%) </w:t>
            </w:r>
          </w:p>
        </w:tc>
        <w:tc>
          <w:tcPr>
            <w:tcW w:w="1350" w:type="dxa"/>
            <w:tcBorders>
              <w:top w:val="single" w:sz="6" w:space="0" w:color="auto"/>
              <w:left w:val="single" w:sz="6" w:space="0" w:color="auto"/>
              <w:bottom w:val="nil"/>
              <w:right w:val="single" w:sz="6" w:space="0" w:color="auto"/>
            </w:tcBorders>
            <w:vAlign w:val="center"/>
          </w:tcPr>
          <w:p w14:paraId="352123DF" w14:textId="77777777" w:rsidR="002B7493" w:rsidRPr="00227392" w:rsidRDefault="002B7493" w:rsidP="009B153D">
            <w:pPr>
              <w:pStyle w:val="Style"/>
              <w:textAlignment w:val="baseline"/>
              <w:rPr>
                <w:rFonts w:ascii="Cambria" w:hAnsi="Cambria"/>
                <w:sz w:val="20"/>
                <w:szCs w:val="20"/>
              </w:rPr>
            </w:pPr>
            <w:r w:rsidRPr="00227392">
              <w:rPr>
                <w:rFonts w:ascii="Cambria" w:hAnsi="Cambria"/>
                <w:sz w:val="20"/>
                <w:szCs w:val="20"/>
              </w:rPr>
              <w:t xml:space="preserve"> </w:t>
            </w:r>
          </w:p>
        </w:tc>
        <w:tc>
          <w:tcPr>
            <w:tcW w:w="1350" w:type="dxa"/>
            <w:tcBorders>
              <w:top w:val="single" w:sz="6" w:space="0" w:color="auto"/>
              <w:left w:val="single" w:sz="6" w:space="0" w:color="auto"/>
              <w:bottom w:val="nil"/>
              <w:right w:val="single" w:sz="6" w:space="0" w:color="auto"/>
            </w:tcBorders>
            <w:vAlign w:val="center"/>
          </w:tcPr>
          <w:p w14:paraId="5369F5B5" w14:textId="77777777" w:rsidR="002B7493" w:rsidRPr="00227392" w:rsidRDefault="002B7493" w:rsidP="009B153D">
            <w:pPr>
              <w:pStyle w:val="Style"/>
              <w:ind w:left="24"/>
              <w:jc w:val="center"/>
              <w:textAlignment w:val="baseline"/>
              <w:rPr>
                <w:rFonts w:ascii="Cambria" w:hAnsi="Cambria"/>
                <w:sz w:val="20"/>
                <w:szCs w:val="20"/>
              </w:rPr>
            </w:pPr>
            <w:r w:rsidRPr="00227392">
              <w:rPr>
                <w:rFonts w:ascii="Cambria" w:hAnsi="Cambria"/>
                <w:b/>
                <w:sz w:val="20"/>
                <w:szCs w:val="20"/>
              </w:rPr>
              <w:t xml:space="preserve">All Study </w:t>
            </w:r>
          </w:p>
        </w:tc>
      </w:tr>
      <w:tr w:rsidR="002B7493" w:rsidRPr="00227392" w14:paraId="35C730E4" w14:textId="77777777" w:rsidTr="006E4137">
        <w:trPr>
          <w:trHeight w:hRule="exact" w:val="254"/>
          <w:jc w:val="center"/>
        </w:trPr>
        <w:tc>
          <w:tcPr>
            <w:tcW w:w="3142" w:type="dxa"/>
            <w:tcBorders>
              <w:top w:val="nil"/>
              <w:left w:val="single" w:sz="6" w:space="0" w:color="auto"/>
              <w:bottom w:val="nil"/>
              <w:right w:val="single" w:sz="6" w:space="0" w:color="auto"/>
            </w:tcBorders>
            <w:vAlign w:val="center"/>
          </w:tcPr>
          <w:p w14:paraId="6A135200" w14:textId="77777777" w:rsidR="002B7493" w:rsidRPr="00227392" w:rsidRDefault="002B7493" w:rsidP="009B153D">
            <w:pPr>
              <w:pStyle w:val="Style"/>
              <w:textAlignment w:val="baseline"/>
              <w:rPr>
                <w:rFonts w:ascii="Cambria" w:hAnsi="Cambria"/>
                <w:sz w:val="20"/>
                <w:szCs w:val="20"/>
              </w:rPr>
            </w:pPr>
            <w:r w:rsidRPr="00227392">
              <w:rPr>
                <w:rFonts w:ascii="Cambria" w:hAnsi="Cambria"/>
                <w:sz w:val="20"/>
                <w:szCs w:val="20"/>
              </w:rPr>
              <w:t xml:space="preserve"> </w:t>
            </w:r>
          </w:p>
        </w:tc>
        <w:tc>
          <w:tcPr>
            <w:tcW w:w="1448" w:type="dxa"/>
            <w:vMerge/>
            <w:tcBorders>
              <w:left w:val="single" w:sz="6" w:space="0" w:color="auto"/>
              <w:right w:val="single" w:sz="6" w:space="0" w:color="auto"/>
            </w:tcBorders>
            <w:vAlign w:val="center"/>
          </w:tcPr>
          <w:p w14:paraId="023DC63C" w14:textId="5F87B425" w:rsidR="002B7493" w:rsidRPr="00227392" w:rsidRDefault="002B7493" w:rsidP="009B153D">
            <w:pPr>
              <w:pStyle w:val="Style"/>
              <w:ind w:left="24"/>
              <w:jc w:val="center"/>
              <w:textAlignment w:val="baseline"/>
              <w:rPr>
                <w:rFonts w:ascii="Cambria" w:hAnsi="Cambria"/>
                <w:sz w:val="20"/>
                <w:szCs w:val="20"/>
              </w:rPr>
            </w:pPr>
          </w:p>
        </w:tc>
        <w:tc>
          <w:tcPr>
            <w:tcW w:w="1350" w:type="dxa"/>
            <w:vMerge/>
            <w:tcBorders>
              <w:left w:val="single" w:sz="6" w:space="0" w:color="auto"/>
              <w:right w:val="single" w:sz="6" w:space="0" w:color="auto"/>
            </w:tcBorders>
            <w:vAlign w:val="center"/>
          </w:tcPr>
          <w:p w14:paraId="16EAA56B" w14:textId="02C5ED61" w:rsidR="002B7493" w:rsidRPr="00227392" w:rsidRDefault="002B7493">
            <w:pPr>
              <w:pStyle w:val="Style"/>
              <w:ind w:left="29"/>
              <w:jc w:val="center"/>
              <w:textAlignment w:val="baseline"/>
              <w:rPr>
                <w:rFonts w:ascii="Cambria" w:hAnsi="Cambria"/>
                <w:sz w:val="20"/>
                <w:szCs w:val="20"/>
              </w:rPr>
            </w:pPr>
          </w:p>
        </w:tc>
        <w:tc>
          <w:tcPr>
            <w:tcW w:w="1350" w:type="dxa"/>
            <w:tcBorders>
              <w:top w:val="nil"/>
              <w:left w:val="single" w:sz="6" w:space="0" w:color="auto"/>
              <w:bottom w:val="nil"/>
              <w:right w:val="single" w:sz="6" w:space="0" w:color="auto"/>
            </w:tcBorders>
            <w:vAlign w:val="center"/>
          </w:tcPr>
          <w:p w14:paraId="42D8C780" w14:textId="77777777" w:rsidR="002B7493" w:rsidRPr="00227392" w:rsidRDefault="002B7493" w:rsidP="009B153D">
            <w:pPr>
              <w:pStyle w:val="Style"/>
              <w:ind w:left="43"/>
              <w:jc w:val="center"/>
              <w:textAlignment w:val="baseline"/>
              <w:rPr>
                <w:rFonts w:ascii="Cambria" w:hAnsi="Cambria"/>
                <w:sz w:val="20"/>
                <w:szCs w:val="20"/>
              </w:rPr>
            </w:pPr>
            <w:proofErr w:type="spellStart"/>
            <w:r w:rsidRPr="00227392">
              <w:rPr>
                <w:rFonts w:ascii="Cambria" w:hAnsi="Cambria"/>
                <w:b/>
                <w:sz w:val="20"/>
                <w:szCs w:val="20"/>
              </w:rPr>
              <w:t>Uste</w:t>
            </w:r>
            <w:proofErr w:type="spellEnd"/>
            <w:r w:rsidRPr="00227392">
              <w:rPr>
                <w:rFonts w:ascii="Cambria" w:hAnsi="Cambria"/>
                <w:b/>
                <w:sz w:val="20"/>
                <w:szCs w:val="20"/>
              </w:rPr>
              <w:t xml:space="preserve"> </w:t>
            </w:r>
          </w:p>
        </w:tc>
        <w:tc>
          <w:tcPr>
            <w:tcW w:w="1350" w:type="dxa"/>
            <w:tcBorders>
              <w:top w:val="nil"/>
              <w:left w:val="single" w:sz="6" w:space="0" w:color="auto"/>
              <w:bottom w:val="nil"/>
              <w:right w:val="single" w:sz="6" w:space="0" w:color="auto"/>
            </w:tcBorders>
            <w:vAlign w:val="center"/>
          </w:tcPr>
          <w:p w14:paraId="116A4AE0" w14:textId="77777777" w:rsidR="002B7493" w:rsidRPr="00227392" w:rsidRDefault="002B7493" w:rsidP="009B153D">
            <w:pPr>
              <w:pStyle w:val="Style"/>
              <w:ind w:left="24"/>
              <w:jc w:val="center"/>
              <w:textAlignment w:val="baseline"/>
              <w:rPr>
                <w:rFonts w:ascii="Cambria" w:hAnsi="Cambria"/>
                <w:sz w:val="20"/>
                <w:szCs w:val="20"/>
              </w:rPr>
            </w:pPr>
            <w:r w:rsidRPr="00227392">
              <w:rPr>
                <w:rFonts w:ascii="Cambria" w:hAnsi="Cambria"/>
                <w:b/>
                <w:sz w:val="20"/>
                <w:szCs w:val="20"/>
              </w:rPr>
              <w:t xml:space="preserve">participants </w:t>
            </w:r>
          </w:p>
        </w:tc>
      </w:tr>
      <w:tr w:rsidR="002B7493" w:rsidRPr="00227392" w14:paraId="0FF8681B" w14:textId="77777777" w:rsidTr="006E4137">
        <w:trPr>
          <w:trHeight w:hRule="exact" w:val="235"/>
          <w:jc w:val="center"/>
        </w:trPr>
        <w:tc>
          <w:tcPr>
            <w:tcW w:w="3142" w:type="dxa"/>
            <w:tcBorders>
              <w:top w:val="nil"/>
              <w:left w:val="single" w:sz="6" w:space="0" w:color="auto"/>
              <w:bottom w:val="nil"/>
              <w:right w:val="single" w:sz="6" w:space="0" w:color="auto"/>
            </w:tcBorders>
            <w:vAlign w:val="center"/>
          </w:tcPr>
          <w:p w14:paraId="35AB798A" w14:textId="77777777" w:rsidR="002B7493" w:rsidRPr="00227392" w:rsidRDefault="002B7493" w:rsidP="009B153D">
            <w:pPr>
              <w:pStyle w:val="Style"/>
              <w:textAlignment w:val="baseline"/>
              <w:rPr>
                <w:rFonts w:ascii="Cambria" w:hAnsi="Cambria"/>
                <w:sz w:val="20"/>
                <w:szCs w:val="20"/>
              </w:rPr>
            </w:pPr>
            <w:r w:rsidRPr="00227392">
              <w:rPr>
                <w:rFonts w:ascii="Cambria" w:hAnsi="Cambria"/>
                <w:sz w:val="20"/>
                <w:szCs w:val="20"/>
              </w:rPr>
              <w:t xml:space="preserve"> </w:t>
            </w:r>
          </w:p>
        </w:tc>
        <w:tc>
          <w:tcPr>
            <w:tcW w:w="1448" w:type="dxa"/>
            <w:vMerge/>
            <w:tcBorders>
              <w:left w:val="single" w:sz="6" w:space="0" w:color="auto"/>
              <w:right w:val="single" w:sz="6" w:space="0" w:color="auto"/>
            </w:tcBorders>
            <w:vAlign w:val="center"/>
          </w:tcPr>
          <w:p w14:paraId="0E626D64" w14:textId="13BFB8FA" w:rsidR="002B7493" w:rsidRPr="00227392" w:rsidRDefault="002B7493" w:rsidP="009B153D">
            <w:pPr>
              <w:pStyle w:val="Style"/>
              <w:ind w:left="24"/>
              <w:jc w:val="center"/>
              <w:textAlignment w:val="baseline"/>
              <w:rPr>
                <w:rFonts w:ascii="Cambria" w:hAnsi="Cambria"/>
                <w:sz w:val="20"/>
                <w:szCs w:val="20"/>
              </w:rPr>
            </w:pPr>
          </w:p>
        </w:tc>
        <w:tc>
          <w:tcPr>
            <w:tcW w:w="1350" w:type="dxa"/>
            <w:vMerge/>
            <w:tcBorders>
              <w:left w:val="single" w:sz="6" w:space="0" w:color="auto"/>
              <w:right w:val="single" w:sz="6" w:space="0" w:color="auto"/>
            </w:tcBorders>
            <w:vAlign w:val="center"/>
          </w:tcPr>
          <w:p w14:paraId="710B4907" w14:textId="4035DBA7" w:rsidR="002B7493" w:rsidRPr="00227392" w:rsidRDefault="002B7493" w:rsidP="009B153D">
            <w:pPr>
              <w:pStyle w:val="Style"/>
              <w:ind w:left="29"/>
              <w:jc w:val="center"/>
              <w:textAlignment w:val="baseline"/>
              <w:rPr>
                <w:rFonts w:ascii="Cambria" w:hAnsi="Cambria"/>
                <w:sz w:val="20"/>
                <w:szCs w:val="20"/>
              </w:rPr>
            </w:pPr>
          </w:p>
        </w:tc>
        <w:tc>
          <w:tcPr>
            <w:tcW w:w="1350" w:type="dxa"/>
            <w:tcBorders>
              <w:top w:val="nil"/>
              <w:left w:val="single" w:sz="6" w:space="0" w:color="auto"/>
              <w:bottom w:val="nil"/>
              <w:right w:val="single" w:sz="6" w:space="0" w:color="auto"/>
            </w:tcBorders>
            <w:vAlign w:val="center"/>
          </w:tcPr>
          <w:p w14:paraId="58FD781E" w14:textId="3248B2C4" w:rsidR="002B7493" w:rsidRPr="00227392" w:rsidRDefault="002B7493" w:rsidP="009B153D">
            <w:pPr>
              <w:pStyle w:val="Style"/>
              <w:ind w:left="43"/>
              <w:jc w:val="center"/>
              <w:textAlignment w:val="baseline"/>
              <w:rPr>
                <w:rFonts w:ascii="Cambria" w:hAnsi="Cambria"/>
                <w:sz w:val="20"/>
                <w:szCs w:val="20"/>
              </w:rPr>
            </w:pPr>
            <w:r>
              <w:rPr>
                <w:rFonts w:ascii="Cambria" w:hAnsi="Cambria"/>
                <w:b/>
                <w:sz w:val="20"/>
                <w:szCs w:val="20"/>
              </w:rPr>
              <w:t xml:space="preserve">N = </w:t>
            </w:r>
            <w:r w:rsidRPr="00227392">
              <w:rPr>
                <w:rFonts w:ascii="Cambria" w:hAnsi="Cambria"/>
                <w:b/>
                <w:sz w:val="20"/>
                <w:szCs w:val="20"/>
              </w:rPr>
              <w:t xml:space="preserve">163 </w:t>
            </w:r>
          </w:p>
        </w:tc>
        <w:tc>
          <w:tcPr>
            <w:tcW w:w="1350" w:type="dxa"/>
            <w:tcBorders>
              <w:top w:val="nil"/>
              <w:left w:val="single" w:sz="6" w:space="0" w:color="auto"/>
              <w:bottom w:val="nil"/>
              <w:right w:val="single" w:sz="6" w:space="0" w:color="auto"/>
            </w:tcBorders>
            <w:vAlign w:val="center"/>
          </w:tcPr>
          <w:p w14:paraId="0EF60A5E" w14:textId="330B26A7" w:rsidR="002B7493" w:rsidRPr="00227392" w:rsidRDefault="002B7493" w:rsidP="009B153D">
            <w:pPr>
              <w:pStyle w:val="Style"/>
              <w:ind w:left="24"/>
              <w:jc w:val="center"/>
              <w:textAlignment w:val="baseline"/>
              <w:rPr>
                <w:rFonts w:ascii="Cambria" w:hAnsi="Cambria"/>
                <w:sz w:val="20"/>
                <w:szCs w:val="20"/>
              </w:rPr>
            </w:pPr>
            <w:r>
              <w:rPr>
                <w:rFonts w:ascii="Cambria" w:hAnsi="Cambria"/>
                <w:b/>
                <w:sz w:val="20"/>
                <w:szCs w:val="20"/>
              </w:rPr>
              <w:t xml:space="preserve">N = </w:t>
            </w:r>
            <w:r w:rsidRPr="00227392">
              <w:rPr>
                <w:rFonts w:ascii="Cambria" w:hAnsi="Cambria"/>
                <w:b/>
                <w:sz w:val="20"/>
                <w:szCs w:val="20"/>
              </w:rPr>
              <w:t xml:space="preserve">567 </w:t>
            </w:r>
          </w:p>
        </w:tc>
      </w:tr>
      <w:tr w:rsidR="002B7493" w:rsidRPr="00227392" w14:paraId="521EAD80" w14:textId="77777777" w:rsidTr="006E4137">
        <w:trPr>
          <w:trHeight w:hRule="exact" w:val="307"/>
          <w:jc w:val="center"/>
        </w:trPr>
        <w:tc>
          <w:tcPr>
            <w:tcW w:w="3142" w:type="dxa"/>
            <w:tcBorders>
              <w:top w:val="nil"/>
              <w:left w:val="single" w:sz="6" w:space="0" w:color="auto"/>
              <w:bottom w:val="single" w:sz="6" w:space="0" w:color="auto"/>
              <w:right w:val="single" w:sz="6" w:space="0" w:color="auto"/>
            </w:tcBorders>
            <w:vAlign w:val="center"/>
          </w:tcPr>
          <w:p w14:paraId="47BE90E0" w14:textId="77777777" w:rsidR="002B7493" w:rsidRPr="00227392" w:rsidRDefault="002B7493" w:rsidP="009B153D">
            <w:pPr>
              <w:pStyle w:val="Style"/>
              <w:ind w:left="115"/>
              <w:textAlignment w:val="baseline"/>
              <w:rPr>
                <w:rFonts w:ascii="Cambria" w:hAnsi="Cambria"/>
                <w:sz w:val="20"/>
                <w:szCs w:val="20"/>
              </w:rPr>
            </w:pPr>
            <w:r w:rsidRPr="00227392">
              <w:rPr>
                <w:rFonts w:ascii="Cambria" w:hAnsi="Cambria"/>
                <w:b/>
                <w:sz w:val="20"/>
                <w:szCs w:val="20"/>
              </w:rPr>
              <w:t xml:space="preserve">Analysis set </w:t>
            </w:r>
          </w:p>
        </w:tc>
        <w:tc>
          <w:tcPr>
            <w:tcW w:w="1448" w:type="dxa"/>
            <w:vMerge/>
            <w:tcBorders>
              <w:left w:val="single" w:sz="6" w:space="0" w:color="auto"/>
              <w:bottom w:val="single" w:sz="6" w:space="0" w:color="auto"/>
              <w:right w:val="single" w:sz="6" w:space="0" w:color="auto"/>
            </w:tcBorders>
            <w:vAlign w:val="center"/>
          </w:tcPr>
          <w:p w14:paraId="74C8BCA2" w14:textId="6982AECC" w:rsidR="002B7493" w:rsidRPr="00227392" w:rsidRDefault="002B7493" w:rsidP="009B153D">
            <w:pPr>
              <w:pStyle w:val="Style"/>
              <w:ind w:left="24"/>
              <w:jc w:val="center"/>
              <w:textAlignment w:val="baseline"/>
              <w:rPr>
                <w:rFonts w:ascii="Cambria" w:hAnsi="Cambria"/>
                <w:sz w:val="20"/>
                <w:szCs w:val="20"/>
              </w:rPr>
            </w:pPr>
          </w:p>
        </w:tc>
        <w:tc>
          <w:tcPr>
            <w:tcW w:w="1350" w:type="dxa"/>
            <w:vMerge/>
            <w:tcBorders>
              <w:left w:val="single" w:sz="6" w:space="0" w:color="auto"/>
              <w:bottom w:val="single" w:sz="6" w:space="0" w:color="auto"/>
              <w:right w:val="single" w:sz="6" w:space="0" w:color="auto"/>
            </w:tcBorders>
            <w:vAlign w:val="center"/>
          </w:tcPr>
          <w:p w14:paraId="53F99C32" w14:textId="4F36722C" w:rsidR="002B7493" w:rsidRPr="00227392" w:rsidRDefault="002B7493" w:rsidP="009B153D">
            <w:pPr>
              <w:pStyle w:val="Style"/>
              <w:ind w:left="29"/>
              <w:jc w:val="center"/>
              <w:textAlignment w:val="baseline"/>
              <w:rPr>
                <w:rFonts w:ascii="Cambria" w:hAnsi="Cambria"/>
                <w:sz w:val="20"/>
                <w:szCs w:val="20"/>
              </w:rPr>
            </w:pPr>
          </w:p>
        </w:tc>
        <w:tc>
          <w:tcPr>
            <w:tcW w:w="1350" w:type="dxa"/>
            <w:tcBorders>
              <w:top w:val="nil"/>
              <w:left w:val="single" w:sz="6" w:space="0" w:color="auto"/>
              <w:bottom w:val="single" w:sz="6" w:space="0" w:color="auto"/>
              <w:right w:val="single" w:sz="6" w:space="0" w:color="auto"/>
            </w:tcBorders>
            <w:vAlign w:val="center"/>
          </w:tcPr>
          <w:p w14:paraId="29EA020E" w14:textId="77777777" w:rsidR="002B7493" w:rsidRPr="00227392" w:rsidRDefault="002B7493" w:rsidP="009B153D">
            <w:pPr>
              <w:pStyle w:val="Style"/>
              <w:ind w:left="43"/>
              <w:jc w:val="center"/>
              <w:textAlignment w:val="baseline"/>
              <w:rPr>
                <w:rFonts w:ascii="Cambria" w:hAnsi="Cambria"/>
                <w:sz w:val="20"/>
                <w:szCs w:val="20"/>
              </w:rPr>
            </w:pPr>
            <w:r w:rsidRPr="00227392">
              <w:rPr>
                <w:rFonts w:ascii="Cambria" w:hAnsi="Cambria"/>
                <w:b/>
                <w:sz w:val="20"/>
                <w:szCs w:val="20"/>
              </w:rPr>
              <w:t xml:space="preserve">n </w:t>
            </w:r>
            <w:r w:rsidRPr="00227392">
              <w:rPr>
                <w:rFonts w:ascii="Cambria" w:eastAsia="Arial" w:hAnsi="Cambria" w:cs="Arial"/>
                <w:w w:val="114"/>
                <w:sz w:val="20"/>
                <w:szCs w:val="20"/>
              </w:rPr>
              <w:t xml:space="preserve">(%) </w:t>
            </w:r>
          </w:p>
        </w:tc>
        <w:tc>
          <w:tcPr>
            <w:tcW w:w="1350" w:type="dxa"/>
            <w:tcBorders>
              <w:top w:val="nil"/>
              <w:left w:val="single" w:sz="6" w:space="0" w:color="auto"/>
              <w:bottom w:val="single" w:sz="6" w:space="0" w:color="auto"/>
              <w:right w:val="single" w:sz="6" w:space="0" w:color="auto"/>
            </w:tcBorders>
            <w:vAlign w:val="center"/>
          </w:tcPr>
          <w:p w14:paraId="115DAF67" w14:textId="77777777" w:rsidR="002B7493" w:rsidRPr="00227392" w:rsidRDefault="002B7493" w:rsidP="009B153D">
            <w:pPr>
              <w:pStyle w:val="Style"/>
              <w:ind w:left="24"/>
              <w:jc w:val="center"/>
              <w:textAlignment w:val="baseline"/>
              <w:rPr>
                <w:rFonts w:ascii="Cambria" w:hAnsi="Cambria"/>
                <w:sz w:val="20"/>
                <w:szCs w:val="20"/>
              </w:rPr>
            </w:pPr>
            <w:r w:rsidRPr="00227392">
              <w:rPr>
                <w:rFonts w:ascii="Cambria" w:hAnsi="Cambria"/>
                <w:b/>
                <w:sz w:val="20"/>
                <w:szCs w:val="20"/>
              </w:rPr>
              <w:t xml:space="preserve">n </w:t>
            </w:r>
            <w:r w:rsidRPr="00227392">
              <w:rPr>
                <w:rFonts w:ascii="Cambria" w:eastAsia="Arial" w:hAnsi="Cambria" w:cs="Arial"/>
                <w:w w:val="114"/>
                <w:sz w:val="20"/>
                <w:szCs w:val="20"/>
              </w:rPr>
              <w:t xml:space="preserve">(%) </w:t>
            </w:r>
          </w:p>
        </w:tc>
      </w:tr>
      <w:tr w:rsidR="00C13D35" w:rsidRPr="00227392" w14:paraId="39148467" w14:textId="77777777" w:rsidTr="006E4137">
        <w:trPr>
          <w:trHeight w:hRule="exact" w:val="384"/>
          <w:jc w:val="center"/>
        </w:trPr>
        <w:tc>
          <w:tcPr>
            <w:tcW w:w="3142" w:type="dxa"/>
            <w:tcBorders>
              <w:top w:val="single" w:sz="6" w:space="0" w:color="auto"/>
              <w:left w:val="single" w:sz="6" w:space="0" w:color="auto"/>
              <w:bottom w:val="single" w:sz="6" w:space="0" w:color="auto"/>
              <w:right w:val="single" w:sz="6" w:space="0" w:color="auto"/>
            </w:tcBorders>
            <w:vAlign w:val="center"/>
          </w:tcPr>
          <w:p w14:paraId="7DF2F258" w14:textId="023B45FA" w:rsidR="00C13D35" w:rsidRPr="00227392" w:rsidRDefault="002B7493" w:rsidP="009B153D">
            <w:pPr>
              <w:pStyle w:val="Style"/>
              <w:ind w:left="115"/>
              <w:textAlignment w:val="baseline"/>
              <w:rPr>
                <w:rFonts w:ascii="Cambria" w:hAnsi="Cambria" w:cstheme="majorHAnsi"/>
                <w:sz w:val="20"/>
                <w:szCs w:val="20"/>
              </w:rPr>
            </w:pPr>
            <w:proofErr w:type="spellStart"/>
            <w:r>
              <w:rPr>
                <w:rFonts w:ascii="Cambria" w:hAnsi="Cambria" w:cstheme="majorHAnsi"/>
                <w:sz w:val="20"/>
                <w:szCs w:val="20"/>
              </w:rPr>
              <w:t>Randomised</w:t>
            </w:r>
            <w:proofErr w:type="spellEnd"/>
            <w:r>
              <w:rPr>
                <w:rFonts w:ascii="Cambria" w:hAnsi="Cambria" w:cstheme="majorHAnsi"/>
                <w:sz w:val="20"/>
                <w:szCs w:val="20"/>
              </w:rPr>
              <w:t xml:space="preserve"> set</w:t>
            </w:r>
          </w:p>
        </w:tc>
        <w:tc>
          <w:tcPr>
            <w:tcW w:w="1448" w:type="dxa"/>
            <w:tcBorders>
              <w:top w:val="single" w:sz="6" w:space="0" w:color="auto"/>
              <w:left w:val="single" w:sz="6" w:space="0" w:color="auto"/>
              <w:bottom w:val="single" w:sz="6" w:space="0" w:color="auto"/>
              <w:right w:val="single" w:sz="6" w:space="0" w:color="auto"/>
            </w:tcBorders>
            <w:vAlign w:val="center"/>
          </w:tcPr>
          <w:p w14:paraId="6C481AEB" w14:textId="77777777" w:rsidR="00C13D35" w:rsidRPr="00227392" w:rsidRDefault="00C13D35" w:rsidP="009B153D">
            <w:pPr>
              <w:pStyle w:val="Style"/>
              <w:ind w:left="24"/>
              <w:jc w:val="center"/>
              <w:textAlignment w:val="baseline"/>
              <w:rPr>
                <w:rFonts w:ascii="Cambria" w:hAnsi="Cambria"/>
                <w:sz w:val="20"/>
                <w:szCs w:val="20"/>
              </w:rPr>
            </w:pPr>
            <w:r w:rsidRPr="00227392">
              <w:rPr>
                <w:rFonts w:ascii="Cambria" w:hAnsi="Cambria"/>
                <w:sz w:val="20"/>
                <w:szCs w:val="20"/>
              </w:rPr>
              <w:t xml:space="preserve">83 (100) </w:t>
            </w:r>
          </w:p>
        </w:tc>
        <w:tc>
          <w:tcPr>
            <w:tcW w:w="1350" w:type="dxa"/>
            <w:tcBorders>
              <w:top w:val="single" w:sz="6" w:space="0" w:color="auto"/>
              <w:left w:val="single" w:sz="6" w:space="0" w:color="auto"/>
              <w:bottom w:val="single" w:sz="6" w:space="0" w:color="auto"/>
              <w:right w:val="single" w:sz="6" w:space="0" w:color="auto"/>
            </w:tcBorders>
            <w:vAlign w:val="center"/>
          </w:tcPr>
          <w:p w14:paraId="253D9A71" w14:textId="77777777" w:rsidR="00C13D35" w:rsidRPr="00227392" w:rsidRDefault="00C13D35" w:rsidP="009B153D">
            <w:pPr>
              <w:pStyle w:val="Style"/>
              <w:ind w:left="29"/>
              <w:jc w:val="center"/>
              <w:textAlignment w:val="baseline"/>
              <w:rPr>
                <w:rFonts w:ascii="Cambria" w:hAnsi="Cambria"/>
                <w:sz w:val="20"/>
                <w:szCs w:val="20"/>
              </w:rPr>
            </w:pPr>
            <w:r w:rsidRPr="00227392">
              <w:rPr>
                <w:rFonts w:ascii="Cambria" w:hAnsi="Cambria"/>
                <w:sz w:val="20"/>
                <w:szCs w:val="20"/>
              </w:rPr>
              <w:t xml:space="preserve">321 (100) </w:t>
            </w:r>
          </w:p>
        </w:tc>
        <w:tc>
          <w:tcPr>
            <w:tcW w:w="1350" w:type="dxa"/>
            <w:tcBorders>
              <w:top w:val="single" w:sz="6" w:space="0" w:color="auto"/>
              <w:left w:val="single" w:sz="6" w:space="0" w:color="auto"/>
              <w:bottom w:val="single" w:sz="6" w:space="0" w:color="auto"/>
              <w:right w:val="single" w:sz="6" w:space="0" w:color="auto"/>
            </w:tcBorders>
            <w:vAlign w:val="center"/>
          </w:tcPr>
          <w:p w14:paraId="475A9846" w14:textId="77777777" w:rsidR="00C13D35" w:rsidRPr="00227392" w:rsidRDefault="00C13D35" w:rsidP="009B153D">
            <w:pPr>
              <w:pStyle w:val="Style"/>
              <w:ind w:left="43"/>
              <w:jc w:val="center"/>
              <w:textAlignment w:val="baseline"/>
              <w:rPr>
                <w:rFonts w:ascii="Cambria" w:hAnsi="Cambria"/>
                <w:sz w:val="20"/>
                <w:szCs w:val="20"/>
              </w:rPr>
            </w:pPr>
            <w:r w:rsidRPr="00227392">
              <w:rPr>
                <w:rFonts w:ascii="Cambria" w:hAnsi="Cambria"/>
                <w:sz w:val="20"/>
                <w:szCs w:val="20"/>
              </w:rPr>
              <w:t xml:space="preserve">163 (100) </w:t>
            </w:r>
          </w:p>
        </w:tc>
        <w:tc>
          <w:tcPr>
            <w:tcW w:w="1350" w:type="dxa"/>
            <w:tcBorders>
              <w:top w:val="single" w:sz="6" w:space="0" w:color="auto"/>
              <w:left w:val="single" w:sz="6" w:space="0" w:color="auto"/>
              <w:bottom w:val="single" w:sz="6" w:space="0" w:color="auto"/>
              <w:right w:val="single" w:sz="6" w:space="0" w:color="auto"/>
            </w:tcBorders>
            <w:vAlign w:val="center"/>
          </w:tcPr>
          <w:p w14:paraId="79908A3F" w14:textId="77777777" w:rsidR="00C13D35" w:rsidRPr="00227392" w:rsidRDefault="00C13D35" w:rsidP="009B153D">
            <w:pPr>
              <w:pStyle w:val="Style"/>
              <w:ind w:left="24"/>
              <w:jc w:val="center"/>
              <w:textAlignment w:val="baseline"/>
              <w:rPr>
                <w:rFonts w:ascii="Cambria" w:hAnsi="Cambria"/>
                <w:sz w:val="20"/>
                <w:szCs w:val="20"/>
              </w:rPr>
            </w:pPr>
            <w:r w:rsidRPr="00227392">
              <w:rPr>
                <w:rFonts w:ascii="Cambria" w:hAnsi="Cambria"/>
                <w:sz w:val="20"/>
                <w:szCs w:val="20"/>
              </w:rPr>
              <w:t xml:space="preserve">567 (100) </w:t>
            </w:r>
          </w:p>
        </w:tc>
      </w:tr>
      <w:tr w:rsidR="00C13D35" w:rsidRPr="00227392" w14:paraId="41CE3A20" w14:textId="77777777" w:rsidTr="006E4137">
        <w:trPr>
          <w:trHeight w:hRule="exact" w:val="394"/>
          <w:jc w:val="center"/>
        </w:trPr>
        <w:tc>
          <w:tcPr>
            <w:tcW w:w="3142" w:type="dxa"/>
            <w:tcBorders>
              <w:top w:val="single" w:sz="6" w:space="0" w:color="auto"/>
              <w:left w:val="single" w:sz="6" w:space="0" w:color="auto"/>
              <w:bottom w:val="single" w:sz="6" w:space="0" w:color="auto"/>
              <w:right w:val="single" w:sz="6" w:space="0" w:color="auto"/>
            </w:tcBorders>
            <w:vAlign w:val="center"/>
          </w:tcPr>
          <w:p w14:paraId="63284473" w14:textId="36F83587" w:rsidR="00C13D35" w:rsidRPr="00227392" w:rsidRDefault="00227392" w:rsidP="009B153D">
            <w:pPr>
              <w:pStyle w:val="Style"/>
              <w:ind w:left="115"/>
              <w:textAlignment w:val="baseline"/>
              <w:rPr>
                <w:rFonts w:ascii="Cambria" w:hAnsi="Cambria" w:cstheme="majorHAnsi"/>
                <w:sz w:val="20"/>
                <w:szCs w:val="20"/>
              </w:rPr>
            </w:pPr>
            <w:r>
              <w:rPr>
                <w:rFonts w:ascii="Cambria" w:hAnsi="Cambria" w:cstheme="majorHAnsi"/>
                <w:sz w:val="20"/>
                <w:szCs w:val="20"/>
              </w:rPr>
              <w:t>S</w:t>
            </w:r>
            <w:r w:rsidR="002B7493">
              <w:rPr>
                <w:rFonts w:ascii="Cambria" w:hAnsi="Cambria" w:cstheme="majorHAnsi"/>
                <w:sz w:val="20"/>
                <w:szCs w:val="20"/>
              </w:rPr>
              <w:t>afety set</w:t>
            </w:r>
          </w:p>
        </w:tc>
        <w:tc>
          <w:tcPr>
            <w:tcW w:w="1448" w:type="dxa"/>
            <w:tcBorders>
              <w:top w:val="single" w:sz="6" w:space="0" w:color="auto"/>
              <w:left w:val="single" w:sz="6" w:space="0" w:color="auto"/>
              <w:bottom w:val="single" w:sz="6" w:space="0" w:color="auto"/>
              <w:right w:val="single" w:sz="6" w:space="0" w:color="auto"/>
            </w:tcBorders>
            <w:vAlign w:val="center"/>
          </w:tcPr>
          <w:p w14:paraId="1AD6D23C" w14:textId="77777777" w:rsidR="00C13D35" w:rsidRPr="00227392" w:rsidRDefault="00C13D35" w:rsidP="009B153D">
            <w:pPr>
              <w:pStyle w:val="Style"/>
              <w:ind w:left="24"/>
              <w:jc w:val="center"/>
              <w:textAlignment w:val="baseline"/>
              <w:rPr>
                <w:rFonts w:ascii="Cambria" w:hAnsi="Cambria"/>
                <w:sz w:val="20"/>
                <w:szCs w:val="20"/>
              </w:rPr>
            </w:pPr>
            <w:r w:rsidRPr="00227392">
              <w:rPr>
                <w:rFonts w:ascii="Cambria" w:hAnsi="Cambria"/>
                <w:sz w:val="20"/>
                <w:szCs w:val="20"/>
              </w:rPr>
              <w:t xml:space="preserve">83 (100) </w:t>
            </w:r>
          </w:p>
        </w:tc>
        <w:tc>
          <w:tcPr>
            <w:tcW w:w="1350" w:type="dxa"/>
            <w:tcBorders>
              <w:top w:val="single" w:sz="6" w:space="0" w:color="auto"/>
              <w:left w:val="single" w:sz="6" w:space="0" w:color="auto"/>
              <w:bottom w:val="single" w:sz="6" w:space="0" w:color="auto"/>
              <w:right w:val="single" w:sz="6" w:space="0" w:color="auto"/>
            </w:tcBorders>
            <w:vAlign w:val="center"/>
          </w:tcPr>
          <w:p w14:paraId="3E4C1533" w14:textId="77777777" w:rsidR="00C13D35" w:rsidRPr="00227392" w:rsidRDefault="00C13D35" w:rsidP="009B153D">
            <w:pPr>
              <w:pStyle w:val="Style"/>
              <w:ind w:left="29"/>
              <w:jc w:val="center"/>
              <w:textAlignment w:val="baseline"/>
              <w:rPr>
                <w:rFonts w:ascii="Cambria" w:hAnsi="Cambria"/>
                <w:sz w:val="20"/>
                <w:szCs w:val="20"/>
              </w:rPr>
            </w:pPr>
            <w:r w:rsidRPr="00227392">
              <w:rPr>
                <w:rFonts w:ascii="Cambria" w:hAnsi="Cambria"/>
                <w:sz w:val="20"/>
                <w:szCs w:val="20"/>
              </w:rPr>
              <w:t xml:space="preserve">321 (100) </w:t>
            </w:r>
          </w:p>
        </w:tc>
        <w:tc>
          <w:tcPr>
            <w:tcW w:w="1350" w:type="dxa"/>
            <w:tcBorders>
              <w:top w:val="single" w:sz="6" w:space="0" w:color="auto"/>
              <w:left w:val="single" w:sz="6" w:space="0" w:color="auto"/>
              <w:bottom w:val="single" w:sz="6" w:space="0" w:color="auto"/>
              <w:right w:val="single" w:sz="6" w:space="0" w:color="auto"/>
            </w:tcBorders>
            <w:vAlign w:val="center"/>
          </w:tcPr>
          <w:p w14:paraId="07D6115C" w14:textId="77777777" w:rsidR="00C13D35" w:rsidRPr="00227392" w:rsidRDefault="00C13D35" w:rsidP="009B153D">
            <w:pPr>
              <w:pStyle w:val="Style"/>
              <w:ind w:left="43"/>
              <w:jc w:val="center"/>
              <w:textAlignment w:val="baseline"/>
              <w:rPr>
                <w:rFonts w:ascii="Cambria" w:hAnsi="Cambria"/>
                <w:sz w:val="20"/>
                <w:szCs w:val="20"/>
              </w:rPr>
            </w:pPr>
            <w:r w:rsidRPr="00227392">
              <w:rPr>
                <w:rFonts w:ascii="Cambria" w:hAnsi="Cambria"/>
                <w:sz w:val="20"/>
                <w:szCs w:val="20"/>
              </w:rPr>
              <w:t xml:space="preserve">163 (100) </w:t>
            </w:r>
          </w:p>
        </w:tc>
        <w:tc>
          <w:tcPr>
            <w:tcW w:w="1350" w:type="dxa"/>
            <w:tcBorders>
              <w:top w:val="single" w:sz="6" w:space="0" w:color="auto"/>
              <w:left w:val="single" w:sz="6" w:space="0" w:color="auto"/>
              <w:bottom w:val="single" w:sz="6" w:space="0" w:color="auto"/>
              <w:right w:val="single" w:sz="6" w:space="0" w:color="auto"/>
            </w:tcBorders>
            <w:vAlign w:val="center"/>
          </w:tcPr>
          <w:p w14:paraId="3A64A301" w14:textId="77777777" w:rsidR="00C13D35" w:rsidRPr="00227392" w:rsidRDefault="00C13D35" w:rsidP="009B153D">
            <w:pPr>
              <w:pStyle w:val="Style"/>
              <w:ind w:left="24"/>
              <w:jc w:val="center"/>
              <w:textAlignment w:val="baseline"/>
              <w:rPr>
                <w:rFonts w:ascii="Cambria" w:hAnsi="Cambria"/>
                <w:sz w:val="20"/>
                <w:szCs w:val="20"/>
              </w:rPr>
            </w:pPr>
            <w:r w:rsidRPr="00227392">
              <w:rPr>
                <w:rFonts w:ascii="Cambria" w:hAnsi="Cambria"/>
                <w:sz w:val="20"/>
                <w:szCs w:val="20"/>
              </w:rPr>
              <w:t xml:space="preserve">567 (100) </w:t>
            </w:r>
          </w:p>
        </w:tc>
      </w:tr>
      <w:tr w:rsidR="00C13D35" w:rsidRPr="00227392" w14:paraId="03FDF25A" w14:textId="77777777" w:rsidTr="006E4137">
        <w:trPr>
          <w:trHeight w:hRule="exact" w:val="384"/>
          <w:jc w:val="center"/>
        </w:trPr>
        <w:tc>
          <w:tcPr>
            <w:tcW w:w="3142" w:type="dxa"/>
            <w:tcBorders>
              <w:top w:val="single" w:sz="6" w:space="0" w:color="auto"/>
              <w:left w:val="single" w:sz="6" w:space="0" w:color="auto"/>
              <w:bottom w:val="single" w:sz="6" w:space="0" w:color="auto"/>
              <w:right w:val="single" w:sz="6" w:space="0" w:color="auto"/>
            </w:tcBorders>
            <w:vAlign w:val="center"/>
          </w:tcPr>
          <w:p w14:paraId="1F98B285" w14:textId="6B2A4E3D" w:rsidR="00C13D35" w:rsidRPr="00227392" w:rsidRDefault="00227392" w:rsidP="009B153D">
            <w:pPr>
              <w:pStyle w:val="Style"/>
              <w:ind w:left="115"/>
              <w:textAlignment w:val="baseline"/>
              <w:rPr>
                <w:rFonts w:ascii="Cambria" w:hAnsi="Cambria" w:cstheme="majorHAnsi"/>
                <w:sz w:val="20"/>
                <w:szCs w:val="20"/>
              </w:rPr>
            </w:pPr>
            <w:r>
              <w:rPr>
                <w:rFonts w:ascii="Cambria" w:hAnsi="Cambria" w:cstheme="majorHAnsi"/>
                <w:sz w:val="20"/>
                <w:szCs w:val="20"/>
              </w:rPr>
              <w:t>F</w:t>
            </w:r>
            <w:r w:rsidR="002B7493">
              <w:rPr>
                <w:rFonts w:ascii="Cambria" w:hAnsi="Cambria" w:cstheme="majorHAnsi"/>
                <w:sz w:val="20"/>
                <w:szCs w:val="20"/>
              </w:rPr>
              <w:t>ull analysis set</w:t>
            </w:r>
          </w:p>
        </w:tc>
        <w:tc>
          <w:tcPr>
            <w:tcW w:w="1448" w:type="dxa"/>
            <w:tcBorders>
              <w:top w:val="single" w:sz="6" w:space="0" w:color="auto"/>
              <w:left w:val="single" w:sz="6" w:space="0" w:color="auto"/>
              <w:bottom w:val="single" w:sz="6" w:space="0" w:color="auto"/>
              <w:right w:val="single" w:sz="6" w:space="0" w:color="auto"/>
            </w:tcBorders>
            <w:vAlign w:val="center"/>
          </w:tcPr>
          <w:p w14:paraId="40056A70" w14:textId="77777777" w:rsidR="00C13D35" w:rsidRPr="00227392" w:rsidRDefault="00C13D35" w:rsidP="009B153D">
            <w:pPr>
              <w:pStyle w:val="Style"/>
              <w:ind w:left="24"/>
              <w:jc w:val="center"/>
              <w:textAlignment w:val="baseline"/>
              <w:rPr>
                <w:rFonts w:ascii="Cambria" w:hAnsi="Cambria"/>
                <w:sz w:val="20"/>
                <w:szCs w:val="20"/>
              </w:rPr>
            </w:pPr>
            <w:r w:rsidRPr="00227392">
              <w:rPr>
                <w:rFonts w:ascii="Cambria" w:hAnsi="Cambria"/>
                <w:sz w:val="20"/>
                <w:szCs w:val="20"/>
              </w:rPr>
              <w:t xml:space="preserve">83 (100) </w:t>
            </w:r>
          </w:p>
        </w:tc>
        <w:tc>
          <w:tcPr>
            <w:tcW w:w="1350" w:type="dxa"/>
            <w:tcBorders>
              <w:top w:val="single" w:sz="6" w:space="0" w:color="auto"/>
              <w:left w:val="single" w:sz="6" w:space="0" w:color="auto"/>
              <w:bottom w:val="single" w:sz="6" w:space="0" w:color="auto"/>
              <w:right w:val="single" w:sz="6" w:space="0" w:color="auto"/>
            </w:tcBorders>
            <w:vAlign w:val="center"/>
          </w:tcPr>
          <w:p w14:paraId="2AD12786" w14:textId="77777777" w:rsidR="00C13D35" w:rsidRPr="00227392" w:rsidRDefault="00C13D35" w:rsidP="009B153D">
            <w:pPr>
              <w:pStyle w:val="Style"/>
              <w:ind w:left="29"/>
              <w:jc w:val="center"/>
              <w:textAlignment w:val="baseline"/>
              <w:rPr>
                <w:rFonts w:ascii="Cambria" w:hAnsi="Cambria"/>
                <w:sz w:val="20"/>
                <w:szCs w:val="20"/>
              </w:rPr>
            </w:pPr>
            <w:r w:rsidRPr="00227392">
              <w:rPr>
                <w:rFonts w:ascii="Cambria" w:hAnsi="Cambria"/>
                <w:sz w:val="20"/>
                <w:szCs w:val="20"/>
              </w:rPr>
              <w:t xml:space="preserve">321 (100) </w:t>
            </w:r>
          </w:p>
        </w:tc>
        <w:tc>
          <w:tcPr>
            <w:tcW w:w="1350" w:type="dxa"/>
            <w:tcBorders>
              <w:top w:val="single" w:sz="6" w:space="0" w:color="auto"/>
              <w:left w:val="single" w:sz="6" w:space="0" w:color="auto"/>
              <w:bottom w:val="single" w:sz="6" w:space="0" w:color="auto"/>
              <w:right w:val="single" w:sz="6" w:space="0" w:color="auto"/>
            </w:tcBorders>
            <w:vAlign w:val="center"/>
          </w:tcPr>
          <w:p w14:paraId="34E61B8B" w14:textId="77777777" w:rsidR="00C13D35" w:rsidRPr="00227392" w:rsidRDefault="00C13D35" w:rsidP="009B153D">
            <w:pPr>
              <w:pStyle w:val="Style"/>
              <w:ind w:left="43"/>
              <w:jc w:val="center"/>
              <w:textAlignment w:val="baseline"/>
              <w:rPr>
                <w:rFonts w:ascii="Cambria" w:hAnsi="Cambria"/>
                <w:sz w:val="20"/>
                <w:szCs w:val="20"/>
              </w:rPr>
            </w:pPr>
            <w:r w:rsidRPr="00227392">
              <w:rPr>
                <w:rFonts w:ascii="Cambria" w:hAnsi="Cambria"/>
                <w:sz w:val="20"/>
                <w:szCs w:val="20"/>
              </w:rPr>
              <w:t xml:space="preserve">162 (99.4) </w:t>
            </w:r>
          </w:p>
        </w:tc>
        <w:tc>
          <w:tcPr>
            <w:tcW w:w="1350" w:type="dxa"/>
            <w:tcBorders>
              <w:top w:val="single" w:sz="6" w:space="0" w:color="auto"/>
              <w:left w:val="single" w:sz="6" w:space="0" w:color="auto"/>
              <w:bottom w:val="single" w:sz="6" w:space="0" w:color="auto"/>
              <w:right w:val="single" w:sz="6" w:space="0" w:color="auto"/>
            </w:tcBorders>
            <w:vAlign w:val="center"/>
          </w:tcPr>
          <w:p w14:paraId="7ABB717E" w14:textId="77777777" w:rsidR="00C13D35" w:rsidRPr="00227392" w:rsidRDefault="00C13D35" w:rsidP="009B153D">
            <w:pPr>
              <w:pStyle w:val="Style"/>
              <w:ind w:left="24"/>
              <w:jc w:val="center"/>
              <w:textAlignment w:val="baseline"/>
              <w:rPr>
                <w:rFonts w:ascii="Cambria" w:hAnsi="Cambria"/>
                <w:sz w:val="20"/>
                <w:szCs w:val="20"/>
              </w:rPr>
            </w:pPr>
            <w:r w:rsidRPr="00227392">
              <w:rPr>
                <w:rFonts w:ascii="Cambria" w:hAnsi="Cambria"/>
                <w:sz w:val="20"/>
                <w:szCs w:val="20"/>
              </w:rPr>
              <w:t xml:space="preserve">566 (99.8) </w:t>
            </w:r>
          </w:p>
        </w:tc>
      </w:tr>
      <w:tr w:rsidR="00C13D35" w:rsidRPr="00227392" w14:paraId="67C4BDE8" w14:textId="77777777" w:rsidTr="006E4137">
        <w:trPr>
          <w:trHeight w:hRule="exact" w:val="394"/>
          <w:jc w:val="center"/>
        </w:trPr>
        <w:tc>
          <w:tcPr>
            <w:tcW w:w="3142" w:type="dxa"/>
            <w:tcBorders>
              <w:top w:val="single" w:sz="6" w:space="0" w:color="auto"/>
              <w:left w:val="single" w:sz="6" w:space="0" w:color="auto"/>
              <w:bottom w:val="single" w:sz="6" w:space="0" w:color="auto"/>
              <w:right w:val="single" w:sz="6" w:space="0" w:color="auto"/>
            </w:tcBorders>
            <w:vAlign w:val="center"/>
          </w:tcPr>
          <w:p w14:paraId="404718AC" w14:textId="510874F8" w:rsidR="00C13D35" w:rsidRPr="00227392" w:rsidRDefault="00227392" w:rsidP="009B153D">
            <w:pPr>
              <w:pStyle w:val="Style"/>
              <w:ind w:left="115"/>
              <w:textAlignment w:val="baseline"/>
              <w:rPr>
                <w:rFonts w:ascii="Cambria" w:hAnsi="Cambria" w:cstheme="majorHAnsi"/>
                <w:sz w:val="20"/>
                <w:szCs w:val="20"/>
              </w:rPr>
            </w:pPr>
            <w:r>
              <w:rPr>
                <w:rFonts w:ascii="Cambria" w:hAnsi="Cambria" w:cstheme="majorHAnsi"/>
                <w:sz w:val="20"/>
                <w:szCs w:val="20"/>
              </w:rPr>
              <w:t>A</w:t>
            </w:r>
            <w:r w:rsidR="002B7493">
              <w:rPr>
                <w:rFonts w:ascii="Cambria" w:hAnsi="Cambria" w:cstheme="majorHAnsi"/>
                <w:sz w:val="20"/>
                <w:szCs w:val="20"/>
              </w:rPr>
              <w:t>ctive medication set</w:t>
            </w:r>
          </w:p>
        </w:tc>
        <w:tc>
          <w:tcPr>
            <w:tcW w:w="1448" w:type="dxa"/>
            <w:tcBorders>
              <w:top w:val="single" w:sz="6" w:space="0" w:color="auto"/>
              <w:left w:val="single" w:sz="6" w:space="0" w:color="auto"/>
              <w:bottom w:val="single" w:sz="6" w:space="0" w:color="auto"/>
              <w:right w:val="single" w:sz="6" w:space="0" w:color="auto"/>
            </w:tcBorders>
            <w:vAlign w:val="center"/>
          </w:tcPr>
          <w:p w14:paraId="028A5E3F" w14:textId="77777777" w:rsidR="00C13D35" w:rsidRPr="00227392" w:rsidRDefault="00C13D35" w:rsidP="009B153D">
            <w:pPr>
              <w:pStyle w:val="Style"/>
              <w:ind w:left="24"/>
              <w:jc w:val="center"/>
              <w:textAlignment w:val="baseline"/>
              <w:rPr>
                <w:rFonts w:ascii="Cambria" w:hAnsi="Cambria"/>
                <w:sz w:val="20"/>
                <w:szCs w:val="20"/>
              </w:rPr>
            </w:pPr>
            <w:r w:rsidRPr="00227392">
              <w:rPr>
                <w:rFonts w:ascii="Cambria" w:hAnsi="Cambria"/>
                <w:sz w:val="20"/>
                <w:szCs w:val="20"/>
              </w:rPr>
              <w:t xml:space="preserve">74 (89.2) </w:t>
            </w:r>
          </w:p>
        </w:tc>
        <w:tc>
          <w:tcPr>
            <w:tcW w:w="1350" w:type="dxa"/>
            <w:tcBorders>
              <w:top w:val="single" w:sz="6" w:space="0" w:color="auto"/>
              <w:left w:val="single" w:sz="6" w:space="0" w:color="auto"/>
              <w:bottom w:val="single" w:sz="6" w:space="0" w:color="auto"/>
              <w:right w:val="single" w:sz="6" w:space="0" w:color="auto"/>
            </w:tcBorders>
            <w:vAlign w:val="center"/>
          </w:tcPr>
          <w:p w14:paraId="114E4F9C" w14:textId="77777777" w:rsidR="00C13D35" w:rsidRPr="00227392" w:rsidRDefault="00C13D35" w:rsidP="009B153D">
            <w:pPr>
              <w:pStyle w:val="Style"/>
              <w:ind w:left="29"/>
              <w:jc w:val="center"/>
              <w:textAlignment w:val="baseline"/>
              <w:rPr>
                <w:rFonts w:ascii="Cambria" w:hAnsi="Cambria"/>
                <w:sz w:val="20"/>
                <w:szCs w:val="20"/>
              </w:rPr>
            </w:pPr>
            <w:r w:rsidRPr="00227392">
              <w:rPr>
                <w:rFonts w:ascii="Cambria" w:hAnsi="Cambria"/>
                <w:sz w:val="20"/>
                <w:szCs w:val="20"/>
              </w:rPr>
              <w:t xml:space="preserve">321 (100) </w:t>
            </w:r>
          </w:p>
        </w:tc>
        <w:tc>
          <w:tcPr>
            <w:tcW w:w="1350" w:type="dxa"/>
            <w:tcBorders>
              <w:top w:val="single" w:sz="6" w:space="0" w:color="auto"/>
              <w:left w:val="single" w:sz="6" w:space="0" w:color="auto"/>
              <w:bottom w:val="single" w:sz="6" w:space="0" w:color="auto"/>
              <w:right w:val="single" w:sz="6" w:space="0" w:color="auto"/>
            </w:tcBorders>
            <w:vAlign w:val="center"/>
          </w:tcPr>
          <w:p w14:paraId="0450DA69" w14:textId="77777777" w:rsidR="00C13D35" w:rsidRPr="00227392" w:rsidRDefault="00C13D35" w:rsidP="009B153D">
            <w:pPr>
              <w:pStyle w:val="Style"/>
              <w:ind w:left="43"/>
              <w:jc w:val="center"/>
              <w:textAlignment w:val="baseline"/>
              <w:rPr>
                <w:rFonts w:ascii="Cambria" w:hAnsi="Cambria"/>
                <w:sz w:val="20"/>
                <w:szCs w:val="20"/>
              </w:rPr>
            </w:pPr>
            <w:r w:rsidRPr="00227392">
              <w:rPr>
                <w:rFonts w:ascii="Cambria" w:hAnsi="Cambria"/>
                <w:sz w:val="20"/>
                <w:szCs w:val="20"/>
              </w:rPr>
              <w:t xml:space="preserve">163 (100) </w:t>
            </w:r>
          </w:p>
        </w:tc>
        <w:tc>
          <w:tcPr>
            <w:tcW w:w="1350" w:type="dxa"/>
            <w:tcBorders>
              <w:top w:val="single" w:sz="6" w:space="0" w:color="auto"/>
              <w:left w:val="single" w:sz="6" w:space="0" w:color="auto"/>
              <w:bottom w:val="single" w:sz="6" w:space="0" w:color="auto"/>
              <w:right w:val="single" w:sz="6" w:space="0" w:color="auto"/>
            </w:tcBorders>
            <w:vAlign w:val="center"/>
          </w:tcPr>
          <w:p w14:paraId="2CD7A43F" w14:textId="77777777" w:rsidR="00C13D35" w:rsidRPr="00227392" w:rsidRDefault="00C13D35" w:rsidP="009B153D">
            <w:pPr>
              <w:pStyle w:val="Style"/>
              <w:ind w:left="24"/>
              <w:jc w:val="center"/>
              <w:textAlignment w:val="baseline"/>
              <w:rPr>
                <w:rFonts w:ascii="Cambria" w:hAnsi="Cambria"/>
                <w:sz w:val="20"/>
                <w:szCs w:val="20"/>
              </w:rPr>
            </w:pPr>
            <w:r w:rsidRPr="00227392">
              <w:rPr>
                <w:rFonts w:ascii="Cambria" w:hAnsi="Cambria"/>
                <w:sz w:val="20"/>
                <w:szCs w:val="20"/>
              </w:rPr>
              <w:t xml:space="preserve">558 (98.4) </w:t>
            </w:r>
          </w:p>
        </w:tc>
      </w:tr>
      <w:tr w:rsidR="00C13D35" w:rsidRPr="00227392" w14:paraId="5A962131" w14:textId="77777777" w:rsidTr="006E4137">
        <w:trPr>
          <w:trHeight w:hRule="exact" w:val="384"/>
          <w:jc w:val="center"/>
        </w:trPr>
        <w:tc>
          <w:tcPr>
            <w:tcW w:w="3142" w:type="dxa"/>
            <w:tcBorders>
              <w:top w:val="single" w:sz="6" w:space="0" w:color="auto"/>
              <w:left w:val="single" w:sz="6" w:space="0" w:color="auto"/>
              <w:bottom w:val="single" w:sz="6" w:space="0" w:color="auto"/>
              <w:right w:val="single" w:sz="6" w:space="0" w:color="auto"/>
            </w:tcBorders>
            <w:vAlign w:val="center"/>
          </w:tcPr>
          <w:p w14:paraId="01B64FE4" w14:textId="4C7C1CD8" w:rsidR="00C13D35" w:rsidRPr="00227392" w:rsidRDefault="00227392" w:rsidP="009B153D">
            <w:pPr>
              <w:pStyle w:val="Style"/>
              <w:ind w:left="115"/>
              <w:textAlignment w:val="baseline"/>
              <w:rPr>
                <w:rFonts w:ascii="Cambria" w:hAnsi="Cambria" w:cstheme="majorHAnsi"/>
                <w:sz w:val="20"/>
                <w:szCs w:val="20"/>
              </w:rPr>
            </w:pPr>
            <w:r>
              <w:rPr>
                <w:rFonts w:ascii="Cambria" w:hAnsi="Cambria" w:cstheme="majorHAnsi"/>
                <w:sz w:val="20"/>
                <w:szCs w:val="20"/>
              </w:rPr>
              <w:t>M</w:t>
            </w:r>
            <w:r w:rsidR="002B7493">
              <w:rPr>
                <w:rFonts w:ascii="Cambria" w:hAnsi="Cambria" w:cstheme="majorHAnsi"/>
                <w:sz w:val="20"/>
                <w:szCs w:val="20"/>
              </w:rPr>
              <w:t>aintenance set</w:t>
            </w:r>
          </w:p>
        </w:tc>
        <w:tc>
          <w:tcPr>
            <w:tcW w:w="1448" w:type="dxa"/>
            <w:tcBorders>
              <w:top w:val="single" w:sz="6" w:space="0" w:color="auto"/>
              <w:left w:val="single" w:sz="6" w:space="0" w:color="auto"/>
              <w:bottom w:val="single" w:sz="6" w:space="0" w:color="auto"/>
              <w:right w:val="single" w:sz="6" w:space="0" w:color="auto"/>
            </w:tcBorders>
            <w:vAlign w:val="center"/>
          </w:tcPr>
          <w:p w14:paraId="4A2392CD" w14:textId="77777777" w:rsidR="00C13D35" w:rsidRPr="00227392" w:rsidRDefault="00C13D35" w:rsidP="009B153D">
            <w:pPr>
              <w:pStyle w:val="Style"/>
              <w:ind w:left="24"/>
              <w:jc w:val="center"/>
              <w:textAlignment w:val="baseline"/>
              <w:rPr>
                <w:rFonts w:ascii="Cambria" w:hAnsi="Cambria"/>
                <w:sz w:val="20"/>
                <w:szCs w:val="20"/>
              </w:rPr>
            </w:pPr>
            <w:r w:rsidRPr="00227392">
              <w:rPr>
                <w:rFonts w:ascii="Cambria" w:hAnsi="Cambria"/>
                <w:sz w:val="20"/>
                <w:szCs w:val="20"/>
              </w:rPr>
              <w:t xml:space="preserve">74 (89.2) </w:t>
            </w:r>
          </w:p>
        </w:tc>
        <w:tc>
          <w:tcPr>
            <w:tcW w:w="1350" w:type="dxa"/>
            <w:tcBorders>
              <w:top w:val="single" w:sz="6" w:space="0" w:color="auto"/>
              <w:left w:val="single" w:sz="6" w:space="0" w:color="auto"/>
              <w:bottom w:val="single" w:sz="6" w:space="0" w:color="auto"/>
              <w:right w:val="single" w:sz="6" w:space="0" w:color="auto"/>
            </w:tcBorders>
            <w:vAlign w:val="center"/>
          </w:tcPr>
          <w:p w14:paraId="51C3AC6C" w14:textId="77777777" w:rsidR="00C13D35" w:rsidRPr="00227392" w:rsidRDefault="00C13D35" w:rsidP="009B153D">
            <w:pPr>
              <w:pStyle w:val="Style"/>
              <w:ind w:left="29"/>
              <w:jc w:val="center"/>
              <w:textAlignment w:val="baseline"/>
              <w:rPr>
                <w:rFonts w:ascii="Cambria" w:hAnsi="Cambria"/>
                <w:sz w:val="20"/>
                <w:szCs w:val="20"/>
              </w:rPr>
            </w:pPr>
            <w:r w:rsidRPr="00227392">
              <w:rPr>
                <w:rFonts w:ascii="Cambria" w:hAnsi="Cambria"/>
                <w:sz w:val="20"/>
                <w:szCs w:val="20"/>
              </w:rPr>
              <w:t xml:space="preserve">306 (95.3) </w:t>
            </w:r>
          </w:p>
        </w:tc>
        <w:tc>
          <w:tcPr>
            <w:tcW w:w="1350" w:type="dxa"/>
            <w:tcBorders>
              <w:top w:val="single" w:sz="6" w:space="0" w:color="auto"/>
              <w:left w:val="single" w:sz="6" w:space="0" w:color="auto"/>
              <w:bottom w:val="single" w:sz="6" w:space="0" w:color="auto"/>
              <w:right w:val="single" w:sz="6" w:space="0" w:color="auto"/>
            </w:tcBorders>
            <w:vAlign w:val="center"/>
          </w:tcPr>
          <w:p w14:paraId="5ABA95EE" w14:textId="77777777" w:rsidR="00C13D35" w:rsidRPr="00227392" w:rsidRDefault="00C13D35" w:rsidP="009B153D">
            <w:pPr>
              <w:pStyle w:val="Style"/>
              <w:ind w:left="43"/>
              <w:jc w:val="center"/>
              <w:textAlignment w:val="baseline"/>
              <w:rPr>
                <w:rFonts w:ascii="Cambria" w:hAnsi="Cambria"/>
                <w:sz w:val="20"/>
                <w:szCs w:val="20"/>
              </w:rPr>
            </w:pPr>
            <w:r w:rsidRPr="00227392">
              <w:rPr>
                <w:rFonts w:ascii="Cambria" w:hAnsi="Cambria"/>
                <w:sz w:val="20"/>
                <w:szCs w:val="20"/>
              </w:rPr>
              <w:t xml:space="preserve">157 (96.3) </w:t>
            </w:r>
          </w:p>
        </w:tc>
        <w:tc>
          <w:tcPr>
            <w:tcW w:w="1350" w:type="dxa"/>
            <w:tcBorders>
              <w:top w:val="single" w:sz="6" w:space="0" w:color="auto"/>
              <w:left w:val="single" w:sz="6" w:space="0" w:color="auto"/>
              <w:bottom w:val="single" w:sz="6" w:space="0" w:color="auto"/>
              <w:right w:val="single" w:sz="6" w:space="0" w:color="auto"/>
            </w:tcBorders>
            <w:vAlign w:val="center"/>
          </w:tcPr>
          <w:p w14:paraId="4316BE7A" w14:textId="77777777" w:rsidR="00C13D35" w:rsidRPr="00227392" w:rsidRDefault="00C13D35" w:rsidP="009B153D">
            <w:pPr>
              <w:pStyle w:val="Style"/>
              <w:ind w:left="24"/>
              <w:jc w:val="center"/>
              <w:textAlignment w:val="baseline"/>
              <w:rPr>
                <w:rFonts w:ascii="Cambria" w:hAnsi="Cambria"/>
                <w:sz w:val="20"/>
                <w:szCs w:val="20"/>
              </w:rPr>
            </w:pPr>
            <w:r w:rsidRPr="00227392">
              <w:rPr>
                <w:rFonts w:ascii="Cambria" w:hAnsi="Cambria"/>
                <w:sz w:val="20"/>
                <w:szCs w:val="20"/>
              </w:rPr>
              <w:t xml:space="preserve">537 (94.7) </w:t>
            </w:r>
          </w:p>
        </w:tc>
      </w:tr>
      <w:tr w:rsidR="00C13D35" w:rsidRPr="00227392" w14:paraId="57E175E2" w14:textId="77777777" w:rsidTr="006E4137">
        <w:trPr>
          <w:trHeight w:hRule="exact" w:val="384"/>
          <w:jc w:val="center"/>
        </w:trPr>
        <w:tc>
          <w:tcPr>
            <w:tcW w:w="3142" w:type="dxa"/>
            <w:tcBorders>
              <w:top w:val="single" w:sz="6" w:space="0" w:color="auto"/>
              <w:left w:val="single" w:sz="6" w:space="0" w:color="auto"/>
              <w:bottom w:val="single" w:sz="6" w:space="0" w:color="auto"/>
              <w:right w:val="single" w:sz="6" w:space="0" w:color="auto"/>
            </w:tcBorders>
            <w:vAlign w:val="center"/>
          </w:tcPr>
          <w:p w14:paraId="4C842A98" w14:textId="506B60A3" w:rsidR="00C13D35" w:rsidRPr="00227392" w:rsidRDefault="00227392" w:rsidP="009B153D">
            <w:pPr>
              <w:pStyle w:val="Style"/>
              <w:ind w:left="115"/>
              <w:textAlignment w:val="baseline"/>
              <w:rPr>
                <w:rFonts w:ascii="Cambria" w:hAnsi="Cambria" w:cstheme="majorHAnsi"/>
                <w:sz w:val="20"/>
                <w:szCs w:val="20"/>
              </w:rPr>
            </w:pPr>
            <w:r>
              <w:rPr>
                <w:rFonts w:ascii="Cambria" w:hAnsi="Cambria" w:cstheme="majorHAnsi"/>
                <w:sz w:val="20"/>
                <w:szCs w:val="20"/>
              </w:rPr>
              <w:t>P</w:t>
            </w:r>
            <w:r w:rsidR="002B7493">
              <w:rPr>
                <w:rFonts w:ascii="Cambria" w:hAnsi="Cambria" w:cstheme="majorHAnsi"/>
                <w:sz w:val="20"/>
                <w:szCs w:val="20"/>
              </w:rPr>
              <w:t>er protocol set</w:t>
            </w:r>
          </w:p>
        </w:tc>
        <w:tc>
          <w:tcPr>
            <w:tcW w:w="1448" w:type="dxa"/>
            <w:tcBorders>
              <w:top w:val="single" w:sz="6" w:space="0" w:color="auto"/>
              <w:left w:val="single" w:sz="6" w:space="0" w:color="auto"/>
              <w:bottom w:val="single" w:sz="6" w:space="0" w:color="auto"/>
              <w:right w:val="single" w:sz="6" w:space="0" w:color="auto"/>
            </w:tcBorders>
            <w:vAlign w:val="center"/>
          </w:tcPr>
          <w:p w14:paraId="0562E23D" w14:textId="77777777" w:rsidR="00C13D35" w:rsidRPr="00227392" w:rsidRDefault="00C13D35" w:rsidP="009B153D">
            <w:pPr>
              <w:pStyle w:val="Style"/>
              <w:ind w:left="24"/>
              <w:jc w:val="center"/>
              <w:textAlignment w:val="baseline"/>
              <w:rPr>
                <w:rFonts w:ascii="Cambria" w:hAnsi="Cambria"/>
                <w:sz w:val="20"/>
                <w:szCs w:val="20"/>
              </w:rPr>
            </w:pPr>
            <w:r w:rsidRPr="00227392">
              <w:rPr>
                <w:rFonts w:ascii="Cambria" w:hAnsi="Cambria"/>
                <w:sz w:val="20"/>
                <w:szCs w:val="20"/>
              </w:rPr>
              <w:t xml:space="preserve">81 (97.6) </w:t>
            </w:r>
          </w:p>
        </w:tc>
        <w:tc>
          <w:tcPr>
            <w:tcW w:w="1350" w:type="dxa"/>
            <w:tcBorders>
              <w:top w:val="single" w:sz="6" w:space="0" w:color="auto"/>
              <w:left w:val="single" w:sz="6" w:space="0" w:color="auto"/>
              <w:bottom w:val="single" w:sz="6" w:space="0" w:color="auto"/>
              <w:right w:val="single" w:sz="6" w:space="0" w:color="auto"/>
            </w:tcBorders>
            <w:vAlign w:val="center"/>
          </w:tcPr>
          <w:p w14:paraId="3D8DE98B" w14:textId="77777777" w:rsidR="00C13D35" w:rsidRPr="00227392" w:rsidRDefault="00C13D35" w:rsidP="009B153D">
            <w:pPr>
              <w:pStyle w:val="Style"/>
              <w:ind w:left="29"/>
              <w:jc w:val="center"/>
              <w:textAlignment w:val="baseline"/>
              <w:rPr>
                <w:rFonts w:ascii="Cambria" w:hAnsi="Cambria"/>
                <w:sz w:val="20"/>
                <w:szCs w:val="20"/>
              </w:rPr>
            </w:pPr>
            <w:r w:rsidRPr="00227392">
              <w:rPr>
                <w:rFonts w:ascii="Cambria" w:hAnsi="Cambria"/>
                <w:sz w:val="20"/>
                <w:szCs w:val="20"/>
              </w:rPr>
              <w:t xml:space="preserve">312 (97.2) </w:t>
            </w:r>
          </w:p>
        </w:tc>
        <w:tc>
          <w:tcPr>
            <w:tcW w:w="1350" w:type="dxa"/>
            <w:tcBorders>
              <w:top w:val="single" w:sz="6" w:space="0" w:color="auto"/>
              <w:left w:val="single" w:sz="6" w:space="0" w:color="auto"/>
              <w:bottom w:val="single" w:sz="6" w:space="0" w:color="auto"/>
              <w:right w:val="single" w:sz="6" w:space="0" w:color="auto"/>
            </w:tcBorders>
            <w:vAlign w:val="center"/>
          </w:tcPr>
          <w:p w14:paraId="084559DC" w14:textId="77777777" w:rsidR="00C13D35" w:rsidRPr="00227392" w:rsidRDefault="00C13D35" w:rsidP="009B153D">
            <w:pPr>
              <w:pStyle w:val="Style"/>
              <w:ind w:left="43"/>
              <w:jc w:val="center"/>
              <w:textAlignment w:val="baseline"/>
              <w:rPr>
                <w:rFonts w:ascii="Cambria" w:hAnsi="Cambria"/>
                <w:sz w:val="20"/>
                <w:szCs w:val="20"/>
              </w:rPr>
            </w:pPr>
            <w:r w:rsidRPr="00227392">
              <w:rPr>
                <w:rFonts w:ascii="Cambria" w:hAnsi="Cambria"/>
                <w:sz w:val="20"/>
                <w:szCs w:val="20"/>
              </w:rPr>
              <w:t xml:space="preserve">159 (97.5) </w:t>
            </w:r>
          </w:p>
        </w:tc>
        <w:tc>
          <w:tcPr>
            <w:tcW w:w="1350" w:type="dxa"/>
            <w:tcBorders>
              <w:top w:val="single" w:sz="6" w:space="0" w:color="auto"/>
              <w:left w:val="single" w:sz="6" w:space="0" w:color="auto"/>
              <w:bottom w:val="single" w:sz="6" w:space="0" w:color="auto"/>
              <w:right w:val="single" w:sz="6" w:space="0" w:color="auto"/>
            </w:tcBorders>
            <w:vAlign w:val="center"/>
          </w:tcPr>
          <w:p w14:paraId="6794F0A9" w14:textId="77777777" w:rsidR="00C13D35" w:rsidRPr="00227392" w:rsidRDefault="00C13D35" w:rsidP="009B153D">
            <w:pPr>
              <w:pStyle w:val="Style"/>
              <w:ind w:left="24"/>
              <w:jc w:val="center"/>
              <w:textAlignment w:val="baseline"/>
              <w:rPr>
                <w:rFonts w:ascii="Cambria" w:hAnsi="Cambria"/>
                <w:sz w:val="20"/>
                <w:szCs w:val="20"/>
              </w:rPr>
            </w:pPr>
            <w:r w:rsidRPr="00227392">
              <w:rPr>
                <w:rFonts w:ascii="Cambria" w:hAnsi="Cambria"/>
                <w:sz w:val="20"/>
                <w:szCs w:val="20"/>
              </w:rPr>
              <w:t xml:space="preserve">552 (97.4) </w:t>
            </w:r>
          </w:p>
        </w:tc>
      </w:tr>
      <w:tr w:rsidR="00C13D35" w:rsidRPr="00227392" w14:paraId="51057667" w14:textId="77777777" w:rsidTr="006E4137">
        <w:trPr>
          <w:trHeight w:hRule="exact" w:val="389"/>
          <w:jc w:val="center"/>
        </w:trPr>
        <w:tc>
          <w:tcPr>
            <w:tcW w:w="3142" w:type="dxa"/>
            <w:tcBorders>
              <w:top w:val="single" w:sz="6" w:space="0" w:color="auto"/>
              <w:left w:val="single" w:sz="6" w:space="0" w:color="auto"/>
              <w:bottom w:val="single" w:sz="6" w:space="0" w:color="auto"/>
              <w:right w:val="single" w:sz="6" w:space="0" w:color="auto"/>
            </w:tcBorders>
            <w:vAlign w:val="center"/>
          </w:tcPr>
          <w:p w14:paraId="7F744DEB" w14:textId="426722B5" w:rsidR="00C13D35" w:rsidRPr="00227392" w:rsidRDefault="00227392" w:rsidP="009B153D">
            <w:pPr>
              <w:pStyle w:val="Style"/>
              <w:ind w:left="115"/>
              <w:textAlignment w:val="baseline"/>
              <w:rPr>
                <w:rFonts w:ascii="Cambria" w:hAnsi="Cambria" w:cstheme="majorHAnsi"/>
                <w:sz w:val="20"/>
                <w:szCs w:val="20"/>
              </w:rPr>
            </w:pPr>
            <w:r>
              <w:rPr>
                <w:rFonts w:ascii="Cambria" w:hAnsi="Cambria" w:cstheme="majorHAnsi"/>
                <w:sz w:val="20"/>
                <w:szCs w:val="20"/>
              </w:rPr>
              <w:t>P</w:t>
            </w:r>
            <w:r w:rsidR="002B7493">
              <w:rPr>
                <w:rFonts w:ascii="Cambria" w:hAnsi="Cambria" w:cstheme="majorHAnsi"/>
                <w:sz w:val="20"/>
                <w:szCs w:val="20"/>
              </w:rPr>
              <w:t>harmacokinetics per protocol set</w:t>
            </w:r>
          </w:p>
        </w:tc>
        <w:tc>
          <w:tcPr>
            <w:tcW w:w="1448" w:type="dxa"/>
            <w:tcBorders>
              <w:top w:val="single" w:sz="6" w:space="0" w:color="auto"/>
              <w:left w:val="single" w:sz="6" w:space="0" w:color="auto"/>
              <w:bottom w:val="single" w:sz="6" w:space="0" w:color="auto"/>
              <w:right w:val="single" w:sz="6" w:space="0" w:color="auto"/>
            </w:tcBorders>
            <w:vAlign w:val="center"/>
          </w:tcPr>
          <w:p w14:paraId="2BDE2303" w14:textId="77777777" w:rsidR="00C13D35" w:rsidRPr="00227392" w:rsidRDefault="00C13D35" w:rsidP="009B153D">
            <w:pPr>
              <w:pStyle w:val="Style"/>
              <w:ind w:left="24"/>
              <w:jc w:val="center"/>
              <w:textAlignment w:val="baseline"/>
              <w:rPr>
                <w:rFonts w:ascii="Cambria" w:hAnsi="Cambria"/>
                <w:sz w:val="20"/>
                <w:szCs w:val="20"/>
              </w:rPr>
            </w:pPr>
            <w:r w:rsidRPr="00227392">
              <w:rPr>
                <w:rFonts w:ascii="Cambria" w:hAnsi="Cambria"/>
                <w:sz w:val="20"/>
                <w:szCs w:val="20"/>
              </w:rPr>
              <w:t xml:space="preserve">83 (100) </w:t>
            </w:r>
          </w:p>
        </w:tc>
        <w:tc>
          <w:tcPr>
            <w:tcW w:w="1350" w:type="dxa"/>
            <w:tcBorders>
              <w:top w:val="single" w:sz="6" w:space="0" w:color="auto"/>
              <w:left w:val="single" w:sz="6" w:space="0" w:color="auto"/>
              <w:bottom w:val="single" w:sz="6" w:space="0" w:color="auto"/>
              <w:right w:val="single" w:sz="6" w:space="0" w:color="auto"/>
            </w:tcBorders>
            <w:vAlign w:val="center"/>
          </w:tcPr>
          <w:p w14:paraId="03F200A3" w14:textId="77777777" w:rsidR="00C13D35" w:rsidRPr="00227392" w:rsidRDefault="00C13D35" w:rsidP="009B153D">
            <w:pPr>
              <w:pStyle w:val="Style"/>
              <w:ind w:left="29"/>
              <w:jc w:val="center"/>
              <w:textAlignment w:val="baseline"/>
              <w:rPr>
                <w:rFonts w:ascii="Cambria" w:hAnsi="Cambria"/>
                <w:sz w:val="20"/>
                <w:szCs w:val="20"/>
              </w:rPr>
            </w:pPr>
            <w:r w:rsidRPr="00227392">
              <w:rPr>
                <w:rFonts w:ascii="Cambria" w:hAnsi="Cambria"/>
                <w:sz w:val="20"/>
                <w:szCs w:val="20"/>
              </w:rPr>
              <w:t xml:space="preserve">321 (100) </w:t>
            </w:r>
          </w:p>
        </w:tc>
        <w:tc>
          <w:tcPr>
            <w:tcW w:w="1350" w:type="dxa"/>
            <w:tcBorders>
              <w:top w:val="single" w:sz="6" w:space="0" w:color="auto"/>
              <w:left w:val="single" w:sz="6" w:space="0" w:color="auto"/>
              <w:bottom w:val="single" w:sz="6" w:space="0" w:color="auto"/>
              <w:right w:val="single" w:sz="6" w:space="0" w:color="auto"/>
            </w:tcBorders>
            <w:vAlign w:val="center"/>
          </w:tcPr>
          <w:p w14:paraId="760F18D2" w14:textId="77777777" w:rsidR="00C13D35" w:rsidRPr="00227392" w:rsidRDefault="00C13D35" w:rsidP="009B153D">
            <w:pPr>
              <w:pStyle w:val="Style"/>
              <w:ind w:left="43"/>
              <w:jc w:val="center"/>
              <w:textAlignment w:val="baseline"/>
              <w:rPr>
                <w:rFonts w:ascii="Cambria" w:hAnsi="Cambria"/>
                <w:sz w:val="20"/>
                <w:szCs w:val="20"/>
              </w:rPr>
            </w:pPr>
            <w:r w:rsidRPr="00227392">
              <w:rPr>
                <w:rFonts w:ascii="Cambria" w:hAnsi="Cambria"/>
                <w:sz w:val="20"/>
                <w:szCs w:val="20"/>
              </w:rPr>
              <w:t xml:space="preserve">163 (100) </w:t>
            </w:r>
          </w:p>
        </w:tc>
        <w:tc>
          <w:tcPr>
            <w:tcW w:w="1350" w:type="dxa"/>
            <w:tcBorders>
              <w:top w:val="single" w:sz="6" w:space="0" w:color="auto"/>
              <w:left w:val="single" w:sz="6" w:space="0" w:color="auto"/>
              <w:bottom w:val="single" w:sz="6" w:space="0" w:color="auto"/>
              <w:right w:val="single" w:sz="6" w:space="0" w:color="auto"/>
            </w:tcBorders>
            <w:vAlign w:val="center"/>
          </w:tcPr>
          <w:p w14:paraId="3C38258D" w14:textId="77777777" w:rsidR="00C13D35" w:rsidRPr="00227392" w:rsidRDefault="00C13D35" w:rsidP="009B153D">
            <w:pPr>
              <w:pStyle w:val="Style"/>
              <w:ind w:left="24"/>
              <w:jc w:val="center"/>
              <w:textAlignment w:val="baseline"/>
              <w:rPr>
                <w:rFonts w:ascii="Cambria" w:hAnsi="Cambria"/>
                <w:sz w:val="20"/>
                <w:szCs w:val="20"/>
              </w:rPr>
            </w:pPr>
            <w:r w:rsidRPr="00227392">
              <w:rPr>
                <w:rFonts w:ascii="Cambria" w:hAnsi="Cambria"/>
                <w:sz w:val="20"/>
                <w:szCs w:val="20"/>
              </w:rPr>
              <w:t xml:space="preserve">567 (100) </w:t>
            </w:r>
          </w:p>
        </w:tc>
      </w:tr>
    </w:tbl>
    <w:p w14:paraId="789DC83E" w14:textId="164917BF" w:rsidR="00C13D35" w:rsidRPr="0010566D" w:rsidRDefault="00C13D35" w:rsidP="00C13D35">
      <w:pPr>
        <w:pStyle w:val="TableDescription"/>
        <w:rPr>
          <w:lang w:eastAsia="ja-JP"/>
        </w:rPr>
      </w:pPr>
      <w:r w:rsidRPr="0010566D">
        <w:rPr>
          <w:lang w:eastAsia="ja-JP"/>
        </w:rPr>
        <w:t>AMS</w:t>
      </w:r>
      <w:r w:rsidR="00227392">
        <w:rPr>
          <w:lang w:eastAsia="ja-JP"/>
        </w:rPr>
        <w:t xml:space="preserve"> </w:t>
      </w:r>
      <w:r w:rsidRPr="0010566D">
        <w:rPr>
          <w:lang w:eastAsia="ja-JP"/>
        </w:rPr>
        <w:t>=</w:t>
      </w:r>
      <w:r w:rsidR="00227392">
        <w:rPr>
          <w:lang w:eastAsia="ja-JP"/>
        </w:rPr>
        <w:t xml:space="preserve"> </w:t>
      </w:r>
      <w:r w:rsidRPr="0010566D">
        <w:rPr>
          <w:lang w:eastAsia="ja-JP"/>
        </w:rPr>
        <w:t>Active Medication Set; BKZ</w:t>
      </w:r>
      <w:r w:rsidR="00227392">
        <w:rPr>
          <w:lang w:eastAsia="ja-JP"/>
        </w:rPr>
        <w:t xml:space="preserve"> </w:t>
      </w:r>
      <w:r w:rsidRPr="0010566D">
        <w:rPr>
          <w:lang w:eastAsia="ja-JP"/>
        </w:rPr>
        <w:t>=</w:t>
      </w:r>
      <w:r w:rsidR="00227392">
        <w:rPr>
          <w:lang w:eastAsia="ja-JP"/>
        </w:rPr>
        <w:t xml:space="preserve"> </w:t>
      </w:r>
      <w:proofErr w:type="spellStart"/>
      <w:r w:rsidRPr="0010566D">
        <w:rPr>
          <w:lang w:eastAsia="ja-JP"/>
        </w:rPr>
        <w:t>bimekizumab</w:t>
      </w:r>
      <w:proofErr w:type="spellEnd"/>
      <w:r w:rsidRPr="0010566D">
        <w:rPr>
          <w:lang w:eastAsia="ja-JP"/>
        </w:rPr>
        <w:t>; FAS</w:t>
      </w:r>
      <w:r w:rsidR="00227392">
        <w:rPr>
          <w:lang w:eastAsia="ja-JP"/>
        </w:rPr>
        <w:t xml:space="preserve"> </w:t>
      </w:r>
      <w:r w:rsidRPr="0010566D">
        <w:rPr>
          <w:lang w:eastAsia="ja-JP"/>
        </w:rPr>
        <w:t>=</w:t>
      </w:r>
      <w:r w:rsidR="00227392">
        <w:rPr>
          <w:lang w:eastAsia="ja-JP"/>
        </w:rPr>
        <w:t xml:space="preserve"> </w:t>
      </w:r>
      <w:r w:rsidRPr="0010566D">
        <w:rPr>
          <w:lang w:eastAsia="ja-JP"/>
        </w:rPr>
        <w:t>Full Analysis Set; MS</w:t>
      </w:r>
      <w:r w:rsidR="00227392">
        <w:rPr>
          <w:lang w:eastAsia="ja-JP"/>
        </w:rPr>
        <w:t xml:space="preserve"> </w:t>
      </w:r>
      <w:r w:rsidRPr="0010566D">
        <w:rPr>
          <w:lang w:eastAsia="ja-JP"/>
        </w:rPr>
        <w:t>=</w:t>
      </w:r>
      <w:r w:rsidR="00227392">
        <w:rPr>
          <w:lang w:eastAsia="ja-JP"/>
        </w:rPr>
        <w:t xml:space="preserve"> </w:t>
      </w:r>
      <w:r w:rsidRPr="0010566D">
        <w:rPr>
          <w:lang w:eastAsia="ja-JP"/>
        </w:rPr>
        <w:t>Maintenance Set;</w:t>
      </w:r>
      <w:r>
        <w:rPr>
          <w:lang w:eastAsia="ja-JP"/>
        </w:rPr>
        <w:t xml:space="preserve"> </w:t>
      </w:r>
      <w:r w:rsidRPr="0010566D">
        <w:rPr>
          <w:lang w:eastAsia="ja-JP"/>
        </w:rPr>
        <w:t>PBO</w:t>
      </w:r>
      <w:r w:rsidR="00227392">
        <w:rPr>
          <w:lang w:eastAsia="ja-JP"/>
        </w:rPr>
        <w:t xml:space="preserve"> </w:t>
      </w:r>
      <w:r w:rsidRPr="0010566D">
        <w:rPr>
          <w:lang w:eastAsia="ja-JP"/>
        </w:rPr>
        <w:t>=</w:t>
      </w:r>
      <w:r w:rsidR="00227392">
        <w:rPr>
          <w:lang w:eastAsia="ja-JP"/>
        </w:rPr>
        <w:t xml:space="preserve"> </w:t>
      </w:r>
      <w:r w:rsidRPr="0010566D">
        <w:rPr>
          <w:lang w:eastAsia="ja-JP"/>
        </w:rPr>
        <w:t>placebo; PPS</w:t>
      </w:r>
      <w:r w:rsidR="00227392">
        <w:rPr>
          <w:lang w:eastAsia="ja-JP"/>
        </w:rPr>
        <w:t xml:space="preserve"> </w:t>
      </w:r>
      <w:r w:rsidRPr="0010566D">
        <w:rPr>
          <w:lang w:eastAsia="ja-JP"/>
        </w:rPr>
        <w:t>=</w:t>
      </w:r>
      <w:r w:rsidR="00227392">
        <w:rPr>
          <w:lang w:eastAsia="ja-JP"/>
        </w:rPr>
        <w:t xml:space="preserve"> </w:t>
      </w:r>
      <w:r w:rsidRPr="0010566D">
        <w:rPr>
          <w:lang w:eastAsia="ja-JP"/>
        </w:rPr>
        <w:t>Per-Protocol Set;</w:t>
      </w:r>
      <w:r>
        <w:rPr>
          <w:lang w:eastAsia="ja-JP"/>
        </w:rPr>
        <w:t xml:space="preserve"> P</w:t>
      </w:r>
      <w:r w:rsidRPr="0010566D">
        <w:rPr>
          <w:lang w:eastAsia="ja-JP"/>
        </w:rPr>
        <w:t>K-</w:t>
      </w:r>
      <w:r>
        <w:rPr>
          <w:lang w:eastAsia="ja-JP"/>
        </w:rPr>
        <w:t xml:space="preserve"> </w:t>
      </w:r>
      <w:r w:rsidRPr="0010566D">
        <w:rPr>
          <w:lang w:eastAsia="ja-JP"/>
        </w:rPr>
        <w:t>PPS</w:t>
      </w:r>
      <w:r w:rsidR="00227392">
        <w:rPr>
          <w:lang w:eastAsia="ja-JP"/>
        </w:rPr>
        <w:t xml:space="preserve"> </w:t>
      </w:r>
      <w:r w:rsidRPr="0010566D">
        <w:rPr>
          <w:lang w:eastAsia="ja-JP"/>
        </w:rPr>
        <w:t>=</w:t>
      </w:r>
      <w:r w:rsidR="00227392">
        <w:rPr>
          <w:lang w:eastAsia="ja-JP"/>
        </w:rPr>
        <w:t xml:space="preserve"> </w:t>
      </w:r>
      <w:r w:rsidRPr="0010566D">
        <w:rPr>
          <w:lang w:eastAsia="ja-JP"/>
        </w:rPr>
        <w:t xml:space="preserve">Pharmacokinetics Per-Protocol Set; </w:t>
      </w:r>
      <w:r w:rsidR="00227392">
        <w:rPr>
          <w:lang w:eastAsia="ja-JP"/>
        </w:rPr>
        <w:t xml:space="preserve">Q4W </w:t>
      </w:r>
      <w:r w:rsidRPr="0010566D">
        <w:rPr>
          <w:lang w:eastAsia="ja-JP"/>
        </w:rPr>
        <w:t>=</w:t>
      </w:r>
      <w:r w:rsidR="00227392">
        <w:rPr>
          <w:lang w:eastAsia="ja-JP"/>
        </w:rPr>
        <w:t xml:space="preserve"> </w:t>
      </w:r>
      <w:r w:rsidRPr="0010566D">
        <w:rPr>
          <w:lang w:eastAsia="ja-JP"/>
        </w:rPr>
        <w:t>every 4 weeks; RS</w:t>
      </w:r>
      <w:r w:rsidR="00227392">
        <w:rPr>
          <w:lang w:eastAsia="ja-JP"/>
        </w:rPr>
        <w:t xml:space="preserve"> </w:t>
      </w:r>
      <w:r w:rsidRPr="0010566D">
        <w:rPr>
          <w:lang w:eastAsia="ja-JP"/>
        </w:rPr>
        <w:t>=</w:t>
      </w:r>
      <w:r w:rsidR="00227392">
        <w:rPr>
          <w:lang w:eastAsia="ja-JP"/>
        </w:rPr>
        <w:t xml:space="preserve"> </w:t>
      </w:r>
      <w:r w:rsidRPr="0010566D">
        <w:rPr>
          <w:lang w:eastAsia="ja-JP"/>
        </w:rPr>
        <w:t>Randomi</w:t>
      </w:r>
      <w:r w:rsidR="00227392">
        <w:rPr>
          <w:lang w:eastAsia="ja-JP"/>
        </w:rPr>
        <w:t>s</w:t>
      </w:r>
      <w:r w:rsidRPr="0010566D">
        <w:rPr>
          <w:lang w:eastAsia="ja-JP"/>
        </w:rPr>
        <w:t>ed Set; SS</w:t>
      </w:r>
      <w:r w:rsidR="00227392">
        <w:rPr>
          <w:lang w:eastAsia="ja-JP"/>
        </w:rPr>
        <w:t xml:space="preserve"> </w:t>
      </w:r>
      <w:r w:rsidRPr="0010566D">
        <w:rPr>
          <w:lang w:eastAsia="ja-JP"/>
        </w:rPr>
        <w:t>=</w:t>
      </w:r>
      <w:r w:rsidR="00227392">
        <w:rPr>
          <w:lang w:eastAsia="ja-JP"/>
        </w:rPr>
        <w:t xml:space="preserve"> </w:t>
      </w:r>
      <w:r w:rsidRPr="0010566D">
        <w:rPr>
          <w:lang w:eastAsia="ja-JP"/>
        </w:rPr>
        <w:t>Safety Set;</w:t>
      </w:r>
      <w:r>
        <w:rPr>
          <w:lang w:eastAsia="ja-JP"/>
        </w:rPr>
        <w:t xml:space="preserve"> </w:t>
      </w:r>
      <w:proofErr w:type="spellStart"/>
      <w:r w:rsidRPr="0010566D">
        <w:rPr>
          <w:lang w:eastAsia="ja-JP"/>
        </w:rPr>
        <w:t>Uste</w:t>
      </w:r>
      <w:proofErr w:type="spellEnd"/>
      <w:r w:rsidR="00227392">
        <w:rPr>
          <w:lang w:eastAsia="ja-JP"/>
        </w:rPr>
        <w:t xml:space="preserve"> </w:t>
      </w:r>
      <w:r w:rsidRPr="0010566D">
        <w:rPr>
          <w:lang w:eastAsia="ja-JP"/>
        </w:rPr>
        <w:t>=</w:t>
      </w:r>
      <w:r w:rsidR="00227392">
        <w:rPr>
          <w:lang w:eastAsia="ja-JP"/>
        </w:rPr>
        <w:t xml:space="preserve"> </w:t>
      </w:r>
      <w:proofErr w:type="spellStart"/>
      <w:r w:rsidRPr="0010566D">
        <w:rPr>
          <w:lang w:eastAsia="ja-JP"/>
        </w:rPr>
        <w:t>ustekinumab</w:t>
      </w:r>
      <w:proofErr w:type="spellEnd"/>
      <w:r>
        <w:rPr>
          <w:lang w:eastAsia="ja-JP"/>
        </w:rPr>
        <w:t>.</w:t>
      </w:r>
    </w:p>
    <w:p w14:paraId="4C685474" w14:textId="77777777" w:rsidR="00C13D35" w:rsidRDefault="00C13D35" w:rsidP="00C13D35">
      <w:pPr>
        <w:pStyle w:val="Heading6"/>
      </w:pPr>
      <w:r>
        <w:t>Sample size</w:t>
      </w:r>
    </w:p>
    <w:p w14:paraId="1FB02AF2" w14:textId="0D20AF4A" w:rsidR="00C13D35" w:rsidRDefault="00C13D35" w:rsidP="00C13D35">
      <w:r>
        <w:t xml:space="preserve">The primary efficacy analysis was based on the comparison of </w:t>
      </w:r>
      <w:proofErr w:type="spellStart"/>
      <w:r>
        <w:t>bimekizumab</w:t>
      </w:r>
      <w:proofErr w:type="spellEnd"/>
      <w:r>
        <w:t xml:space="preserve"> to placebo for the co-primary efficacy variables of PASI 90 response and IGA 0/1 response at Week 16.</w:t>
      </w:r>
    </w:p>
    <w:p w14:paraId="446C5929" w14:textId="07763CC6" w:rsidR="00C13D35" w:rsidRDefault="00C13D35" w:rsidP="00C13D35">
      <w:r>
        <w:t xml:space="preserve">However, Week 16 comparisons of </w:t>
      </w:r>
      <w:proofErr w:type="spellStart"/>
      <w:r>
        <w:t>bimekizumab</w:t>
      </w:r>
      <w:proofErr w:type="spellEnd"/>
      <w:r>
        <w:t xml:space="preserve"> against </w:t>
      </w:r>
      <w:proofErr w:type="spellStart"/>
      <w:r>
        <w:t>ustekinumab</w:t>
      </w:r>
      <w:proofErr w:type="spellEnd"/>
      <w:r>
        <w:t xml:space="preserve"> for PASI 90 response and IGA 0/1 response were also part of a fixed sequence testing procedure to control for multiplicity. Therefore, this study was powered to show statistical superiority to </w:t>
      </w:r>
      <w:proofErr w:type="spellStart"/>
      <w:r>
        <w:t>ustekinumab</w:t>
      </w:r>
      <w:proofErr w:type="spellEnd"/>
      <w:r>
        <w:t>, based on the co-primary endpoints.</w:t>
      </w:r>
    </w:p>
    <w:p w14:paraId="0BA54C2B" w14:textId="4FA86578" w:rsidR="00C13D35" w:rsidRDefault="00C13D35" w:rsidP="00C13D35">
      <w:r>
        <w:t xml:space="preserve">The assumed response rates for PASI 90 at Week 16 were 75%, 58%, and 2% for </w:t>
      </w:r>
      <w:proofErr w:type="spellStart"/>
      <w:r>
        <w:t>bimekizumab</w:t>
      </w:r>
      <w:proofErr w:type="spellEnd"/>
      <w:r>
        <w:t xml:space="preserve">, </w:t>
      </w:r>
      <w:proofErr w:type="spellStart"/>
      <w:r>
        <w:t>ustekinumab</w:t>
      </w:r>
      <w:proofErr w:type="spellEnd"/>
      <w:r>
        <w:t xml:space="preserve">, and placebo, respectively. Additionally, the assumed response rates for IGA 0/1 were 85%, 68%, and 5% for </w:t>
      </w:r>
      <w:proofErr w:type="spellStart"/>
      <w:r>
        <w:t>bimekizumab</w:t>
      </w:r>
      <w:proofErr w:type="spellEnd"/>
      <w:r>
        <w:t xml:space="preserve">, </w:t>
      </w:r>
      <w:proofErr w:type="spellStart"/>
      <w:r>
        <w:t>ustekinumab</w:t>
      </w:r>
      <w:proofErr w:type="spellEnd"/>
      <w:r>
        <w:t xml:space="preserve">, and placebo, respectively. The assumed response rates for </w:t>
      </w:r>
      <w:proofErr w:type="spellStart"/>
      <w:r>
        <w:t>bimekizumab</w:t>
      </w:r>
      <w:proofErr w:type="spellEnd"/>
      <w:r>
        <w:t xml:space="preserve"> were based on the Phase </w:t>
      </w:r>
      <w:r w:rsidR="00227392">
        <w:t>II</w:t>
      </w:r>
      <w:r>
        <w:t xml:space="preserve">b </w:t>
      </w:r>
      <w:r w:rsidR="002B7493">
        <w:t xml:space="preserve">Study </w:t>
      </w:r>
      <w:r>
        <w:t>PS0010 data</w:t>
      </w:r>
      <w:r w:rsidR="002B7493">
        <w:t xml:space="preserve"> (see </w:t>
      </w:r>
      <w:r w:rsidR="002B7493">
        <w:fldChar w:fldCharType="begin"/>
      </w:r>
      <w:r w:rsidR="002B7493">
        <w:instrText xml:space="preserve"> REF _Ref132378660 \h </w:instrText>
      </w:r>
      <w:r w:rsidR="002B7493">
        <w:fldChar w:fldCharType="separate"/>
      </w:r>
      <w:r w:rsidR="00B54079">
        <w:t>Study PS0010</w:t>
      </w:r>
      <w:r w:rsidR="002B7493">
        <w:fldChar w:fldCharType="end"/>
      </w:r>
      <w:r w:rsidR="002B7493">
        <w:t>, above)</w:t>
      </w:r>
      <w:r>
        <w:t xml:space="preserve">. The power to show statistical superiority of </w:t>
      </w:r>
      <w:proofErr w:type="spellStart"/>
      <w:r>
        <w:t>bimekizumab</w:t>
      </w:r>
      <w:proofErr w:type="spellEnd"/>
      <w:r>
        <w:t xml:space="preserve"> relative to placebo under these assumptions was </w:t>
      </w:r>
      <w:r w:rsidR="00227392">
        <w:t xml:space="preserve">greater than </w:t>
      </w:r>
      <w:r>
        <w:t>99% for the co-primary endpoints.</w:t>
      </w:r>
    </w:p>
    <w:p w14:paraId="5F67D207" w14:textId="6A5A2398" w:rsidR="00C13D35" w:rsidRDefault="00C13D35" w:rsidP="00C13D35">
      <w:r>
        <w:lastRenderedPageBreak/>
        <w:t xml:space="preserve">The power to detect a statistically significant difference between </w:t>
      </w:r>
      <w:proofErr w:type="spellStart"/>
      <w:r>
        <w:t>bimekizumab</w:t>
      </w:r>
      <w:proofErr w:type="spellEnd"/>
      <w:r>
        <w:t xml:space="preserve"> and </w:t>
      </w:r>
      <w:proofErr w:type="spellStart"/>
      <w:r>
        <w:t>ustekinumab</w:t>
      </w:r>
      <w:proofErr w:type="spellEnd"/>
      <w:r>
        <w:t xml:space="preserve"> at a </w:t>
      </w:r>
      <w:proofErr w:type="gramStart"/>
      <w:r w:rsidR="00227392">
        <w:t xml:space="preserve">two </w:t>
      </w:r>
      <w:r>
        <w:t>sided</w:t>
      </w:r>
      <w:proofErr w:type="gramEnd"/>
      <w:r>
        <w:t xml:space="preserve"> significance level of 0.05 was 95% for PASI 90 response and 98% for IGA 0/1 response. Because both co-primary endpoints were highly powered independently, and because PASI and IGA response tend to be highly correlated, the overall power for achieving superiority on both co-primary endpoints was not calculated.</w:t>
      </w:r>
    </w:p>
    <w:p w14:paraId="2CF15087" w14:textId="21D01B1E" w:rsidR="00C13D35" w:rsidRDefault="00C13D35" w:rsidP="00C13D35">
      <w:r>
        <w:t xml:space="preserve">Note that the power for the non-inferiority testing between </w:t>
      </w:r>
      <w:proofErr w:type="spellStart"/>
      <w:r>
        <w:t>bimekizumab</w:t>
      </w:r>
      <w:proofErr w:type="spellEnd"/>
      <w:r>
        <w:t xml:space="preserve"> and </w:t>
      </w:r>
      <w:proofErr w:type="spellStart"/>
      <w:r>
        <w:t>ustekinumab</w:t>
      </w:r>
      <w:proofErr w:type="spellEnd"/>
      <w:r>
        <w:t xml:space="preserve"> for both PASI 90 and IGA 0/1 responses was </w:t>
      </w:r>
      <w:r w:rsidR="00227392">
        <w:t xml:space="preserve">greater than </w:t>
      </w:r>
      <w:r>
        <w:t xml:space="preserve">99% based on a </w:t>
      </w:r>
      <w:proofErr w:type="gramStart"/>
      <w:r w:rsidR="00227392">
        <w:t xml:space="preserve">one </w:t>
      </w:r>
      <w:r>
        <w:t>sided</w:t>
      </w:r>
      <w:proofErr w:type="gramEnd"/>
      <w:r>
        <w:t xml:space="preserve"> significance level of 0.025 and a non-inferiority margin of 10%.</w:t>
      </w:r>
    </w:p>
    <w:p w14:paraId="647D2614" w14:textId="084C8E4C" w:rsidR="00C13D35" w:rsidRDefault="00C13D35" w:rsidP="00C13D35">
      <w:pPr>
        <w:pStyle w:val="Heading6"/>
      </w:pPr>
      <w:r>
        <w:t>Statistical methods</w:t>
      </w:r>
    </w:p>
    <w:p w14:paraId="302AB677" w14:textId="54458419" w:rsidR="00C13D35" w:rsidRDefault="00C13D35" w:rsidP="00C13D35">
      <w:r>
        <w:t xml:space="preserve">The primary analysis was based on the stratified CMH test, where region and prior biologic exposure (yes/no) were used as stratification variables. </w:t>
      </w:r>
    </w:p>
    <w:p w14:paraId="71A6CDF7" w14:textId="09AB5D43" w:rsidR="00C13D35" w:rsidRDefault="00C13D35" w:rsidP="00C13D35">
      <w:r>
        <w:t xml:space="preserve">For the assessment of noninferiority, a noninferiority margin of 10% was used and evaluated based on the CI for the stratified CMH risk difference between </w:t>
      </w:r>
      <w:proofErr w:type="spellStart"/>
      <w:r>
        <w:t>bimekizumab</w:t>
      </w:r>
      <w:proofErr w:type="spellEnd"/>
      <w:r>
        <w:t xml:space="preserve"> and </w:t>
      </w:r>
      <w:proofErr w:type="spellStart"/>
      <w:r>
        <w:t>ustekinumab</w:t>
      </w:r>
      <w:proofErr w:type="spellEnd"/>
      <w:r>
        <w:t xml:space="preserve">. A noninferiority margin of 10% has been selected, as this </w:t>
      </w:r>
      <w:proofErr w:type="gramStart"/>
      <w:r>
        <w:t>is considered to be</w:t>
      </w:r>
      <w:proofErr w:type="gramEnd"/>
      <w:r>
        <w:t xml:space="preserve"> a clinically relevant difference that could influence the choice of interventions used to treat chronic plaque psoriasis. Therefore, a difference within the 10% noninferiority margin would suggest a similar impact on efficacy between the treatments. The evaluation of superiority to placebo used pairwise treatment comparisons based on the CMH test using the P-value for the general association. The odds ratio and associated CI based on the Wald test was presented. If </w:t>
      </w:r>
      <w:r w:rsidR="00227392">
        <w:t>one</w:t>
      </w:r>
      <w:r>
        <w:t xml:space="preserve"> of the treatment groups had </w:t>
      </w:r>
      <w:r w:rsidR="00305A86">
        <w:t>0</w:t>
      </w:r>
      <w:r>
        <w:t xml:space="preserve"> or very low response where CMH could no longer be used, the logit method was applied instead. </w:t>
      </w:r>
    </w:p>
    <w:p w14:paraId="4D751391" w14:textId="51F3C31D" w:rsidR="00C13D35" w:rsidRDefault="00C13D35" w:rsidP="00C13D35">
      <w:r>
        <w:t>Non</w:t>
      </w:r>
      <w:r w:rsidR="00227392">
        <w:t>-</w:t>
      </w:r>
      <w:r>
        <w:t xml:space="preserve">responder imputation was used to account for missing data in the primary analysis. Specifically, any study participant who withdrew from </w:t>
      </w:r>
      <w:r w:rsidR="00305A86">
        <w:t xml:space="preserve">treatment </w:t>
      </w:r>
      <w:r>
        <w:t>prior to Week 16 or who had missing data for the co-primary efficacy variables at the Week 16 time point was considered as a non</w:t>
      </w:r>
      <w:r w:rsidR="00227392">
        <w:t>-</w:t>
      </w:r>
      <w:r>
        <w:t>responder.</w:t>
      </w:r>
    </w:p>
    <w:p w14:paraId="7219D163" w14:textId="19D4BFD0" w:rsidR="00C13D35" w:rsidRDefault="00C13D35" w:rsidP="00C13D35">
      <w:pPr>
        <w:pStyle w:val="Heading6"/>
      </w:pPr>
      <w:r w:rsidRPr="004051B7">
        <w:t xml:space="preserve">Baseline </w:t>
      </w:r>
      <w:r>
        <w:t>demographic characteristics</w:t>
      </w:r>
    </w:p>
    <w:p w14:paraId="6382C7BC" w14:textId="7F87C3F1" w:rsidR="00C13D35" w:rsidRDefault="00C13D35" w:rsidP="00C13D35">
      <w:r w:rsidRPr="00CA328C">
        <w:rPr>
          <w:bCs/>
        </w:rPr>
        <w:t xml:space="preserve">The age range across the study participants was </w:t>
      </w:r>
      <w:r w:rsidR="00305A86">
        <w:rPr>
          <w:bCs/>
        </w:rPr>
        <w:t xml:space="preserve">from </w:t>
      </w:r>
      <w:r w:rsidRPr="00CA328C">
        <w:rPr>
          <w:bCs/>
        </w:rPr>
        <w:t>18 to 8</w:t>
      </w:r>
      <w:r w:rsidR="00305A86">
        <w:rPr>
          <w:bCs/>
        </w:rPr>
        <w:t>4</w:t>
      </w:r>
      <w:r w:rsidRPr="00CA328C">
        <w:rPr>
          <w:bCs/>
        </w:rPr>
        <w:t xml:space="preserve"> years. There were more males </w:t>
      </w:r>
      <w:r w:rsidR="00305A86">
        <w:rPr>
          <w:bCs/>
        </w:rPr>
        <w:t>(</w:t>
      </w:r>
      <w:r w:rsidRPr="00D16809">
        <w:t>406 (71.6</w:t>
      </w:r>
      <w:r>
        <w:t>%</w:t>
      </w:r>
      <w:r w:rsidRPr="00D16809">
        <w:t>)</w:t>
      </w:r>
      <w:r w:rsidR="00305A86">
        <w:t>)</w:t>
      </w:r>
      <w:r w:rsidRPr="00D16809">
        <w:t xml:space="preserve"> </w:t>
      </w:r>
      <w:r w:rsidRPr="00CA328C">
        <w:rPr>
          <w:bCs/>
        </w:rPr>
        <w:t xml:space="preserve">than females </w:t>
      </w:r>
      <w:r w:rsidR="00305A86">
        <w:rPr>
          <w:bCs/>
        </w:rPr>
        <w:t>(</w:t>
      </w:r>
      <w:r w:rsidRPr="00D16809">
        <w:t>161 (28.4</w:t>
      </w:r>
      <w:r w:rsidR="00305A86">
        <w:t>%</w:t>
      </w:r>
      <w:r w:rsidRPr="00D16809">
        <w:t>)</w:t>
      </w:r>
      <w:r w:rsidR="00305A86">
        <w:t>)</w:t>
      </w:r>
      <w:r w:rsidRPr="00D16809">
        <w:t>,</w:t>
      </w:r>
      <w:r w:rsidRPr="00CA328C">
        <w:t xml:space="preserve"> as per</w:t>
      </w:r>
      <w:r w:rsidR="00227392">
        <w:t xml:space="preserve"> </w:t>
      </w:r>
      <w:r w:rsidR="00227392">
        <w:fldChar w:fldCharType="begin"/>
      </w:r>
      <w:r w:rsidR="00227392">
        <w:instrText xml:space="preserve"> REF _Ref129954771 \h </w:instrText>
      </w:r>
      <w:r w:rsidR="00227392">
        <w:fldChar w:fldCharType="separate"/>
      </w:r>
      <w:r w:rsidR="00B54079" w:rsidRPr="00227392">
        <w:t xml:space="preserve">Table </w:t>
      </w:r>
      <w:r w:rsidR="00B54079">
        <w:rPr>
          <w:noProof/>
        </w:rPr>
        <w:t>27</w:t>
      </w:r>
      <w:r w:rsidR="00227392">
        <w:fldChar w:fldCharType="end"/>
      </w:r>
      <w:r w:rsidRPr="00CA328C">
        <w:t>.</w:t>
      </w:r>
    </w:p>
    <w:p w14:paraId="14F84073" w14:textId="12CD3A45" w:rsidR="00B57A0A" w:rsidRDefault="00B57A0A">
      <w:pPr>
        <w:spacing w:before="0" w:after="200" w:line="0" w:lineRule="auto"/>
      </w:pPr>
      <w:r>
        <w:br w:type="page"/>
      </w:r>
    </w:p>
    <w:p w14:paraId="68840D76" w14:textId="3849A7FD" w:rsidR="00227392" w:rsidRDefault="00C13D35" w:rsidP="00227392">
      <w:pPr>
        <w:pStyle w:val="TableTitle"/>
      </w:pPr>
      <w:bookmarkStart w:id="104" w:name="_Ref129954771"/>
      <w:r w:rsidRPr="00227392">
        <w:lastRenderedPageBreak/>
        <w:t xml:space="preserve">Table </w:t>
      </w:r>
      <w:r w:rsidR="00172397">
        <w:fldChar w:fldCharType="begin"/>
      </w:r>
      <w:r w:rsidR="00172397">
        <w:instrText xml:space="preserve"> SEQ Table \* ARABIC </w:instrText>
      </w:r>
      <w:r w:rsidR="00172397">
        <w:fldChar w:fldCharType="separate"/>
      </w:r>
      <w:r w:rsidR="00B54079">
        <w:rPr>
          <w:noProof/>
        </w:rPr>
        <w:t>27</w:t>
      </w:r>
      <w:r w:rsidR="00172397">
        <w:rPr>
          <w:noProof/>
        </w:rPr>
        <w:fldChar w:fldCharType="end"/>
      </w:r>
      <w:bookmarkEnd w:id="104"/>
      <w:r>
        <w:t>:</w:t>
      </w:r>
      <w:r w:rsidR="00227392">
        <w:t xml:space="preserve"> Study PS0009 </w:t>
      </w:r>
      <w:r w:rsidR="00227392" w:rsidRPr="00227392">
        <w:t>Baseline demographic characteristics</w:t>
      </w:r>
    </w:p>
    <w:tbl>
      <w:tblPr>
        <w:tblW w:w="5000" w:type="pct"/>
        <w:jc w:val="center"/>
        <w:tblCellMar>
          <w:left w:w="0" w:type="dxa"/>
          <w:right w:w="0" w:type="dxa"/>
        </w:tblCellMar>
        <w:tblLook w:val="0000" w:firstRow="0" w:lastRow="0" w:firstColumn="0" w:lastColumn="0" w:noHBand="0" w:noVBand="0"/>
      </w:tblPr>
      <w:tblGrid>
        <w:gridCol w:w="2053"/>
        <w:gridCol w:w="1670"/>
        <w:gridCol w:w="1643"/>
        <w:gridCol w:w="1592"/>
        <w:gridCol w:w="1530"/>
      </w:tblGrid>
      <w:tr w:rsidR="00C13D35" w14:paraId="08718E69" w14:textId="77777777" w:rsidTr="008A3252">
        <w:trPr>
          <w:trHeight w:val="1501"/>
          <w:jc w:val="center"/>
        </w:trPr>
        <w:tc>
          <w:tcPr>
            <w:tcW w:w="1209" w:type="pct"/>
            <w:tcBorders>
              <w:top w:val="single" w:sz="6" w:space="0" w:color="auto"/>
              <w:left w:val="single" w:sz="6" w:space="0" w:color="auto"/>
              <w:right w:val="single" w:sz="6" w:space="0" w:color="auto"/>
            </w:tcBorders>
            <w:vAlign w:val="center"/>
          </w:tcPr>
          <w:p w14:paraId="3FD5185A" w14:textId="49A81556" w:rsidR="00C13D35" w:rsidRDefault="00C13D35" w:rsidP="008A3252">
            <w:pPr>
              <w:pStyle w:val="Style"/>
              <w:jc w:val="center"/>
              <w:textAlignment w:val="baseline"/>
              <w:rPr>
                <w:sz w:val="20"/>
                <w:szCs w:val="20"/>
              </w:rPr>
            </w:pPr>
            <w:r>
              <w:rPr>
                <w:b/>
                <w:sz w:val="21"/>
                <w:szCs w:val="21"/>
              </w:rPr>
              <w:t>Variable</w:t>
            </w:r>
          </w:p>
        </w:tc>
        <w:tc>
          <w:tcPr>
            <w:tcW w:w="984" w:type="pct"/>
            <w:tcBorders>
              <w:top w:val="single" w:sz="6" w:space="0" w:color="auto"/>
              <w:left w:val="single" w:sz="6" w:space="0" w:color="auto"/>
              <w:right w:val="single" w:sz="6" w:space="0" w:color="auto"/>
            </w:tcBorders>
            <w:vAlign w:val="center"/>
          </w:tcPr>
          <w:p w14:paraId="6D141979" w14:textId="6BEFCF4D" w:rsidR="00C13D35" w:rsidRPr="00D16809" w:rsidRDefault="00C13D35" w:rsidP="009B153D">
            <w:pPr>
              <w:pStyle w:val="Style"/>
              <w:ind w:left="24"/>
              <w:jc w:val="center"/>
              <w:textAlignment w:val="baseline"/>
              <w:rPr>
                <w:sz w:val="21"/>
                <w:szCs w:val="21"/>
              </w:rPr>
            </w:pPr>
            <w:r>
              <w:rPr>
                <w:b/>
                <w:sz w:val="21"/>
                <w:szCs w:val="21"/>
              </w:rPr>
              <w:t>PBO/BKZ 320</w:t>
            </w:r>
            <w:r w:rsidR="00227392">
              <w:rPr>
                <w:b/>
                <w:sz w:val="21"/>
                <w:szCs w:val="21"/>
              </w:rPr>
              <w:t xml:space="preserve"> </w:t>
            </w:r>
            <w:r>
              <w:rPr>
                <w:b/>
                <w:sz w:val="21"/>
                <w:szCs w:val="21"/>
              </w:rPr>
              <w:t xml:space="preserve">mg </w:t>
            </w:r>
          </w:p>
          <w:p w14:paraId="37223390" w14:textId="36617FAD" w:rsidR="00C13D35" w:rsidRPr="00D16809" w:rsidRDefault="00F23C97" w:rsidP="009B153D">
            <w:pPr>
              <w:pStyle w:val="Style"/>
              <w:ind w:left="24"/>
              <w:jc w:val="center"/>
              <w:textAlignment w:val="baseline"/>
              <w:rPr>
                <w:sz w:val="21"/>
                <w:szCs w:val="21"/>
              </w:rPr>
            </w:pPr>
            <w:r>
              <w:rPr>
                <w:b/>
                <w:sz w:val="21"/>
                <w:szCs w:val="21"/>
              </w:rPr>
              <w:t>every 4 weeks</w:t>
            </w:r>
            <w:r w:rsidR="00C13D35">
              <w:rPr>
                <w:b/>
                <w:sz w:val="21"/>
                <w:szCs w:val="21"/>
              </w:rPr>
              <w:t xml:space="preserve"> </w:t>
            </w:r>
          </w:p>
          <w:p w14:paraId="3620F7DA" w14:textId="3647AD51" w:rsidR="00C13D35" w:rsidRPr="00D16809" w:rsidRDefault="00C13D35" w:rsidP="009B153D">
            <w:pPr>
              <w:pStyle w:val="Style"/>
              <w:ind w:left="24"/>
              <w:jc w:val="center"/>
              <w:textAlignment w:val="baseline"/>
              <w:rPr>
                <w:sz w:val="21"/>
                <w:szCs w:val="21"/>
              </w:rPr>
            </w:pPr>
            <w:r>
              <w:rPr>
                <w:b/>
                <w:sz w:val="21"/>
                <w:szCs w:val="21"/>
              </w:rPr>
              <w:t>N</w:t>
            </w:r>
            <w:r w:rsidR="00227392">
              <w:rPr>
                <w:b/>
                <w:sz w:val="21"/>
                <w:szCs w:val="21"/>
              </w:rPr>
              <w:t xml:space="preserve"> </w:t>
            </w:r>
            <w:r>
              <w:rPr>
                <w:b/>
                <w:sz w:val="21"/>
                <w:szCs w:val="21"/>
              </w:rPr>
              <w:t>=</w:t>
            </w:r>
            <w:r w:rsidR="00227392">
              <w:rPr>
                <w:b/>
                <w:sz w:val="21"/>
                <w:szCs w:val="21"/>
              </w:rPr>
              <w:t xml:space="preserve"> </w:t>
            </w:r>
            <w:r>
              <w:rPr>
                <w:b/>
                <w:sz w:val="21"/>
                <w:szCs w:val="21"/>
              </w:rPr>
              <w:t xml:space="preserve">83 </w:t>
            </w:r>
          </w:p>
          <w:p w14:paraId="29D12630" w14:textId="77777777" w:rsidR="00C13D35" w:rsidRPr="00D16809" w:rsidRDefault="00C13D35" w:rsidP="009B153D">
            <w:pPr>
              <w:pStyle w:val="Style"/>
              <w:ind w:left="24"/>
              <w:jc w:val="center"/>
              <w:textAlignment w:val="baseline"/>
              <w:rPr>
                <w:sz w:val="21"/>
                <w:szCs w:val="21"/>
              </w:rPr>
            </w:pPr>
            <w:r>
              <w:rPr>
                <w:b/>
                <w:sz w:val="21"/>
                <w:szCs w:val="21"/>
              </w:rPr>
              <w:t xml:space="preserve">n </w:t>
            </w:r>
            <w:r>
              <w:rPr>
                <w:rFonts w:ascii="Arial" w:eastAsia="Arial" w:hAnsi="Arial" w:cs="Arial"/>
                <w:w w:val="114"/>
                <w:sz w:val="20"/>
                <w:szCs w:val="20"/>
              </w:rPr>
              <w:t xml:space="preserve">(%) </w:t>
            </w:r>
          </w:p>
        </w:tc>
        <w:tc>
          <w:tcPr>
            <w:tcW w:w="968" w:type="pct"/>
            <w:tcBorders>
              <w:top w:val="single" w:sz="6" w:space="0" w:color="auto"/>
              <w:left w:val="single" w:sz="6" w:space="0" w:color="auto"/>
              <w:right w:val="single" w:sz="6" w:space="0" w:color="auto"/>
            </w:tcBorders>
            <w:vAlign w:val="center"/>
          </w:tcPr>
          <w:p w14:paraId="57B2B78F" w14:textId="69F0AD70" w:rsidR="00C13D35" w:rsidRPr="00D16809" w:rsidRDefault="00C13D35" w:rsidP="009B153D">
            <w:pPr>
              <w:pStyle w:val="Style"/>
              <w:ind w:left="19"/>
              <w:jc w:val="center"/>
              <w:textAlignment w:val="baseline"/>
              <w:rPr>
                <w:sz w:val="21"/>
                <w:szCs w:val="21"/>
              </w:rPr>
            </w:pPr>
            <w:r>
              <w:rPr>
                <w:b/>
                <w:sz w:val="21"/>
                <w:szCs w:val="21"/>
              </w:rPr>
              <w:t>BKZ320</w:t>
            </w:r>
            <w:r w:rsidR="00227392">
              <w:rPr>
                <w:b/>
                <w:sz w:val="21"/>
                <w:szCs w:val="21"/>
              </w:rPr>
              <w:t xml:space="preserve"> </w:t>
            </w:r>
            <w:r>
              <w:rPr>
                <w:b/>
                <w:sz w:val="21"/>
                <w:szCs w:val="21"/>
              </w:rPr>
              <w:t xml:space="preserve">mg </w:t>
            </w:r>
          </w:p>
          <w:p w14:paraId="7E38C4A8" w14:textId="24C91AF4" w:rsidR="00C13D35" w:rsidRPr="00D16809" w:rsidRDefault="00F23C97" w:rsidP="009B153D">
            <w:pPr>
              <w:pStyle w:val="Style"/>
              <w:ind w:left="19"/>
              <w:jc w:val="center"/>
              <w:textAlignment w:val="baseline"/>
              <w:rPr>
                <w:sz w:val="21"/>
                <w:szCs w:val="21"/>
              </w:rPr>
            </w:pPr>
            <w:r>
              <w:rPr>
                <w:b/>
                <w:sz w:val="21"/>
                <w:szCs w:val="21"/>
              </w:rPr>
              <w:t>every 4 weeks</w:t>
            </w:r>
            <w:r w:rsidR="00C13D35">
              <w:rPr>
                <w:b/>
                <w:sz w:val="21"/>
                <w:szCs w:val="21"/>
              </w:rPr>
              <w:t xml:space="preserve"> </w:t>
            </w:r>
          </w:p>
          <w:p w14:paraId="62DD6DD2" w14:textId="13CBB41D" w:rsidR="00C13D35" w:rsidRPr="00D16809" w:rsidRDefault="00C13D35" w:rsidP="009B153D">
            <w:pPr>
              <w:pStyle w:val="Style"/>
              <w:ind w:left="19"/>
              <w:jc w:val="center"/>
              <w:textAlignment w:val="baseline"/>
              <w:rPr>
                <w:sz w:val="21"/>
                <w:szCs w:val="21"/>
              </w:rPr>
            </w:pPr>
            <w:r>
              <w:rPr>
                <w:b/>
                <w:sz w:val="21"/>
                <w:szCs w:val="21"/>
              </w:rPr>
              <w:t>N</w:t>
            </w:r>
            <w:r w:rsidR="00227392">
              <w:rPr>
                <w:b/>
                <w:sz w:val="21"/>
                <w:szCs w:val="21"/>
              </w:rPr>
              <w:t xml:space="preserve"> </w:t>
            </w:r>
            <w:r>
              <w:rPr>
                <w:b/>
                <w:sz w:val="21"/>
                <w:szCs w:val="21"/>
              </w:rPr>
              <w:t>=</w:t>
            </w:r>
            <w:r w:rsidR="00227392">
              <w:rPr>
                <w:b/>
                <w:sz w:val="21"/>
                <w:szCs w:val="21"/>
              </w:rPr>
              <w:t xml:space="preserve"> </w:t>
            </w:r>
            <w:r>
              <w:rPr>
                <w:b/>
                <w:sz w:val="21"/>
                <w:szCs w:val="21"/>
              </w:rPr>
              <w:t xml:space="preserve">321 </w:t>
            </w:r>
          </w:p>
          <w:p w14:paraId="63CAF6D1" w14:textId="77777777" w:rsidR="00C13D35" w:rsidRPr="00D16809" w:rsidRDefault="00C13D35" w:rsidP="009B153D">
            <w:pPr>
              <w:pStyle w:val="Style"/>
              <w:ind w:left="19"/>
              <w:jc w:val="center"/>
              <w:textAlignment w:val="baseline"/>
              <w:rPr>
                <w:sz w:val="21"/>
                <w:szCs w:val="21"/>
              </w:rPr>
            </w:pPr>
            <w:r>
              <w:rPr>
                <w:b/>
                <w:sz w:val="21"/>
                <w:szCs w:val="21"/>
              </w:rPr>
              <w:t xml:space="preserve">n </w:t>
            </w:r>
            <w:r>
              <w:rPr>
                <w:rFonts w:ascii="Arial" w:eastAsia="Arial" w:hAnsi="Arial" w:cs="Arial"/>
                <w:w w:val="114"/>
                <w:sz w:val="20"/>
                <w:szCs w:val="20"/>
              </w:rPr>
              <w:t xml:space="preserve">(%) </w:t>
            </w:r>
          </w:p>
        </w:tc>
        <w:tc>
          <w:tcPr>
            <w:tcW w:w="938" w:type="pct"/>
            <w:tcBorders>
              <w:top w:val="single" w:sz="6" w:space="0" w:color="auto"/>
              <w:left w:val="single" w:sz="6" w:space="0" w:color="auto"/>
              <w:right w:val="single" w:sz="6" w:space="0" w:color="auto"/>
            </w:tcBorders>
            <w:vAlign w:val="center"/>
          </w:tcPr>
          <w:p w14:paraId="45460DBA" w14:textId="77777777" w:rsidR="00C13D35" w:rsidRPr="00D16809" w:rsidRDefault="00C13D35" w:rsidP="009B153D">
            <w:pPr>
              <w:pStyle w:val="Style"/>
              <w:ind w:left="43"/>
              <w:jc w:val="center"/>
              <w:textAlignment w:val="baseline"/>
              <w:rPr>
                <w:sz w:val="21"/>
                <w:szCs w:val="21"/>
              </w:rPr>
            </w:pPr>
            <w:proofErr w:type="spellStart"/>
            <w:r>
              <w:rPr>
                <w:b/>
                <w:sz w:val="21"/>
                <w:szCs w:val="21"/>
              </w:rPr>
              <w:t>Uste</w:t>
            </w:r>
            <w:proofErr w:type="spellEnd"/>
            <w:r>
              <w:rPr>
                <w:b/>
                <w:sz w:val="21"/>
                <w:szCs w:val="21"/>
              </w:rPr>
              <w:t xml:space="preserve"> </w:t>
            </w:r>
          </w:p>
          <w:p w14:paraId="2B897AF4" w14:textId="4F565109" w:rsidR="00C13D35" w:rsidRPr="00D16809" w:rsidRDefault="00C13D35" w:rsidP="009B153D">
            <w:pPr>
              <w:pStyle w:val="Style"/>
              <w:ind w:left="43"/>
              <w:jc w:val="center"/>
              <w:textAlignment w:val="baseline"/>
              <w:rPr>
                <w:sz w:val="21"/>
                <w:szCs w:val="21"/>
              </w:rPr>
            </w:pPr>
            <w:r>
              <w:rPr>
                <w:b/>
                <w:sz w:val="21"/>
                <w:szCs w:val="21"/>
              </w:rPr>
              <w:t>N</w:t>
            </w:r>
            <w:r w:rsidR="00227392">
              <w:rPr>
                <w:b/>
                <w:sz w:val="21"/>
                <w:szCs w:val="21"/>
              </w:rPr>
              <w:t xml:space="preserve"> </w:t>
            </w:r>
            <w:r>
              <w:rPr>
                <w:b/>
                <w:sz w:val="21"/>
                <w:szCs w:val="21"/>
              </w:rPr>
              <w:t>=</w:t>
            </w:r>
            <w:r w:rsidR="00227392">
              <w:rPr>
                <w:b/>
                <w:sz w:val="21"/>
                <w:szCs w:val="21"/>
              </w:rPr>
              <w:t xml:space="preserve"> </w:t>
            </w:r>
            <w:r>
              <w:rPr>
                <w:b/>
                <w:sz w:val="21"/>
                <w:szCs w:val="21"/>
              </w:rPr>
              <w:t xml:space="preserve">163 </w:t>
            </w:r>
          </w:p>
          <w:p w14:paraId="543EA913" w14:textId="77777777" w:rsidR="00C13D35" w:rsidRPr="00D16809" w:rsidRDefault="00C13D35" w:rsidP="009B153D">
            <w:pPr>
              <w:pStyle w:val="Style"/>
              <w:ind w:left="43"/>
              <w:jc w:val="center"/>
              <w:textAlignment w:val="baseline"/>
              <w:rPr>
                <w:sz w:val="21"/>
                <w:szCs w:val="21"/>
              </w:rPr>
            </w:pPr>
            <w:r>
              <w:rPr>
                <w:b/>
                <w:sz w:val="21"/>
                <w:szCs w:val="21"/>
              </w:rPr>
              <w:t xml:space="preserve">n </w:t>
            </w:r>
            <w:r>
              <w:rPr>
                <w:rFonts w:ascii="Arial" w:eastAsia="Arial" w:hAnsi="Arial" w:cs="Arial"/>
                <w:w w:val="114"/>
                <w:sz w:val="20"/>
                <w:szCs w:val="20"/>
              </w:rPr>
              <w:t xml:space="preserve">(%) </w:t>
            </w:r>
          </w:p>
        </w:tc>
        <w:tc>
          <w:tcPr>
            <w:tcW w:w="901" w:type="pct"/>
            <w:tcBorders>
              <w:top w:val="single" w:sz="6" w:space="0" w:color="auto"/>
              <w:left w:val="single" w:sz="6" w:space="0" w:color="auto"/>
              <w:right w:val="single" w:sz="6" w:space="0" w:color="auto"/>
            </w:tcBorders>
            <w:vAlign w:val="center"/>
          </w:tcPr>
          <w:p w14:paraId="02E90DDB" w14:textId="77777777" w:rsidR="00C13D35" w:rsidRPr="00D16809" w:rsidRDefault="00C13D35" w:rsidP="009B153D">
            <w:pPr>
              <w:pStyle w:val="Style"/>
              <w:ind w:left="29"/>
              <w:jc w:val="center"/>
              <w:textAlignment w:val="baseline"/>
              <w:rPr>
                <w:sz w:val="21"/>
                <w:szCs w:val="21"/>
              </w:rPr>
            </w:pPr>
            <w:r>
              <w:rPr>
                <w:b/>
                <w:sz w:val="21"/>
                <w:szCs w:val="21"/>
              </w:rPr>
              <w:t xml:space="preserve">All Study </w:t>
            </w:r>
          </w:p>
          <w:p w14:paraId="41C536C4" w14:textId="77777777" w:rsidR="00C13D35" w:rsidRPr="00D16809" w:rsidRDefault="00C13D35" w:rsidP="009B153D">
            <w:pPr>
              <w:pStyle w:val="Style"/>
              <w:ind w:left="29"/>
              <w:jc w:val="center"/>
              <w:textAlignment w:val="baseline"/>
              <w:rPr>
                <w:sz w:val="21"/>
                <w:szCs w:val="21"/>
              </w:rPr>
            </w:pPr>
            <w:r>
              <w:rPr>
                <w:b/>
                <w:sz w:val="21"/>
                <w:szCs w:val="21"/>
              </w:rPr>
              <w:t xml:space="preserve">participants </w:t>
            </w:r>
          </w:p>
          <w:p w14:paraId="45D2DD7D" w14:textId="01778027" w:rsidR="00C13D35" w:rsidRPr="00D16809" w:rsidRDefault="00C13D35" w:rsidP="009B153D">
            <w:pPr>
              <w:pStyle w:val="Style"/>
              <w:ind w:left="29"/>
              <w:jc w:val="center"/>
              <w:textAlignment w:val="baseline"/>
              <w:rPr>
                <w:sz w:val="21"/>
                <w:szCs w:val="21"/>
              </w:rPr>
            </w:pPr>
            <w:r>
              <w:rPr>
                <w:b/>
                <w:sz w:val="21"/>
                <w:szCs w:val="21"/>
              </w:rPr>
              <w:t>N</w:t>
            </w:r>
            <w:r w:rsidR="00227392">
              <w:rPr>
                <w:b/>
                <w:sz w:val="21"/>
                <w:szCs w:val="21"/>
              </w:rPr>
              <w:t xml:space="preserve"> </w:t>
            </w:r>
            <w:r>
              <w:rPr>
                <w:b/>
                <w:sz w:val="21"/>
                <w:szCs w:val="21"/>
              </w:rPr>
              <w:t>=</w:t>
            </w:r>
            <w:r w:rsidR="00227392">
              <w:rPr>
                <w:b/>
                <w:sz w:val="21"/>
                <w:szCs w:val="21"/>
              </w:rPr>
              <w:t xml:space="preserve"> </w:t>
            </w:r>
            <w:r>
              <w:rPr>
                <w:b/>
                <w:sz w:val="21"/>
                <w:szCs w:val="21"/>
              </w:rPr>
              <w:t xml:space="preserve">567 </w:t>
            </w:r>
          </w:p>
          <w:p w14:paraId="4587DE8D" w14:textId="77777777" w:rsidR="00C13D35" w:rsidRPr="00D16809" w:rsidRDefault="00C13D35" w:rsidP="009B153D">
            <w:pPr>
              <w:pStyle w:val="Style"/>
              <w:ind w:left="29"/>
              <w:jc w:val="center"/>
              <w:textAlignment w:val="baseline"/>
              <w:rPr>
                <w:sz w:val="21"/>
                <w:szCs w:val="21"/>
              </w:rPr>
            </w:pPr>
            <w:r>
              <w:rPr>
                <w:b/>
                <w:sz w:val="21"/>
                <w:szCs w:val="21"/>
              </w:rPr>
              <w:t xml:space="preserve">n </w:t>
            </w:r>
            <w:r>
              <w:rPr>
                <w:rFonts w:ascii="Arial" w:eastAsia="Arial" w:hAnsi="Arial" w:cs="Arial"/>
                <w:w w:val="114"/>
                <w:sz w:val="20"/>
                <w:szCs w:val="20"/>
              </w:rPr>
              <w:t xml:space="preserve">(%) </w:t>
            </w:r>
          </w:p>
        </w:tc>
      </w:tr>
      <w:tr w:rsidR="00C13D35" w14:paraId="07E9DC6D" w14:textId="77777777" w:rsidTr="00C13D35">
        <w:trPr>
          <w:trHeight w:hRule="exact" w:val="379"/>
          <w:jc w:val="center"/>
        </w:trPr>
        <w:tc>
          <w:tcPr>
            <w:tcW w:w="5000" w:type="pct"/>
            <w:gridSpan w:val="5"/>
            <w:tcBorders>
              <w:top w:val="single" w:sz="6" w:space="0" w:color="auto"/>
              <w:left w:val="single" w:sz="6" w:space="0" w:color="auto"/>
              <w:bottom w:val="single" w:sz="6" w:space="0" w:color="auto"/>
              <w:right w:val="single" w:sz="6" w:space="0" w:color="auto"/>
            </w:tcBorders>
            <w:vAlign w:val="center"/>
          </w:tcPr>
          <w:p w14:paraId="3E3EBD1D" w14:textId="1E042360" w:rsidR="00C13D35" w:rsidRPr="008A3252" w:rsidRDefault="00C13D35" w:rsidP="008A3252">
            <w:pPr>
              <w:pStyle w:val="Style"/>
              <w:ind w:left="293"/>
              <w:textAlignment w:val="baseline"/>
              <w:rPr>
                <w:sz w:val="20"/>
                <w:szCs w:val="20"/>
              </w:rPr>
            </w:pPr>
            <w:r>
              <w:rPr>
                <w:sz w:val="20"/>
                <w:szCs w:val="20"/>
              </w:rPr>
              <w:t>Age, n (%)</w:t>
            </w:r>
          </w:p>
        </w:tc>
      </w:tr>
      <w:tr w:rsidR="00C13D35" w14:paraId="27E9F6C9" w14:textId="77777777" w:rsidTr="008A3252">
        <w:trPr>
          <w:trHeight w:hRule="exact" w:val="379"/>
          <w:jc w:val="center"/>
        </w:trPr>
        <w:tc>
          <w:tcPr>
            <w:tcW w:w="1209" w:type="pct"/>
            <w:tcBorders>
              <w:top w:val="single" w:sz="6" w:space="0" w:color="auto"/>
              <w:left w:val="single" w:sz="6" w:space="0" w:color="auto"/>
              <w:bottom w:val="single" w:sz="6" w:space="0" w:color="auto"/>
              <w:right w:val="single" w:sz="6" w:space="0" w:color="auto"/>
            </w:tcBorders>
            <w:vAlign w:val="center"/>
          </w:tcPr>
          <w:p w14:paraId="31BA01BD" w14:textId="0591CA89" w:rsidR="00C13D35" w:rsidRPr="00D16809" w:rsidRDefault="00C13D35" w:rsidP="009B153D">
            <w:pPr>
              <w:pStyle w:val="Style"/>
              <w:ind w:left="293"/>
              <w:textAlignment w:val="baseline"/>
              <w:rPr>
                <w:sz w:val="20"/>
                <w:szCs w:val="20"/>
              </w:rPr>
            </w:pPr>
            <w:r>
              <w:rPr>
                <w:sz w:val="20"/>
                <w:szCs w:val="20"/>
              </w:rPr>
              <w:t>18 to &lt;</w:t>
            </w:r>
            <w:r w:rsidR="00305A86">
              <w:rPr>
                <w:sz w:val="20"/>
                <w:szCs w:val="20"/>
              </w:rPr>
              <w:t xml:space="preserve"> </w:t>
            </w:r>
            <w:r>
              <w:rPr>
                <w:sz w:val="20"/>
                <w:szCs w:val="20"/>
              </w:rPr>
              <w:t xml:space="preserve">65 years </w:t>
            </w:r>
          </w:p>
        </w:tc>
        <w:tc>
          <w:tcPr>
            <w:tcW w:w="984" w:type="pct"/>
            <w:tcBorders>
              <w:top w:val="single" w:sz="6" w:space="0" w:color="auto"/>
              <w:left w:val="single" w:sz="6" w:space="0" w:color="auto"/>
              <w:bottom w:val="single" w:sz="6" w:space="0" w:color="auto"/>
              <w:right w:val="single" w:sz="6" w:space="0" w:color="auto"/>
            </w:tcBorders>
            <w:vAlign w:val="center"/>
          </w:tcPr>
          <w:p w14:paraId="47E175B8" w14:textId="77777777" w:rsidR="00C13D35" w:rsidRPr="00D16809" w:rsidRDefault="00C13D35" w:rsidP="009B153D">
            <w:pPr>
              <w:pStyle w:val="Style"/>
              <w:ind w:left="24"/>
              <w:jc w:val="center"/>
              <w:textAlignment w:val="baseline"/>
              <w:rPr>
                <w:sz w:val="21"/>
                <w:szCs w:val="21"/>
              </w:rPr>
            </w:pPr>
            <w:r w:rsidRPr="00D16809">
              <w:rPr>
                <w:sz w:val="21"/>
                <w:szCs w:val="21"/>
              </w:rPr>
              <w:t xml:space="preserve">73 (88.0) </w:t>
            </w:r>
          </w:p>
        </w:tc>
        <w:tc>
          <w:tcPr>
            <w:tcW w:w="968" w:type="pct"/>
            <w:tcBorders>
              <w:top w:val="single" w:sz="6" w:space="0" w:color="auto"/>
              <w:left w:val="single" w:sz="6" w:space="0" w:color="auto"/>
              <w:bottom w:val="single" w:sz="6" w:space="0" w:color="auto"/>
              <w:right w:val="single" w:sz="6" w:space="0" w:color="auto"/>
            </w:tcBorders>
            <w:vAlign w:val="center"/>
          </w:tcPr>
          <w:p w14:paraId="2F6DE751" w14:textId="77777777" w:rsidR="00C13D35" w:rsidRPr="00D16809" w:rsidRDefault="00C13D35" w:rsidP="009B153D">
            <w:pPr>
              <w:pStyle w:val="Style"/>
              <w:ind w:left="19"/>
              <w:jc w:val="center"/>
              <w:textAlignment w:val="baseline"/>
              <w:rPr>
                <w:sz w:val="21"/>
                <w:szCs w:val="21"/>
              </w:rPr>
            </w:pPr>
            <w:r w:rsidRPr="00D16809">
              <w:rPr>
                <w:sz w:val="21"/>
                <w:szCs w:val="21"/>
              </w:rPr>
              <w:t xml:space="preserve">287 (89.4) </w:t>
            </w:r>
          </w:p>
        </w:tc>
        <w:tc>
          <w:tcPr>
            <w:tcW w:w="938" w:type="pct"/>
            <w:tcBorders>
              <w:top w:val="single" w:sz="6" w:space="0" w:color="auto"/>
              <w:left w:val="single" w:sz="6" w:space="0" w:color="auto"/>
              <w:bottom w:val="single" w:sz="6" w:space="0" w:color="auto"/>
              <w:right w:val="single" w:sz="6" w:space="0" w:color="auto"/>
            </w:tcBorders>
            <w:vAlign w:val="center"/>
          </w:tcPr>
          <w:p w14:paraId="264FCF3E" w14:textId="77777777" w:rsidR="00C13D35" w:rsidRPr="00D16809" w:rsidRDefault="00C13D35" w:rsidP="009B153D">
            <w:pPr>
              <w:pStyle w:val="Style"/>
              <w:ind w:left="43"/>
              <w:jc w:val="center"/>
              <w:textAlignment w:val="baseline"/>
              <w:rPr>
                <w:sz w:val="21"/>
                <w:szCs w:val="21"/>
              </w:rPr>
            </w:pPr>
            <w:r w:rsidRPr="00D16809">
              <w:rPr>
                <w:sz w:val="21"/>
                <w:szCs w:val="21"/>
              </w:rPr>
              <w:t xml:space="preserve">145 (89.0) </w:t>
            </w:r>
          </w:p>
        </w:tc>
        <w:tc>
          <w:tcPr>
            <w:tcW w:w="901" w:type="pct"/>
            <w:tcBorders>
              <w:top w:val="single" w:sz="6" w:space="0" w:color="auto"/>
              <w:left w:val="single" w:sz="6" w:space="0" w:color="auto"/>
              <w:bottom w:val="single" w:sz="6" w:space="0" w:color="auto"/>
              <w:right w:val="single" w:sz="6" w:space="0" w:color="auto"/>
            </w:tcBorders>
            <w:vAlign w:val="center"/>
          </w:tcPr>
          <w:p w14:paraId="5ECE3591" w14:textId="77777777" w:rsidR="00C13D35" w:rsidRPr="00D16809" w:rsidRDefault="00C13D35" w:rsidP="009B153D">
            <w:pPr>
              <w:pStyle w:val="Style"/>
              <w:ind w:left="29"/>
              <w:jc w:val="center"/>
              <w:textAlignment w:val="baseline"/>
              <w:rPr>
                <w:sz w:val="21"/>
                <w:szCs w:val="21"/>
              </w:rPr>
            </w:pPr>
            <w:r w:rsidRPr="00D16809">
              <w:rPr>
                <w:sz w:val="21"/>
                <w:szCs w:val="21"/>
              </w:rPr>
              <w:t xml:space="preserve">505 (89.1) </w:t>
            </w:r>
          </w:p>
        </w:tc>
      </w:tr>
      <w:tr w:rsidR="00C13D35" w14:paraId="24B566B8" w14:textId="77777777" w:rsidTr="008A3252">
        <w:trPr>
          <w:trHeight w:hRule="exact" w:val="379"/>
          <w:jc w:val="center"/>
        </w:trPr>
        <w:tc>
          <w:tcPr>
            <w:tcW w:w="1209" w:type="pct"/>
            <w:tcBorders>
              <w:top w:val="single" w:sz="6" w:space="0" w:color="auto"/>
              <w:left w:val="single" w:sz="6" w:space="0" w:color="auto"/>
              <w:bottom w:val="single" w:sz="6" w:space="0" w:color="auto"/>
              <w:right w:val="single" w:sz="6" w:space="0" w:color="auto"/>
            </w:tcBorders>
            <w:vAlign w:val="center"/>
          </w:tcPr>
          <w:p w14:paraId="55AD4134" w14:textId="443B8855" w:rsidR="00C13D35" w:rsidRPr="00D16809" w:rsidRDefault="00C13D35" w:rsidP="009B153D">
            <w:pPr>
              <w:pStyle w:val="Style"/>
              <w:ind w:left="293"/>
              <w:textAlignment w:val="baseline"/>
              <w:rPr>
                <w:sz w:val="20"/>
                <w:szCs w:val="20"/>
              </w:rPr>
            </w:pPr>
            <w:r>
              <w:rPr>
                <w:sz w:val="20"/>
                <w:szCs w:val="20"/>
              </w:rPr>
              <w:t>65 to &lt;</w:t>
            </w:r>
            <w:r w:rsidR="00305A86">
              <w:rPr>
                <w:sz w:val="20"/>
                <w:szCs w:val="20"/>
              </w:rPr>
              <w:t xml:space="preserve"> </w:t>
            </w:r>
            <w:r>
              <w:rPr>
                <w:sz w:val="20"/>
                <w:szCs w:val="20"/>
              </w:rPr>
              <w:t xml:space="preserve">85 years </w:t>
            </w:r>
          </w:p>
        </w:tc>
        <w:tc>
          <w:tcPr>
            <w:tcW w:w="984" w:type="pct"/>
            <w:tcBorders>
              <w:top w:val="single" w:sz="6" w:space="0" w:color="auto"/>
              <w:left w:val="single" w:sz="6" w:space="0" w:color="auto"/>
              <w:bottom w:val="single" w:sz="6" w:space="0" w:color="auto"/>
              <w:right w:val="single" w:sz="6" w:space="0" w:color="auto"/>
            </w:tcBorders>
            <w:vAlign w:val="center"/>
          </w:tcPr>
          <w:p w14:paraId="72AB4CF7" w14:textId="77777777" w:rsidR="00C13D35" w:rsidRPr="00D16809" w:rsidRDefault="00C13D35" w:rsidP="009B153D">
            <w:pPr>
              <w:pStyle w:val="Style"/>
              <w:ind w:left="24"/>
              <w:jc w:val="center"/>
              <w:textAlignment w:val="baseline"/>
              <w:rPr>
                <w:sz w:val="21"/>
                <w:szCs w:val="21"/>
              </w:rPr>
            </w:pPr>
            <w:r w:rsidRPr="00D16809">
              <w:rPr>
                <w:sz w:val="21"/>
                <w:szCs w:val="21"/>
              </w:rPr>
              <w:t xml:space="preserve">10 (12.0) </w:t>
            </w:r>
          </w:p>
        </w:tc>
        <w:tc>
          <w:tcPr>
            <w:tcW w:w="968" w:type="pct"/>
            <w:tcBorders>
              <w:top w:val="single" w:sz="6" w:space="0" w:color="auto"/>
              <w:left w:val="single" w:sz="6" w:space="0" w:color="auto"/>
              <w:bottom w:val="single" w:sz="6" w:space="0" w:color="auto"/>
              <w:right w:val="single" w:sz="6" w:space="0" w:color="auto"/>
            </w:tcBorders>
            <w:vAlign w:val="center"/>
          </w:tcPr>
          <w:p w14:paraId="30B4A135" w14:textId="77777777" w:rsidR="00C13D35" w:rsidRPr="00D16809" w:rsidRDefault="00C13D35" w:rsidP="009B153D">
            <w:pPr>
              <w:pStyle w:val="Style"/>
              <w:ind w:left="19"/>
              <w:jc w:val="center"/>
              <w:textAlignment w:val="baseline"/>
              <w:rPr>
                <w:sz w:val="21"/>
                <w:szCs w:val="21"/>
              </w:rPr>
            </w:pPr>
            <w:r w:rsidRPr="00D16809">
              <w:rPr>
                <w:sz w:val="21"/>
                <w:szCs w:val="21"/>
              </w:rPr>
              <w:t xml:space="preserve">34 (10.6) </w:t>
            </w:r>
          </w:p>
        </w:tc>
        <w:tc>
          <w:tcPr>
            <w:tcW w:w="938" w:type="pct"/>
            <w:tcBorders>
              <w:top w:val="single" w:sz="6" w:space="0" w:color="auto"/>
              <w:left w:val="single" w:sz="6" w:space="0" w:color="auto"/>
              <w:bottom w:val="single" w:sz="6" w:space="0" w:color="auto"/>
              <w:right w:val="single" w:sz="6" w:space="0" w:color="auto"/>
            </w:tcBorders>
            <w:vAlign w:val="center"/>
          </w:tcPr>
          <w:p w14:paraId="1C99434D" w14:textId="77777777" w:rsidR="00C13D35" w:rsidRPr="00D16809" w:rsidRDefault="00C13D35" w:rsidP="009B153D">
            <w:pPr>
              <w:pStyle w:val="Style"/>
              <w:ind w:left="43"/>
              <w:jc w:val="center"/>
              <w:textAlignment w:val="baseline"/>
              <w:rPr>
                <w:sz w:val="21"/>
                <w:szCs w:val="21"/>
              </w:rPr>
            </w:pPr>
            <w:r w:rsidRPr="00D16809">
              <w:rPr>
                <w:sz w:val="21"/>
                <w:szCs w:val="21"/>
              </w:rPr>
              <w:t xml:space="preserve">18(11.0) </w:t>
            </w:r>
          </w:p>
        </w:tc>
        <w:tc>
          <w:tcPr>
            <w:tcW w:w="901" w:type="pct"/>
            <w:tcBorders>
              <w:top w:val="single" w:sz="6" w:space="0" w:color="auto"/>
              <w:left w:val="single" w:sz="6" w:space="0" w:color="auto"/>
              <w:bottom w:val="single" w:sz="6" w:space="0" w:color="auto"/>
              <w:right w:val="single" w:sz="6" w:space="0" w:color="auto"/>
            </w:tcBorders>
            <w:vAlign w:val="center"/>
          </w:tcPr>
          <w:p w14:paraId="3EB79AAB" w14:textId="77777777" w:rsidR="00C13D35" w:rsidRPr="00D16809" w:rsidRDefault="00C13D35" w:rsidP="009B153D">
            <w:pPr>
              <w:pStyle w:val="Style"/>
              <w:ind w:left="29"/>
              <w:jc w:val="center"/>
              <w:textAlignment w:val="baseline"/>
              <w:rPr>
                <w:sz w:val="21"/>
                <w:szCs w:val="21"/>
              </w:rPr>
            </w:pPr>
            <w:r w:rsidRPr="00D16809">
              <w:rPr>
                <w:sz w:val="21"/>
                <w:szCs w:val="21"/>
              </w:rPr>
              <w:t xml:space="preserve">62 (10.9) </w:t>
            </w:r>
          </w:p>
        </w:tc>
      </w:tr>
      <w:tr w:rsidR="00C13D35" w14:paraId="2063E876" w14:textId="77777777" w:rsidTr="008A3252">
        <w:trPr>
          <w:trHeight w:hRule="exact" w:val="379"/>
          <w:jc w:val="center"/>
        </w:trPr>
        <w:tc>
          <w:tcPr>
            <w:tcW w:w="1209" w:type="pct"/>
            <w:tcBorders>
              <w:top w:val="single" w:sz="6" w:space="0" w:color="auto"/>
              <w:left w:val="single" w:sz="6" w:space="0" w:color="auto"/>
              <w:bottom w:val="single" w:sz="6" w:space="0" w:color="auto"/>
              <w:right w:val="single" w:sz="6" w:space="0" w:color="auto"/>
            </w:tcBorders>
            <w:vAlign w:val="center"/>
          </w:tcPr>
          <w:p w14:paraId="5E325717" w14:textId="3F74A676" w:rsidR="00C13D35" w:rsidRPr="00D16809" w:rsidRDefault="00C13D35" w:rsidP="009B153D">
            <w:pPr>
              <w:pStyle w:val="Style"/>
              <w:ind w:left="293"/>
              <w:textAlignment w:val="baseline"/>
              <w:rPr>
                <w:sz w:val="20"/>
                <w:szCs w:val="20"/>
              </w:rPr>
            </w:pPr>
            <w:r>
              <w:rPr>
                <w:sz w:val="20"/>
                <w:szCs w:val="20"/>
              </w:rPr>
              <w:t>&gt;</w:t>
            </w:r>
            <w:r w:rsidR="00305A86">
              <w:rPr>
                <w:sz w:val="20"/>
                <w:szCs w:val="20"/>
              </w:rPr>
              <w:t xml:space="preserve"> </w:t>
            </w:r>
            <w:r>
              <w:rPr>
                <w:sz w:val="20"/>
                <w:szCs w:val="20"/>
              </w:rPr>
              <w:t xml:space="preserve">85 years </w:t>
            </w:r>
          </w:p>
        </w:tc>
        <w:tc>
          <w:tcPr>
            <w:tcW w:w="984" w:type="pct"/>
            <w:tcBorders>
              <w:top w:val="single" w:sz="6" w:space="0" w:color="auto"/>
              <w:left w:val="single" w:sz="6" w:space="0" w:color="auto"/>
              <w:bottom w:val="single" w:sz="6" w:space="0" w:color="auto"/>
              <w:right w:val="single" w:sz="6" w:space="0" w:color="auto"/>
            </w:tcBorders>
            <w:vAlign w:val="center"/>
          </w:tcPr>
          <w:p w14:paraId="4C43FAAD" w14:textId="77777777" w:rsidR="00C13D35" w:rsidRPr="00D16809" w:rsidRDefault="00C13D35" w:rsidP="009B153D">
            <w:pPr>
              <w:pStyle w:val="Style"/>
              <w:ind w:left="24"/>
              <w:jc w:val="center"/>
              <w:textAlignment w:val="baseline"/>
              <w:rPr>
                <w:sz w:val="21"/>
                <w:szCs w:val="21"/>
              </w:rPr>
            </w:pPr>
            <w:r w:rsidRPr="00D16809">
              <w:rPr>
                <w:sz w:val="21"/>
                <w:szCs w:val="21"/>
              </w:rPr>
              <w:t xml:space="preserve">0 </w:t>
            </w:r>
          </w:p>
        </w:tc>
        <w:tc>
          <w:tcPr>
            <w:tcW w:w="968" w:type="pct"/>
            <w:tcBorders>
              <w:top w:val="single" w:sz="6" w:space="0" w:color="auto"/>
              <w:left w:val="single" w:sz="6" w:space="0" w:color="auto"/>
              <w:bottom w:val="single" w:sz="6" w:space="0" w:color="auto"/>
              <w:right w:val="single" w:sz="6" w:space="0" w:color="auto"/>
            </w:tcBorders>
            <w:vAlign w:val="center"/>
          </w:tcPr>
          <w:p w14:paraId="66F49936" w14:textId="77777777" w:rsidR="00C13D35" w:rsidRPr="00D16809" w:rsidRDefault="00C13D35" w:rsidP="009B153D">
            <w:pPr>
              <w:pStyle w:val="Style"/>
              <w:ind w:left="19"/>
              <w:jc w:val="center"/>
              <w:textAlignment w:val="baseline"/>
              <w:rPr>
                <w:sz w:val="21"/>
                <w:szCs w:val="21"/>
              </w:rPr>
            </w:pPr>
            <w:r w:rsidRPr="00D16809">
              <w:rPr>
                <w:sz w:val="21"/>
                <w:szCs w:val="21"/>
              </w:rPr>
              <w:t xml:space="preserve">0 </w:t>
            </w:r>
          </w:p>
        </w:tc>
        <w:tc>
          <w:tcPr>
            <w:tcW w:w="938" w:type="pct"/>
            <w:tcBorders>
              <w:top w:val="single" w:sz="6" w:space="0" w:color="auto"/>
              <w:left w:val="single" w:sz="6" w:space="0" w:color="auto"/>
              <w:bottom w:val="single" w:sz="6" w:space="0" w:color="auto"/>
              <w:right w:val="single" w:sz="6" w:space="0" w:color="auto"/>
            </w:tcBorders>
            <w:vAlign w:val="center"/>
          </w:tcPr>
          <w:p w14:paraId="50A688B4" w14:textId="77777777" w:rsidR="00C13D35" w:rsidRPr="00D16809" w:rsidRDefault="00C13D35" w:rsidP="009B153D">
            <w:pPr>
              <w:pStyle w:val="Style"/>
              <w:ind w:left="43"/>
              <w:jc w:val="center"/>
              <w:textAlignment w:val="baseline"/>
              <w:rPr>
                <w:sz w:val="21"/>
                <w:szCs w:val="21"/>
              </w:rPr>
            </w:pPr>
            <w:r w:rsidRPr="00D16809">
              <w:rPr>
                <w:sz w:val="21"/>
                <w:szCs w:val="21"/>
              </w:rPr>
              <w:t xml:space="preserve">0 </w:t>
            </w:r>
          </w:p>
        </w:tc>
        <w:tc>
          <w:tcPr>
            <w:tcW w:w="901" w:type="pct"/>
            <w:tcBorders>
              <w:top w:val="single" w:sz="6" w:space="0" w:color="auto"/>
              <w:left w:val="single" w:sz="6" w:space="0" w:color="auto"/>
              <w:bottom w:val="single" w:sz="6" w:space="0" w:color="auto"/>
              <w:right w:val="single" w:sz="6" w:space="0" w:color="auto"/>
            </w:tcBorders>
            <w:vAlign w:val="center"/>
          </w:tcPr>
          <w:p w14:paraId="1FD7444C" w14:textId="77777777" w:rsidR="00C13D35" w:rsidRPr="00D16809" w:rsidRDefault="00C13D35" w:rsidP="009B153D">
            <w:pPr>
              <w:pStyle w:val="Style"/>
              <w:ind w:left="29"/>
              <w:jc w:val="center"/>
              <w:textAlignment w:val="baseline"/>
              <w:rPr>
                <w:sz w:val="21"/>
                <w:szCs w:val="21"/>
              </w:rPr>
            </w:pPr>
            <w:r w:rsidRPr="00D16809">
              <w:rPr>
                <w:sz w:val="21"/>
                <w:szCs w:val="21"/>
              </w:rPr>
              <w:t xml:space="preserve">0 </w:t>
            </w:r>
          </w:p>
        </w:tc>
      </w:tr>
      <w:tr w:rsidR="00C13D35" w14:paraId="6CC7F9F0" w14:textId="77777777" w:rsidTr="00C13D35">
        <w:trPr>
          <w:trHeight w:hRule="exact" w:val="379"/>
          <w:jc w:val="center"/>
        </w:trPr>
        <w:tc>
          <w:tcPr>
            <w:tcW w:w="5000" w:type="pct"/>
            <w:gridSpan w:val="5"/>
            <w:tcBorders>
              <w:top w:val="single" w:sz="6" w:space="0" w:color="auto"/>
              <w:left w:val="single" w:sz="6" w:space="0" w:color="auto"/>
              <w:bottom w:val="single" w:sz="6" w:space="0" w:color="auto"/>
              <w:right w:val="single" w:sz="6" w:space="0" w:color="auto"/>
            </w:tcBorders>
            <w:vAlign w:val="center"/>
          </w:tcPr>
          <w:p w14:paraId="1E6D93B3" w14:textId="466F369B" w:rsidR="00C13D35" w:rsidRPr="008A3252" w:rsidRDefault="00C13D35" w:rsidP="008A3252">
            <w:pPr>
              <w:pStyle w:val="Style"/>
              <w:ind w:left="293"/>
              <w:textAlignment w:val="baseline"/>
              <w:rPr>
                <w:sz w:val="20"/>
                <w:szCs w:val="20"/>
              </w:rPr>
            </w:pPr>
            <w:r>
              <w:rPr>
                <w:sz w:val="20"/>
                <w:szCs w:val="20"/>
              </w:rPr>
              <w:t>Age group</w:t>
            </w:r>
          </w:p>
        </w:tc>
      </w:tr>
      <w:tr w:rsidR="00C13D35" w14:paraId="3BCBA37C" w14:textId="77777777" w:rsidTr="008A3252">
        <w:trPr>
          <w:trHeight w:hRule="exact" w:val="379"/>
          <w:jc w:val="center"/>
        </w:trPr>
        <w:tc>
          <w:tcPr>
            <w:tcW w:w="1209" w:type="pct"/>
            <w:tcBorders>
              <w:top w:val="single" w:sz="6" w:space="0" w:color="auto"/>
              <w:left w:val="single" w:sz="6" w:space="0" w:color="auto"/>
              <w:bottom w:val="single" w:sz="6" w:space="0" w:color="auto"/>
              <w:right w:val="single" w:sz="6" w:space="0" w:color="auto"/>
            </w:tcBorders>
            <w:vAlign w:val="center"/>
          </w:tcPr>
          <w:p w14:paraId="4ECC6A11" w14:textId="77A67CF5" w:rsidR="00C13D35" w:rsidRPr="00D16809" w:rsidRDefault="00C13D35" w:rsidP="009B153D">
            <w:pPr>
              <w:pStyle w:val="Style"/>
              <w:ind w:left="293"/>
              <w:textAlignment w:val="baseline"/>
              <w:rPr>
                <w:sz w:val="20"/>
                <w:szCs w:val="20"/>
              </w:rPr>
            </w:pPr>
            <w:r>
              <w:rPr>
                <w:sz w:val="20"/>
                <w:szCs w:val="20"/>
              </w:rPr>
              <w:t>&lt;</w:t>
            </w:r>
            <w:r w:rsidR="00305A86">
              <w:rPr>
                <w:sz w:val="20"/>
                <w:szCs w:val="20"/>
              </w:rPr>
              <w:t xml:space="preserve"> </w:t>
            </w:r>
            <w:r>
              <w:rPr>
                <w:sz w:val="20"/>
                <w:szCs w:val="20"/>
              </w:rPr>
              <w:t xml:space="preserve">40 years </w:t>
            </w:r>
          </w:p>
        </w:tc>
        <w:tc>
          <w:tcPr>
            <w:tcW w:w="984" w:type="pct"/>
            <w:tcBorders>
              <w:top w:val="single" w:sz="6" w:space="0" w:color="auto"/>
              <w:left w:val="single" w:sz="6" w:space="0" w:color="auto"/>
              <w:bottom w:val="single" w:sz="6" w:space="0" w:color="auto"/>
              <w:right w:val="single" w:sz="6" w:space="0" w:color="auto"/>
            </w:tcBorders>
            <w:vAlign w:val="center"/>
          </w:tcPr>
          <w:p w14:paraId="130DEE03" w14:textId="77777777" w:rsidR="00C13D35" w:rsidRPr="00D16809" w:rsidRDefault="00C13D35" w:rsidP="009B153D">
            <w:pPr>
              <w:pStyle w:val="Style"/>
              <w:ind w:left="24"/>
              <w:jc w:val="center"/>
              <w:textAlignment w:val="baseline"/>
              <w:rPr>
                <w:sz w:val="21"/>
                <w:szCs w:val="21"/>
              </w:rPr>
            </w:pPr>
            <w:r w:rsidRPr="00D16809">
              <w:rPr>
                <w:sz w:val="21"/>
                <w:szCs w:val="21"/>
              </w:rPr>
              <w:t xml:space="preserve">19 (22.9) </w:t>
            </w:r>
          </w:p>
        </w:tc>
        <w:tc>
          <w:tcPr>
            <w:tcW w:w="968" w:type="pct"/>
            <w:tcBorders>
              <w:top w:val="single" w:sz="6" w:space="0" w:color="auto"/>
              <w:left w:val="single" w:sz="6" w:space="0" w:color="auto"/>
              <w:bottom w:val="single" w:sz="6" w:space="0" w:color="auto"/>
              <w:right w:val="single" w:sz="6" w:space="0" w:color="auto"/>
            </w:tcBorders>
            <w:vAlign w:val="center"/>
          </w:tcPr>
          <w:p w14:paraId="1870A8C8" w14:textId="77777777" w:rsidR="00C13D35" w:rsidRPr="00D16809" w:rsidRDefault="00C13D35" w:rsidP="009B153D">
            <w:pPr>
              <w:pStyle w:val="Style"/>
              <w:ind w:left="19"/>
              <w:jc w:val="center"/>
              <w:textAlignment w:val="baseline"/>
              <w:rPr>
                <w:sz w:val="21"/>
                <w:szCs w:val="21"/>
              </w:rPr>
            </w:pPr>
            <w:r w:rsidRPr="00D16809">
              <w:rPr>
                <w:sz w:val="21"/>
                <w:szCs w:val="21"/>
              </w:rPr>
              <w:t xml:space="preserve">123 (38.3) </w:t>
            </w:r>
          </w:p>
        </w:tc>
        <w:tc>
          <w:tcPr>
            <w:tcW w:w="938" w:type="pct"/>
            <w:tcBorders>
              <w:top w:val="single" w:sz="6" w:space="0" w:color="auto"/>
              <w:left w:val="single" w:sz="6" w:space="0" w:color="auto"/>
              <w:bottom w:val="single" w:sz="6" w:space="0" w:color="auto"/>
              <w:right w:val="single" w:sz="6" w:space="0" w:color="auto"/>
            </w:tcBorders>
            <w:vAlign w:val="center"/>
          </w:tcPr>
          <w:p w14:paraId="3507C345" w14:textId="77777777" w:rsidR="00C13D35" w:rsidRPr="00D16809" w:rsidRDefault="00C13D35" w:rsidP="009B153D">
            <w:pPr>
              <w:pStyle w:val="Style"/>
              <w:ind w:left="43"/>
              <w:jc w:val="center"/>
              <w:textAlignment w:val="baseline"/>
              <w:rPr>
                <w:sz w:val="21"/>
                <w:szCs w:val="21"/>
              </w:rPr>
            </w:pPr>
            <w:r w:rsidRPr="00D16809">
              <w:rPr>
                <w:sz w:val="21"/>
                <w:szCs w:val="21"/>
              </w:rPr>
              <w:t xml:space="preserve">57 (35.0) </w:t>
            </w:r>
          </w:p>
        </w:tc>
        <w:tc>
          <w:tcPr>
            <w:tcW w:w="901" w:type="pct"/>
            <w:tcBorders>
              <w:top w:val="single" w:sz="6" w:space="0" w:color="auto"/>
              <w:left w:val="single" w:sz="6" w:space="0" w:color="auto"/>
              <w:bottom w:val="single" w:sz="6" w:space="0" w:color="auto"/>
              <w:right w:val="single" w:sz="6" w:space="0" w:color="auto"/>
            </w:tcBorders>
            <w:vAlign w:val="center"/>
          </w:tcPr>
          <w:p w14:paraId="05DAF3E7" w14:textId="77777777" w:rsidR="00C13D35" w:rsidRPr="00D16809" w:rsidRDefault="00C13D35" w:rsidP="009B153D">
            <w:pPr>
              <w:pStyle w:val="Style"/>
              <w:ind w:left="29"/>
              <w:jc w:val="center"/>
              <w:textAlignment w:val="baseline"/>
              <w:rPr>
                <w:sz w:val="21"/>
                <w:szCs w:val="21"/>
              </w:rPr>
            </w:pPr>
            <w:r w:rsidRPr="00D16809">
              <w:rPr>
                <w:sz w:val="21"/>
                <w:szCs w:val="21"/>
              </w:rPr>
              <w:t xml:space="preserve">199 (35.1) </w:t>
            </w:r>
          </w:p>
        </w:tc>
      </w:tr>
      <w:tr w:rsidR="00C13D35" w14:paraId="3EFF10F8" w14:textId="77777777" w:rsidTr="008A3252">
        <w:trPr>
          <w:trHeight w:hRule="exact" w:val="379"/>
          <w:jc w:val="center"/>
        </w:trPr>
        <w:tc>
          <w:tcPr>
            <w:tcW w:w="1209" w:type="pct"/>
            <w:tcBorders>
              <w:top w:val="single" w:sz="6" w:space="0" w:color="auto"/>
              <w:left w:val="single" w:sz="6" w:space="0" w:color="auto"/>
              <w:bottom w:val="single" w:sz="6" w:space="0" w:color="auto"/>
              <w:right w:val="single" w:sz="6" w:space="0" w:color="auto"/>
            </w:tcBorders>
            <w:vAlign w:val="center"/>
          </w:tcPr>
          <w:p w14:paraId="0E4B993A" w14:textId="15F5CA1B" w:rsidR="00C13D35" w:rsidRPr="00D16809" w:rsidRDefault="00C13D35" w:rsidP="009B153D">
            <w:pPr>
              <w:pStyle w:val="Style"/>
              <w:ind w:left="293"/>
              <w:textAlignment w:val="baseline"/>
              <w:rPr>
                <w:sz w:val="20"/>
                <w:szCs w:val="20"/>
              </w:rPr>
            </w:pPr>
            <w:r>
              <w:rPr>
                <w:sz w:val="20"/>
                <w:szCs w:val="20"/>
              </w:rPr>
              <w:t>40 to &lt;</w:t>
            </w:r>
            <w:r w:rsidR="00305A86">
              <w:rPr>
                <w:sz w:val="20"/>
                <w:szCs w:val="20"/>
              </w:rPr>
              <w:t xml:space="preserve"> </w:t>
            </w:r>
            <w:r>
              <w:rPr>
                <w:sz w:val="20"/>
                <w:szCs w:val="20"/>
              </w:rPr>
              <w:t xml:space="preserve">65 years </w:t>
            </w:r>
          </w:p>
        </w:tc>
        <w:tc>
          <w:tcPr>
            <w:tcW w:w="984" w:type="pct"/>
            <w:tcBorders>
              <w:top w:val="single" w:sz="6" w:space="0" w:color="auto"/>
              <w:left w:val="single" w:sz="6" w:space="0" w:color="auto"/>
              <w:bottom w:val="single" w:sz="6" w:space="0" w:color="auto"/>
              <w:right w:val="single" w:sz="6" w:space="0" w:color="auto"/>
            </w:tcBorders>
            <w:vAlign w:val="center"/>
          </w:tcPr>
          <w:p w14:paraId="0541FCFF" w14:textId="77777777" w:rsidR="00C13D35" w:rsidRPr="00D16809" w:rsidRDefault="00C13D35" w:rsidP="009B153D">
            <w:pPr>
              <w:pStyle w:val="Style"/>
              <w:ind w:left="24"/>
              <w:jc w:val="center"/>
              <w:textAlignment w:val="baseline"/>
              <w:rPr>
                <w:sz w:val="21"/>
                <w:szCs w:val="21"/>
              </w:rPr>
            </w:pPr>
            <w:r w:rsidRPr="00D16809">
              <w:rPr>
                <w:sz w:val="21"/>
                <w:szCs w:val="21"/>
              </w:rPr>
              <w:t xml:space="preserve">54(65.1) </w:t>
            </w:r>
          </w:p>
        </w:tc>
        <w:tc>
          <w:tcPr>
            <w:tcW w:w="968" w:type="pct"/>
            <w:tcBorders>
              <w:top w:val="single" w:sz="6" w:space="0" w:color="auto"/>
              <w:left w:val="single" w:sz="6" w:space="0" w:color="auto"/>
              <w:bottom w:val="single" w:sz="6" w:space="0" w:color="auto"/>
              <w:right w:val="single" w:sz="6" w:space="0" w:color="auto"/>
            </w:tcBorders>
            <w:vAlign w:val="center"/>
          </w:tcPr>
          <w:p w14:paraId="4F937B95" w14:textId="77777777" w:rsidR="00C13D35" w:rsidRPr="00D16809" w:rsidRDefault="00C13D35" w:rsidP="009B153D">
            <w:pPr>
              <w:pStyle w:val="Style"/>
              <w:ind w:left="19"/>
              <w:jc w:val="center"/>
              <w:textAlignment w:val="baseline"/>
              <w:rPr>
                <w:sz w:val="21"/>
                <w:szCs w:val="21"/>
              </w:rPr>
            </w:pPr>
            <w:r w:rsidRPr="00D16809">
              <w:rPr>
                <w:sz w:val="21"/>
                <w:szCs w:val="21"/>
              </w:rPr>
              <w:t xml:space="preserve">164 (51.1) </w:t>
            </w:r>
          </w:p>
        </w:tc>
        <w:tc>
          <w:tcPr>
            <w:tcW w:w="938" w:type="pct"/>
            <w:tcBorders>
              <w:top w:val="single" w:sz="6" w:space="0" w:color="auto"/>
              <w:left w:val="single" w:sz="6" w:space="0" w:color="auto"/>
              <w:bottom w:val="single" w:sz="6" w:space="0" w:color="auto"/>
              <w:right w:val="single" w:sz="6" w:space="0" w:color="auto"/>
            </w:tcBorders>
            <w:vAlign w:val="center"/>
          </w:tcPr>
          <w:p w14:paraId="67F8DEC4" w14:textId="77777777" w:rsidR="00C13D35" w:rsidRPr="00D16809" w:rsidRDefault="00C13D35" w:rsidP="009B153D">
            <w:pPr>
              <w:pStyle w:val="Style"/>
              <w:ind w:left="43"/>
              <w:jc w:val="center"/>
              <w:textAlignment w:val="baseline"/>
              <w:rPr>
                <w:sz w:val="21"/>
                <w:szCs w:val="21"/>
              </w:rPr>
            </w:pPr>
            <w:r w:rsidRPr="00D16809">
              <w:rPr>
                <w:sz w:val="21"/>
                <w:szCs w:val="21"/>
              </w:rPr>
              <w:t xml:space="preserve">88 (54.0) </w:t>
            </w:r>
          </w:p>
        </w:tc>
        <w:tc>
          <w:tcPr>
            <w:tcW w:w="901" w:type="pct"/>
            <w:tcBorders>
              <w:top w:val="single" w:sz="6" w:space="0" w:color="auto"/>
              <w:left w:val="single" w:sz="6" w:space="0" w:color="auto"/>
              <w:bottom w:val="single" w:sz="6" w:space="0" w:color="auto"/>
              <w:right w:val="single" w:sz="6" w:space="0" w:color="auto"/>
            </w:tcBorders>
            <w:vAlign w:val="center"/>
          </w:tcPr>
          <w:p w14:paraId="5186E4A9" w14:textId="77777777" w:rsidR="00C13D35" w:rsidRPr="00D16809" w:rsidRDefault="00C13D35" w:rsidP="009B153D">
            <w:pPr>
              <w:pStyle w:val="Style"/>
              <w:ind w:left="29"/>
              <w:jc w:val="center"/>
              <w:textAlignment w:val="baseline"/>
              <w:rPr>
                <w:sz w:val="21"/>
                <w:szCs w:val="21"/>
              </w:rPr>
            </w:pPr>
            <w:r w:rsidRPr="00D16809">
              <w:rPr>
                <w:sz w:val="21"/>
                <w:szCs w:val="21"/>
              </w:rPr>
              <w:t xml:space="preserve">306 (54.0) </w:t>
            </w:r>
          </w:p>
        </w:tc>
      </w:tr>
      <w:tr w:rsidR="00C13D35" w14:paraId="6EEC878A" w14:textId="77777777" w:rsidTr="008A3252">
        <w:trPr>
          <w:trHeight w:hRule="exact" w:val="379"/>
          <w:jc w:val="center"/>
        </w:trPr>
        <w:tc>
          <w:tcPr>
            <w:tcW w:w="1209" w:type="pct"/>
            <w:tcBorders>
              <w:top w:val="single" w:sz="6" w:space="0" w:color="auto"/>
              <w:left w:val="single" w:sz="6" w:space="0" w:color="auto"/>
              <w:bottom w:val="single" w:sz="6" w:space="0" w:color="auto"/>
              <w:right w:val="single" w:sz="6" w:space="0" w:color="auto"/>
            </w:tcBorders>
            <w:vAlign w:val="center"/>
          </w:tcPr>
          <w:p w14:paraId="5A3AD14F" w14:textId="2838E145" w:rsidR="00C13D35" w:rsidRPr="00D16809" w:rsidRDefault="00C13D35" w:rsidP="009B153D">
            <w:pPr>
              <w:pStyle w:val="Style"/>
              <w:ind w:left="293"/>
              <w:textAlignment w:val="baseline"/>
              <w:rPr>
                <w:sz w:val="20"/>
                <w:szCs w:val="20"/>
              </w:rPr>
            </w:pPr>
            <w:r>
              <w:rPr>
                <w:sz w:val="20"/>
                <w:szCs w:val="20"/>
              </w:rPr>
              <w:t>&gt;</w:t>
            </w:r>
            <w:r w:rsidR="00305A86">
              <w:rPr>
                <w:sz w:val="20"/>
                <w:szCs w:val="20"/>
              </w:rPr>
              <w:t xml:space="preserve"> </w:t>
            </w:r>
            <w:r>
              <w:rPr>
                <w:sz w:val="20"/>
                <w:szCs w:val="20"/>
              </w:rPr>
              <w:t xml:space="preserve">65 years </w:t>
            </w:r>
          </w:p>
        </w:tc>
        <w:tc>
          <w:tcPr>
            <w:tcW w:w="984" w:type="pct"/>
            <w:tcBorders>
              <w:top w:val="single" w:sz="6" w:space="0" w:color="auto"/>
              <w:left w:val="single" w:sz="6" w:space="0" w:color="auto"/>
              <w:bottom w:val="single" w:sz="6" w:space="0" w:color="auto"/>
              <w:right w:val="single" w:sz="6" w:space="0" w:color="auto"/>
            </w:tcBorders>
            <w:vAlign w:val="center"/>
          </w:tcPr>
          <w:p w14:paraId="1D7CAE06" w14:textId="77777777" w:rsidR="00C13D35" w:rsidRPr="00D16809" w:rsidRDefault="00C13D35" w:rsidP="009B153D">
            <w:pPr>
              <w:pStyle w:val="Style"/>
              <w:ind w:left="24"/>
              <w:jc w:val="center"/>
              <w:textAlignment w:val="baseline"/>
              <w:rPr>
                <w:sz w:val="21"/>
                <w:szCs w:val="21"/>
              </w:rPr>
            </w:pPr>
            <w:r w:rsidRPr="00D16809">
              <w:rPr>
                <w:sz w:val="21"/>
                <w:szCs w:val="21"/>
              </w:rPr>
              <w:t xml:space="preserve">10 (12.0) </w:t>
            </w:r>
          </w:p>
        </w:tc>
        <w:tc>
          <w:tcPr>
            <w:tcW w:w="968" w:type="pct"/>
            <w:tcBorders>
              <w:top w:val="single" w:sz="6" w:space="0" w:color="auto"/>
              <w:left w:val="single" w:sz="6" w:space="0" w:color="auto"/>
              <w:bottom w:val="single" w:sz="6" w:space="0" w:color="auto"/>
              <w:right w:val="single" w:sz="6" w:space="0" w:color="auto"/>
            </w:tcBorders>
            <w:vAlign w:val="center"/>
          </w:tcPr>
          <w:p w14:paraId="532CEC5A" w14:textId="77777777" w:rsidR="00C13D35" w:rsidRPr="00D16809" w:rsidRDefault="00C13D35" w:rsidP="009B153D">
            <w:pPr>
              <w:pStyle w:val="Style"/>
              <w:ind w:left="19"/>
              <w:jc w:val="center"/>
              <w:textAlignment w:val="baseline"/>
              <w:rPr>
                <w:sz w:val="21"/>
                <w:szCs w:val="21"/>
              </w:rPr>
            </w:pPr>
            <w:r w:rsidRPr="00D16809">
              <w:rPr>
                <w:sz w:val="21"/>
                <w:szCs w:val="21"/>
              </w:rPr>
              <w:t xml:space="preserve">34 (10.6) </w:t>
            </w:r>
          </w:p>
        </w:tc>
        <w:tc>
          <w:tcPr>
            <w:tcW w:w="938" w:type="pct"/>
            <w:tcBorders>
              <w:top w:val="single" w:sz="6" w:space="0" w:color="auto"/>
              <w:left w:val="single" w:sz="6" w:space="0" w:color="auto"/>
              <w:bottom w:val="single" w:sz="6" w:space="0" w:color="auto"/>
              <w:right w:val="single" w:sz="6" w:space="0" w:color="auto"/>
            </w:tcBorders>
            <w:vAlign w:val="center"/>
          </w:tcPr>
          <w:p w14:paraId="7D74202B" w14:textId="77777777" w:rsidR="00C13D35" w:rsidRPr="00D16809" w:rsidRDefault="00C13D35" w:rsidP="009B153D">
            <w:pPr>
              <w:pStyle w:val="Style"/>
              <w:ind w:left="43"/>
              <w:jc w:val="center"/>
              <w:textAlignment w:val="baseline"/>
              <w:rPr>
                <w:sz w:val="21"/>
                <w:szCs w:val="21"/>
              </w:rPr>
            </w:pPr>
            <w:r w:rsidRPr="00D16809">
              <w:rPr>
                <w:sz w:val="21"/>
                <w:szCs w:val="21"/>
              </w:rPr>
              <w:t xml:space="preserve">18(11.0) </w:t>
            </w:r>
          </w:p>
        </w:tc>
        <w:tc>
          <w:tcPr>
            <w:tcW w:w="901" w:type="pct"/>
            <w:tcBorders>
              <w:top w:val="single" w:sz="6" w:space="0" w:color="auto"/>
              <w:left w:val="single" w:sz="6" w:space="0" w:color="auto"/>
              <w:bottom w:val="single" w:sz="6" w:space="0" w:color="auto"/>
              <w:right w:val="single" w:sz="6" w:space="0" w:color="auto"/>
            </w:tcBorders>
            <w:vAlign w:val="center"/>
          </w:tcPr>
          <w:p w14:paraId="6B030BE7" w14:textId="77777777" w:rsidR="00C13D35" w:rsidRPr="00D16809" w:rsidRDefault="00C13D35" w:rsidP="009B153D">
            <w:pPr>
              <w:pStyle w:val="Style"/>
              <w:ind w:left="29"/>
              <w:jc w:val="center"/>
              <w:textAlignment w:val="baseline"/>
              <w:rPr>
                <w:sz w:val="21"/>
                <w:szCs w:val="21"/>
              </w:rPr>
            </w:pPr>
            <w:r w:rsidRPr="00D16809">
              <w:rPr>
                <w:sz w:val="21"/>
                <w:szCs w:val="21"/>
              </w:rPr>
              <w:t xml:space="preserve">62 (10.9) </w:t>
            </w:r>
          </w:p>
        </w:tc>
      </w:tr>
      <w:tr w:rsidR="00C13D35" w14:paraId="2BD27A93" w14:textId="77777777" w:rsidTr="00C13D35">
        <w:trPr>
          <w:trHeight w:hRule="exact" w:val="379"/>
          <w:jc w:val="center"/>
        </w:trPr>
        <w:tc>
          <w:tcPr>
            <w:tcW w:w="5000" w:type="pct"/>
            <w:gridSpan w:val="5"/>
            <w:tcBorders>
              <w:top w:val="single" w:sz="6" w:space="0" w:color="auto"/>
              <w:left w:val="single" w:sz="6" w:space="0" w:color="auto"/>
              <w:bottom w:val="single" w:sz="6" w:space="0" w:color="auto"/>
              <w:right w:val="single" w:sz="6" w:space="0" w:color="auto"/>
            </w:tcBorders>
            <w:vAlign w:val="center"/>
          </w:tcPr>
          <w:p w14:paraId="16328985" w14:textId="2048DB00" w:rsidR="00C13D35" w:rsidRPr="008A3252" w:rsidRDefault="00C13D35" w:rsidP="008A3252">
            <w:pPr>
              <w:pStyle w:val="Style"/>
              <w:ind w:left="293"/>
              <w:textAlignment w:val="baseline"/>
              <w:rPr>
                <w:sz w:val="20"/>
                <w:szCs w:val="20"/>
              </w:rPr>
            </w:pPr>
            <w:r>
              <w:rPr>
                <w:sz w:val="20"/>
                <w:szCs w:val="20"/>
              </w:rPr>
              <w:t>Gender, n (%)</w:t>
            </w:r>
          </w:p>
        </w:tc>
      </w:tr>
      <w:tr w:rsidR="00C13D35" w14:paraId="7FC12AD8" w14:textId="77777777" w:rsidTr="008A3252">
        <w:trPr>
          <w:trHeight w:hRule="exact" w:val="379"/>
          <w:jc w:val="center"/>
        </w:trPr>
        <w:tc>
          <w:tcPr>
            <w:tcW w:w="1209" w:type="pct"/>
            <w:tcBorders>
              <w:top w:val="single" w:sz="6" w:space="0" w:color="auto"/>
              <w:left w:val="single" w:sz="6" w:space="0" w:color="auto"/>
              <w:bottom w:val="single" w:sz="6" w:space="0" w:color="auto"/>
              <w:right w:val="single" w:sz="6" w:space="0" w:color="auto"/>
            </w:tcBorders>
            <w:vAlign w:val="center"/>
          </w:tcPr>
          <w:p w14:paraId="44B52947" w14:textId="77777777" w:rsidR="00C13D35" w:rsidRPr="00D16809" w:rsidRDefault="00C13D35" w:rsidP="009B153D">
            <w:pPr>
              <w:pStyle w:val="Style"/>
              <w:ind w:left="293"/>
              <w:textAlignment w:val="baseline"/>
              <w:rPr>
                <w:sz w:val="20"/>
                <w:szCs w:val="20"/>
              </w:rPr>
            </w:pPr>
            <w:r>
              <w:rPr>
                <w:sz w:val="20"/>
                <w:szCs w:val="20"/>
              </w:rPr>
              <w:t xml:space="preserve">Male </w:t>
            </w:r>
          </w:p>
        </w:tc>
        <w:tc>
          <w:tcPr>
            <w:tcW w:w="984" w:type="pct"/>
            <w:tcBorders>
              <w:top w:val="single" w:sz="6" w:space="0" w:color="auto"/>
              <w:left w:val="single" w:sz="6" w:space="0" w:color="auto"/>
              <w:bottom w:val="single" w:sz="6" w:space="0" w:color="auto"/>
              <w:right w:val="single" w:sz="6" w:space="0" w:color="auto"/>
            </w:tcBorders>
            <w:vAlign w:val="center"/>
          </w:tcPr>
          <w:p w14:paraId="74FD5465" w14:textId="77777777" w:rsidR="00C13D35" w:rsidRPr="00D16809" w:rsidRDefault="00C13D35" w:rsidP="009B153D">
            <w:pPr>
              <w:pStyle w:val="Style"/>
              <w:ind w:left="24"/>
              <w:jc w:val="center"/>
              <w:textAlignment w:val="baseline"/>
              <w:rPr>
                <w:sz w:val="21"/>
                <w:szCs w:val="21"/>
              </w:rPr>
            </w:pPr>
            <w:r w:rsidRPr="00D16809">
              <w:rPr>
                <w:sz w:val="21"/>
                <w:szCs w:val="21"/>
              </w:rPr>
              <w:t xml:space="preserve">60 (72.3) </w:t>
            </w:r>
          </w:p>
        </w:tc>
        <w:tc>
          <w:tcPr>
            <w:tcW w:w="968" w:type="pct"/>
            <w:tcBorders>
              <w:top w:val="single" w:sz="6" w:space="0" w:color="auto"/>
              <w:left w:val="single" w:sz="6" w:space="0" w:color="auto"/>
              <w:bottom w:val="single" w:sz="6" w:space="0" w:color="auto"/>
              <w:right w:val="single" w:sz="6" w:space="0" w:color="auto"/>
            </w:tcBorders>
            <w:vAlign w:val="center"/>
          </w:tcPr>
          <w:p w14:paraId="359B8B19" w14:textId="77777777" w:rsidR="00C13D35" w:rsidRPr="00D16809" w:rsidRDefault="00C13D35" w:rsidP="009B153D">
            <w:pPr>
              <w:pStyle w:val="Style"/>
              <w:ind w:left="19"/>
              <w:jc w:val="center"/>
              <w:textAlignment w:val="baseline"/>
              <w:rPr>
                <w:sz w:val="21"/>
                <w:szCs w:val="21"/>
              </w:rPr>
            </w:pPr>
            <w:r w:rsidRPr="00D16809">
              <w:rPr>
                <w:sz w:val="21"/>
                <w:szCs w:val="21"/>
              </w:rPr>
              <w:t xml:space="preserve">229 (71.3) </w:t>
            </w:r>
          </w:p>
        </w:tc>
        <w:tc>
          <w:tcPr>
            <w:tcW w:w="938" w:type="pct"/>
            <w:tcBorders>
              <w:top w:val="single" w:sz="6" w:space="0" w:color="auto"/>
              <w:left w:val="single" w:sz="6" w:space="0" w:color="auto"/>
              <w:bottom w:val="single" w:sz="6" w:space="0" w:color="auto"/>
              <w:right w:val="single" w:sz="6" w:space="0" w:color="auto"/>
            </w:tcBorders>
            <w:vAlign w:val="center"/>
          </w:tcPr>
          <w:p w14:paraId="2B3400D8" w14:textId="77777777" w:rsidR="00C13D35" w:rsidRPr="00D16809" w:rsidRDefault="00C13D35" w:rsidP="009B153D">
            <w:pPr>
              <w:pStyle w:val="Style"/>
              <w:ind w:left="43"/>
              <w:jc w:val="center"/>
              <w:textAlignment w:val="baseline"/>
              <w:rPr>
                <w:sz w:val="21"/>
                <w:szCs w:val="21"/>
              </w:rPr>
            </w:pPr>
            <w:r w:rsidRPr="00D16809">
              <w:rPr>
                <w:sz w:val="21"/>
                <w:szCs w:val="21"/>
              </w:rPr>
              <w:t xml:space="preserve">117 (71.8) </w:t>
            </w:r>
          </w:p>
        </w:tc>
        <w:tc>
          <w:tcPr>
            <w:tcW w:w="901" w:type="pct"/>
            <w:tcBorders>
              <w:top w:val="single" w:sz="6" w:space="0" w:color="auto"/>
              <w:left w:val="single" w:sz="6" w:space="0" w:color="auto"/>
              <w:bottom w:val="single" w:sz="6" w:space="0" w:color="auto"/>
              <w:right w:val="single" w:sz="6" w:space="0" w:color="auto"/>
            </w:tcBorders>
            <w:vAlign w:val="center"/>
          </w:tcPr>
          <w:p w14:paraId="0511323E" w14:textId="77777777" w:rsidR="00C13D35" w:rsidRPr="00D16809" w:rsidRDefault="00C13D35" w:rsidP="009B153D">
            <w:pPr>
              <w:pStyle w:val="Style"/>
              <w:ind w:left="29"/>
              <w:jc w:val="center"/>
              <w:textAlignment w:val="baseline"/>
              <w:rPr>
                <w:sz w:val="21"/>
                <w:szCs w:val="21"/>
              </w:rPr>
            </w:pPr>
            <w:r w:rsidRPr="00D16809">
              <w:rPr>
                <w:sz w:val="21"/>
                <w:szCs w:val="21"/>
              </w:rPr>
              <w:t xml:space="preserve">406 (71.6) </w:t>
            </w:r>
          </w:p>
        </w:tc>
      </w:tr>
      <w:tr w:rsidR="00C13D35" w14:paraId="7FD149E5" w14:textId="77777777" w:rsidTr="008A3252">
        <w:trPr>
          <w:trHeight w:hRule="exact" w:val="379"/>
          <w:jc w:val="center"/>
        </w:trPr>
        <w:tc>
          <w:tcPr>
            <w:tcW w:w="1209" w:type="pct"/>
            <w:tcBorders>
              <w:top w:val="single" w:sz="6" w:space="0" w:color="auto"/>
              <w:left w:val="single" w:sz="6" w:space="0" w:color="auto"/>
              <w:bottom w:val="single" w:sz="6" w:space="0" w:color="auto"/>
              <w:right w:val="single" w:sz="6" w:space="0" w:color="auto"/>
            </w:tcBorders>
            <w:vAlign w:val="center"/>
          </w:tcPr>
          <w:p w14:paraId="309594C2" w14:textId="77777777" w:rsidR="00C13D35" w:rsidRPr="00D16809" w:rsidRDefault="00C13D35" w:rsidP="009B153D">
            <w:pPr>
              <w:pStyle w:val="Style"/>
              <w:ind w:left="293"/>
              <w:textAlignment w:val="baseline"/>
              <w:rPr>
                <w:sz w:val="20"/>
                <w:szCs w:val="20"/>
              </w:rPr>
            </w:pPr>
            <w:r>
              <w:rPr>
                <w:sz w:val="20"/>
                <w:szCs w:val="20"/>
              </w:rPr>
              <w:t xml:space="preserve">Female </w:t>
            </w:r>
          </w:p>
        </w:tc>
        <w:tc>
          <w:tcPr>
            <w:tcW w:w="984" w:type="pct"/>
            <w:tcBorders>
              <w:top w:val="single" w:sz="6" w:space="0" w:color="auto"/>
              <w:left w:val="single" w:sz="6" w:space="0" w:color="auto"/>
              <w:bottom w:val="single" w:sz="6" w:space="0" w:color="auto"/>
              <w:right w:val="single" w:sz="6" w:space="0" w:color="auto"/>
            </w:tcBorders>
            <w:vAlign w:val="center"/>
          </w:tcPr>
          <w:p w14:paraId="7578ACB7" w14:textId="77777777" w:rsidR="00C13D35" w:rsidRPr="00D16809" w:rsidRDefault="00C13D35" w:rsidP="009B153D">
            <w:pPr>
              <w:pStyle w:val="Style"/>
              <w:ind w:left="24"/>
              <w:jc w:val="center"/>
              <w:textAlignment w:val="baseline"/>
              <w:rPr>
                <w:sz w:val="21"/>
                <w:szCs w:val="21"/>
              </w:rPr>
            </w:pPr>
            <w:r w:rsidRPr="00D16809">
              <w:rPr>
                <w:sz w:val="21"/>
                <w:szCs w:val="21"/>
              </w:rPr>
              <w:t xml:space="preserve">23 (27.7) </w:t>
            </w:r>
          </w:p>
        </w:tc>
        <w:tc>
          <w:tcPr>
            <w:tcW w:w="968" w:type="pct"/>
            <w:tcBorders>
              <w:top w:val="single" w:sz="6" w:space="0" w:color="auto"/>
              <w:left w:val="single" w:sz="6" w:space="0" w:color="auto"/>
              <w:bottom w:val="single" w:sz="6" w:space="0" w:color="auto"/>
              <w:right w:val="single" w:sz="6" w:space="0" w:color="auto"/>
            </w:tcBorders>
            <w:vAlign w:val="center"/>
          </w:tcPr>
          <w:p w14:paraId="3186EB4E" w14:textId="77777777" w:rsidR="00C13D35" w:rsidRPr="00D16809" w:rsidRDefault="00C13D35" w:rsidP="009B153D">
            <w:pPr>
              <w:pStyle w:val="Style"/>
              <w:ind w:left="19"/>
              <w:jc w:val="center"/>
              <w:textAlignment w:val="baseline"/>
              <w:rPr>
                <w:sz w:val="21"/>
                <w:szCs w:val="21"/>
              </w:rPr>
            </w:pPr>
            <w:r w:rsidRPr="00D16809">
              <w:rPr>
                <w:sz w:val="21"/>
                <w:szCs w:val="21"/>
              </w:rPr>
              <w:t xml:space="preserve">92 (28.7) </w:t>
            </w:r>
          </w:p>
        </w:tc>
        <w:tc>
          <w:tcPr>
            <w:tcW w:w="938" w:type="pct"/>
            <w:tcBorders>
              <w:top w:val="single" w:sz="6" w:space="0" w:color="auto"/>
              <w:left w:val="single" w:sz="6" w:space="0" w:color="auto"/>
              <w:bottom w:val="single" w:sz="6" w:space="0" w:color="auto"/>
              <w:right w:val="single" w:sz="6" w:space="0" w:color="auto"/>
            </w:tcBorders>
            <w:vAlign w:val="center"/>
          </w:tcPr>
          <w:p w14:paraId="1FFDEEDF" w14:textId="77777777" w:rsidR="00C13D35" w:rsidRPr="00D16809" w:rsidRDefault="00C13D35" w:rsidP="009B153D">
            <w:pPr>
              <w:pStyle w:val="Style"/>
              <w:ind w:left="43"/>
              <w:jc w:val="center"/>
              <w:textAlignment w:val="baseline"/>
              <w:rPr>
                <w:sz w:val="21"/>
                <w:szCs w:val="21"/>
              </w:rPr>
            </w:pPr>
            <w:r w:rsidRPr="00D16809">
              <w:rPr>
                <w:sz w:val="21"/>
                <w:szCs w:val="21"/>
              </w:rPr>
              <w:t xml:space="preserve">46 (28.2) </w:t>
            </w:r>
          </w:p>
        </w:tc>
        <w:tc>
          <w:tcPr>
            <w:tcW w:w="901" w:type="pct"/>
            <w:tcBorders>
              <w:top w:val="single" w:sz="6" w:space="0" w:color="auto"/>
              <w:left w:val="single" w:sz="6" w:space="0" w:color="auto"/>
              <w:bottom w:val="single" w:sz="6" w:space="0" w:color="auto"/>
              <w:right w:val="single" w:sz="6" w:space="0" w:color="auto"/>
            </w:tcBorders>
            <w:vAlign w:val="center"/>
          </w:tcPr>
          <w:p w14:paraId="6BC1AB30" w14:textId="77777777" w:rsidR="00C13D35" w:rsidRPr="00D16809" w:rsidRDefault="00C13D35" w:rsidP="009B153D">
            <w:pPr>
              <w:pStyle w:val="Style"/>
              <w:ind w:left="29"/>
              <w:jc w:val="center"/>
              <w:textAlignment w:val="baseline"/>
              <w:rPr>
                <w:sz w:val="21"/>
                <w:szCs w:val="21"/>
              </w:rPr>
            </w:pPr>
            <w:r w:rsidRPr="00D16809">
              <w:rPr>
                <w:sz w:val="21"/>
                <w:szCs w:val="21"/>
              </w:rPr>
              <w:t xml:space="preserve">161 (28.4) </w:t>
            </w:r>
          </w:p>
        </w:tc>
      </w:tr>
      <w:tr w:rsidR="00C13D35" w14:paraId="57B8B4A2" w14:textId="77777777" w:rsidTr="008A3252">
        <w:trPr>
          <w:trHeight w:hRule="exact" w:val="379"/>
          <w:jc w:val="center"/>
        </w:trPr>
        <w:tc>
          <w:tcPr>
            <w:tcW w:w="1209" w:type="pct"/>
            <w:tcBorders>
              <w:top w:val="single" w:sz="6" w:space="0" w:color="auto"/>
              <w:left w:val="single" w:sz="6" w:space="0" w:color="auto"/>
              <w:bottom w:val="single" w:sz="6" w:space="0" w:color="auto"/>
              <w:right w:val="single" w:sz="6" w:space="0" w:color="auto"/>
            </w:tcBorders>
            <w:vAlign w:val="center"/>
          </w:tcPr>
          <w:p w14:paraId="1B0CC0F8" w14:textId="77777777" w:rsidR="00C13D35" w:rsidRPr="00D16809" w:rsidRDefault="00C13D35" w:rsidP="009B153D">
            <w:pPr>
              <w:pStyle w:val="Style"/>
              <w:ind w:left="293"/>
              <w:textAlignment w:val="baseline"/>
              <w:rPr>
                <w:sz w:val="20"/>
                <w:szCs w:val="20"/>
              </w:rPr>
            </w:pPr>
            <w:r>
              <w:rPr>
                <w:sz w:val="20"/>
                <w:szCs w:val="20"/>
              </w:rPr>
              <w:t xml:space="preserve">Weight (kg) </w:t>
            </w:r>
          </w:p>
        </w:tc>
        <w:tc>
          <w:tcPr>
            <w:tcW w:w="984" w:type="pct"/>
            <w:tcBorders>
              <w:top w:val="single" w:sz="6" w:space="0" w:color="auto"/>
              <w:left w:val="single" w:sz="6" w:space="0" w:color="auto"/>
              <w:bottom w:val="single" w:sz="6" w:space="0" w:color="auto"/>
              <w:right w:val="single" w:sz="6" w:space="0" w:color="auto"/>
            </w:tcBorders>
            <w:vAlign w:val="center"/>
          </w:tcPr>
          <w:p w14:paraId="5353976D" w14:textId="77777777" w:rsidR="00C13D35" w:rsidRPr="00D16809" w:rsidRDefault="00C13D35" w:rsidP="009B153D">
            <w:pPr>
              <w:pStyle w:val="Style"/>
              <w:ind w:left="24"/>
              <w:jc w:val="center"/>
              <w:textAlignment w:val="baseline"/>
              <w:rPr>
                <w:sz w:val="21"/>
                <w:szCs w:val="21"/>
              </w:rPr>
            </w:pPr>
            <w:r w:rsidRPr="00D16809">
              <w:rPr>
                <w:sz w:val="21"/>
                <w:szCs w:val="21"/>
              </w:rPr>
              <w:t xml:space="preserve"> </w:t>
            </w:r>
          </w:p>
        </w:tc>
        <w:tc>
          <w:tcPr>
            <w:tcW w:w="968" w:type="pct"/>
            <w:tcBorders>
              <w:top w:val="single" w:sz="6" w:space="0" w:color="auto"/>
              <w:left w:val="single" w:sz="6" w:space="0" w:color="auto"/>
              <w:bottom w:val="single" w:sz="6" w:space="0" w:color="auto"/>
              <w:right w:val="single" w:sz="6" w:space="0" w:color="auto"/>
            </w:tcBorders>
            <w:vAlign w:val="center"/>
          </w:tcPr>
          <w:p w14:paraId="48E50651" w14:textId="77777777" w:rsidR="00C13D35" w:rsidRPr="00D16809" w:rsidRDefault="00C13D35" w:rsidP="009B153D">
            <w:pPr>
              <w:pStyle w:val="Style"/>
              <w:ind w:left="19"/>
              <w:jc w:val="center"/>
              <w:textAlignment w:val="baseline"/>
              <w:rPr>
                <w:sz w:val="21"/>
                <w:szCs w:val="21"/>
              </w:rPr>
            </w:pPr>
            <w:r w:rsidRPr="00D16809">
              <w:rPr>
                <w:sz w:val="21"/>
                <w:szCs w:val="21"/>
              </w:rPr>
              <w:t xml:space="preserve"> </w:t>
            </w:r>
          </w:p>
        </w:tc>
        <w:tc>
          <w:tcPr>
            <w:tcW w:w="938" w:type="pct"/>
            <w:tcBorders>
              <w:top w:val="single" w:sz="6" w:space="0" w:color="auto"/>
              <w:left w:val="single" w:sz="6" w:space="0" w:color="auto"/>
              <w:bottom w:val="single" w:sz="6" w:space="0" w:color="auto"/>
              <w:right w:val="single" w:sz="6" w:space="0" w:color="auto"/>
            </w:tcBorders>
            <w:vAlign w:val="center"/>
          </w:tcPr>
          <w:p w14:paraId="1530237A" w14:textId="77777777" w:rsidR="00C13D35" w:rsidRPr="00D16809" w:rsidRDefault="00C13D35" w:rsidP="009B153D">
            <w:pPr>
              <w:pStyle w:val="Style"/>
              <w:ind w:left="43"/>
              <w:jc w:val="center"/>
              <w:textAlignment w:val="baseline"/>
              <w:rPr>
                <w:sz w:val="21"/>
                <w:szCs w:val="21"/>
              </w:rPr>
            </w:pPr>
            <w:r w:rsidRPr="00D16809">
              <w:rPr>
                <w:sz w:val="21"/>
                <w:szCs w:val="21"/>
              </w:rPr>
              <w:t xml:space="preserve"> </w:t>
            </w:r>
          </w:p>
        </w:tc>
        <w:tc>
          <w:tcPr>
            <w:tcW w:w="901" w:type="pct"/>
            <w:tcBorders>
              <w:top w:val="single" w:sz="6" w:space="0" w:color="auto"/>
              <w:left w:val="single" w:sz="6" w:space="0" w:color="auto"/>
              <w:bottom w:val="single" w:sz="6" w:space="0" w:color="auto"/>
              <w:right w:val="single" w:sz="6" w:space="0" w:color="auto"/>
            </w:tcBorders>
            <w:vAlign w:val="center"/>
          </w:tcPr>
          <w:p w14:paraId="72CDAED2" w14:textId="77777777" w:rsidR="00C13D35" w:rsidRPr="00D16809" w:rsidRDefault="00C13D35" w:rsidP="009B153D">
            <w:pPr>
              <w:pStyle w:val="Style"/>
              <w:ind w:left="29"/>
              <w:jc w:val="center"/>
              <w:textAlignment w:val="baseline"/>
              <w:rPr>
                <w:sz w:val="21"/>
                <w:szCs w:val="21"/>
              </w:rPr>
            </w:pPr>
            <w:r w:rsidRPr="00D16809">
              <w:rPr>
                <w:sz w:val="21"/>
                <w:szCs w:val="21"/>
              </w:rPr>
              <w:t xml:space="preserve"> </w:t>
            </w:r>
          </w:p>
        </w:tc>
      </w:tr>
      <w:tr w:rsidR="00C13D35" w14:paraId="0F244220" w14:textId="77777777" w:rsidTr="008A3252">
        <w:trPr>
          <w:trHeight w:hRule="exact" w:val="379"/>
          <w:jc w:val="center"/>
        </w:trPr>
        <w:tc>
          <w:tcPr>
            <w:tcW w:w="1209" w:type="pct"/>
            <w:tcBorders>
              <w:top w:val="single" w:sz="6" w:space="0" w:color="auto"/>
              <w:left w:val="single" w:sz="6" w:space="0" w:color="auto"/>
              <w:bottom w:val="single" w:sz="6" w:space="0" w:color="auto"/>
              <w:right w:val="single" w:sz="6" w:space="0" w:color="auto"/>
            </w:tcBorders>
            <w:vAlign w:val="center"/>
          </w:tcPr>
          <w:p w14:paraId="63F69EEA" w14:textId="77777777" w:rsidR="00C13D35" w:rsidRPr="00D16809" w:rsidRDefault="00C13D35" w:rsidP="009B153D">
            <w:pPr>
              <w:pStyle w:val="Style"/>
              <w:ind w:left="293"/>
              <w:textAlignment w:val="baseline"/>
              <w:rPr>
                <w:sz w:val="20"/>
                <w:szCs w:val="20"/>
              </w:rPr>
            </w:pPr>
            <w:r>
              <w:rPr>
                <w:sz w:val="20"/>
                <w:szCs w:val="20"/>
              </w:rPr>
              <w:t xml:space="preserve">Mean (SD) </w:t>
            </w:r>
          </w:p>
        </w:tc>
        <w:tc>
          <w:tcPr>
            <w:tcW w:w="984" w:type="pct"/>
            <w:tcBorders>
              <w:top w:val="single" w:sz="6" w:space="0" w:color="auto"/>
              <w:left w:val="single" w:sz="6" w:space="0" w:color="auto"/>
              <w:bottom w:val="single" w:sz="6" w:space="0" w:color="auto"/>
              <w:right w:val="single" w:sz="6" w:space="0" w:color="auto"/>
            </w:tcBorders>
            <w:vAlign w:val="center"/>
          </w:tcPr>
          <w:p w14:paraId="073B5EB6" w14:textId="77777777" w:rsidR="00C13D35" w:rsidRPr="00D16809" w:rsidRDefault="00C13D35" w:rsidP="009B153D">
            <w:pPr>
              <w:pStyle w:val="Style"/>
              <w:ind w:left="24"/>
              <w:jc w:val="center"/>
              <w:textAlignment w:val="baseline"/>
              <w:rPr>
                <w:sz w:val="21"/>
                <w:szCs w:val="21"/>
              </w:rPr>
            </w:pPr>
            <w:r w:rsidRPr="00D16809">
              <w:rPr>
                <w:sz w:val="21"/>
                <w:szCs w:val="21"/>
              </w:rPr>
              <w:t xml:space="preserve">89.059 (26.402) </w:t>
            </w:r>
          </w:p>
        </w:tc>
        <w:tc>
          <w:tcPr>
            <w:tcW w:w="968" w:type="pct"/>
            <w:tcBorders>
              <w:top w:val="single" w:sz="6" w:space="0" w:color="auto"/>
              <w:left w:val="single" w:sz="6" w:space="0" w:color="auto"/>
              <w:bottom w:val="single" w:sz="6" w:space="0" w:color="auto"/>
              <w:right w:val="single" w:sz="6" w:space="0" w:color="auto"/>
            </w:tcBorders>
            <w:vAlign w:val="center"/>
          </w:tcPr>
          <w:p w14:paraId="0BAD2E95" w14:textId="77777777" w:rsidR="00C13D35" w:rsidRPr="00D16809" w:rsidRDefault="00C13D35" w:rsidP="009B153D">
            <w:pPr>
              <w:pStyle w:val="Style"/>
              <w:ind w:left="19"/>
              <w:jc w:val="center"/>
              <w:textAlignment w:val="baseline"/>
              <w:rPr>
                <w:sz w:val="21"/>
                <w:szCs w:val="21"/>
              </w:rPr>
            </w:pPr>
            <w:r w:rsidRPr="00D16809">
              <w:rPr>
                <w:sz w:val="21"/>
                <w:szCs w:val="21"/>
              </w:rPr>
              <w:t xml:space="preserve">88. 731 (23.059) </w:t>
            </w:r>
          </w:p>
        </w:tc>
        <w:tc>
          <w:tcPr>
            <w:tcW w:w="938" w:type="pct"/>
            <w:tcBorders>
              <w:top w:val="single" w:sz="6" w:space="0" w:color="auto"/>
              <w:left w:val="single" w:sz="6" w:space="0" w:color="auto"/>
              <w:bottom w:val="single" w:sz="6" w:space="0" w:color="auto"/>
              <w:right w:val="single" w:sz="6" w:space="0" w:color="auto"/>
            </w:tcBorders>
            <w:vAlign w:val="center"/>
          </w:tcPr>
          <w:p w14:paraId="0DE0C207" w14:textId="77777777" w:rsidR="00C13D35" w:rsidRPr="00D16809" w:rsidRDefault="00C13D35" w:rsidP="009B153D">
            <w:pPr>
              <w:pStyle w:val="Style"/>
              <w:ind w:left="43"/>
              <w:jc w:val="center"/>
              <w:textAlignment w:val="baseline"/>
              <w:rPr>
                <w:sz w:val="21"/>
                <w:szCs w:val="21"/>
              </w:rPr>
            </w:pPr>
            <w:r w:rsidRPr="00D16809">
              <w:rPr>
                <w:sz w:val="21"/>
                <w:szCs w:val="21"/>
              </w:rPr>
              <w:t xml:space="preserve">87.244 (21.078) </w:t>
            </w:r>
          </w:p>
        </w:tc>
        <w:tc>
          <w:tcPr>
            <w:tcW w:w="901" w:type="pct"/>
            <w:tcBorders>
              <w:top w:val="single" w:sz="6" w:space="0" w:color="auto"/>
              <w:left w:val="single" w:sz="6" w:space="0" w:color="auto"/>
              <w:bottom w:val="single" w:sz="6" w:space="0" w:color="auto"/>
              <w:right w:val="single" w:sz="6" w:space="0" w:color="auto"/>
            </w:tcBorders>
            <w:vAlign w:val="center"/>
          </w:tcPr>
          <w:p w14:paraId="02804D5B" w14:textId="77777777" w:rsidR="00C13D35" w:rsidRPr="00D16809" w:rsidRDefault="00C13D35" w:rsidP="009B153D">
            <w:pPr>
              <w:pStyle w:val="Style"/>
              <w:ind w:left="29"/>
              <w:jc w:val="center"/>
              <w:textAlignment w:val="baseline"/>
              <w:rPr>
                <w:sz w:val="21"/>
                <w:szCs w:val="21"/>
              </w:rPr>
            </w:pPr>
            <w:r w:rsidRPr="00D16809">
              <w:rPr>
                <w:sz w:val="21"/>
                <w:szCs w:val="21"/>
              </w:rPr>
              <w:t xml:space="preserve">88.352 (23.006) </w:t>
            </w:r>
          </w:p>
        </w:tc>
      </w:tr>
      <w:tr w:rsidR="00C13D35" w14:paraId="7B99BA6F" w14:textId="77777777" w:rsidTr="008A3252">
        <w:trPr>
          <w:trHeight w:val="743"/>
          <w:jc w:val="center"/>
        </w:trPr>
        <w:tc>
          <w:tcPr>
            <w:tcW w:w="1209" w:type="pct"/>
            <w:tcBorders>
              <w:top w:val="single" w:sz="6" w:space="0" w:color="auto"/>
              <w:left w:val="single" w:sz="6" w:space="0" w:color="auto"/>
              <w:right w:val="single" w:sz="6" w:space="0" w:color="auto"/>
            </w:tcBorders>
            <w:vAlign w:val="center"/>
          </w:tcPr>
          <w:p w14:paraId="7D098397" w14:textId="77777777" w:rsidR="00C13D35" w:rsidRPr="00D16809" w:rsidRDefault="00C13D35" w:rsidP="009B153D">
            <w:pPr>
              <w:pStyle w:val="Style"/>
              <w:ind w:left="293"/>
              <w:textAlignment w:val="baseline"/>
              <w:rPr>
                <w:sz w:val="20"/>
                <w:szCs w:val="20"/>
              </w:rPr>
            </w:pPr>
            <w:r>
              <w:rPr>
                <w:sz w:val="20"/>
                <w:szCs w:val="20"/>
              </w:rPr>
              <w:t xml:space="preserve">Median (min, max) </w:t>
            </w:r>
          </w:p>
          <w:p w14:paraId="710A3103" w14:textId="77777777" w:rsidR="00C13D35" w:rsidRPr="00D16809" w:rsidRDefault="00C13D35" w:rsidP="009B153D">
            <w:pPr>
              <w:pStyle w:val="Style"/>
              <w:ind w:left="293"/>
              <w:textAlignment w:val="baseline"/>
              <w:rPr>
                <w:sz w:val="20"/>
                <w:szCs w:val="20"/>
              </w:rPr>
            </w:pPr>
            <w:r w:rsidRPr="00D16809">
              <w:rPr>
                <w:sz w:val="20"/>
                <w:szCs w:val="20"/>
              </w:rPr>
              <w:t xml:space="preserve"> </w:t>
            </w:r>
          </w:p>
        </w:tc>
        <w:tc>
          <w:tcPr>
            <w:tcW w:w="984" w:type="pct"/>
            <w:tcBorders>
              <w:top w:val="single" w:sz="6" w:space="0" w:color="auto"/>
              <w:left w:val="single" w:sz="6" w:space="0" w:color="auto"/>
              <w:right w:val="single" w:sz="6" w:space="0" w:color="auto"/>
            </w:tcBorders>
            <w:vAlign w:val="center"/>
          </w:tcPr>
          <w:p w14:paraId="2F07355B" w14:textId="77777777" w:rsidR="00C13D35" w:rsidRPr="00D16809" w:rsidRDefault="00C13D35" w:rsidP="009B153D">
            <w:pPr>
              <w:pStyle w:val="Style"/>
              <w:ind w:left="24"/>
              <w:jc w:val="center"/>
              <w:textAlignment w:val="baseline"/>
              <w:rPr>
                <w:sz w:val="21"/>
                <w:szCs w:val="21"/>
              </w:rPr>
            </w:pPr>
            <w:r w:rsidRPr="00D16809">
              <w:rPr>
                <w:sz w:val="21"/>
                <w:szCs w:val="21"/>
              </w:rPr>
              <w:t xml:space="preserve">83.400 </w:t>
            </w:r>
          </w:p>
          <w:p w14:paraId="4296A1E0" w14:textId="77777777" w:rsidR="00C13D35" w:rsidRPr="00D16809" w:rsidRDefault="00C13D35" w:rsidP="009B153D">
            <w:pPr>
              <w:pStyle w:val="Style"/>
              <w:ind w:left="24"/>
              <w:jc w:val="center"/>
              <w:textAlignment w:val="baseline"/>
              <w:rPr>
                <w:sz w:val="21"/>
                <w:szCs w:val="21"/>
              </w:rPr>
            </w:pPr>
            <w:r w:rsidRPr="00D16809">
              <w:rPr>
                <w:sz w:val="21"/>
                <w:szCs w:val="21"/>
              </w:rPr>
              <w:t xml:space="preserve">(44.50, 179.60) </w:t>
            </w:r>
          </w:p>
        </w:tc>
        <w:tc>
          <w:tcPr>
            <w:tcW w:w="968" w:type="pct"/>
            <w:tcBorders>
              <w:top w:val="single" w:sz="6" w:space="0" w:color="auto"/>
              <w:left w:val="single" w:sz="6" w:space="0" w:color="auto"/>
              <w:right w:val="single" w:sz="6" w:space="0" w:color="auto"/>
            </w:tcBorders>
            <w:vAlign w:val="center"/>
          </w:tcPr>
          <w:p w14:paraId="27CCE299" w14:textId="77777777" w:rsidR="00C13D35" w:rsidRPr="00D16809" w:rsidRDefault="00C13D35" w:rsidP="009B153D">
            <w:pPr>
              <w:pStyle w:val="Style"/>
              <w:ind w:left="19"/>
              <w:jc w:val="center"/>
              <w:textAlignment w:val="baseline"/>
              <w:rPr>
                <w:sz w:val="21"/>
                <w:szCs w:val="21"/>
              </w:rPr>
            </w:pPr>
            <w:r w:rsidRPr="00D16809">
              <w:rPr>
                <w:sz w:val="21"/>
                <w:szCs w:val="21"/>
              </w:rPr>
              <w:t xml:space="preserve">87.300 </w:t>
            </w:r>
          </w:p>
          <w:p w14:paraId="7A1DC159" w14:textId="77777777" w:rsidR="00C13D35" w:rsidRPr="00D16809" w:rsidRDefault="00C13D35" w:rsidP="009B153D">
            <w:pPr>
              <w:pStyle w:val="Style"/>
              <w:ind w:left="19"/>
              <w:jc w:val="center"/>
              <w:textAlignment w:val="baseline"/>
              <w:rPr>
                <w:sz w:val="21"/>
                <w:szCs w:val="21"/>
              </w:rPr>
            </w:pPr>
            <w:r w:rsidRPr="00D16809">
              <w:rPr>
                <w:sz w:val="21"/>
                <w:szCs w:val="21"/>
              </w:rPr>
              <w:t xml:space="preserve">(42.90, 217.90) </w:t>
            </w:r>
          </w:p>
        </w:tc>
        <w:tc>
          <w:tcPr>
            <w:tcW w:w="938" w:type="pct"/>
            <w:tcBorders>
              <w:top w:val="single" w:sz="6" w:space="0" w:color="auto"/>
              <w:left w:val="single" w:sz="6" w:space="0" w:color="auto"/>
              <w:right w:val="single" w:sz="6" w:space="0" w:color="auto"/>
            </w:tcBorders>
            <w:vAlign w:val="center"/>
          </w:tcPr>
          <w:p w14:paraId="628F7542" w14:textId="77777777" w:rsidR="00C13D35" w:rsidRPr="00D16809" w:rsidRDefault="00C13D35" w:rsidP="009B153D">
            <w:pPr>
              <w:pStyle w:val="Style"/>
              <w:ind w:left="43"/>
              <w:jc w:val="center"/>
              <w:textAlignment w:val="baseline"/>
              <w:rPr>
                <w:sz w:val="21"/>
                <w:szCs w:val="21"/>
              </w:rPr>
            </w:pPr>
            <w:r w:rsidRPr="00D16809">
              <w:rPr>
                <w:sz w:val="21"/>
                <w:szCs w:val="21"/>
              </w:rPr>
              <w:t xml:space="preserve">86.300 </w:t>
            </w:r>
          </w:p>
          <w:p w14:paraId="34923D9E" w14:textId="77777777" w:rsidR="00C13D35" w:rsidRPr="00D16809" w:rsidRDefault="00C13D35" w:rsidP="009B153D">
            <w:pPr>
              <w:pStyle w:val="Style"/>
              <w:ind w:left="43"/>
              <w:jc w:val="center"/>
              <w:textAlignment w:val="baseline"/>
              <w:rPr>
                <w:sz w:val="21"/>
                <w:szCs w:val="21"/>
              </w:rPr>
            </w:pPr>
            <w:r w:rsidRPr="00D16809">
              <w:rPr>
                <w:sz w:val="21"/>
                <w:szCs w:val="21"/>
              </w:rPr>
              <w:t xml:space="preserve">(42.05, 142.43) </w:t>
            </w:r>
          </w:p>
        </w:tc>
        <w:tc>
          <w:tcPr>
            <w:tcW w:w="901" w:type="pct"/>
            <w:tcBorders>
              <w:top w:val="single" w:sz="6" w:space="0" w:color="auto"/>
              <w:left w:val="single" w:sz="6" w:space="0" w:color="auto"/>
              <w:right w:val="single" w:sz="6" w:space="0" w:color="auto"/>
            </w:tcBorders>
            <w:vAlign w:val="center"/>
          </w:tcPr>
          <w:p w14:paraId="6952ABAA" w14:textId="77777777" w:rsidR="00C13D35" w:rsidRPr="00D16809" w:rsidRDefault="00C13D35" w:rsidP="009B153D">
            <w:pPr>
              <w:pStyle w:val="Style"/>
              <w:ind w:left="29"/>
              <w:jc w:val="center"/>
              <w:textAlignment w:val="baseline"/>
              <w:rPr>
                <w:sz w:val="21"/>
                <w:szCs w:val="21"/>
              </w:rPr>
            </w:pPr>
            <w:r w:rsidRPr="00D16809">
              <w:rPr>
                <w:sz w:val="21"/>
                <w:szCs w:val="21"/>
              </w:rPr>
              <w:t xml:space="preserve">86.400 </w:t>
            </w:r>
          </w:p>
          <w:p w14:paraId="23908DB9" w14:textId="77777777" w:rsidR="00C13D35" w:rsidRPr="00D16809" w:rsidRDefault="00C13D35" w:rsidP="009B153D">
            <w:pPr>
              <w:pStyle w:val="Style"/>
              <w:ind w:left="29"/>
              <w:jc w:val="center"/>
              <w:textAlignment w:val="baseline"/>
              <w:rPr>
                <w:sz w:val="21"/>
                <w:szCs w:val="21"/>
              </w:rPr>
            </w:pPr>
            <w:r w:rsidRPr="00D16809">
              <w:rPr>
                <w:sz w:val="21"/>
                <w:szCs w:val="21"/>
              </w:rPr>
              <w:t xml:space="preserve">(42.05, 217.90) </w:t>
            </w:r>
          </w:p>
        </w:tc>
      </w:tr>
      <w:tr w:rsidR="00C13D35" w14:paraId="5072287D" w14:textId="77777777" w:rsidTr="00C13D35">
        <w:trPr>
          <w:trHeight w:hRule="exact" w:val="379"/>
          <w:jc w:val="center"/>
        </w:trPr>
        <w:tc>
          <w:tcPr>
            <w:tcW w:w="5000" w:type="pct"/>
            <w:gridSpan w:val="5"/>
            <w:tcBorders>
              <w:top w:val="single" w:sz="6" w:space="0" w:color="auto"/>
              <w:left w:val="single" w:sz="6" w:space="0" w:color="auto"/>
              <w:bottom w:val="single" w:sz="6" w:space="0" w:color="auto"/>
              <w:right w:val="single" w:sz="6" w:space="0" w:color="auto"/>
            </w:tcBorders>
            <w:vAlign w:val="center"/>
          </w:tcPr>
          <w:p w14:paraId="062B914F" w14:textId="58113985" w:rsidR="00C13D35" w:rsidRPr="008A3252" w:rsidRDefault="00C13D35" w:rsidP="008A3252">
            <w:pPr>
              <w:pStyle w:val="Style"/>
              <w:ind w:left="293"/>
              <w:textAlignment w:val="baseline"/>
              <w:rPr>
                <w:sz w:val="20"/>
                <w:szCs w:val="20"/>
              </w:rPr>
            </w:pPr>
            <w:r>
              <w:rPr>
                <w:sz w:val="20"/>
                <w:szCs w:val="20"/>
              </w:rPr>
              <w:t>Weight, n (%)</w:t>
            </w:r>
          </w:p>
        </w:tc>
      </w:tr>
      <w:tr w:rsidR="00C13D35" w14:paraId="1E4CDD5E" w14:textId="77777777" w:rsidTr="008A3252">
        <w:trPr>
          <w:trHeight w:hRule="exact" w:val="379"/>
          <w:jc w:val="center"/>
        </w:trPr>
        <w:tc>
          <w:tcPr>
            <w:tcW w:w="1209" w:type="pct"/>
            <w:tcBorders>
              <w:top w:val="single" w:sz="6" w:space="0" w:color="auto"/>
              <w:left w:val="single" w:sz="6" w:space="0" w:color="auto"/>
              <w:bottom w:val="single" w:sz="6" w:space="0" w:color="auto"/>
              <w:right w:val="single" w:sz="6" w:space="0" w:color="auto"/>
            </w:tcBorders>
            <w:vAlign w:val="center"/>
          </w:tcPr>
          <w:p w14:paraId="4688245E" w14:textId="1EE52C68" w:rsidR="00C13D35" w:rsidRPr="00D16809" w:rsidRDefault="00C13D35" w:rsidP="009B153D">
            <w:pPr>
              <w:pStyle w:val="Style"/>
              <w:ind w:left="293"/>
              <w:textAlignment w:val="baseline"/>
              <w:rPr>
                <w:sz w:val="20"/>
                <w:szCs w:val="20"/>
              </w:rPr>
            </w:pPr>
            <w:r>
              <w:rPr>
                <w:sz w:val="20"/>
                <w:szCs w:val="20"/>
              </w:rPr>
              <w:t>&lt;</w:t>
            </w:r>
            <w:r w:rsidR="00305A86">
              <w:rPr>
                <w:sz w:val="20"/>
                <w:szCs w:val="20"/>
              </w:rPr>
              <w:t xml:space="preserve"> </w:t>
            </w:r>
            <w:r>
              <w:rPr>
                <w:sz w:val="20"/>
                <w:szCs w:val="20"/>
              </w:rPr>
              <w:t xml:space="preserve">100kg </w:t>
            </w:r>
          </w:p>
        </w:tc>
        <w:tc>
          <w:tcPr>
            <w:tcW w:w="984" w:type="pct"/>
            <w:tcBorders>
              <w:top w:val="single" w:sz="6" w:space="0" w:color="auto"/>
              <w:left w:val="single" w:sz="6" w:space="0" w:color="auto"/>
              <w:bottom w:val="single" w:sz="6" w:space="0" w:color="auto"/>
              <w:right w:val="single" w:sz="6" w:space="0" w:color="auto"/>
            </w:tcBorders>
            <w:vAlign w:val="center"/>
          </w:tcPr>
          <w:p w14:paraId="6FE805A2" w14:textId="77777777" w:rsidR="00C13D35" w:rsidRPr="00D16809" w:rsidRDefault="00C13D35" w:rsidP="009B153D">
            <w:pPr>
              <w:pStyle w:val="Style"/>
              <w:ind w:left="24"/>
              <w:jc w:val="center"/>
              <w:textAlignment w:val="baseline"/>
              <w:rPr>
                <w:sz w:val="21"/>
                <w:szCs w:val="21"/>
              </w:rPr>
            </w:pPr>
            <w:r w:rsidRPr="00D16809">
              <w:rPr>
                <w:sz w:val="21"/>
                <w:szCs w:val="21"/>
              </w:rPr>
              <w:t xml:space="preserve">60 (72.3) </w:t>
            </w:r>
          </w:p>
        </w:tc>
        <w:tc>
          <w:tcPr>
            <w:tcW w:w="968" w:type="pct"/>
            <w:tcBorders>
              <w:top w:val="single" w:sz="6" w:space="0" w:color="auto"/>
              <w:left w:val="single" w:sz="6" w:space="0" w:color="auto"/>
              <w:bottom w:val="single" w:sz="6" w:space="0" w:color="auto"/>
              <w:right w:val="single" w:sz="6" w:space="0" w:color="auto"/>
            </w:tcBorders>
            <w:vAlign w:val="center"/>
          </w:tcPr>
          <w:p w14:paraId="332D0FBD" w14:textId="77777777" w:rsidR="00C13D35" w:rsidRPr="00D16809" w:rsidRDefault="00C13D35" w:rsidP="009B153D">
            <w:pPr>
              <w:pStyle w:val="Style"/>
              <w:ind w:left="19"/>
              <w:jc w:val="center"/>
              <w:textAlignment w:val="baseline"/>
              <w:rPr>
                <w:sz w:val="21"/>
                <w:szCs w:val="21"/>
              </w:rPr>
            </w:pPr>
            <w:r w:rsidRPr="00D16809">
              <w:rPr>
                <w:sz w:val="21"/>
                <w:szCs w:val="21"/>
              </w:rPr>
              <w:t xml:space="preserve">226 (70.4) </w:t>
            </w:r>
          </w:p>
        </w:tc>
        <w:tc>
          <w:tcPr>
            <w:tcW w:w="938" w:type="pct"/>
            <w:tcBorders>
              <w:top w:val="single" w:sz="6" w:space="0" w:color="auto"/>
              <w:left w:val="single" w:sz="6" w:space="0" w:color="auto"/>
              <w:bottom w:val="single" w:sz="6" w:space="0" w:color="auto"/>
              <w:right w:val="single" w:sz="6" w:space="0" w:color="auto"/>
            </w:tcBorders>
            <w:vAlign w:val="center"/>
          </w:tcPr>
          <w:p w14:paraId="62C1911C" w14:textId="77777777" w:rsidR="00C13D35" w:rsidRPr="00D16809" w:rsidRDefault="00C13D35" w:rsidP="009B153D">
            <w:pPr>
              <w:pStyle w:val="Style"/>
              <w:ind w:left="43"/>
              <w:jc w:val="center"/>
              <w:textAlignment w:val="baseline"/>
              <w:rPr>
                <w:sz w:val="21"/>
                <w:szCs w:val="21"/>
              </w:rPr>
            </w:pPr>
            <w:r w:rsidRPr="00D16809">
              <w:rPr>
                <w:sz w:val="21"/>
                <w:szCs w:val="21"/>
              </w:rPr>
              <w:t xml:space="preserve">122 (74.8) </w:t>
            </w:r>
          </w:p>
        </w:tc>
        <w:tc>
          <w:tcPr>
            <w:tcW w:w="901" w:type="pct"/>
            <w:tcBorders>
              <w:top w:val="single" w:sz="6" w:space="0" w:color="auto"/>
              <w:left w:val="single" w:sz="6" w:space="0" w:color="auto"/>
              <w:bottom w:val="single" w:sz="6" w:space="0" w:color="auto"/>
              <w:right w:val="single" w:sz="6" w:space="0" w:color="auto"/>
            </w:tcBorders>
            <w:vAlign w:val="center"/>
          </w:tcPr>
          <w:p w14:paraId="36E8DC01" w14:textId="77777777" w:rsidR="00C13D35" w:rsidRPr="00D16809" w:rsidRDefault="00C13D35" w:rsidP="009B153D">
            <w:pPr>
              <w:pStyle w:val="Style"/>
              <w:ind w:left="29"/>
              <w:jc w:val="center"/>
              <w:textAlignment w:val="baseline"/>
              <w:rPr>
                <w:sz w:val="21"/>
                <w:szCs w:val="21"/>
              </w:rPr>
            </w:pPr>
            <w:r w:rsidRPr="00D16809">
              <w:rPr>
                <w:sz w:val="21"/>
                <w:szCs w:val="21"/>
              </w:rPr>
              <w:t xml:space="preserve">408 (72.0) </w:t>
            </w:r>
          </w:p>
        </w:tc>
      </w:tr>
      <w:tr w:rsidR="00C13D35" w14:paraId="1637BABE" w14:textId="77777777" w:rsidTr="008A3252">
        <w:trPr>
          <w:trHeight w:hRule="exact" w:val="379"/>
          <w:jc w:val="center"/>
        </w:trPr>
        <w:tc>
          <w:tcPr>
            <w:tcW w:w="1209" w:type="pct"/>
            <w:tcBorders>
              <w:top w:val="single" w:sz="6" w:space="0" w:color="auto"/>
              <w:left w:val="single" w:sz="6" w:space="0" w:color="auto"/>
              <w:bottom w:val="single" w:sz="6" w:space="0" w:color="auto"/>
              <w:right w:val="single" w:sz="6" w:space="0" w:color="auto"/>
            </w:tcBorders>
            <w:vAlign w:val="center"/>
          </w:tcPr>
          <w:p w14:paraId="05D5322C" w14:textId="22C2AF2B" w:rsidR="00C13D35" w:rsidRPr="00D16809" w:rsidRDefault="00C13D35" w:rsidP="009B153D">
            <w:pPr>
              <w:pStyle w:val="Style"/>
              <w:ind w:left="293"/>
              <w:textAlignment w:val="baseline"/>
              <w:rPr>
                <w:sz w:val="20"/>
                <w:szCs w:val="20"/>
              </w:rPr>
            </w:pPr>
            <w:r>
              <w:rPr>
                <w:sz w:val="20"/>
                <w:szCs w:val="20"/>
              </w:rPr>
              <w:t>&gt;</w:t>
            </w:r>
            <w:r w:rsidR="00305A86">
              <w:rPr>
                <w:sz w:val="20"/>
                <w:szCs w:val="20"/>
              </w:rPr>
              <w:t xml:space="preserve"> </w:t>
            </w:r>
            <w:r>
              <w:rPr>
                <w:sz w:val="20"/>
                <w:szCs w:val="20"/>
              </w:rPr>
              <w:t xml:space="preserve">l00kg </w:t>
            </w:r>
          </w:p>
        </w:tc>
        <w:tc>
          <w:tcPr>
            <w:tcW w:w="984" w:type="pct"/>
            <w:tcBorders>
              <w:top w:val="single" w:sz="6" w:space="0" w:color="auto"/>
              <w:left w:val="single" w:sz="6" w:space="0" w:color="auto"/>
              <w:bottom w:val="single" w:sz="6" w:space="0" w:color="auto"/>
              <w:right w:val="single" w:sz="6" w:space="0" w:color="auto"/>
            </w:tcBorders>
            <w:vAlign w:val="center"/>
          </w:tcPr>
          <w:p w14:paraId="5EF27F59" w14:textId="77777777" w:rsidR="00C13D35" w:rsidRPr="00D16809" w:rsidRDefault="00C13D35" w:rsidP="009B153D">
            <w:pPr>
              <w:pStyle w:val="Style"/>
              <w:ind w:left="24"/>
              <w:jc w:val="center"/>
              <w:textAlignment w:val="baseline"/>
              <w:rPr>
                <w:sz w:val="21"/>
                <w:szCs w:val="21"/>
              </w:rPr>
            </w:pPr>
            <w:r w:rsidRPr="00D16809">
              <w:rPr>
                <w:sz w:val="21"/>
                <w:szCs w:val="21"/>
              </w:rPr>
              <w:t xml:space="preserve">23 (27.7) </w:t>
            </w:r>
          </w:p>
        </w:tc>
        <w:tc>
          <w:tcPr>
            <w:tcW w:w="968" w:type="pct"/>
            <w:tcBorders>
              <w:top w:val="single" w:sz="6" w:space="0" w:color="auto"/>
              <w:left w:val="single" w:sz="6" w:space="0" w:color="auto"/>
              <w:bottom w:val="single" w:sz="6" w:space="0" w:color="auto"/>
              <w:right w:val="single" w:sz="6" w:space="0" w:color="auto"/>
            </w:tcBorders>
            <w:vAlign w:val="center"/>
          </w:tcPr>
          <w:p w14:paraId="180C7079" w14:textId="77777777" w:rsidR="00C13D35" w:rsidRPr="00D16809" w:rsidRDefault="00C13D35" w:rsidP="009B153D">
            <w:pPr>
              <w:pStyle w:val="Style"/>
              <w:ind w:left="19"/>
              <w:jc w:val="center"/>
              <w:textAlignment w:val="baseline"/>
              <w:rPr>
                <w:sz w:val="21"/>
                <w:szCs w:val="21"/>
              </w:rPr>
            </w:pPr>
            <w:r w:rsidRPr="00D16809">
              <w:rPr>
                <w:sz w:val="21"/>
                <w:szCs w:val="21"/>
              </w:rPr>
              <w:t xml:space="preserve">95 (29.6) </w:t>
            </w:r>
          </w:p>
        </w:tc>
        <w:tc>
          <w:tcPr>
            <w:tcW w:w="938" w:type="pct"/>
            <w:tcBorders>
              <w:top w:val="single" w:sz="6" w:space="0" w:color="auto"/>
              <w:left w:val="single" w:sz="6" w:space="0" w:color="auto"/>
              <w:bottom w:val="single" w:sz="6" w:space="0" w:color="auto"/>
              <w:right w:val="single" w:sz="6" w:space="0" w:color="auto"/>
            </w:tcBorders>
            <w:vAlign w:val="center"/>
          </w:tcPr>
          <w:p w14:paraId="30437E17" w14:textId="77777777" w:rsidR="00C13D35" w:rsidRPr="00D16809" w:rsidRDefault="00C13D35" w:rsidP="009B153D">
            <w:pPr>
              <w:pStyle w:val="Style"/>
              <w:ind w:left="43"/>
              <w:jc w:val="center"/>
              <w:textAlignment w:val="baseline"/>
              <w:rPr>
                <w:sz w:val="21"/>
                <w:szCs w:val="21"/>
              </w:rPr>
            </w:pPr>
            <w:r w:rsidRPr="00D16809">
              <w:rPr>
                <w:sz w:val="21"/>
                <w:szCs w:val="21"/>
              </w:rPr>
              <w:t xml:space="preserve">41 (25.2) </w:t>
            </w:r>
          </w:p>
        </w:tc>
        <w:tc>
          <w:tcPr>
            <w:tcW w:w="901" w:type="pct"/>
            <w:tcBorders>
              <w:top w:val="single" w:sz="6" w:space="0" w:color="auto"/>
              <w:left w:val="single" w:sz="6" w:space="0" w:color="auto"/>
              <w:bottom w:val="single" w:sz="6" w:space="0" w:color="auto"/>
              <w:right w:val="single" w:sz="6" w:space="0" w:color="auto"/>
            </w:tcBorders>
            <w:vAlign w:val="center"/>
          </w:tcPr>
          <w:p w14:paraId="284911AC" w14:textId="77777777" w:rsidR="00C13D35" w:rsidRPr="00D16809" w:rsidRDefault="00C13D35" w:rsidP="009B153D">
            <w:pPr>
              <w:pStyle w:val="Style"/>
              <w:ind w:left="29"/>
              <w:jc w:val="center"/>
              <w:textAlignment w:val="baseline"/>
              <w:rPr>
                <w:sz w:val="21"/>
                <w:szCs w:val="21"/>
              </w:rPr>
            </w:pPr>
            <w:r w:rsidRPr="00D16809">
              <w:rPr>
                <w:sz w:val="21"/>
                <w:szCs w:val="21"/>
              </w:rPr>
              <w:t xml:space="preserve">159 (28.0) </w:t>
            </w:r>
          </w:p>
        </w:tc>
      </w:tr>
      <w:tr w:rsidR="00C13D35" w14:paraId="33B11924" w14:textId="77777777" w:rsidTr="008A3252">
        <w:trPr>
          <w:trHeight w:hRule="exact" w:val="379"/>
          <w:jc w:val="center"/>
        </w:trPr>
        <w:tc>
          <w:tcPr>
            <w:tcW w:w="1209" w:type="pct"/>
            <w:tcBorders>
              <w:top w:val="single" w:sz="6" w:space="0" w:color="auto"/>
              <w:left w:val="single" w:sz="6" w:space="0" w:color="auto"/>
              <w:bottom w:val="single" w:sz="6" w:space="0" w:color="auto"/>
              <w:right w:val="single" w:sz="6" w:space="0" w:color="auto"/>
            </w:tcBorders>
            <w:vAlign w:val="center"/>
          </w:tcPr>
          <w:p w14:paraId="7303DAE5" w14:textId="77777777" w:rsidR="00C13D35" w:rsidRPr="00D16809" w:rsidRDefault="00C13D35" w:rsidP="009B153D">
            <w:pPr>
              <w:pStyle w:val="Style"/>
              <w:ind w:left="293"/>
              <w:textAlignment w:val="baseline"/>
              <w:rPr>
                <w:sz w:val="20"/>
                <w:szCs w:val="20"/>
              </w:rPr>
            </w:pPr>
            <w:r>
              <w:rPr>
                <w:sz w:val="20"/>
                <w:szCs w:val="20"/>
              </w:rPr>
              <w:t xml:space="preserve">Height (cm) </w:t>
            </w:r>
          </w:p>
        </w:tc>
        <w:tc>
          <w:tcPr>
            <w:tcW w:w="984" w:type="pct"/>
            <w:tcBorders>
              <w:top w:val="single" w:sz="6" w:space="0" w:color="auto"/>
              <w:left w:val="single" w:sz="6" w:space="0" w:color="auto"/>
              <w:bottom w:val="single" w:sz="6" w:space="0" w:color="auto"/>
              <w:right w:val="single" w:sz="6" w:space="0" w:color="auto"/>
            </w:tcBorders>
            <w:vAlign w:val="center"/>
          </w:tcPr>
          <w:p w14:paraId="75F17528" w14:textId="77777777" w:rsidR="00C13D35" w:rsidRPr="00D16809" w:rsidRDefault="00C13D35" w:rsidP="009B153D">
            <w:pPr>
              <w:pStyle w:val="Style"/>
              <w:ind w:left="24"/>
              <w:jc w:val="center"/>
              <w:textAlignment w:val="baseline"/>
              <w:rPr>
                <w:sz w:val="21"/>
                <w:szCs w:val="21"/>
              </w:rPr>
            </w:pPr>
            <w:r w:rsidRPr="00D16809">
              <w:rPr>
                <w:sz w:val="21"/>
                <w:szCs w:val="21"/>
              </w:rPr>
              <w:t xml:space="preserve"> </w:t>
            </w:r>
          </w:p>
        </w:tc>
        <w:tc>
          <w:tcPr>
            <w:tcW w:w="968" w:type="pct"/>
            <w:tcBorders>
              <w:top w:val="single" w:sz="6" w:space="0" w:color="auto"/>
              <w:left w:val="single" w:sz="6" w:space="0" w:color="auto"/>
              <w:bottom w:val="single" w:sz="6" w:space="0" w:color="auto"/>
              <w:right w:val="single" w:sz="6" w:space="0" w:color="auto"/>
            </w:tcBorders>
            <w:vAlign w:val="center"/>
          </w:tcPr>
          <w:p w14:paraId="4B286402" w14:textId="77777777" w:rsidR="00C13D35" w:rsidRPr="00D16809" w:rsidRDefault="00C13D35" w:rsidP="009B153D">
            <w:pPr>
              <w:pStyle w:val="Style"/>
              <w:ind w:left="19"/>
              <w:jc w:val="center"/>
              <w:textAlignment w:val="baseline"/>
              <w:rPr>
                <w:sz w:val="21"/>
                <w:szCs w:val="21"/>
              </w:rPr>
            </w:pPr>
            <w:r w:rsidRPr="00D16809">
              <w:rPr>
                <w:sz w:val="21"/>
                <w:szCs w:val="21"/>
              </w:rPr>
              <w:t xml:space="preserve"> </w:t>
            </w:r>
          </w:p>
        </w:tc>
        <w:tc>
          <w:tcPr>
            <w:tcW w:w="938" w:type="pct"/>
            <w:tcBorders>
              <w:top w:val="single" w:sz="6" w:space="0" w:color="auto"/>
              <w:left w:val="single" w:sz="6" w:space="0" w:color="auto"/>
              <w:bottom w:val="single" w:sz="6" w:space="0" w:color="auto"/>
              <w:right w:val="single" w:sz="6" w:space="0" w:color="auto"/>
            </w:tcBorders>
            <w:vAlign w:val="center"/>
          </w:tcPr>
          <w:p w14:paraId="679190E4" w14:textId="77777777" w:rsidR="00C13D35" w:rsidRPr="00D16809" w:rsidRDefault="00C13D35" w:rsidP="009B153D">
            <w:pPr>
              <w:pStyle w:val="Style"/>
              <w:ind w:left="43"/>
              <w:jc w:val="center"/>
              <w:textAlignment w:val="baseline"/>
              <w:rPr>
                <w:sz w:val="21"/>
                <w:szCs w:val="21"/>
              </w:rPr>
            </w:pPr>
            <w:r w:rsidRPr="00D16809">
              <w:rPr>
                <w:sz w:val="21"/>
                <w:szCs w:val="21"/>
              </w:rPr>
              <w:t xml:space="preserve"> </w:t>
            </w:r>
          </w:p>
        </w:tc>
        <w:tc>
          <w:tcPr>
            <w:tcW w:w="901" w:type="pct"/>
            <w:tcBorders>
              <w:top w:val="single" w:sz="6" w:space="0" w:color="auto"/>
              <w:left w:val="single" w:sz="6" w:space="0" w:color="auto"/>
              <w:bottom w:val="single" w:sz="6" w:space="0" w:color="auto"/>
              <w:right w:val="single" w:sz="6" w:space="0" w:color="auto"/>
            </w:tcBorders>
            <w:vAlign w:val="center"/>
          </w:tcPr>
          <w:p w14:paraId="567077CF" w14:textId="77777777" w:rsidR="00C13D35" w:rsidRPr="00D16809" w:rsidRDefault="00C13D35" w:rsidP="009B153D">
            <w:pPr>
              <w:pStyle w:val="Style"/>
              <w:ind w:left="29"/>
              <w:jc w:val="center"/>
              <w:textAlignment w:val="baseline"/>
              <w:rPr>
                <w:sz w:val="21"/>
                <w:szCs w:val="21"/>
              </w:rPr>
            </w:pPr>
            <w:r w:rsidRPr="00D16809">
              <w:rPr>
                <w:sz w:val="21"/>
                <w:szCs w:val="21"/>
              </w:rPr>
              <w:t xml:space="preserve"> </w:t>
            </w:r>
          </w:p>
        </w:tc>
      </w:tr>
      <w:tr w:rsidR="00C13D35" w14:paraId="57829150" w14:textId="77777777" w:rsidTr="008A3252">
        <w:trPr>
          <w:trHeight w:hRule="exact" w:val="379"/>
          <w:jc w:val="center"/>
        </w:trPr>
        <w:tc>
          <w:tcPr>
            <w:tcW w:w="1209" w:type="pct"/>
            <w:tcBorders>
              <w:top w:val="single" w:sz="6" w:space="0" w:color="auto"/>
              <w:left w:val="single" w:sz="6" w:space="0" w:color="auto"/>
              <w:bottom w:val="single" w:sz="6" w:space="0" w:color="auto"/>
              <w:right w:val="single" w:sz="6" w:space="0" w:color="auto"/>
            </w:tcBorders>
            <w:vAlign w:val="center"/>
          </w:tcPr>
          <w:p w14:paraId="2C1E44DC" w14:textId="77777777" w:rsidR="00C13D35" w:rsidRPr="00D16809" w:rsidRDefault="00C13D35" w:rsidP="009B153D">
            <w:pPr>
              <w:pStyle w:val="Style"/>
              <w:ind w:left="293"/>
              <w:textAlignment w:val="baseline"/>
              <w:rPr>
                <w:sz w:val="20"/>
                <w:szCs w:val="20"/>
              </w:rPr>
            </w:pPr>
            <w:r>
              <w:rPr>
                <w:sz w:val="20"/>
                <w:szCs w:val="20"/>
              </w:rPr>
              <w:t xml:space="preserve">Mean (SD) </w:t>
            </w:r>
          </w:p>
        </w:tc>
        <w:tc>
          <w:tcPr>
            <w:tcW w:w="984" w:type="pct"/>
            <w:tcBorders>
              <w:top w:val="single" w:sz="6" w:space="0" w:color="auto"/>
              <w:left w:val="single" w:sz="6" w:space="0" w:color="auto"/>
              <w:bottom w:val="single" w:sz="6" w:space="0" w:color="auto"/>
              <w:right w:val="single" w:sz="6" w:space="0" w:color="auto"/>
            </w:tcBorders>
            <w:vAlign w:val="center"/>
          </w:tcPr>
          <w:p w14:paraId="20446A0A" w14:textId="77777777" w:rsidR="00C13D35" w:rsidRPr="00D16809" w:rsidRDefault="00C13D35" w:rsidP="009B153D">
            <w:pPr>
              <w:pStyle w:val="Style"/>
              <w:ind w:left="24"/>
              <w:jc w:val="center"/>
              <w:textAlignment w:val="baseline"/>
              <w:rPr>
                <w:sz w:val="21"/>
                <w:szCs w:val="21"/>
              </w:rPr>
            </w:pPr>
            <w:r w:rsidRPr="00D16809">
              <w:rPr>
                <w:sz w:val="21"/>
                <w:szCs w:val="21"/>
              </w:rPr>
              <w:t xml:space="preserve">171.58 (8.86) </w:t>
            </w:r>
          </w:p>
        </w:tc>
        <w:tc>
          <w:tcPr>
            <w:tcW w:w="968" w:type="pct"/>
            <w:tcBorders>
              <w:top w:val="single" w:sz="6" w:space="0" w:color="auto"/>
              <w:left w:val="single" w:sz="6" w:space="0" w:color="auto"/>
              <w:bottom w:val="single" w:sz="6" w:space="0" w:color="auto"/>
              <w:right w:val="single" w:sz="6" w:space="0" w:color="auto"/>
            </w:tcBorders>
            <w:vAlign w:val="center"/>
          </w:tcPr>
          <w:p w14:paraId="7BA4CB5C" w14:textId="77777777" w:rsidR="00C13D35" w:rsidRPr="00D16809" w:rsidRDefault="00C13D35" w:rsidP="009B153D">
            <w:pPr>
              <w:pStyle w:val="Style"/>
              <w:ind w:left="19"/>
              <w:jc w:val="center"/>
              <w:textAlignment w:val="baseline"/>
              <w:rPr>
                <w:sz w:val="21"/>
                <w:szCs w:val="21"/>
              </w:rPr>
            </w:pPr>
            <w:r w:rsidRPr="00D16809">
              <w:rPr>
                <w:sz w:val="21"/>
                <w:szCs w:val="21"/>
              </w:rPr>
              <w:t xml:space="preserve">172.91 (9 .45) </w:t>
            </w:r>
          </w:p>
        </w:tc>
        <w:tc>
          <w:tcPr>
            <w:tcW w:w="938" w:type="pct"/>
            <w:tcBorders>
              <w:top w:val="single" w:sz="6" w:space="0" w:color="auto"/>
              <w:left w:val="single" w:sz="6" w:space="0" w:color="auto"/>
              <w:bottom w:val="single" w:sz="6" w:space="0" w:color="auto"/>
              <w:right w:val="single" w:sz="6" w:space="0" w:color="auto"/>
            </w:tcBorders>
            <w:vAlign w:val="center"/>
          </w:tcPr>
          <w:p w14:paraId="7C1A7E6E" w14:textId="77777777" w:rsidR="00C13D35" w:rsidRPr="00D16809" w:rsidRDefault="00C13D35" w:rsidP="009B153D">
            <w:pPr>
              <w:pStyle w:val="Style"/>
              <w:ind w:left="43"/>
              <w:jc w:val="center"/>
              <w:textAlignment w:val="baseline"/>
              <w:rPr>
                <w:sz w:val="21"/>
                <w:szCs w:val="21"/>
              </w:rPr>
            </w:pPr>
            <w:r w:rsidRPr="00D16809">
              <w:rPr>
                <w:sz w:val="21"/>
                <w:szCs w:val="21"/>
              </w:rPr>
              <w:t xml:space="preserve">172.12 (10.57) </w:t>
            </w:r>
          </w:p>
        </w:tc>
        <w:tc>
          <w:tcPr>
            <w:tcW w:w="901" w:type="pct"/>
            <w:tcBorders>
              <w:top w:val="single" w:sz="6" w:space="0" w:color="auto"/>
              <w:left w:val="single" w:sz="6" w:space="0" w:color="auto"/>
              <w:bottom w:val="single" w:sz="6" w:space="0" w:color="auto"/>
              <w:right w:val="single" w:sz="6" w:space="0" w:color="auto"/>
            </w:tcBorders>
            <w:vAlign w:val="center"/>
          </w:tcPr>
          <w:p w14:paraId="1F714576" w14:textId="77777777" w:rsidR="00C13D35" w:rsidRPr="00D16809" w:rsidRDefault="00C13D35" w:rsidP="009B153D">
            <w:pPr>
              <w:pStyle w:val="Style"/>
              <w:ind w:left="29"/>
              <w:jc w:val="center"/>
              <w:textAlignment w:val="baseline"/>
              <w:rPr>
                <w:sz w:val="21"/>
                <w:szCs w:val="21"/>
              </w:rPr>
            </w:pPr>
            <w:r w:rsidRPr="00D16809">
              <w:rPr>
                <w:sz w:val="21"/>
                <w:szCs w:val="21"/>
              </w:rPr>
              <w:t xml:space="preserve">172.49 (9. 70) </w:t>
            </w:r>
          </w:p>
        </w:tc>
      </w:tr>
      <w:tr w:rsidR="00C13D35" w14:paraId="0A12960E" w14:textId="77777777" w:rsidTr="008A3252">
        <w:trPr>
          <w:trHeight w:val="743"/>
          <w:jc w:val="center"/>
        </w:trPr>
        <w:tc>
          <w:tcPr>
            <w:tcW w:w="1209" w:type="pct"/>
            <w:tcBorders>
              <w:top w:val="single" w:sz="6" w:space="0" w:color="auto"/>
              <w:left w:val="single" w:sz="6" w:space="0" w:color="auto"/>
              <w:right w:val="single" w:sz="6" w:space="0" w:color="auto"/>
            </w:tcBorders>
            <w:vAlign w:val="center"/>
          </w:tcPr>
          <w:p w14:paraId="470D94E9" w14:textId="77777777" w:rsidR="00C13D35" w:rsidRPr="00D16809" w:rsidRDefault="00C13D35" w:rsidP="009B153D">
            <w:pPr>
              <w:pStyle w:val="Style"/>
              <w:ind w:left="293"/>
              <w:textAlignment w:val="baseline"/>
              <w:rPr>
                <w:sz w:val="20"/>
                <w:szCs w:val="20"/>
              </w:rPr>
            </w:pPr>
            <w:r>
              <w:rPr>
                <w:sz w:val="20"/>
                <w:szCs w:val="20"/>
              </w:rPr>
              <w:t xml:space="preserve">Median (min, max) </w:t>
            </w:r>
          </w:p>
          <w:p w14:paraId="6F16893B" w14:textId="77777777" w:rsidR="00C13D35" w:rsidRPr="00D16809" w:rsidRDefault="00C13D35" w:rsidP="009B153D">
            <w:pPr>
              <w:pStyle w:val="Style"/>
              <w:ind w:left="293"/>
              <w:textAlignment w:val="baseline"/>
              <w:rPr>
                <w:sz w:val="20"/>
                <w:szCs w:val="20"/>
              </w:rPr>
            </w:pPr>
            <w:r w:rsidRPr="00D16809">
              <w:rPr>
                <w:sz w:val="20"/>
                <w:szCs w:val="20"/>
              </w:rPr>
              <w:t xml:space="preserve"> </w:t>
            </w:r>
          </w:p>
        </w:tc>
        <w:tc>
          <w:tcPr>
            <w:tcW w:w="984" w:type="pct"/>
            <w:tcBorders>
              <w:top w:val="single" w:sz="6" w:space="0" w:color="auto"/>
              <w:left w:val="single" w:sz="6" w:space="0" w:color="auto"/>
              <w:right w:val="single" w:sz="6" w:space="0" w:color="auto"/>
            </w:tcBorders>
            <w:vAlign w:val="center"/>
          </w:tcPr>
          <w:p w14:paraId="4E9B8D6D" w14:textId="77777777" w:rsidR="00C13D35" w:rsidRPr="00D16809" w:rsidRDefault="00C13D35" w:rsidP="009B153D">
            <w:pPr>
              <w:pStyle w:val="Style"/>
              <w:ind w:left="24"/>
              <w:jc w:val="center"/>
              <w:textAlignment w:val="baseline"/>
              <w:rPr>
                <w:sz w:val="21"/>
                <w:szCs w:val="21"/>
              </w:rPr>
            </w:pPr>
            <w:r w:rsidRPr="00D16809">
              <w:rPr>
                <w:sz w:val="21"/>
                <w:szCs w:val="21"/>
              </w:rPr>
              <w:t xml:space="preserve">171.90 </w:t>
            </w:r>
          </w:p>
          <w:p w14:paraId="408D6524" w14:textId="77777777" w:rsidR="00C13D35" w:rsidRPr="00D16809" w:rsidRDefault="00C13D35" w:rsidP="009B153D">
            <w:pPr>
              <w:pStyle w:val="Style"/>
              <w:ind w:left="24"/>
              <w:jc w:val="center"/>
              <w:textAlignment w:val="baseline"/>
              <w:rPr>
                <w:sz w:val="21"/>
                <w:szCs w:val="21"/>
              </w:rPr>
            </w:pPr>
            <w:r w:rsidRPr="00D16809">
              <w:rPr>
                <w:sz w:val="21"/>
                <w:szCs w:val="21"/>
              </w:rPr>
              <w:t xml:space="preserve">(153.7, 194.0) </w:t>
            </w:r>
          </w:p>
        </w:tc>
        <w:tc>
          <w:tcPr>
            <w:tcW w:w="968" w:type="pct"/>
            <w:tcBorders>
              <w:top w:val="single" w:sz="6" w:space="0" w:color="auto"/>
              <w:left w:val="single" w:sz="6" w:space="0" w:color="auto"/>
              <w:right w:val="single" w:sz="6" w:space="0" w:color="auto"/>
            </w:tcBorders>
            <w:vAlign w:val="center"/>
          </w:tcPr>
          <w:p w14:paraId="0B6DE80E" w14:textId="77777777" w:rsidR="00C13D35" w:rsidRPr="00D16809" w:rsidRDefault="00C13D35" w:rsidP="009B153D">
            <w:pPr>
              <w:pStyle w:val="Style"/>
              <w:ind w:left="19"/>
              <w:jc w:val="center"/>
              <w:textAlignment w:val="baseline"/>
              <w:rPr>
                <w:sz w:val="21"/>
                <w:szCs w:val="21"/>
              </w:rPr>
            </w:pPr>
            <w:r w:rsidRPr="00D16809">
              <w:rPr>
                <w:sz w:val="21"/>
                <w:szCs w:val="21"/>
              </w:rPr>
              <w:t xml:space="preserve">172.70 </w:t>
            </w:r>
          </w:p>
          <w:p w14:paraId="126C09A0" w14:textId="77777777" w:rsidR="00C13D35" w:rsidRPr="00D16809" w:rsidRDefault="00C13D35" w:rsidP="009B153D">
            <w:pPr>
              <w:pStyle w:val="Style"/>
              <w:ind w:left="19"/>
              <w:jc w:val="center"/>
              <w:textAlignment w:val="baseline"/>
              <w:rPr>
                <w:sz w:val="21"/>
                <w:szCs w:val="21"/>
              </w:rPr>
            </w:pPr>
            <w:r w:rsidRPr="00D16809">
              <w:rPr>
                <w:sz w:val="21"/>
                <w:szCs w:val="21"/>
              </w:rPr>
              <w:t xml:space="preserve">(150.0, 202.0) </w:t>
            </w:r>
          </w:p>
        </w:tc>
        <w:tc>
          <w:tcPr>
            <w:tcW w:w="938" w:type="pct"/>
            <w:tcBorders>
              <w:top w:val="single" w:sz="6" w:space="0" w:color="auto"/>
              <w:left w:val="single" w:sz="6" w:space="0" w:color="auto"/>
              <w:right w:val="single" w:sz="6" w:space="0" w:color="auto"/>
            </w:tcBorders>
            <w:vAlign w:val="center"/>
          </w:tcPr>
          <w:p w14:paraId="55B9FCDD" w14:textId="77777777" w:rsidR="00C13D35" w:rsidRPr="00D16809" w:rsidRDefault="00C13D35" w:rsidP="009B153D">
            <w:pPr>
              <w:pStyle w:val="Style"/>
              <w:ind w:left="43"/>
              <w:jc w:val="center"/>
              <w:textAlignment w:val="baseline"/>
              <w:rPr>
                <w:sz w:val="21"/>
                <w:szCs w:val="21"/>
              </w:rPr>
            </w:pPr>
            <w:r w:rsidRPr="00D16809">
              <w:rPr>
                <w:sz w:val="21"/>
                <w:szCs w:val="21"/>
              </w:rPr>
              <w:t xml:space="preserve">172.70 </w:t>
            </w:r>
          </w:p>
          <w:p w14:paraId="5B269DE6" w14:textId="77777777" w:rsidR="00C13D35" w:rsidRPr="00D16809" w:rsidRDefault="00C13D35" w:rsidP="009B153D">
            <w:pPr>
              <w:pStyle w:val="Style"/>
              <w:ind w:left="43"/>
              <w:jc w:val="center"/>
              <w:textAlignment w:val="baseline"/>
              <w:rPr>
                <w:sz w:val="21"/>
                <w:szCs w:val="21"/>
              </w:rPr>
            </w:pPr>
            <w:r w:rsidRPr="00D16809">
              <w:rPr>
                <w:sz w:val="21"/>
                <w:szCs w:val="21"/>
              </w:rPr>
              <w:t xml:space="preserve">(147.5, 196.0) </w:t>
            </w:r>
          </w:p>
        </w:tc>
        <w:tc>
          <w:tcPr>
            <w:tcW w:w="901" w:type="pct"/>
            <w:tcBorders>
              <w:top w:val="single" w:sz="6" w:space="0" w:color="auto"/>
              <w:left w:val="single" w:sz="6" w:space="0" w:color="auto"/>
              <w:right w:val="single" w:sz="6" w:space="0" w:color="auto"/>
            </w:tcBorders>
            <w:vAlign w:val="center"/>
          </w:tcPr>
          <w:p w14:paraId="738464CE" w14:textId="77777777" w:rsidR="00C13D35" w:rsidRPr="00D16809" w:rsidRDefault="00C13D35" w:rsidP="009B153D">
            <w:pPr>
              <w:pStyle w:val="Style"/>
              <w:ind w:left="29"/>
              <w:jc w:val="center"/>
              <w:textAlignment w:val="baseline"/>
              <w:rPr>
                <w:sz w:val="21"/>
                <w:szCs w:val="21"/>
              </w:rPr>
            </w:pPr>
            <w:r w:rsidRPr="00D16809">
              <w:rPr>
                <w:sz w:val="21"/>
                <w:szCs w:val="21"/>
              </w:rPr>
              <w:t xml:space="preserve">172.70 </w:t>
            </w:r>
          </w:p>
          <w:p w14:paraId="391C3463" w14:textId="77777777" w:rsidR="00C13D35" w:rsidRPr="00D16809" w:rsidRDefault="00C13D35" w:rsidP="009B153D">
            <w:pPr>
              <w:pStyle w:val="Style"/>
              <w:ind w:left="29"/>
              <w:jc w:val="center"/>
              <w:textAlignment w:val="baseline"/>
              <w:rPr>
                <w:sz w:val="21"/>
                <w:szCs w:val="21"/>
              </w:rPr>
            </w:pPr>
            <w:r w:rsidRPr="00D16809">
              <w:rPr>
                <w:sz w:val="21"/>
                <w:szCs w:val="21"/>
              </w:rPr>
              <w:t xml:space="preserve">(147.5, 202.0) </w:t>
            </w:r>
          </w:p>
        </w:tc>
      </w:tr>
      <w:tr w:rsidR="00C13D35" w14:paraId="1E2F5C00" w14:textId="77777777" w:rsidTr="00C13D35">
        <w:trPr>
          <w:trHeight w:hRule="exact" w:val="379"/>
          <w:jc w:val="center"/>
        </w:trPr>
        <w:tc>
          <w:tcPr>
            <w:tcW w:w="5000" w:type="pct"/>
            <w:gridSpan w:val="5"/>
            <w:tcBorders>
              <w:top w:val="single" w:sz="6" w:space="0" w:color="auto"/>
              <w:left w:val="single" w:sz="6" w:space="0" w:color="auto"/>
              <w:bottom w:val="single" w:sz="6" w:space="0" w:color="auto"/>
              <w:right w:val="single" w:sz="6" w:space="0" w:color="auto"/>
            </w:tcBorders>
            <w:vAlign w:val="center"/>
          </w:tcPr>
          <w:p w14:paraId="1519E9E9" w14:textId="4E66D0A6" w:rsidR="00C13D35" w:rsidRPr="008A3252" w:rsidRDefault="00C13D35" w:rsidP="008A3252">
            <w:pPr>
              <w:pStyle w:val="Style"/>
              <w:ind w:left="293"/>
              <w:textAlignment w:val="baseline"/>
              <w:rPr>
                <w:sz w:val="20"/>
                <w:szCs w:val="20"/>
              </w:rPr>
            </w:pPr>
            <w:r>
              <w:rPr>
                <w:sz w:val="20"/>
                <w:szCs w:val="20"/>
              </w:rPr>
              <w:t>BMI (kg/m)</w:t>
            </w:r>
          </w:p>
        </w:tc>
      </w:tr>
      <w:tr w:rsidR="00C13D35" w14:paraId="36FDF98E" w14:textId="77777777" w:rsidTr="008A3252">
        <w:trPr>
          <w:trHeight w:hRule="exact" w:val="379"/>
          <w:jc w:val="center"/>
        </w:trPr>
        <w:tc>
          <w:tcPr>
            <w:tcW w:w="1209" w:type="pct"/>
            <w:tcBorders>
              <w:top w:val="single" w:sz="6" w:space="0" w:color="auto"/>
              <w:left w:val="single" w:sz="6" w:space="0" w:color="auto"/>
              <w:bottom w:val="single" w:sz="6" w:space="0" w:color="auto"/>
              <w:right w:val="single" w:sz="6" w:space="0" w:color="auto"/>
            </w:tcBorders>
            <w:vAlign w:val="center"/>
          </w:tcPr>
          <w:p w14:paraId="19E92300" w14:textId="77777777" w:rsidR="00C13D35" w:rsidRPr="00D16809" w:rsidRDefault="00C13D35" w:rsidP="009B153D">
            <w:pPr>
              <w:pStyle w:val="Style"/>
              <w:ind w:left="293"/>
              <w:textAlignment w:val="baseline"/>
              <w:rPr>
                <w:sz w:val="20"/>
                <w:szCs w:val="20"/>
              </w:rPr>
            </w:pPr>
            <w:r>
              <w:rPr>
                <w:sz w:val="20"/>
                <w:szCs w:val="20"/>
              </w:rPr>
              <w:t xml:space="preserve">Mean (SD) </w:t>
            </w:r>
          </w:p>
        </w:tc>
        <w:tc>
          <w:tcPr>
            <w:tcW w:w="984" w:type="pct"/>
            <w:tcBorders>
              <w:top w:val="single" w:sz="6" w:space="0" w:color="auto"/>
              <w:left w:val="single" w:sz="6" w:space="0" w:color="auto"/>
              <w:bottom w:val="single" w:sz="6" w:space="0" w:color="auto"/>
              <w:right w:val="single" w:sz="6" w:space="0" w:color="auto"/>
            </w:tcBorders>
            <w:vAlign w:val="center"/>
          </w:tcPr>
          <w:p w14:paraId="1FF076EB" w14:textId="77777777" w:rsidR="00C13D35" w:rsidRPr="00D16809" w:rsidRDefault="00C13D35" w:rsidP="009B153D">
            <w:pPr>
              <w:pStyle w:val="Style"/>
              <w:ind w:left="24"/>
              <w:jc w:val="center"/>
              <w:textAlignment w:val="baseline"/>
              <w:rPr>
                <w:sz w:val="21"/>
                <w:szCs w:val="21"/>
              </w:rPr>
            </w:pPr>
            <w:r w:rsidRPr="00D16809">
              <w:rPr>
                <w:sz w:val="21"/>
                <w:szCs w:val="21"/>
              </w:rPr>
              <w:t xml:space="preserve">30.01 (7.55) </w:t>
            </w:r>
          </w:p>
        </w:tc>
        <w:tc>
          <w:tcPr>
            <w:tcW w:w="968" w:type="pct"/>
            <w:tcBorders>
              <w:top w:val="single" w:sz="6" w:space="0" w:color="auto"/>
              <w:left w:val="single" w:sz="6" w:space="0" w:color="auto"/>
              <w:bottom w:val="single" w:sz="6" w:space="0" w:color="auto"/>
              <w:right w:val="single" w:sz="6" w:space="0" w:color="auto"/>
            </w:tcBorders>
            <w:vAlign w:val="center"/>
          </w:tcPr>
          <w:p w14:paraId="670EC686" w14:textId="77777777" w:rsidR="00C13D35" w:rsidRPr="00D16809" w:rsidRDefault="00C13D35" w:rsidP="009B153D">
            <w:pPr>
              <w:pStyle w:val="Style"/>
              <w:ind w:left="19"/>
              <w:jc w:val="center"/>
              <w:textAlignment w:val="baseline"/>
              <w:rPr>
                <w:sz w:val="21"/>
                <w:szCs w:val="21"/>
              </w:rPr>
            </w:pPr>
            <w:r w:rsidRPr="00D16809">
              <w:rPr>
                <w:sz w:val="21"/>
                <w:szCs w:val="21"/>
              </w:rPr>
              <w:t xml:space="preserve">29.57 (7.00) </w:t>
            </w:r>
          </w:p>
        </w:tc>
        <w:tc>
          <w:tcPr>
            <w:tcW w:w="938" w:type="pct"/>
            <w:tcBorders>
              <w:top w:val="single" w:sz="6" w:space="0" w:color="auto"/>
              <w:left w:val="single" w:sz="6" w:space="0" w:color="auto"/>
              <w:bottom w:val="single" w:sz="6" w:space="0" w:color="auto"/>
              <w:right w:val="single" w:sz="6" w:space="0" w:color="auto"/>
            </w:tcBorders>
            <w:vAlign w:val="center"/>
          </w:tcPr>
          <w:p w14:paraId="3CE2E283" w14:textId="77777777" w:rsidR="00C13D35" w:rsidRPr="00D16809" w:rsidRDefault="00C13D35" w:rsidP="009B153D">
            <w:pPr>
              <w:pStyle w:val="Style"/>
              <w:ind w:left="43"/>
              <w:jc w:val="center"/>
              <w:textAlignment w:val="baseline"/>
              <w:rPr>
                <w:sz w:val="21"/>
                <w:szCs w:val="21"/>
              </w:rPr>
            </w:pPr>
            <w:r w:rsidRPr="00D16809">
              <w:rPr>
                <w:sz w:val="21"/>
                <w:szCs w:val="21"/>
              </w:rPr>
              <w:t xml:space="preserve">29.35 (6.43) </w:t>
            </w:r>
          </w:p>
        </w:tc>
        <w:tc>
          <w:tcPr>
            <w:tcW w:w="901" w:type="pct"/>
            <w:tcBorders>
              <w:top w:val="single" w:sz="6" w:space="0" w:color="auto"/>
              <w:left w:val="single" w:sz="6" w:space="0" w:color="auto"/>
              <w:bottom w:val="single" w:sz="6" w:space="0" w:color="auto"/>
              <w:right w:val="single" w:sz="6" w:space="0" w:color="auto"/>
            </w:tcBorders>
            <w:vAlign w:val="center"/>
          </w:tcPr>
          <w:p w14:paraId="6718A1A4" w14:textId="77777777" w:rsidR="00C13D35" w:rsidRPr="00D16809" w:rsidRDefault="00C13D35" w:rsidP="009B153D">
            <w:pPr>
              <w:pStyle w:val="Style"/>
              <w:ind w:left="29"/>
              <w:jc w:val="center"/>
              <w:textAlignment w:val="baseline"/>
              <w:rPr>
                <w:sz w:val="21"/>
                <w:szCs w:val="21"/>
              </w:rPr>
            </w:pPr>
            <w:r w:rsidRPr="00D16809">
              <w:rPr>
                <w:sz w:val="21"/>
                <w:szCs w:val="21"/>
              </w:rPr>
              <w:t xml:space="preserve">29.57 (6.92) </w:t>
            </w:r>
          </w:p>
        </w:tc>
      </w:tr>
      <w:tr w:rsidR="00C13D35" w14:paraId="7A137F8F" w14:textId="77777777" w:rsidTr="008A3252">
        <w:trPr>
          <w:trHeight w:val="743"/>
          <w:jc w:val="center"/>
        </w:trPr>
        <w:tc>
          <w:tcPr>
            <w:tcW w:w="1209" w:type="pct"/>
            <w:tcBorders>
              <w:top w:val="single" w:sz="6" w:space="0" w:color="auto"/>
              <w:left w:val="single" w:sz="6" w:space="0" w:color="auto"/>
              <w:bottom w:val="single" w:sz="4" w:space="0" w:color="auto"/>
              <w:right w:val="single" w:sz="6" w:space="0" w:color="auto"/>
            </w:tcBorders>
            <w:vAlign w:val="center"/>
          </w:tcPr>
          <w:p w14:paraId="79A727CC" w14:textId="5200436E" w:rsidR="00C13D35" w:rsidRPr="00D16809" w:rsidRDefault="00C13D35" w:rsidP="008A3252">
            <w:pPr>
              <w:pStyle w:val="Style"/>
              <w:ind w:left="293"/>
              <w:textAlignment w:val="baseline"/>
              <w:rPr>
                <w:sz w:val="20"/>
                <w:szCs w:val="20"/>
              </w:rPr>
            </w:pPr>
            <w:r>
              <w:rPr>
                <w:sz w:val="20"/>
                <w:szCs w:val="20"/>
              </w:rPr>
              <w:t>Median (min, max)</w:t>
            </w:r>
          </w:p>
        </w:tc>
        <w:tc>
          <w:tcPr>
            <w:tcW w:w="984" w:type="pct"/>
            <w:tcBorders>
              <w:top w:val="single" w:sz="6" w:space="0" w:color="auto"/>
              <w:left w:val="single" w:sz="6" w:space="0" w:color="auto"/>
              <w:bottom w:val="single" w:sz="4" w:space="0" w:color="auto"/>
              <w:right w:val="single" w:sz="6" w:space="0" w:color="auto"/>
            </w:tcBorders>
            <w:vAlign w:val="center"/>
          </w:tcPr>
          <w:p w14:paraId="1CAEB0A7" w14:textId="77777777" w:rsidR="00C13D35" w:rsidRPr="00D16809" w:rsidRDefault="00C13D35" w:rsidP="009B153D">
            <w:pPr>
              <w:pStyle w:val="Style"/>
              <w:ind w:left="24"/>
              <w:jc w:val="center"/>
              <w:textAlignment w:val="baseline"/>
              <w:rPr>
                <w:sz w:val="21"/>
                <w:szCs w:val="21"/>
              </w:rPr>
            </w:pPr>
            <w:r w:rsidRPr="00D16809">
              <w:rPr>
                <w:sz w:val="21"/>
                <w:szCs w:val="21"/>
              </w:rPr>
              <w:t xml:space="preserve">28.27 </w:t>
            </w:r>
          </w:p>
          <w:p w14:paraId="74BBADBD" w14:textId="77777777" w:rsidR="00C13D35" w:rsidRPr="00D16809" w:rsidRDefault="00C13D35" w:rsidP="009B153D">
            <w:pPr>
              <w:pStyle w:val="Style"/>
              <w:ind w:left="24"/>
              <w:jc w:val="center"/>
              <w:textAlignment w:val="baseline"/>
              <w:rPr>
                <w:sz w:val="21"/>
                <w:szCs w:val="21"/>
              </w:rPr>
            </w:pPr>
            <w:r w:rsidRPr="00D16809">
              <w:rPr>
                <w:sz w:val="21"/>
                <w:szCs w:val="21"/>
              </w:rPr>
              <w:t xml:space="preserve">(17.4, 52.8) </w:t>
            </w:r>
          </w:p>
        </w:tc>
        <w:tc>
          <w:tcPr>
            <w:tcW w:w="968" w:type="pct"/>
            <w:tcBorders>
              <w:top w:val="single" w:sz="6" w:space="0" w:color="auto"/>
              <w:left w:val="single" w:sz="6" w:space="0" w:color="auto"/>
              <w:bottom w:val="single" w:sz="4" w:space="0" w:color="auto"/>
              <w:right w:val="single" w:sz="6" w:space="0" w:color="auto"/>
            </w:tcBorders>
            <w:vAlign w:val="center"/>
          </w:tcPr>
          <w:p w14:paraId="5F0518E7" w14:textId="77777777" w:rsidR="00C13D35" w:rsidRPr="00D16809" w:rsidRDefault="00C13D35" w:rsidP="009B153D">
            <w:pPr>
              <w:pStyle w:val="Style"/>
              <w:ind w:left="19"/>
              <w:jc w:val="center"/>
              <w:textAlignment w:val="baseline"/>
              <w:rPr>
                <w:sz w:val="21"/>
                <w:szCs w:val="21"/>
              </w:rPr>
            </w:pPr>
            <w:r w:rsidRPr="00D16809">
              <w:rPr>
                <w:sz w:val="21"/>
                <w:szCs w:val="21"/>
              </w:rPr>
              <w:t xml:space="preserve">28.50 </w:t>
            </w:r>
          </w:p>
          <w:p w14:paraId="61994FD3" w14:textId="77777777" w:rsidR="00C13D35" w:rsidRPr="00D16809" w:rsidRDefault="00C13D35" w:rsidP="009B153D">
            <w:pPr>
              <w:pStyle w:val="Style"/>
              <w:ind w:left="19"/>
              <w:jc w:val="center"/>
              <w:textAlignment w:val="baseline"/>
              <w:rPr>
                <w:sz w:val="21"/>
                <w:szCs w:val="21"/>
              </w:rPr>
            </w:pPr>
            <w:r w:rsidRPr="00D16809">
              <w:rPr>
                <w:sz w:val="21"/>
                <w:szCs w:val="21"/>
              </w:rPr>
              <w:t xml:space="preserve">(17.4, 72.6) </w:t>
            </w:r>
          </w:p>
        </w:tc>
        <w:tc>
          <w:tcPr>
            <w:tcW w:w="938" w:type="pct"/>
            <w:tcBorders>
              <w:top w:val="single" w:sz="6" w:space="0" w:color="auto"/>
              <w:left w:val="single" w:sz="6" w:space="0" w:color="auto"/>
              <w:bottom w:val="single" w:sz="4" w:space="0" w:color="auto"/>
              <w:right w:val="single" w:sz="6" w:space="0" w:color="auto"/>
            </w:tcBorders>
            <w:vAlign w:val="center"/>
          </w:tcPr>
          <w:p w14:paraId="51983FCC" w14:textId="77777777" w:rsidR="00C13D35" w:rsidRPr="00D16809" w:rsidRDefault="00C13D35" w:rsidP="009B153D">
            <w:pPr>
              <w:pStyle w:val="Style"/>
              <w:ind w:left="43"/>
              <w:jc w:val="center"/>
              <w:textAlignment w:val="baseline"/>
              <w:rPr>
                <w:sz w:val="21"/>
                <w:szCs w:val="21"/>
              </w:rPr>
            </w:pPr>
            <w:r w:rsidRPr="00D16809">
              <w:rPr>
                <w:sz w:val="21"/>
                <w:szCs w:val="21"/>
              </w:rPr>
              <w:t xml:space="preserve">28.36 </w:t>
            </w:r>
          </w:p>
          <w:p w14:paraId="58D44F66" w14:textId="77777777" w:rsidR="00C13D35" w:rsidRPr="00D16809" w:rsidRDefault="00C13D35" w:rsidP="009B153D">
            <w:pPr>
              <w:pStyle w:val="Style"/>
              <w:ind w:left="43"/>
              <w:jc w:val="center"/>
              <w:textAlignment w:val="baseline"/>
              <w:rPr>
                <w:sz w:val="21"/>
                <w:szCs w:val="21"/>
              </w:rPr>
            </w:pPr>
            <w:r w:rsidRPr="00D16809">
              <w:rPr>
                <w:sz w:val="21"/>
                <w:szCs w:val="21"/>
              </w:rPr>
              <w:t xml:space="preserve">(15.9, 47.8) </w:t>
            </w:r>
          </w:p>
        </w:tc>
        <w:tc>
          <w:tcPr>
            <w:tcW w:w="901" w:type="pct"/>
            <w:tcBorders>
              <w:top w:val="single" w:sz="6" w:space="0" w:color="auto"/>
              <w:left w:val="single" w:sz="6" w:space="0" w:color="auto"/>
              <w:bottom w:val="single" w:sz="4" w:space="0" w:color="auto"/>
              <w:right w:val="single" w:sz="6" w:space="0" w:color="auto"/>
            </w:tcBorders>
            <w:vAlign w:val="center"/>
          </w:tcPr>
          <w:p w14:paraId="63F6D12C" w14:textId="77777777" w:rsidR="00C13D35" w:rsidRPr="00D16809" w:rsidRDefault="00C13D35" w:rsidP="009B153D">
            <w:pPr>
              <w:pStyle w:val="Style"/>
              <w:ind w:left="29"/>
              <w:jc w:val="center"/>
              <w:textAlignment w:val="baseline"/>
              <w:rPr>
                <w:sz w:val="21"/>
                <w:szCs w:val="21"/>
              </w:rPr>
            </w:pPr>
            <w:r w:rsidRPr="00D16809">
              <w:rPr>
                <w:sz w:val="21"/>
                <w:szCs w:val="21"/>
              </w:rPr>
              <w:t xml:space="preserve">28.37 </w:t>
            </w:r>
          </w:p>
          <w:p w14:paraId="0EC36C04" w14:textId="77777777" w:rsidR="00C13D35" w:rsidRPr="00D16809" w:rsidRDefault="00C13D35" w:rsidP="009B153D">
            <w:pPr>
              <w:pStyle w:val="Style"/>
              <w:ind w:left="29"/>
              <w:jc w:val="center"/>
              <w:textAlignment w:val="baseline"/>
              <w:rPr>
                <w:sz w:val="21"/>
                <w:szCs w:val="21"/>
              </w:rPr>
            </w:pPr>
            <w:r w:rsidRPr="00D16809">
              <w:rPr>
                <w:sz w:val="21"/>
                <w:szCs w:val="21"/>
              </w:rPr>
              <w:t xml:space="preserve">(15.9, 72.6) </w:t>
            </w:r>
          </w:p>
        </w:tc>
      </w:tr>
    </w:tbl>
    <w:p w14:paraId="68CCEFA6" w14:textId="3DECFBBA" w:rsidR="008A3252" w:rsidRPr="00DB18BB" w:rsidRDefault="00305A86" w:rsidP="008A3252">
      <w:pPr>
        <w:pStyle w:val="TableDescription"/>
        <w:rPr>
          <w:lang w:eastAsia="ja-JP"/>
        </w:rPr>
      </w:pPr>
      <w:r>
        <w:rPr>
          <w:lang w:eastAsia="ja-JP"/>
        </w:rPr>
        <w:t xml:space="preserve">Abbreviations: </w:t>
      </w:r>
      <w:r w:rsidR="008A3252" w:rsidRPr="00DB18BB">
        <w:rPr>
          <w:lang w:eastAsia="ja-JP"/>
        </w:rPr>
        <w:t>BKZ</w:t>
      </w:r>
      <w:r w:rsidR="00227392">
        <w:rPr>
          <w:lang w:eastAsia="ja-JP"/>
        </w:rPr>
        <w:t xml:space="preserve"> </w:t>
      </w:r>
      <w:r w:rsidR="008A3252" w:rsidRPr="00DB18BB">
        <w:rPr>
          <w:lang w:eastAsia="ja-JP"/>
        </w:rPr>
        <w:t>=</w:t>
      </w:r>
      <w:r w:rsidR="00227392">
        <w:rPr>
          <w:lang w:eastAsia="ja-JP"/>
        </w:rPr>
        <w:t xml:space="preserve"> </w:t>
      </w:r>
      <w:proofErr w:type="spellStart"/>
      <w:r w:rsidR="008A3252" w:rsidRPr="00DB18BB">
        <w:rPr>
          <w:lang w:eastAsia="ja-JP"/>
        </w:rPr>
        <w:t>bimekizumab</w:t>
      </w:r>
      <w:proofErr w:type="spellEnd"/>
      <w:r w:rsidR="008A3252" w:rsidRPr="00DB18BB">
        <w:rPr>
          <w:lang w:eastAsia="ja-JP"/>
        </w:rPr>
        <w:t>; BMI</w:t>
      </w:r>
      <w:r w:rsidR="00227392">
        <w:rPr>
          <w:lang w:eastAsia="ja-JP"/>
        </w:rPr>
        <w:t xml:space="preserve"> </w:t>
      </w:r>
      <w:r w:rsidR="008A3252" w:rsidRPr="00DB18BB">
        <w:rPr>
          <w:lang w:eastAsia="ja-JP"/>
        </w:rPr>
        <w:t>=</w:t>
      </w:r>
      <w:r w:rsidR="00227392">
        <w:rPr>
          <w:lang w:eastAsia="ja-JP"/>
        </w:rPr>
        <w:t xml:space="preserve"> </w:t>
      </w:r>
      <w:r w:rsidR="008A3252" w:rsidRPr="00DB18BB">
        <w:rPr>
          <w:lang w:eastAsia="ja-JP"/>
        </w:rPr>
        <w:t>body mass index; max</w:t>
      </w:r>
      <w:r w:rsidR="00227392">
        <w:rPr>
          <w:lang w:eastAsia="ja-JP"/>
        </w:rPr>
        <w:t xml:space="preserve"> </w:t>
      </w:r>
      <w:r w:rsidR="008A3252" w:rsidRPr="00DB18BB">
        <w:rPr>
          <w:lang w:eastAsia="ja-JP"/>
        </w:rPr>
        <w:t>=</w:t>
      </w:r>
      <w:r w:rsidR="00227392">
        <w:rPr>
          <w:lang w:eastAsia="ja-JP"/>
        </w:rPr>
        <w:t xml:space="preserve"> </w:t>
      </w:r>
      <w:r w:rsidR="008A3252" w:rsidRPr="00DB18BB">
        <w:rPr>
          <w:lang w:eastAsia="ja-JP"/>
        </w:rPr>
        <w:t>maximum; min</w:t>
      </w:r>
      <w:r w:rsidR="00227392">
        <w:rPr>
          <w:lang w:eastAsia="ja-JP"/>
        </w:rPr>
        <w:t xml:space="preserve"> </w:t>
      </w:r>
      <w:r w:rsidR="008A3252" w:rsidRPr="00DB18BB">
        <w:rPr>
          <w:lang w:eastAsia="ja-JP"/>
        </w:rPr>
        <w:t>=</w:t>
      </w:r>
      <w:r w:rsidR="00227392">
        <w:rPr>
          <w:lang w:eastAsia="ja-JP"/>
        </w:rPr>
        <w:t xml:space="preserve"> </w:t>
      </w:r>
      <w:r w:rsidR="008A3252" w:rsidRPr="00DB18BB">
        <w:rPr>
          <w:lang w:eastAsia="ja-JP"/>
        </w:rPr>
        <w:t>minimum; PBO</w:t>
      </w:r>
      <w:r>
        <w:rPr>
          <w:lang w:eastAsia="ja-JP"/>
        </w:rPr>
        <w:t> </w:t>
      </w:r>
      <w:r w:rsidR="008A3252" w:rsidRPr="00DB18BB">
        <w:rPr>
          <w:lang w:eastAsia="ja-JP"/>
        </w:rPr>
        <w:t>=</w:t>
      </w:r>
      <w:r>
        <w:rPr>
          <w:lang w:eastAsia="ja-JP"/>
        </w:rPr>
        <w:t> </w:t>
      </w:r>
      <w:r w:rsidR="008A3252" w:rsidRPr="00DB18BB">
        <w:rPr>
          <w:lang w:eastAsia="ja-JP"/>
        </w:rPr>
        <w:t>placebo;</w:t>
      </w:r>
      <w:r w:rsidR="008A3252">
        <w:rPr>
          <w:lang w:eastAsia="ja-JP"/>
        </w:rPr>
        <w:t xml:space="preserve"> </w:t>
      </w:r>
      <w:r w:rsidR="00227392">
        <w:rPr>
          <w:lang w:eastAsia="ja-JP"/>
        </w:rPr>
        <w:t xml:space="preserve">Q4W </w:t>
      </w:r>
      <w:r w:rsidR="008A3252" w:rsidRPr="00DB18BB">
        <w:rPr>
          <w:lang w:eastAsia="ja-JP"/>
        </w:rPr>
        <w:t>=</w:t>
      </w:r>
      <w:r w:rsidR="00227392">
        <w:rPr>
          <w:lang w:eastAsia="ja-JP"/>
        </w:rPr>
        <w:t xml:space="preserve"> </w:t>
      </w:r>
      <w:r w:rsidR="008A3252" w:rsidRPr="00DB18BB">
        <w:rPr>
          <w:lang w:eastAsia="ja-JP"/>
        </w:rPr>
        <w:t>every 4 weeks; RS</w:t>
      </w:r>
      <w:r w:rsidR="00227392">
        <w:rPr>
          <w:lang w:eastAsia="ja-JP"/>
        </w:rPr>
        <w:t xml:space="preserve"> </w:t>
      </w:r>
      <w:r w:rsidR="008A3252" w:rsidRPr="00DB18BB">
        <w:rPr>
          <w:lang w:eastAsia="ja-JP"/>
        </w:rPr>
        <w:t>=</w:t>
      </w:r>
      <w:r w:rsidR="00227392">
        <w:rPr>
          <w:lang w:eastAsia="ja-JP"/>
        </w:rPr>
        <w:t xml:space="preserve"> </w:t>
      </w:r>
      <w:r w:rsidR="008A3252" w:rsidRPr="00DB18BB">
        <w:rPr>
          <w:lang w:eastAsia="ja-JP"/>
        </w:rPr>
        <w:t>Randomi</w:t>
      </w:r>
      <w:r w:rsidR="00227392">
        <w:rPr>
          <w:lang w:eastAsia="ja-JP"/>
        </w:rPr>
        <w:t>s</w:t>
      </w:r>
      <w:r w:rsidR="008A3252" w:rsidRPr="00DB18BB">
        <w:rPr>
          <w:lang w:eastAsia="ja-JP"/>
        </w:rPr>
        <w:t>ed Set; SD</w:t>
      </w:r>
      <w:r w:rsidR="00227392">
        <w:rPr>
          <w:lang w:eastAsia="ja-JP"/>
        </w:rPr>
        <w:t xml:space="preserve"> </w:t>
      </w:r>
      <w:r w:rsidR="008A3252" w:rsidRPr="00DB18BB">
        <w:rPr>
          <w:lang w:eastAsia="ja-JP"/>
        </w:rPr>
        <w:t>=</w:t>
      </w:r>
      <w:r w:rsidR="00227392">
        <w:rPr>
          <w:lang w:eastAsia="ja-JP"/>
        </w:rPr>
        <w:t xml:space="preserve"> </w:t>
      </w:r>
      <w:r w:rsidR="008A3252" w:rsidRPr="00DB18BB">
        <w:rPr>
          <w:lang w:eastAsia="ja-JP"/>
        </w:rPr>
        <w:t xml:space="preserve">standard deviation; </w:t>
      </w:r>
      <w:proofErr w:type="spellStart"/>
      <w:r w:rsidR="00A06FD1">
        <w:rPr>
          <w:lang w:eastAsia="ja-JP"/>
        </w:rPr>
        <w:t>Uste</w:t>
      </w:r>
      <w:proofErr w:type="spellEnd"/>
      <w:r w:rsidR="00A06FD1">
        <w:rPr>
          <w:lang w:eastAsia="ja-JP"/>
        </w:rPr>
        <w:t xml:space="preserve"> </w:t>
      </w:r>
      <w:r w:rsidR="008A3252" w:rsidRPr="00DB18BB">
        <w:rPr>
          <w:lang w:eastAsia="ja-JP"/>
        </w:rPr>
        <w:t>=</w:t>
      </w:r>
      <w:r w:rsidR="00227392">
        <w:rPr>
          <w:lang w:eastAsia="ja-JP"/>
        </w:rPr>
        <w:t xml:space="preserve"> </w:t>
      </w:r>
      <w:proofErr w:type="spellStart"/>
      <w:r w:rsidR="008A3252" w:rsidRPr="00DB18BB">
        <w:rPr>
          <w:lang w:eastAsia="ja-JP"/>
        </w:rPr>
        <w:t>ustekinumab</w:t>
      </w:r>
      <w:proofErr w:type="spellEnd"/>
      <w:r w:rsidR="008A3252" w:rsidRPr="00DB18BB">
        <w:rPr>
          <w:lang w:eastAsia="ja-JP"/>
        </w:rPr>
        <w:t xml:space="preserve"> </w:t>
      </w:r>
    </w:p>
    <w:p w14:paraId="1DE26246" w14:textId="514A9002" w:rsidR="008A3252" w:rsidRDefault="008A3252" w:rsidP="008A3252">
      <w:r>
        <w:t>There were also more Caucasian</w:t>
      </w:r>
      <w:r w:rsidR="00AF4D50">
        <w:t xml:space="preserve"> subjects (</w:t>
      </w:r>
      <w:r>
        <w:t>420 (74%)</w:t>
      </w:r>
      <w:r w:rsidR="00AF4D50">
        <w:t>)</w:t>
      </w:r>
      <w:r>
        <w:t xml:space="preserve"> than</w:t>
      </w:r>
      <w:r w:rsidR="00AF4D50">
        <w:t xml:space="preserve"> those of</w:t>
      </w:r>
      <w:r>
        <w:t xml:space="preserve"> all other race</w:t>
      </w:r>
      <w:r w:rsidR="00AF4D50">
        <w:t>s</w:t>
      </w:r>
      <w:r>
        <w:t xml:space="preserve"> (26%).</w:t>
      </w:r>
    </w:p>
    <w:p w14:paraId="79DDAD21" w14:textId="18147C2D" w:rsidR="00C13D35" w:rsidRDefault="008A3252" w:rsidP="008A3252">
      <w:r>
        <w:t>Overall, demographic characteristics were well balanced between treatment groups. The mean body weight and mean BMI were 88.35</w:t>
      </w:r>
      <w:r w:rsidR="00305A86">
        <w:t xml:space="preserve"> </w:t>
      </w:r>
      <w:r>
        <w:t>kg and 29.57</w:t>
      </w:r>
      <w:r w:rsidR="00305A86">
        <w:t xml:space="preserve"> </w:t>
      </w:r>
      <w:r>
        <w:t>kg/m</w:t>
      </w:r>
      <w:r w:rsidR="00305A86">
        <w:rPr>
          <w:vertAlign w:val="superscript"/>
        </w:rPr>
        <w:t>2</w:t>
      </w:r>
      <w:r>
        <w:t xml:space="preserve">, respectively. The incidence of study participants who weighed </w:t>
      </w:r>
      <w:r w:rsidR="00305A86">
        <w:t>more than</w:t>
      </w:r>
      <w:r>
        <w:t xml:space="preserve"> 100</w:t>
      </w:r>
      <w:r w:rsidR="00305A86">
        <w:t xml:space="preserve"> </w:t>
      </w:r>
      <w:r>
        <w:t xml:space="preserve">kg was 29.6% in the </w:t>
      </w:r>
      <w:proofErr w:type="spellStart"/>
      <w:r w:rsidR="008B40FD">
        <w:lastRenderedPageBreak/>
        <w:t>bimekizumab</w:t>
      </w:r>
      <w:proofErr w:type="spellEnd"/>
      <w:r>
        <w:t xml:space="preserve"> </w:t>
      </w:r>
      <w:r w:rsidR="001D2CFA">
        <w:t>320 mg</w:t>
      </w:r>
      <w:r>
        <w:t xml:space="preserve"> </w:t>
      </w:r>
      <w:r w:rsidR="00F23C97">
        <w:t>every 4 weeks</w:t>
      </w:r>
      <w:r>
        <w:t xml:space="preserve"> group, 27.7% in the placebo group, and 25.2% in the </w:t>
      </w:r>
      <w:proofErr w:type="spellStart"/>
      <w:r w:rsidR="004858E7">
        <w:t>ustekinumab</w:t>
      </w:r>
      <w:proofErr w:type="spellEnd"/>
      <w:r>
        <w:t xml:space="preserve"> group.</w:t>
      </w:r>
    </w:p>
    <w:p w14:paraId="15A77EB4" w14:textId="56E0299A" w:rsidR="008A3252" w:rsidRDefault="008A3252" w:rsidP="008A3252">
      <w:pPr>
        <w:pStyle w:val="Heading6"/>
      </w:pPr>
      <w:r w:rsidRPr="008A3252">
        <w:t>Baseline disease characteristics</w:t>
      </w:r>
    </w:p>
    <w:p w14:paraId="70A8EF2E" w14:textId="55826A83" w:rsidR="00305A86" w:rsidRPr="00EA20FE" w:rsidRDefault="00305A86" w:rsidP="006E4137">
      <w:r>
        <w:fldChar w:fldCharType="begin"/>
      </w:r>
      <w:r>
        <w:instrText xml:space="preserve"> REF _Ref129955126 \h </w:instrText>
      </w:r>
      <w:r>
        <w:fldChar w:fldCharType="separate"/>
      </w:r>
      <w:r w:rsidR="00B54079" w:rsidRPr="00227392">
        <w:t xml:space="preserve">Table </w:t>
      </w:r>
      <w:r w:rsidR="00B54079">
        <w:rPr>
          <w:noProof/>
        </w:rPr>
        <w:t>28</w:t>
      </w:r>
      <w:r>
        <w:fldChar w:fldCharType="end"/>
      </w:r>
      <w:r>
        <w:t xml:space="preserve"> summarises the disease characteristics of the randomised populations in Study PS0009.</w:t>
      </w:r>
    </w:p>
    <w:p w14:paraId="4BBFEB3A" w14:textId="417B88A7" w:rsidR="00227392" w:rsidRPr="00227392" w:rsidRDefault="00227392" w:rsidP="00227392">
      <w:pPr>
        <w:pStyle w:val="TableTitle"/>
      </w:pPr>
      <w:bookmarkStart w:id="105" w:name="_Ref129955126"/>
      <w:r w:rsidRPr="00227392">
        <w:t xml:space="preserve">Table </w:t>
      </w:r>
      <w:r w:rsidR="00172397">
        <w:fldChar w:fldCharType="begin"/>
      </w:r>
      <w:r w:rsidR="00172397">
        <w:instrText xml:space="preserve"> SEQ Table \* ARABIC </w:instrText>
      </w:r>
      <w:r w:rsidR="00172397">
        <w:fldChar w:fldCharType="separate"/>
      </w:r>
      <w:r w:rsidR="00B54079">
        <w:rPr>
          <w:noProof/>
        </w:rPr>
        <w:t>28</w:t>
      </w:r>
      <w:r w:rsidR="00172397">
        <w:rPr>
          <w:noProof/>
        </w:rPr>
        <w:fldChar w:fldCharType="end"/>
      </w:r>
      <w:bookmarkEnd w:id="105"/>
      <w:r>
        <w:t>: Study PS00</w:t>
      </w:r>
      <w:r w:rsidR="00305A86">
        <w:t>0</w:t>
      </w:r>
      <w:r>
        <w:t xml:space="preserve">9 </w:t>
      </w:r>
      <w:r w:rsidR="00305A86">
        <w:t>B</w:t>
      </w:r>
      <w:r>
        <w:t>aseline disease characteristic</w:t>
      </w:r>
      <w:r w:rsidR="00A944B3">
        <w:t>s</w:t>
      </w:r>
    </w:p>
    <w:tbl>
      <w:tblPr>
        <w:tblW w:w="5000" w:type="pct"/>
        <w:jc w:val="center"/>
        <w:tblCellMar>
          <w:left w:w="0" w:type="dxa"/>
          <w:right w:w="0" w:type="dxa"/>
        </w:tblCellMar>
        <w:tblLook w:val="0000" w:firstRow="0" w:lastRow="0" w:firstColumn="0" w:lastColumn="0" w:noHBand="0" w:noVBand="0"/>
      </w:tblPr>
      <w:tblGrid>
        <w:gridCol w:w="1703"/>
        <w:gridCol w:w="502"/>
        <w:gridCol w:w="1321"/>
        <w:gridCol w:w="1764"/>
        <w:gridCol w:w="1677"/>
        <w:gridCol w:w="1521"/>
      </w:tblGrid>
      <w:tr w:rsidR="008A3252" w14:paraId="4279DFCA" w14:textId="77777777" w:rsidTr="009B153D">
        <w:trPr>
          <w:trHeight w:val="1137"/>
          <w:jc w:val="center"/>
        </w:trPr>
        <w:tc>
          <w:tcPr>
            <w:tcW w:w="1003" w:type="pct"/>
            <w:tcBorders>
              <w:top w:val="single" w:sz="6" w:space="0" w:color="auto"/>
              <w:left w:val="single" w:sz="6" w:space="0" w:color="auto"/>
              <w:right w:val="single" w:sz="6" w:space="0" w:color="auto"/>
            </w:tcBorders>
            <w:vAlign w:val="center"/>
          </w:tcPr>
          <w:p w14:paraId="114BCD73" w14:textId="49B87216" w:rsidR="008A3252" w:rsidRDefault="008A3252" w:rsidP="008A3252">
            <w:pPr>
              <w:pStyle w:val="Style"/>
              <w:jc w:val="center"/>
              <w:textAlignment w:val="baseline"/>
            </w:pPr>
            <w:r>
              <w:rPr>
                <w:b/>
                <w:sz w:val="21"/>
                <w:szCs w:val="21"/>
              </w:rPr>
              <w:t>Variable</w:t>
            </w:r>
          </w:p>
        </w:tc>
        <w:tc>
          <w:tcPr>
            <w:tcW w:w="1074" w:type="pct"/>
            <w:gridSpan w:val="2"/>
            <w:tcBorders>
              <w:top w:val="single" w:sz="6" w:space="0" w:color="auto"/>
              <w:left w:val="single" w:sz="6" w:space="0" w:color="auto"/>
              <w:right w:val="single" w:sz="6" w:space="0" w:color="auto"/>
            </w:tcBorders>
            <w:vAlign w:val="center"/>
          </w:tcPr>
          <w:p w14:paraId="19C525D0" w14:textId="7361098D" w:rsidR="008A3252" w:rsidRDefault="008A3252" w:rsidP="009B153D">
            <w:pPr>
              <w:pStyle w:val="Style"/>
              <w:ind w:left="14"/>
              <w:jc w:val="center"/>
              <w:textAlignment w:val="baseline"/>
            </w:pPr>
            <w:r>
              <w:rPr>
                <w:b/>
                <w:sz w:val="21"/>
                <w:szCs w:val="21"/>
              </w:rPr>
              <w:t>PBO/BKZ 320</w:t>
            </w:r>
            <w:r w:rsidR="00227392">
              <w:rPr>
                <w:b/>
                <w:sz w:val="21"/>
                <w:szCs w:val="21"/>
              </w:rPr>
              <w:t xml:space="preserve"> </w:t>
            </w:r>
            <w:r>
              <w:rPr>
                <w:b/>
                <w:sz w:val="21"/>
                <w:szCs w:val="21"/>
              </w:rPr>
              <w:t xml:space="preserve">mg </w:t>
            </w:r>
          </w:p>
          <w:p w14:paraId="3B4852F6" w14:textId="4CB2D973" w:rsidR="008A3252" w:rsidRDefault="00F23C97" w:rsidP="009B153D">
            <w:pPr>
              <w:pStyle w:val="Style"/>
              <w:ind w:left="14"/>
              <w:jc w:val="center"/>
              <w:textAlignment w:val="baseline"/>
            </w:pPr>
            <w:r>
              <w:rPr>
                <w:b/>
                <w:sz w:val="21"/>
                <w:szCs w:val="21"/>
              </w:rPr>
              <w:t>every 4 weeks</w:t>
            </w:r>
            <w:r w:rsidR="008A3252">
              <w:rPr>
                <w:b/>
                <w:sz w:val="21"/>
                <w:szCs w:val="21"/>
              </w:rPr>
              <w:t xml:space="preserve"> </w:t>
            </w:r>
          </w:p>
          <w:p w14:paraId="60A37C42" w14:textId="2CC9936C" w:rsidR="008A3252" w:rsidRDefault="008A3252" w:rsidP="009B153D">
            <w:pPr>
              <w:pStyle w:val="Style"/>
              <w:ind w:left="14"/>
              <w:jc w:val="center"/>
              <w:textAlignment w:val="baseline"/>
            </w:pPr>
            <w:r>
              <w:rPr>
                <w:b/>
                <w:sz w:val="21"/>
                <w:szCs w:val="21"/>
              </w:rPr>
              <w:t>N</w:t>
            </w:r>
            <w:r w:rsidR="00227392">
              <w:rPr>
                <w:b/>
                <w:sz w:val="21"/>
                <w:szCs w:val="21"/>
              </w:rPr>
              <w:t xml:space="preserve"> </w:t>
            </w:r>
            <w:r>
              <w:rPr>
                <w:b/>
                <w:sz w:val="21"/>
                <w:szCs w:val="21"/>
              </w:rPr>
              <w:t>=</w:t>
            </w:r>
            <w:r w:rsidR="00227392">
              <w:rPr>
                <w:b/>
                <w:sz w:val="21"/>
                <w:szCs w:val="21"/>
              </w:rPr>
              <w:t xml:space="preserve"> </w:t>
            </w:r>
            <w:r>
              <w:rPr>
                <w:b/>
                <w:sz w:val="21"/>
                <w:szCs w:val="21"/>
              </w:rPr>
              <w:t xml:space="preserve">83 </w:t>
            </w:r>
          </w:p>
          <w:p w14:paraId="241564CF" w14:textId="7AE2E875" w:rsidR="008A3252" w:rsidRDefault="008A3252" w:rsidP="009B153D">
            <w:pPr>
              <w:pStyle w:val="Style"/>
              <w:ind w:left="14"/>
              <w:jc w:val="center"/>
              <w:textAlignment w:val="baseline"/>
            </w:pPr>
            <w:r>
              <w:rPr>
                <w:b/>
                <w:sz w:val="21"/>
                <w:szCs w:val="21"/>
              </w:rPr>
              <w:t xml:space="preserve">n </w:t>
            </w:r>
            <w:r>
              <w:rPr>
                <w:rFonts w:ascii="Arial" w:eastAsia="Arial" w:hAnsi="Arial" w:cs="Arial"/>
                <w:w w:val="114"/>
                <w:sz w:val="20"/>
                <w:szCs w:val="20"/>
              </w:rPr>
              <w:t xml:space="preserve">(%) </w:t>
            </w:r>
          </w:p>
        </w:tc>
        <w:tc>
          <w:tcPr>
            <w:tcW w:w="1039" w:type="pct"/>
            <w:tcBorders>
              <w:top w:val="single" w:sz="6" w:space="0" w:color="auto"/>
              <w:left w:val="single" w:sz="6" w:space="0" w:color="auto"/>
              <w:right w:val="single" w:sz="6" w:space="0" w:color="auto"/>
            </w:tcBorders>
            <w:vAlign w:val="center"/>
          </w:tcPr>
          <w:p w14:paraId="34B848E7" w14:textId="4C2955A0" w:rsidR="008A3252" w:rsidRDefault="008A3252" w:rsidP="008A3252">
            <w:pPr>
              <w:pStyle w:val="Style"/>
              <w:jc w:val="center"/>
              <w:textAlignment w:val="baseline"/>
            </w:pPr>
            <w:r>
              <w:rPr>
                <w:b/>
                <w:sz w:val="21"/>
                <w:szCs w:val="21"/>
              </w:rPr>
              <w:t>BKZ 320</w:t>
            </w:r>
            <w:r w:rsidR="00227392">
              <w:rPr>
                <w:b/>
                <w:sz w:val="21"/>
                <w:szCs w:val="21"/>
              </w:rPr>
              <w:t xml:space="preserve"> </w:t>
            </w:r>
            <w:r>
              <w:rPr>
                <w:b/>
                <w:sz w:val="21"/>
                <w:szCs w:val="21"/>
              </w:rPr>
              <w:t xml:space="preserve">mg </w:t>
            </w:r>
            <w:r w:rsidR="00F23C97">
              <w:rPr>
                <w:b/>
                <w:sz w:val="21"/>
                <w:szCs w:val="21"/>
              </w:rPr>
              <w:t>every 4 weeks</w:t>
            </w:r>
          </w:p>
          <w:p w14:paraId="63C91D3B" w14:textId="28308F64" w:rsidR="008A3252" w:rsidRDefault="008A3252" w:rsidP="008A3252">
            <w:pPr>
              <w:pStyle w:val="Style"/>
              <w:ind w:left="24"/>
              <w:jc w:val="center"/>
              <w:textAlignment w:val="baseline"/>
            </w:pPr>
            <w:r>
              <w:rPr>
                <w:b/>
                <w:sz w:val="21"/>
                <w:szCs w:val="21"/>
              </w:rPr>
              <w:t>N</w:t>
            </w:r>
            <w:r w:rsidR="00227392">
              <w:rPr>
                <w:b/>
                <w:sz w:val="21"/>
                <w:szCs w:val="21"/>
              </w:rPr>
              <w:t xml:space="preserve"> </w:t>
            </w:r>
            <w:r>
              <w:rPr>
                <w:b/>
                <w:sz w:val="21"/>
                <w:szCs w:val="21"/>
              </w:rPr>
              <w:t>=</w:t>
            </w:r>
            <w:r w:rsidR="00227392">
              <w:rPr>
                <w:b/>
                <w:sz w:val="21"/>
                <w:szCs w:val="21"/>
              </w:rPr>
              <w:t xml:space="preserve"> </w:t>
            </w:r>
            <w:r>
              <w:rPr>
                <w:b/>
                <w:sz w:val="21"/>
                <w:szCs w:val="21"/>
              </w:rPr>
              <w:t>321</w:t>
            </w:r>
          </w:p>
        </w:tc>
        <w:tc>
          <w:tcPr>
            <w:tcW w:w="988" w:type="pct"/>
            <w:tcBorders>
              <w:top w:val="single" w:sz="6" w:space="0" w:color="auto"/>
              <w:left w:val="single" w:sz="6" w:space="0" w:color="auto"/>
              <w:right w:val="single" w:sz="6" w:space="0" w:color="auto"/>
            </w:tcBorders>
            <w:vAlign w:val="center"/>
          </w:tcPr>
          <w:p w14:paraId="3CD4370E" w14:textId="0128087D" w:rsidR="008A3252" w:rsidRDefault="008A3252" w:rsidP="008A3252">
            <w:pPr>
              <w:pStyle w:val="Style"/>
              <w:jc w:val="center"/>
              <w:textAlignment w:val="baseline"/>
            </w:pPr>
            <w:proofErr w:type="spellStart"/>
            <w:r>
              <w:rPr>
                <w:b/>
                <w:sz w:val="21"/>
                <w:szCs w:val="21"/>
              </w:rPr>
              <w:t>Uste</w:t>
            </w:r>
            <w:proofErr w:type="spellEnd"/>
          </w:p>
          <w:p w14:paraId="35735DF0" w14:textId="2A5779F5" w:rsidR="008A3252" w:rsidRDefault="008A3252" w:rsidP="008A3252">
            <w:pPr>
              <w:pStyle w:val="Style"/>
              <w:ind w:left="5"/>
              <w:jc w:val="center"/>
              <w:textAlignment w:val="baseline"/>
            </w:pPr>
            <w:r>
              <w:rPr>
                <w:b/>
                <w:sz w:val="21"/>
                <w:szCs w:val="21"/>
              </w:rPr>
              <w:t>N</w:t>
            </w:r>
            <w:r w:rsidR="00227392">
              <w:rPr>
                <w:b/>
                <w:sz w:val="21"/>
                <w:szCs w:val="21"/>
              </w:rPr>
              <w:t xml:space="preserve"> </w:t>
            </w:r>
            <w:r>
              <w:rPr>
                <w:b/>
                <w:sz w:val="21"/>
                <w:szCs w:val="21"/>
              </w:rPr>
              <w:t>=</w:t>
            </w:r>
            <w:r w:rsidR="00227392">
              <w:rPr>
                <w:b/>
                <w:sz w:val="21"/>
                <w:szCs w:val="21"/>
              </w:rPr>
              <w:t xml:space="preserve"> </w:t>
            </w:r>
            <w:r>
              <w:rPr>
                <w:b/>
                <w:sz w:val="21"/>
                <w:szCs w:val="21"/>
              </w:rPr>
              <w:t>163</w:t>
            </w:r>
          </w:p>
        </w:tc>
        <w:tc>
          <w:tcPr>
            <w:tcW w:w="896" w:type="pct"/>
            <w:tcBorders>
              <w:top w:val="single" w:sz="6" w:space="0" w:color="auto"/>
              <w:left w:val="single" w:sz="6" w:space="0" w:color="auto"/>
              <w:right w:val="single" w:sz="6" w:space="0" w:color="auto"/>
            </w:tcBorders>
            <w:vAlign w:val="center"/>
          </w:tcPr>
          <w:p w14:paraId="3B928E82" w14:textId="0F71E690" w:rsidR="008A3252" w:rsidRDefault="008A3252" w:rsidP="008A3252">
            <w:pPr>
              <w:pStyle w:val="Style"/>
              <w:jc w:val="center"/>
              <w:textAlignment w:val="baseline"/>
            </w:pPr>
            <w:r>
              <w:rPr>
                <w:b/>
                <w:sz w:val="21"/>
                <w:szCs w:val="21"/>
              </w:rPr>
              <w:t>All Study</w:t>
            </w:r>
          </w:p>
          <w:p w14:paraId="0071D7F7" w14:textId="1FA6D63D" w:rsidR="008A3252" w:rsidRDefault="008A3252" w:rsidP="008A3252">
            <w:pPr>
              <w:pStyle w:val="Style"/>
              <w:ind w:left="19"/>
              <w:jc w:val="center"/>
              <w:textAlignment w:val="baseline"/>
            </w:pPr>
            <w:r>
              <w:rPr>
                <w:b/>
                <w:sz w:val="21"/>
                <w:szCs w:val="21"/>
              </w:rPr>
              <w:t>participants</w:t>
            </w:r>
          </w:p>
          <w:p w14:paraId="25E7A38B" w14:textId="6D307393" w:rsidR="008A3252" w:rsidRDefault="008A3252" w:rsidP="008A3252">
            <w:pPr>
              <w:pStyle w:val="Style"/>
              <w:ind w:left="19"/>
              <w:jc w:val="center"/>
              <w:textAlignment w:val="baseline"/>
            </w:pPr>
            <w:r>
              <w:rPr>
                <w:b/>
                <w:sz w:val="21"/>
                <w:szCs w:val="21"/>
              </w:rPr>
              <w:t>N</w:t>
            </w:r>
            <w:r w:rsidR="00227392">
              <w:rPr>
                <w:b/>
                <w:sz w:val="21"/>
                <w:szCs w:val="21"/>
              </w:rPr>
              <w:t xml:space="preserve"> </w:t>
            </w:r>
            <w:r>
              <w:rPr>
                <w:b/>
                <w:sz w:val="21"/>
                <w:szCs w:val="21"/>
              </w:rPr>
              <w:t>=</w:t>
            </w:r>
            <w:r w:rsidR="00227392">
              <w:rPr>
                <w:b/>
                <w:sz w:val="21"/>
                <w:szCs w:val="21"/>
              </w:rPr>
              <w:t xml:space="preserve"> </w:t>
            </w:r>
            <w:r>
              <w:rPr>
                <w:b/>
                <w:sz w:val="21"/>
                <w:szCs w:val="21"/>
              </w:rPr>
              <w:t>567</w:t>
            </w:r>
          </w:p>
        </w:tc>
      </w:tr>
      <w:tr w:rsidR="008A3252" w14:paraId="0B91C912" w14:textId="77777777" w:rsidTr="008A3252">
        <w:trPr>
          <w:trHeight w:hRule="exact" w:val="398"/>
          <w:jc w:val="center"/>
        </w:trPr>
        <w:tc>
          <w:tcPr>
            <w:tcW w:w="5000" w:type="pct"/>
            <w:gridSpan w:val="6"/>
            <w:tcBorders>
              <w:top w:val="single" w:sz="6" w:space="0" w:color="auto"/>
              <w:left w:val="single" w:sz="6" w:space="0" w:color="auto"/>
              <w:bottom w:val="single" w:sz="6" w:space="0" w:color="auto"/>
              <w:right w:val="single" w:sz="6" w:space="0" w:color="auto"/>
            </w:tcBorders>
            <w:vAlign w:val="center"/>
          </w:tcPr>
          <w:p w14:paraId="6DBD206C" w14:textId="4F74F514" w:rsidR="008A3252" w:rsidRDefault="008A3252" w:rsidP="008A3252">
            <w:pPr>
              <w:pStyle w:val="Style"/>
              <w:ind w:left="115"/>
              <w:textAlignment w:val="baseline"/>
            </w:pPr>
            <w:r>
              <w:rPr>
                <w:sz w:val="20"/>
                <w:szCs w:val="20"/>
              </w:rPr>
              <w:t>BSA (%)</w:t>
            </w:r>
          </w:p>
        </w:tc>
      </w:tr>
      <w:tr w:rsidR="008A3252" w14:paraId="04526305" w14:textId="77777777" w:rsidTr="008A3252">
        <w:trPr>
          <w:trHeight w:hRule="exact" w:val="384"/>
          <w:jc w:val="center"/>
        </w:trPr>
        <w:tc>
          <w:tcPr>
            <w:tcW w:w="1003" w:type="pct"/>
            <w:tcBorders>
              <w:top w:val="single" w:sz="6" w:space="0" w:color="auto"/>
              <w:left w:val="single" w:sz="6" w:space="0" w:color="auto"/>
              <w:bottom w:val="single" w:sz="6" w:space="0" w:color="auto"/>
              <w:right w:val="single" w:sz="6" w:space="0" w:color="auto"/>
            </w:tcBorders>
            <w:vAlign w:val="center"/>
          </w:tcPr>
          <w:p w14:paraId="72DB7880" w14:textId="77777777" w:rsidR="008A3252" w:rsidRDefault="008A3252" w:rsidP="009B153D">
            <w:pPr>
              <w:pStyle w:val="Style"/>
              <w:ind w:left="302"/>
              <w:textAlignment w:val="baseline"/>
            </w:pPr>
            <w:r>
              <w:rPr>
                <w:sz w:val="20"/>
                <w:szCs w:val="20"/>
              </w:rPr>
              <w:t xml:space="preserve">Mean (SD) </w:t>
            </w:r>
          </w:p>
        </w:tc>
        <w:tc>
          <w:tcPr>
            <w:tcW w:w="1074" w:type="pct"/>
            <w:gridSpan w:val="2"/>
            <w:tcBorders>
              <w:top w:val="single" w:sz="6" w:space="0" w:color="auto"/>
              <w:left w:val="single" w:sz="6" w:space="0" w:color="auto"/>
              <w:bottom w:val="single" w:sz="6" w:space="0" w:color="auto"/>
              <w:right w:val="single" w:sz="6" w:space="0" w:color="auto"/>
            </w:tcBorders>
            <w:vAlign w:val="center"/>
          </w:tcPr>
          <w:p w14:paraId="68AAB2D8" w14:textId="77777777" w:rsidR="008A3252" w:rsidRDefault="008A3252" w:rsidP="009B153D">
            <w:pPr>
              <w:pStyle w:val="Style"/>
              <w:ind w:left="14"/>
              <w:jc w:val="center"/>
              <w:textAlignment w:val="baseline"/>
            </w:pPr>
            <w:r>
              <w:rPr>
                <w:sz w:val="20"/>
                <w:szCs w:val="20"/>
              </w:rPr>
              <w:t xml:space="preserve">27.0 (16.3) </w:t>
            </w:r>
          </w:p>
        </w:tc>
        <w:tc>
          <w:tcPr>
            <w:tcW w:w="1039" w:type="pct"/>
            <w:tcBorders>
              <w:top w:val="single" w:sz="6" w:space="0" w:color="auto"/>
              <w:left w:val="single" w:sz="6" w:space="0" w:color="auto"/>
              <w:bottom w:val="single" w:sz="6" w:space="0" w:color="auto"/>
              <w:right w:val="single" w:sz="6" w:space="0" w:color="auto"/>
            </w:tcBorders>
            <w:vAlign w:val="center"/>
          </w:tcPr>
          <w:p w14:paraId="779BFB7B" w14:textId="77777777" w:rsidR="008A3252" w:rsidRDefault="008A3252" w:rsidP="009B153D">
            <w:pPr>
              <w:pStyle w:val="Style"/>
              <w:ind w:left="24"/>
              <w:jc w:val="center"/>
              <w:textAlignment w:val="baseline"/>
            </w:pPr>
            <w:r>
              <w:rPr>
                <w:sz w:val="20"/>
                <w:szCs w:val="20"/>
              </w:rPr>
              <w:t xml:space="preserve">29.0 (17.1) </w:t>
            </w:r>
          </w:p>
        </w:tc>
        <w:tc>
          <w:tcPr>
            <w:tcW w:w="988" w:type="pct"/>
            <w:tcBorders>
              <w:top w:val="single" w:sz="6" w:space="0" w:color="auto"/>
              <w:left w:val="single" w:sz="6" w:space="0" w:color="auto"/>
              <w:bottom w:val="single" w:sz="6" w:space="0" w:color="auto"/>
              <w:right w:val="single" w:sz="6" w:space="0" w:color="auto"/>
            </w:tcBorders>
            <w:vAlign w:val="center"/>
          </w:tcPr>
          <w:p w14:paraId="360B96EB" w14:textId="77777777" w:rsidR="008A3252" w:rsidRDefault="008A3252" w:rsidP="009B153D">
            <w:pPr>
              <w:pStyle w:val="Style"/>
              <w:ind w:left="5"/>
              <w:jc w:val="center"/>
              <w:textAlignment w:val="baseline"/>
            </w:pPr>
            <w:r>
              <w:rPr>
                <w:sz w:val="20"/>
                <w:szCs w:val="20"/>
              </w:rPr>
              <w:t xml:space="preserve">27.3 (16.7) </w:t>
            </w:r>
          </w:p>
        </w:tc>
        <w:tc>
          <w:tcPr>
            <w:tcW w:w="896" w:type="pct"/>
            <w:tcBorders>
              <w:top w:val="single" w:sz="6" w:space="0" w:color="auto"/>
              <w:left w:val="single" w:sz="6" w:space="0" w:color="auto"/>
              <w:bottom w:val="single" w:sz="6" w:space="0" w:color="auto"/>
              <w:right w:val="single" w:sz="6" w:space="0" w:color="auto"/>
            </w:tcBorders>
            <w:vAlign w:val="center"/>
          </w:tcPr>
          <w:p w14:paraId="75A98B50" w14:textId="77777777" w:rsidR="008A3252" w:rsidRDefault="008A3252" w:rsidP="009B153D">
            <w:pPr>
              <w:pStyle w:val="Style"/>
              <w:ind w:left="19"/>
              <w:jc w:val="center"/>
              <w:textAlignment w:val="baseline"/>
            </w:pPr>
            <w:r>
              <w:rPr>
                <w:sz w:val="20"/>
                <w:szCs w:val="20"/>
              </w:rPr>
              <w:t xml:space="preserve">28.2 (16.9) </w:t>
            </w:r>
          </w:p>
        </w:tc>
      </w:tr>
      <w:tr w:rsidR="008A3252" w14:paraId="68CFE3D0" w14:textId="77777777" w:rsidTr="008A3252">
        <w:trPr>
          <w:trHeight w:hRule="exact" w:val="394"/>
          <w:jc w:val="center"/>
        </w:trPr>
        <w:tc>
          <w:tcPr>
            <w:tcW w:w="1003" w:type="pct"/>
            <w:tcBorders>
              <w:top w:val="single" w:sz="6" w:space="0" w:color="auto"/>
              <w:left w:val="single" w:sz="6" w:space="0" w:color="auto"/>
              <w:bottom w:val="single" w:sz="6" w:space="0" w:color="auto"/>
              <w:right w:val="single" w:sz="6" w:space="0" w:color="auto"/>
            </w:tcBorders>
            <w:vAlign w:val="center"/>
          </w:tcPr>
          <w:p w14:paraId="67AD5A1B" w14:textId="77777777" w:rsidR="008A3252" w:rsidRDefault="008A3252" w:rsidP="009B153D">
            <w:pPr>
              <w:pStyle w:val="Style"/>
              <w:ind w:left="302"/>
              <w:textAlignment w:val="baseline"/>
            </w:pPr>
            <w:r>
              <w:rPr>
                <w:sz w:val="20"/>
                <w:szCs w:val="20"/>
              </w:rPr>
              <w:t xml:space="preserve">Median </w:t>
            </w:r>
          </w:p>
        </w:tc>
        <w:tc>
          <w:tcPr>
            <w:tcW w:w="1074" w:type="pct"/>
            <w:gridSpan w:val="2"/>
            <w:tcBorders>
              <w:top w:val="single" w:sz="6" w:space="0" w:color="auto"/>
              <w:left w:val="single" w:sz="6" w:space="0" w:color="auto"/>
              <w:bottom w:val="single" w:sz="6" w:space="0" w:color="auto"/>
              <w:right w:val="single" w:sz="6" w:space="0" w:color="auto"/>
            </w:tcBorders>
            <w:vAlign w:val="center"/>
          </w:tcPr>
          <w:p w14:paraId="0066ACDB" w14:textId="77777777" w:rsidR="008A3252" w:rsidRDefault="008A3252" w:rsidP="009B153D">
            <w:pPr>
              <w:pStyle w:val="Style"/>
              <w:ind w:left="14"/>
              <w:jc w:val="center"/>
              <w:textAlignment w:val="baseline"/>
            </w:pPr>
            <w:r>
              <w:rPr>
                <w:sz w:val="20"/>
                <w:szCs w:val="20"/>
              </w:rPr>
              <w:t xml:space="preserve">21.0 </w:t>
            </w:r>
          </w:p>
        </w:tc>
        <w:tc>
          <w:tcPr>
            <w:tcW w:w="1039" w:type="pct"/>
            <w:tcBorders>
              <w:top w:val="single" w:sz="6" w:space="0" w:color="auto"/>
              <w:left w:val="single" w:sz="6" w:space="0" w:color="auto"/>
              <w:bottom w:val="single" w:sz="6" w:space="0" w:color="auto"/>
              <w:right w:val="single" w:sz="6" w:space="0" w:color="auto"/>
            </w:tcBorders>
            <w:vAlign w:val="center"/>
          </w:tcPr>
          <w:p w14:paraId="7E020860" w14:textId="77777777" w:rsidR="008A3252" w:rsidRDefault="008A3252" w:rsidP="009B153D">
            <w:pPr>
              <w:pStyle w:val="Style"/>
              <w:ind w:left="24"/>
              <w:jc w:val="center"/>
              <w:textAlignment w:val="baseline"/>
            </w:pPr>
            <w:r>
              <w:rPr>
                <w:sz w:val="20"/>
                <w:szCs w:val="20"/>
              </w:rPr>
              <w:t xml:space="preserve">23.0 </w:t>
            </w:r>
          </w:p>
        </w:tc>
        <w:tc>
          <w:tcPr>
            <w:tcW w:w="988" w:type="pct"/>
            <w:tcBorders>
              <w:top w:val="single" w:sz="6" w:space="0" w:color="auto"/>
              <w:left w:val="single" w:sz="6" w:space="0" w:color="auto"/>
              <w:bottom w:val="single" w:sz="6" w:space="0" w:color="auto"/>
              <w:right w:val="single" w:sz="6" w:space="0" w:color="auto"/>
            </w:tcBorders>
            <w:vAlign w:val="center"/>
          </w:tcPr>
          <w:p w14:paraId="2F083B45" w14:textId="77777777" w:rsidR="008A3252" w:rsidRDefault="008A3252" w:rsidP="009B153D">
            <w:pPr>
              <w:pStyle w:val="Style"/>
              <w:ind w:left="5"/>
              <w:jc w:val="center"/>
              <w:textAlignment w:val="baseline"/>
            </w:pPr>
            <w:r>
              <w:rPr>
                <w:sz w:val="20"/>
                <w:szCs w:val="20"/>
              </w:rPr>
              <w:t xml:space="preserve">22.0 </w:t>
            </w:r>
          </w:p>
        </w:tc>
        <w:tc>
          <w:tcPr>
            <w:tcW w:w="896" w:type="pct"/>
            <w:tcBorders>
              <w:top w:val="single" w:sz="6" w:space="0" w:color="auto"/>
              <w:left w:val="single" w:sz="6" w:space="0" w:color="auto"/>
              <w:bottom w:val="single" w:sz="6" w:space="0" w:color="auto"/>
              <w:right w:val="single" w:sz="6" w:space="0" w:color="auto"/>
            </w:tcBorders>
            <w:vAlign w:val="center"/>
          </w:tcPr>
          <w:p w14:paraId="69D6999C" w14:textId="77777777" w:rsidR="008A3252" w:rsidRDefault="008A3252" w:rsidP="009B153D">
            <w:pPr>
              <w:pStyle w:val="Style"/>
              <w:ind w:left="19"/>
              <w:jc w:val="center"/>
              <w:textAlignment w:val="baseline"/>
            </w:pPr>
            <w:r>
              <w:rPr>
                <w:sz w:val="20"/>
                <w:szCs w:val="20"/>
              </w:rPr>
              <w:t xml:space="preserve">22.0 </w:t>
            </w:r>
          </w:p>
        </w:tc>
      </w:tr>
      <w:tr w:rsidR="008A3252" w14:paraId="3EBF25E6" w14:textId="77777777" w:rsidTr="008A3252">
        <w:trPr>
          <w:trHeight w:hRule="exact" w:val="384"/>
          <w:jc w:val="center"/>
        </w:trPr>
        <w:tc>
          <w:tcPr>
            <w:tcW w:w="1003" w:type="pct"/>
            <w:tcBorders>
              <w:top w:val="single" w:sz="6" w:space="0" w:color="auto"/>
              <w:left w:val="single" w:sz="6" w:space="0" w:color="auto"/>
              <w:bottom w:val="single" w:sz="6" w:space="0" w:color="auto"/>
              <w:right w:val="single" w:sz="6" w:space="0" w:color="auto"/>
            </w:tcBorders>
            <w:vAlign w:val="center"/>
          </w:tcPr>
          <w:p w14:paraId="0A63A338" w14:textId="77777777" w:rsidR="008A3252" w:rsidRDefault="008A3252" w:rsidP="009B153D">
            <w:pPr>
              <w:pStyle w:val="Style"/>
              <w:ind w:left="302"/>
              <w:textAlignment w:val="baseline"/>
            </w:pPr>
            <w:r>
              <w:rPr>
                <w:sz w:val="20"/>
                <w:szCs w:val="20"/>
              </w:rPr>
              <w:t xml:space="preserve">Min, max </w:t>
            </w:r>
          </w:p>
        </w:tc>
        <w:tc>
          <w:tcPr>
            <w:tcW w:w="1074" w:type="pct"/>
            <w:gridSpan w:val="2"/>
            <w:tcBorders>
              <w:top w:val="single" w:sz="6" w:space="0" w:color="auto"/>
              <w:left w:val="single" w:sz="6" w:space="0" w:color="auto"/>
              <w:bottom w:val="single" w:sz="6" w:space="0" w:color="auto"/>
              <w:right w:val="single" w:sz="6" w:space="0" w:color="auto"/>
            </w:tcBorders>
            <w:vAlign w:val="center"/>
          </w:tcPr>
          <w:p w14:paraId="2B794A1A" w14:textId="77777777" w:rsidR="008A3252" w:rsidRDefault="008A3252" w:rsidP="009B153D">
            <w:pPr>
              <w:pStyle w:val="Style"/>
              <w:ind w:left="14"/>
              <w:jc w:val="center"/>
              <w:textAlignment w:val="baseline"/>
            </w:pPr>
            <w:r>
              <w:rPr>
                <w:sz w:val="20"/>
                <w:szCs w:val="20"/>
              </w:rPr>
              <w:t xml:space="preserve">11, 84 </w:t>
            </w:r>
          </w:p>
        </w:tc>
        <w:tc>
          <w:tcPr>
            <w:tcW w:w="1039" w:type="pct"/>
            <w:tcBorders>
              <w:top w:val="single" w:sz="6" w:space="0" w:color="auto"/>
              <w:left w:val="single" w:sz="6" w:space="0" w:color="auto"/>
              <w:bottom w:val="single" w:sz="6" w:space="0" w:color="auto"/>
              <w:right w:val="single" w:sz="6" w:space="0" w:color="auto"/>
            </w:tcBorders>
            <w:vAlign w:val="center"/>
          </w:tcPr>
          <w:p w14:paraId="671C881B" w14:textId="77777777" w:rsidR="008A3252" w:rsidRDefault="008A3252" w:rsidP="009B153D">
            <w:pPr>
              <w:pStyle w:val="Style"/>
              <w:ind w:left="24"/>
              <w:jc w:val="center"/>
              <w:textAlignment w:val="baseline"/>
            </w:pPr>
            <w:r>
              <w:rPr>
                <w:sz w:val="20"/>
                <w:szCs w:val="20"/>
              </w:rPr>
              <w:t xml:space="preserve">10, 88 </w:t>
            </w:r>
          </w:p>
        </w:tc>
        <w:tc>
          <w:tcPr>
            <w:tcW w:w="988" w:type="pct"/>
            <w:tcBorders>
              <w:top w:val="single" w:sz="6" w:space="0" w:color="auto"/>
              <w:left w:val="single" w:sz="6" w:space="0" w:color="auto"/>
              <w:bottom w:val="single" w:sz="6" w:space="0" w:color="auto"/>
              <w:right w:val="single" w:sz="6" w:space="0" w:color="auto"/>
            </w:tcBorders>
            <w:vAlign w:val="center"/>
          </w:tcPr>
          <w:p w14:paraId="4C9E6AA5" w14:textId="77777777" w:rsidR="008A3252" w:rsidRDefault="008A3252" w:rsidP="009B153D">
            <w:pPr>
              <w:pStyle w:val="Style"/>
              <w:ind w:left="5"/>
              <w:jc w:val="center"/>
              <w:textAlignment w:val="baseline"/>
            </w:pPr>
            <w:r>
              <w:rPr>
                <w:sz w:val="20"/>
                <w:szCs w:val="20"/>
              </w:rPr>
              <w:t xml:space="preserve">10, 97 </w:t>
            </w:r>
          </w:p>
        </w:tc>
        <w:tc>
          <w:tcPr>
            <w:tcW w:w="896" w:type="pct"/>
            <w:tcBorders>
              <w:top w:val="single" w:sz="6" w:space="0" w:color="auto"/>
              <w:left w:val="single" w:sz="6" w:space="0" w:color="auto"/>
              <w:bottom w:val="single" w:sz="6" w:space="0" w:color="auto"/>
              <w:right w:val="single" w:sz="6" w:space="0" w:color="auto"/>
            </w:tcBorders>
            <w:vAlign w:val="center"/>
          </w:tcPr>
          <w:p w14:paraId="746E18ED" w14:textId="77777777" w:rsidR="008A3252" w:rsidRDefault="008A3252" w:rsidP="009B153D">
            <w:pPr>
              <w:pStyle w:val="Style"/>
              <w:ind w:left="19"/>
              <w:jc w:val="center"/>
              <w:textAlignment w:val="baseline"/>
            </w:pPr>
            <w:r>
              <w:rPr>
                <w:sz w:val="20"/>
                <w:szCs w:val="20"/>
              </w:rPr>
              <w:t xml:space="preserve">10, 97 </w:t>
            </w:r>
          </w:p>
        </w:tc>
      </w:tr>
      <w:tr w:rsidR="008A3252" w14:paraId="0A8C576C" w14:textId="77777777" w:rsidTr="008A3252">
        <w:trPr>
          <w:trHeight w:hRule="exact" w:val="384"/>
          <w:jc w:val="center"/>
        </w:trPr>
        <w:tc>
          <w:tcPr>
            <w:tcW w:w="5000" w:type="pct"/>
            <w:gridSpan w:val="6"/>
            <w:tcBorders>
              <w:top w:val="single" w:sz="6" w:space="0" w:color="auto"/>
              <w:left w:val="single" w:sz="6" w:space="0" w:color="auto"/>
              <w:bottom w:val="single" w:sz="6" w:space="0" w:color="auto"/>
              <w:right w:val="single" w:sz="6" w:space="0" w:color="auto"/>
            </w:tcBorders>
            <w:vAlign w:val="center"/>
          </w:tcPr>
          <w:p w14:paraId="5E980F35" w14:textId="3A929BAF" w:rsidR="008A3252" w:rsidRDefault="008A3252" w:rsidP="008A3252">
            <w:pPr>
              <w:pStyle w:val="Style"/>
              <w:ind w:left="115"/>
              <w:textAlignment w:val="baseline"/>
            </w:pPr>
            <w:r>
              <w:rPr>
                <w:sz w:val="20"/>
                <w:szCs w:val="20"/>
              </w:rPr>
              <w:t>PASI score</w:t>
            </w:r>
          </w:p>
        </w:tc>
      </w:tr>
      <w:tr w:rsidR="008A3252" w14:paraId="09D64CCD" w14:textId="77777777" w:rsidTr="008A3252">
        <w:trPr>
          <w:trHeight w:hRule="exact" w:val="394"/>
          <w:jc w:val="center"/>
        </w:trPr>
        <w:tc>
          <w:tcPr>
            <w:tcW w:w="1003" w:type="pct"/>
            <w:tcBorders>
              <w:top w:val="single" w:sz="6" w:space="0" w:color="auto"/>
              <w:left w:val="single" w:sz="6" w:space="0" w:color="auto"/>
              <w:bottom w:val="single" w:sz="6" w:space="0" w:color="auto"/>
              <w:right w:val="single" w:sz="6" w:space="0" w:color="auto"/>
            </w:tcBorders>
            <w:vAlign w:val="center"/>
          </w:tcPr>
          <w:p w14:paraId="450284AE" w14:textId="77777777" w:rsidR="008A3252" w:rsidRDefault="008A3252" w:rsidP="009B153D">
            <w:pPr>
              <w:pStyle w:val="Style"/>
              <w:ind w:left="302"/>
              <w:textAlignment w:val="baseline"/>
            </w:pPr>
            <w:r>
              <w:rPr>
                <w:sz w:val="20"/>
                <w:szCs w:val="20"/>
              </w:rPr>
              <w:t xml:space="preserve">Mean (SD) </w:t>
            </w:r>
          </w:p>
        </w:tc>
        <w:tc>
          <w:tcPr>
            <w:tcW w:w="1074" w:type="pct"/>
            <w:gridSpan w:val="2"/>
            <w:tcBorders>
              <w:top w:val="single" w:sz="6" w:space="0" w:color="auto"/>
              <w:left w:val="single" w:sz="6" w:space="0" w:color="auto"/>
              <w:bottom w:val="single" w:sz="6" w:space="0" w:color="auto"/>
              <w:right w:val="single" w:sz="6" w:space="0" w:color="auto"/>
            </w:tcBorders>
            <w:vAlign w:val="center"/>
          </w:tcPr>
          <w:p w14:paraId="0CA8D4C4" w14:textId="77777777" w:rsidR="008A3252" w:rsidRDefault="008A3252" w:rsidP="009B153D">
            <w:pPr>
              <w:pStyle w:val="Style"/>
              <w:ind w:left="14"/>
              <w:jc w:val="center"/>
              <w:textAlignment w:val="baseline"/>
            </w:pPr>
            <w:r>
              <w:rPr>
                <w:sz w:val="20"/>
                <w:szCs w:val="20"/>
              </w:rPr>
              <w:t xml:space="preserve">20.05 (6.81) </w:t>
            </w:r>
          </w:p>
        </w:tc>
        <w:tc>
          <w:tcPr>
            <w:tcW w:w="1039" w:type="pct"/>
            <w:tcBorders>
              <w:top w:val="single" w:sz="6" w:space="0" w:color="auto"/>
              <w:left w:val="single" w:sz="6" w:space="0" w:color="auto"/>
              <w:bottom w:val="single" w:sz="6" w:space="0" w:color="auto"/>
              <w:right w:val="single" w:sz="6" w:space="0" w:color="auto"/>
            </w:tcBorders>
            <w:vAlign w:val="center"/>
          </w:tcPr>
          <w:p w14:paraId="43F7169B" w14:textId="77777777" w:rsidR="008A3252" w:rsidRDefault="008A3252" w:rsidP="009B153D">
            <w:pPr>
              <w:pStyle w:val="Style"/>
              <w:ind w:left="24"/>
              <w:jc w:val="center"/>
              <w:textAlignment w:val="baseline"/>
            </w:pPr>
            <w:r>
              <w:rPr>
                <w:sz w:val="20"/>
                <w:szCs w:val="20"/>
              </w:rPr>
              <w:t xml:space="preserve">22.04 (8.55) </w:t>
            </w:r>
          </w:p>
        </w:tc>
        <w:tc>
          <w:tcPr>
            <w:tcW w:w="988" w:type="pct"/>
            <w:tcBorders>
              <w:top w:val="single" w:sz="6" w:space="0" w:color="auto"/>
              <w:left w:val="single" w:sz="6" w:space="0" w:color="auto"/>
              <w:bottom w:val="single" w:sz="6" w:space="0" w:color="auto"/>
              <w:right w:val="single" w:sz="6" w:space="0" w:color="auto"/>
            </w:tcBorders>
            <w:vAlign w:val="center"/>
          </w:tcPr>
          <w:p w14:paraId="792B0302" w14:textId="77777777" w:rsidR="008A3252" w:rsidRDefault="008A3252" w:rsidP="009B153D">
            <w:pPr>
              <w:pStyle w:val="Style"/>
              <w:ind w:left="5"/>
              <w:jc w:val="center"/>
              <w:textAlignment w:val="baseline"/>
            </w:pPr>
            <w:r>
              <w:rPr>
                <w:sz w:val="20"/>
                <w:szCs w:val="20"/>
              </w:rPr>
              <w:t xml:space="preserve">21.32 (8.29) </w:t>
            </w:r>
          </w:p>
        </w:tc>
        <w:tc>
          <w:tcPr>
            <w:tcW w:w="896" w:type="pct"/>
            <w:tcBorders>
              <w:top w:val="single" w:sz="6" w:space="0" w:color="auto"/>
              <w:left w:val="single" w:sz="6" w:space="0" w:color="auto"/>
              <w:bottom w:val="single" w:sz="6" w:space="0" w:color="auto"/>
              <w:right w:val="single" w:sz="6" w:space="0" w:color="auto"/>
            </w:tcBorders>
            <w:vAlign w:val="center"/>
          </w:tcPr>
          <w:p w14:paraId="021F679B" w14:textId="77777777" w:rsidR="008A3252" w:rsidRDefault="008A3252" w:rsidP="009B153D">
            <w:pPr>
              <w:pStyle w:val="Style"/>
              <w:ind w:left="19"/>
              <w:jc w:val="center"/>
              <w:textAlignment w:val="baseline"/>
            </w:pPr>
            <w:r>
              <w:rPr>
                <w:sz w:val="20"/>
                <w:szCs w:val="20"/>
              </w:rPr>
              <w:t xml:space="preserve">21.54 (8.26) </w:t>
            </w:r>
          </w:p>
        </w:tc>
      </w:tr>
      <w:tr w:rsidR="008A3252" w14:paraId="50C418DA" w14:textId="77777777" w:rsidTr="008A3252">
        <w:trPr>
          <w:trHeight w:hRule="exact" w:val="384"/>
          <w:jc w:val="center"/>
        </w:trPr>
        <w:tc>
          <w:tcPr>
            <w:tcW w:w="1003" w:type="pct"/>
            <w:tcBorders>
              <w:top w:val="single" w:sz="6" w:space="0" w:color="auto"/>
              <w:left w:val="single" w:sz="6" w:space="0" w:color="auto"/>
              <w:bottom w:val="single" w:sz="6" w:space="0" w:color="auto"/>
              <w:right w:val="single" w:sz="6" w:space="0" w:color="auto"/>
            </w:tcBorders>
            <w:vAlign w:val="center"/>
          </w:tcPr>
          <w:p w14:paraId="7D4CFD62" w14:textId="77777777" w:rsidR="008A3252" w:rsidRDefault="008A3252" w:rsidP="009B153D">
            <w:pPr>
              <w:pStyle w:val="Style"/>
              <w:ind w:left="302"/>
              <w:textAlignment w:val="baseline"/>
            </w:pPr>
            <w:r>
              <w:rPr>
                <w:sz w:val="20"/>
                <w:szCs w:val="20"/>
              </w:rPr>
              <w:t xml:space="preserve">Median </w:t>
            </w:r>
          </w:p>
        </w:tc>
        <w:tc>
          <w:tcPr>
            <w:tcW w:w="1074" w:type="pct"/>
            <w:gridSpan w:val="2"/>
            <w:tcBorders>
              <w:top w:val="single" w:sz="6" w:space="0" w:color="auto"/>
              <w:left w:val="single" w:sz="6" w:space="0" w:color="auto"/>
              <w:bottom w:val="single" w:sz="6" w:space="0" w:color="auto"/>
              <w:right w:val="single" w:sz="6" w:space="0" w:color="auto"/>
            </w:tcBorders>
            <w:vAlign w:val="center"/>
          </w:tcPr>
          <w:p w14:paraId="0DA1902E" w14:textId="77777777" w:rsidR="008A3252" w:rsidRDefault="008A3252" w:rsidP="009B153D">
            <w:pPr>
              <w:pStyle w:val="Style"/>
              <w:ind w:left="14"/>
              <w:jc w:val="center"/>
              <w:textAlignment w:val="baseline"/>
            </w:pPr>
            <w:r>
              <w:rPr>
                <w:sz w:val="20"/>
                <w:szCs w:val="20"/>
              </w:rPr>
              <w:t xml:space="preserve">17.60 </w:t>
            </w:r>
          </w:p>
        </w:tc>
        <w:tc>
          <w:tcPr>
            <w:tcW w:w="1039" w:type="pct"/>
            <w:tcBorders>
              <w:top w:val="single" w:sz="6" w:space="0" w:color="auto"/>
              <w:left w:val="single" w:sz="6" w:space="0" w:color="auto"/>
              <w:bottom w:val="single" w:sz="6" w:space="0" w:color="auto"/>
              <w:right w:val="single" w:sz="6" w:space="0" w:color="auto"/>
            </w:tcBorders>
            <w:vAlign w:val="center"/>
          </w:tcPr>
          <w:p w14:paraId="0A24FB86" w14:textId="77777777" w:rsidR="008A3252" w:rsidRDefault="008A3252" w:rsidP="009B153D">
            <w:pPr>
              <w:pStyle w:val="Style"/>
              <w:ind w:left="24"/>
              <w:jc w:val="center"/>
              <w:textAlignment w:val="baseline"/>
            </w:pPr>
            <w:r>
              <w:rPr>
                <w:sz w:val="20"/>
                <w:szCs w:val="20"/>
              </w:rPr>
              <w:t xml:space="preserve">19.40 </w:t>
            </w:r>
          </w:p>
        </w:tc>
        <w:tc>
          <w:tcPr>
            <w:tcW w:w="988" w:type="pct"/>
            <w:tcBorders>
              <w:top w:val="single" w:sz="6" w:space="0" w:color="auto"/>
              <w:left w:val="single" w:sz="6" w:space="0" w:color="auto"/>
              <w:bottom w:val="single" w:sz="6" w:space="0" w:color="auto"/>
              <w:right w:val="single" w:sz="6" w:space="0" w:color="auto"/>
            </w:tcBorders>
            <w:vAlign w:val="center"/>
          </w:tcPr>
          <w:p w14:paraId="47D1E9BE" w14:textId="77777777" w:rsidR="008A3252" w:rsidRDefault="008A3252" w:rsidP="009B153D">
            <w:pPr>
              <w:pStyle w:val="Style"/>
              <w:ind w:left="5"/>
              <w:jc w:val="center"/>
              <w:textAlignment w:val="baseline"/>
            </w:pPr>
            <w:r>
              <w:rPr>
                <w:sz w:val="20"/>
                <w:szCs w:val="20"/>
              </w:rPr>
              <w:t xml:space="preserve">18.45 </w:t>
            </w:r>
          </w:p>
        </w:tc>
        <w:tc>
          <w:tcPr>
            <w:tcW w:w="896" w:type="pct"/>
            <w:tcBorders>
              <w:top w:val="single" w:sz="6" w:space="0" w:color="auto"/>
              <w:left w:val="single" w:sz="6" w:space="0" w:color="auto"/>
              <w:bottom w:val="single" w:sz="6" w:space="0" w:color="auto"/>
              <w:right w:val="single" w:sz="6" w:space="0" w:color="auto"/>
            </w:tcBorders>
            <w:vAlign w:val="center"/>
          </w:tcPr>
          <w:p w14:paraId="5B01025A" w14:textId="77777777" w:rsidR="008A3252" w:rsidRDefault="008A3252" w:rsidP="009B153D">
            <w:pPr>
              <w:pStyle w:val="Style"/>
              <w:ind w:left="19"/>
              <w:jc w:val="center"/>
              <w:textAlignment w:val="baseline"/>
            </w:pPr>
            <w:r>
              <w:rPr>
                <w:sz w:val="20"/>
                <w:szCs w:val="20"/>
              </w:rPr>
              <w:t xml:space="preserve">19.00 </w:t>
            </w:r>
          </w:p>
        </w:tc>
      </w:tr>
      <w:tr w:rsidR="008A3252" w14:paraId="7D9446C4" w14:textId="77777777" w:rsidTr="008A3252">
        <w:trPr>
          <w:trHeight w:hRule="exact" w:val="389"/>
          <w:jc w:val="center"/>
        </w:trPr>
        <w:tc>
          <w:tcPr>
            <w:tcW w:w="1003" w:type="pct"/>
            <w:tcBorders>
              <w:top w:val="single" w:sz="6" w:space="0" w:color="auto"/>
              <w:left w:val="single" w:sz="6" w:space="0" w:color="auto"/>
              <w:bottom w:val="single" w:sz="6" w:space="0" w:color="auto"/>
              <w:right w:val="single" w:sz="6" w:space="0" w:color="auto"/>
            </w:tcBorders>
            <w:vAlign w:val="center"/>
          </w:tcPr>
          <w:p w14:paraId="0DFA3B17" w14:textId="77777777" w:rsidR="008A3252" w:rsidRDefault="008A3252" w:rsidP="009B153D">
            <w:pPr>
              <w:pStyle w:val="Style"/>
              <w:ind w:left="302"/>
              <w:textAlignment w:val="baseline"/>
            </w:pPr>
            <w:r>
              <w:rPr>
                <w:sz w:val="20"/>
                <w:szCs w:val="20"/>
              </w:rPr>
              <w:t xml:space="preserve">Min, max </w:t>
            </w:r>
          </w:p>
        </w:tc>
        <w:tc>
          <w:tcPr>
            <w:tcW w:w="1074" w:type="pct"/>
            <w:gridSpan w:val="2"/>
            <w:tcBorders>
              <w:top w:val="single" w:sz="6" w:space="0" w:color="auto"/>
              <w:left w:val="single" w:sz="6" w:space="0" w:color="auto"/>
              <w:bottom w:val="single" w:sz="6" w:space="0" w:color="auto"/>
              <w:right w:val="single" w:sz="6" w:space="0" w:color="auto"/>
            </w:tcBorders>
            <w:vAlign w:val="center"/>
          </w:tcPr>
          <w:p w14:paraId="53B9974E" w14:textId="77777777" w:rsidR="008A3252" w:rsidRDefault="008A3252" w:rsidP="009B153D">
            <w:pPr>
              <w:pStyle w:val="Style"/>
              <w:ind w:left="14"/>
              <w:jc w:val="center"/>
              <w:textAlignment w:val="baseline"/>
            </w:pPr>
            <w:r>
              <w:rPr>
                <w:sz w:val="20"/>
                <w:szCs w:val="20"/>
              </w:rPr>
              <w:t xml:space="preserve">12.0, 39.2 </w:t>
            </w:r>
          </w:p>
        </w:tc>
        <w:tc>
          <w:tcPr>
            <w:tcW w:w="1039" w:type="pct"/>
            <w:tcBorders>
              <w:top w:val="single" w:sz="6" w:space="0" w:color="auto"/>
              <w:left w:val="single" w:sz="6" w:space="0" w:color="auto"/>
              <w:bottom w:val="single" w:sz="6" w:space="0" w:color="auto"/>
              <w:right w:val="single" w:sz="6" w:space="0" w:color="auto"/>
            </w:tcBorders>
            <w:vAlign w:val="center"/>
          </w:tcPr>
          <w:p w14:paraId="11EE5CC9" w14:textId="77777777" w:rsidR="008A3252" w:rsidRDefault="008A3252" w:rsidP="009B153D">
            <w:pPr>
              <w:pStyle w:val="Style"/>
              <w:ind w:left="24"/>
              <w:jc w:val="center"/>
              <w:textAlignment w:val="baseline"/>
            </w:pPr>
            <w:r>
              <w:rPr>
                <w:sz w:val="20"/>
                <w:szCs w:val="20"/>
              </w:rPr>
              <w:t xml:space="preserve">11.7, 58.5 </w:t>
            </w:r>
          </w:p>
        </w:tc>
        <w:tc>
          <w:tcPr>
            <w:tcW w:w="988" w:type="pct"/>
            <w:tcBorders>
              <w:top w:val="single" w:sz="6" w:space="0" w:color="auto"/>
              <w:left w:val="single" w:sz="6" w:space="0" w:color="auto"/>
              <w:bottom w:val="single" w:sz="6" w:space="0" w:color="auto"/>
              <w:right w:val="single" w:sz="6" w:space="0" w:color="auto"/>
            </w:tcBorders>
            <w:vAlign w:val="center"/>
          </w:tcPr>
          <w:p w14:paraId="006A4F82" w14:textId="77777777" w:rsidR="008A3252" w:rsidRDefault="008A3252" w:rsidP="009B153D">
            <w:pPr>
              <w:pStyle w:val="Style"/>
              <w:ind w:left="5"/>
              <w:jc w:val="center"/>
              <w:textAlignment w:val="baseline"/>
            </w:pPr>
            <w:r>
              <w:rPr>
                <w:sz w:val="20"/>
                <w:szCs w:val="20"/>
              </w:rPr>
              <w:t xml:space="preserve">12.0, 51.4 </w:t>
            </w:r>
          </w:p>
        </w:tc>
        <w:tc>
          <w:tcPr>
            <w:tcW w:w="896" w:type="pct"/>
            <w:tcBorders>
              <w:top w:val="single" w:sz="6" w:space="0" w:color="auto"/>
              <w:left w:val="single" w:sz="6" w:space="0" w:color="auto"/>
              <w:bottom w:val="single" w:sz="6" w:space="0" w:color="auto"/>
              <w:right w:val="single" w:sz="6" w:space="0" w:color="auto"/>
            </w:tcBorders>
            <w:vAlign w:val="center"/>
          </w:tcPr>
          <w:p w14:paraId="0978E275" w14:textId="77777777" w:rsidR="008A3252" w:rsidRDefault="008A3252" w:rsidP="009B153D">
            <w:pPr>
              <w:pStyle w:val="Style"/>
              <w:ind w:left="19"/>
              <w:jc w:val="center"/>
              <w:textAlignment w:val="baseline"/>
            </w:pPr>
            <w:r>
              <w:rPr>
                <w:sz w:val="20"/>
                <w:szCs w:val="20"/>
              </w:rPr>
              <w:t xml:space="preserve">11.7, 58.5 </w:t>
            </w:r>
          </w:p>
        </w:tc>
      </w:tr>
      <w:tr w:rsidR="008A3252" w14:paraId="7E605F97" w14:textId="77777777" w:rsidTr="008A3252">
        <w:trPr>
          <w:trHeight w:hRule="exact" w:val="331"/>
          <w:jc w:val="center"/>
        </w:trPr>
        <w:tc>
          <w:tcPr>
            <w:tcW w:w="1003" w:type="pct"/>
            <w:tcBorders>
              <w:top w:val="single" w:sz="6" w:space="0" w:color="auto"/>
              <w:left w:val="single" w:sz="6" w:space="0" w:color="auto"/>
              <w:bottom w:val="nil"/>
              <w:right w:val="single" w:sz="6" w:space="0" w:color="auto"/>
            </w:tcBorders>
            <w:vAlign w:val="center"/>
          </w:tcPr>
          <w:p w14:paraId="3C6BD59C" w14:textId="77777777" w:rsidR="008A3252" w:rsidRDefault="008A3252" w:rsidP="009B153D">
            <w:pPr>
              <w:pStyle w:val="Style"/>
              <w:ind w:left="115"/>
              <w:textAlignment w:val="baseline"/>
            </w:pPr>
            <w:proofErr w:type="spellStart"/>
            <w:r>
              <w:rPr>
                <w:sz w:val="20"/>
                <w:szCs w:val="20"/>
              </w:rPr>
              <w:t>mNAPSI</w:t>
            </w:r>
            <w:proofErr w:type="spellEnd"/>
            <w:r>
              <w:rPr>
                <w:sz w:val="20"/>
                <w:szCs w:val="20"/>
              </w:rPr>
              <w:t xml:space="preserve"> total </w:t>
            </w:r>
          </w:p>
        </w:tc>
        <w:tc>
          <w:tcPr>
            <w:tcW w:w="1074" w:type="pct"/>
            <w:gridSpan w:val="2"/>
            <w:vMerge w:val="restart"/>
            <w:tcBorders>
              <w:top w:val="single" w:sz="6" w:space="0" w:color="auto"/>
              <w:left w:val="single" w:sz="6" w:space="0" w:color="auto"/>
              <w:bottom w:val="nil"/>
              <w:right w:val="single" w:sz="6" w:space="0" w:color="auto"/>
            </w:tcBorders>
            <w:vAlign w:val="center"/>
          </w:tcPr>
          <w:p w14:paraId="0FEEA268" w14:textId="77777777" w:rsidR="008A3252" w:rsidRDefault="008A3252" w:rsidP="009B153D">
            <w:pPr>
              <w:pStyle w:val="Style"/>
              <w:ind w:left="14"/>
              <w:jc w:val="center"/>
              <w:textAlignment w:val="baseline"/>
            </w:pPr>
            <w:r>
              <w:rPr>
                <w:sz w:val="20"/>
                <w:szCs w:val="20"/>
              </w:rPr>
              <w:t xml:space="preserve">51 </w:t>
            </w:r>
          </w:p>
        </w:tc>
        <w:tc>
          <w:tcPr>
            <w:tcW w:w="1039" w:type="pct"/>
            <w:vMerge w:val="restart"/>
            <w:tcBorders>
              <w:top w:val="single" w:sz="6" w:space="0" w:color="auto"/>
              <w:left w:val="single" w:sz="6" w:space="0" w:color="auto"/>
              <w:bottom w:val="nil"/>
              <w:right w:val="single" w:sz="6" w:space="0" w:color="auto"/>
            </w:tcBorders>
            <w:vAlign w:val="center"/>
          </w:tcPr>
          <w:p w14:paraId="50D9365D" w14:textId="77777777" w:rsidR="008A3252" w:rsidRDefault="008A3252" w:rsidP="009B153D">
            <w:pPr>
              <w:pStyle w:val="Style"/>
              <w:ind w:left="24"/>
              <w:jc w:val="center"/>
              <w:textAlignment w:val="baseline"/>
            </w:pPr>
            <w:r>
              <w:rPr>
                <w:sz w:val="20"/>
                <w:szCs w:val="20"/>
              </w:rPr>
              <w:t xml:space="preserve">194 </w:t>
            </w:r>
          </w:p>
        </w:tc>
        <w:tc>
          <w:tcPr>
            <w:tcW w:w="988" w:type="pct"/>
            <w:vMerge w:val="restart"/>
            <w:tcBorders>
              <w:top w:val="single" w:sz="6" w:space="0" w:color="auto"/>
              <w:left w:val="single" w:sz="6" w:space="0" w:color="auto"/>
              <w:bottom w:val="nil"/>
              <w:right w:val="single" w:sz="6" w:space="0" w:color="auto"/>
            </w:tcBorders>
            <w:vAlign w:val="center"/>
          </w:tcPr>
          <w:p w14:paraId="38076BAC" w14:textId="77777777" w:rsidR="008A3252" w:rsidRDefault="008A3252" w:rsidP="009B153D">
            <w:pPr>
              <w:pStyle w:val="Style"/>
              <w:ind w:left="29"/>
              <w:jc w:val="center"/>
              <w:textAlignment w:val="baseline"/>
            </w:pPr>
            <w:r>
              <w:rPr>
                <w:sz w:val="20"/>
                <w:szCs w:val="20"/>
              </w:rPr>
              <w:t xml:space="preserve">109 </w:t>
            </w:r>
          </w:p>
        </w:tc>
        <w:tc>
          <w:tcPr>
            <w:tcW w:w="896" w:type="pct"/>
            <w:vMerge w:val="restart"/>
            <w:tcBorders>
              <w:top w:val="single" w:sz="6" w:space="0" w:color="auto"/>
              <w:left w:val="single" w:sz="6" w:space="0" w:color="auto"/>
              <w:bottom w:val="nil"/>
              <w:right w:val="single" w:sz="6" w:space="0" w:color="auto"/>
            </w:tcBorders>
            <w:vAlign w:val="center"/>
          </w:tcPr>
          <w:p w14:paraId="0FBA6FD1" w14:textId="77777777" w:rsidR="008A3252" w:rsidRDefault="008A3252" w:rsidP="009B153D">
            <w:pPr>
              <w:pStyle w:val="Style"/>
              <w:ind w:left="43"/>
              <w:jc w:val="center"/>
              <w:textAlignment w:val="baseline"/>
            </w:pPr>
            <w:r>
              <w:rPr>
                <w:sz w:val="20"/>
                <w:szCs w:val="20"/>
              </w:rPr>
              <w:t xml:space="preserve">354 </w:t>
            </w:r>
          </w:p>
        </w:tc>
      </w:tr>
      <w:tr w:rsidR="008A3252" w14:paraId="1EF17687" w14:textId="77777777" w:rsidTr="008A3252">
        <w:trPr>
          <w:trHeight w:hRule="exact" w:val="302"/>
          <w:jc w:val="center"/>
        </w:trPr>
        <w:tc>
          <w:tcPr>
            <w:tcW w:w="1003" w:type="pct"/>
            <w:tcBorders>
              <w:top w:val="nil"/>
              <w:left w:val="single" w:sz="6" w:space="0" w:color="auto"/>
              <w:bottom w:val="single" w:sz="6" w:space="0" w:color="auto"/>
              <w:right w:val="single" w:sz="6" w:space="0" w:color="auto"/>
            </w:tcBorders>
            <w:vAlign w:val="center"/>
          </w:tcPr>
          <w:p w14:paraId="52402CAC" w14:textId="77777777" w:rsidR="008A3252" w:rsidRDefault="008A3252" w:rsidP="009B153D">
            <w:pPr>
              <w:pStyle w:val="Style"/>
              <w:ind w:left="115"/>
              <w:textAlignment w:val="baseline"/>
            </w:pPr>
            <w:r>
              <w:rPr>
                <w:sz w:val="20"/>
                <w:szCs w:val="20"/>
              </w:rPr>
              <w:t xml:space="preserve">score, </w:t>
            </w:r>
            <w:proofErr w:type="spellStart"/>
            <w:r>
              <w:rPr>
                <w:sz w:val="20"/>
                <w:szCs w:val="20"/>
              </w:rPr>
              <w:t>n</w:t>
            </w:r>
            <w:proofErr w:type="spellEnd"/>
            <w:r>
              <w:rPr>
                <w:sz w:val="20"/>
                <w:szCs w:val="20"/>
              </w:rPr>
              <w:t xml:space="preserve"> </w:t>
            </w:r>
            <w:r>
              <w:rPr>
                <w:rFonts w:ascii="Arial" w:eastAsia="Arial" w:hAnsi="Arial" w:cs="Arial"/>
                <w:sz w:val="11"/>
                <w:szCs w:val="11"/>
              </w:rPr>
              <w:t xml:space="preserve">a </w:t>
            </w:r>
          </w:p>
        </w:tc>
        <w:tc>
          <w:tcPr>
            <w:tcW w:w="1074" w:type="pct"/>
            <w:gridSpan w:val="2"/>
            <w:vMerge/>
            <w:tcBorders>
              <w:top w:val="nil"/>
              <w:left w:val="single" w:sz="6" w:space="0" w:color="auto"/>
              <w:bottom w:val="single" w:sz="6" w:space="0" w:color="auto"/>
              <w:right w:val="single" w:sz="6" w:space="0" w:color="auto"/>
            </w:tcBorders>
            <w:vAlign w:val="center"/>
          </w:tcPr>
          <w:p w14:paraId="02FEB667" w14:textId="77777777" w:rsidR="008A3252" w:rsidRDefault="008A3252" w:rsidP="009B153D">
            <w:pPr>
              <w:pStyle w:val="Style"/>
              <w:ind w:left="14"/>
              <w:jc w:val="center"/>
              <w:textAlignment w:val="baseline"/>
            </w:pPr>
            <w:r>
              <w:rPr>
                <w:sz w:val="20"/>
                <w:szCs w:val="20"/>
              </w:rPr>
              <w:t xml:space="preserve">51 </w:t>
            </w:r>
          </w:p>
          <w:p w14:paraId="00A840D3" w14:textId="77777777" w:rsidR="008A3252" w:rsidRDefault="008A3252" w:rsidP="009B153D">
            <w:pPr>
              <w:pStyle w:val="Style"/>
              <w:textAlignment w:val="baseline"/>
            </w:pPr>
          </w:p>
        </w:tc>
        <w:tc>
          <w:tcPr>
            <w:tcW w:w="1039" w:type="pct"/>
            <w:vMerge/>
            <w:tcBorders>
              <w:top w:val="nil"/>
              <w:left w:val="single" w:sz="6" w:space="0" w:color="auto"/>
              <w:bottom w:val="single" w:sz="6" w:space="0" w:color="auto"/>
              <w:right w:val="single" w:sz="6" w:space="0" w:color="auto"/>
            </w:tcBorders>
            <w:vAlign w:val="center"/>
          </w:tcPr>
          <w:p w14:paraId="51CB82FF" w14:textId="77777777" w:rsidR="008A3252" w:rsidRDefault="008A3252" w:rsidP="009B153D">
            <w:pPr>
              <w:pStyle w:val="Style"/>
              <w:ind w:left="24"/>
              <w:jc w:val="center"/>
              <w:textAlignment w:val="baseline"/>
            </w:pPr>
            <w:r>
              <w:rPr>
                <w:sz w:val="20"/>
                <w:szCs w:val="20"/>
              </w:rPr>
              <w:t xml:space="preserve">194 </w:t>
            </w:r>
          </w:p>
          <w:p w14:paraId="076D3EC9" w14:textId="77777777" w:rsidR="008A3252" w:rsidRDefault="008A3252" w:rsidP="009B153D">
            <w:pPr>
              <w:pStyle w:val="Style"/>
              <w:textAlignment w:val="baseline"/>
            </w:pPr>
          </w:p>
        </w:tc>
        <w:tc>
          <w:tcPr>
            <w:tcW w:w="988" w:type="pct"/>
            <w:vMerge/>
            <w:tcBorders>
              <w:top w:val="nil"/>
              <w:left w:val="single" w:sz="6" w:space="0" w:color="auto"/>
              <w:bottom w:val="single" w:sz="6" w:space="0" w:color="auto"/>
              <w:right w:val="single" w:sz="6" w:space="0" w:color="auto"/>
            </w:tcBorders>
            <w:vAlign w:val="center"/>
          </w:tcPr>
          <w:p w14:paraId="050E56B3" w14:textId="77777777" w:rsidR="008A3252" w:rsidRDefault="008A3252" w:rsidP="009B153D">
            <w:pPr>
              <w:pStyle w:val="Style"/>
              <w:ind w:left="29"/>
              <w:jc w:val="center"/>
              <w:textAlignment w:val="baseline"/>
            </w:pPr>
            <w:r>
              <w:rPr>
                <w:sz w:val="20"/>
                <w:szCs w:val="20"/>
              </w:rPr>
              <w:t xml:space="preserve">109 </w:t>
            </w:r>
          </w:p>
          <w:p w14:paraId="1220D4EA" w14:textId="77777777" w:rsidR="008A3252" w:rsidRDefault="008A3252" w:rsidP="009B153D">
            <w:pPr>
              <w:pStyle w:val="Style"/>
              <w:textAlignment w:val="baseline"/>
            </w:pPr>
          </w:p>
        </w:tc>
        <w:tc>
          <w:tcPr>
            <w:tcW w:w="896" w:type="pct"/>
            <w:vMerge/>
            <w:tcBorders>
              <w:top w:val="nil"/>
              <w:left w:val="single" w:sz="6" w:space="0" w:color="auto"/>
              <w:bottom w:val="single" w:sz="6" w:space="0" w:color="auto"/>
              <w:right w:val="single" w:sz="6" w:space="0" w:color="auto"/>
            </w:tcBorders>
            <w:vAlign w:val="center"/>
          </w:tcPr>
          <w:p w14:paraId="1094DE37" w14:textId="77777777" w:rsidR="008A3252" w:rsidRDefault="008A3252" w:rsidP="009B153D">
            <w:pPr>
              <w:pStyle w:val="Style"/>
              <w:ind w:left="43"/>
              <w:jc w:val="center"/>
              <w:textAlignment w:val="baseline"/>
            </w:pPr>
            <w:r>
              <w:rPr>
                <w:sz w:val="20"/>
                <w:szCs w:val="20"/>
              </w:rPr>
              <w:t xml:space="preserve">354 </w:t>
            </w:r>
          </w:p>
          <w:p w14:paraId="3A1DA937" w14:textId="77777777" w:rsidR="008A3252" w:rsidRDefault="008A3252" w:rsidP="009B153D">
            <w:pPr>
              <w:pStyle w:val="Style"/>
              <w:textAlignment w:val="baseline"/>
            </w:pPr>
          </w:p>
        </w:tc>
      </w:tr>
      <w:tr w:rsidR="008A3252" w14:paraId="351DCBC8" w14:textId="77777777" w:rsidTr="008A3252">
        <w:trPr>
          <w:trHeight w:hRule="exact" w:val="394"/>
          <w:jc w:val="center"/>
        </w:trPr>
        <w:tc>
          <w:tcPr>
            <w:tcW w:w="1003" w:type="pct"/>
            <w:tcBorders>
              <w:top w:val="single" w:sz="6" w:space="0" w:color="auto"/>
              <w:left w:val="single" w:sz="6" w:space="0" w:color="auto"/>
              <w:bottom w:val="single" w:sz="6" w:space="0" w:color="auto"/>
              <w:right w:val="single" w:sz="6" w:space="0" w:color="auto"/>
            </w:tcBorders>
            <w:vAlign w:val="center"/>
          </w:tcPr>
          <w:p w14:paraId="305CE0D3" w14:textId="77777777" w:rsidR="008A3252" w:rsidRDefault="008A3252" w:rsidP="009B153D">
            <w:pPr>
              <w:pStyle w:val="Style"/>
              <w:ind w:left="302"/>
              <w:textAlignment w:val="baseline"/>
            </w:pPr>
            <w:r>
              <w:rPr>
                <w:sz w:val="20"/>
                <w:szCs w:val="20"/>
              </w:rPr>
              <w:t xml:space="preserve">Mean (SD) </w:t>
            </w:r>
          </w:p>
        </w:tc>
        <w:tc>
          <w:tcPr>
            <w:tcW w:w="1074" w:type="pct"/>
            <w:gridSpan w:val="2"/>
            <w:tcBorders>
              <w:top w:val="single" w:sz="6" w:space="0" w:color="auto"/>
              <w:left w:val="single" w:sz="6" w:space="0" w:color="auto"/>
              <w:bottom w:val="single" w:sz="6" w:space="0" w:color="auto"/>
              <w:right w:val="single" w:sz="6" w:space="0" w:color="auto"/>
            </w:tcBorders>
            <w:vAlign w:val="center"/>
          </w:tcPr>
          <w:p w14:paraId="7629D8F0" w14:textId="77777777" w:rsidR="008A3252" w:rsidRDefault="008A3252" w:rsidP="009B153D">
            <w:pPr>
              <w:pStyle w:val="Style"/>
              <w:ind w:left="14"/>
              <w:jc w:val="center"/>
              <w:textAlignment w:val="baseline"/>
            </w:pPr>
            <w:r>
              <w:rPr>
                <w:sz w:val="20"/>
                <w:szCs w:val="20"/>
              </w:rPr>
              <w:t xml:space="preserve">18.3 (19.5) </w:t>
            </w:r>
          </w:p>
        </w:tc>
        <w:tc>
          <w:tcPr>
            <w:tcW w:w="1039" w:type="pct"/>
            <w:tcBorders>
              <w:top w:val="single" w:sz="6" w:space="0" w:color="auto"/>
              <w:left w:val="single" w:sz="6" w:space="0" w:color="auto"/>
              <w:bottom w:val="single" w:sz="6" w:space="0" w:color="auto"/>
              <w:right w:val="single" w:sz="6" w:space="0" w:color="auto"/>
            </w:tcBorders>
            <w:vAlign w:val="center"/>
          </w:tcPr>
          <w:p w14:paraId="3E746AAB" w14:textId="77777777" w:rsidR="008A3252" w:rsidRDefault="008A3252" w:rsidP="009B153D">
            <w:pPr>
              <w:pStyle w:val="Style"/>
              <w:ind w:left="24"/>
              <w:jc w:val="center"/>
              <w:textAlignment w:val="baseline"/>
            </w:pPr>
            <w:r>
              <w:rPr>
                <w:sz w:val="20"/>
                <w:szCs w:val="20"/>
              </w:rPr>
              <w:t xml:space="preserve">20.5 (20.1) </w:t>
            </w:r>
          </w:p>
        </w:tc>
        <w:tc>
          <w:tcPr>
            <w:tcW w:w="988" w:type="pct"/>
            <w:tcBorders>
              <w:top w:val="single" w:sz="6" w:space="0" w:color="auto"/>
              <w:left w:val="single" w:sz="6" w:space="0" w:color="auto"/>
              <w:bottom w:val="single" w:sz="6" w:space="0" w:color="auto"/>
              <w:right w:val="single" w:sz="6" w:space="0" w:color="auto"/>
            </w:tcBorders>
            <w:vAlign w:val="center"/>
          </w:tcPr>
          <w:p w14:paraId="132D0927" w14:textId="77777777" w:rsidR="008A3252" w:rsidRDefault="008A3252" w:rsidP="009B153D">
            <w:pPr>
              <w:pStyle w:val="Style"/>
              <w:ind w:left="29"/>
              <w:jc w:val="center"/>
              <w:textAlignment w:val="baseline"/>
            </w:pPr>
            <w:r>
              <w:rPr>
                <w:sz w:val="20"/>
                <w:szCs w:val="20"/>
              </w:rPr>
              <w:t xml:space="preserve">21.0 (21.0) </w:t>
            </w:r>
          </w:p>
        </w:tc>
        <w:tc>
          <w:tcPr>
            <w:tcW w:w="896" w:type="pct"/>
            <w:tcBorders>
              <w:top w:val="single" w:sz="6" w:space="0" w:color="auto"/>
              <w:left w:val="single" w:sz="6" w:space="0" w:color="auto"/>
              <w:bottom w:val="single" w:sz="6" w:space="0" w:color="auto"/>
              <w:right w:val="single" w:sz="6" w:space="0" w:color="auto"/>
            </w:tcBorders>
            <w:vAlign w:val="center"/>
          </w:tcPr>
          <w:p w14:paraId="41C4C747" w14:textId="77777777" w:rsidR="008A3252" w:rsidRDefault="008A3252" w:rsidP="009B153D">
            <w:pPr>
              <w:pStyle w:val="Style"/>
              <w:ind w:left="43"/>
              <w:jc w:val="center"/>
              <w:textAlignment w:val="baseline"/>
            </w:pPr>
            <w:r>
              <w:rPr>
                <w:sz w:val="20"/>
                <w:szCs w:val="20"/>
              </w:rPr>
              <w:t xml:space="preserve">20.3 (20.2) </w:t>
            </w:r>
          </w:p>
        </w:tc>
      </w:tr>
      <w:tr w:rsidR="008A3252" w14:paraId="70DD9A55" w14:textId="77777777" w:rsidTr="008A3252">
        <w:trPr>
          <w:trHeight w:hRule="exact" w:val="384"/>
          <w:jc w:val="center"/>
        </w:trPr>
        <w:tc>
          <w:tcPr>
            <w:tcW w:w="1003" w:type="pct"/>
            <w:tcBorders>
              <w:top w:val="single" w:sz="6" w:space="0" w:color="auto"/>
              <w:left w:val="single" w:sz="6" w:space="0" w:color="auto"/>
              <w:bottom w:val="single" w:sz="6" w:space="0" w:color="auto"/>
              <w:right w:val="single" w:sz="6" w:space="0" w:color="auto"/>
            </w:tcBorders>
            <w:vAlign w:val="center"/>
          </w:tcPr>
          <w:p w14:paraId="531F7B17" w14:textId="77777777" w:rsidR="008A3252" w:rsidRDefault="008A3252" w:rsidP="009B153D">
            <w:pPr>
              <w:pStyle w:val="Style"/>
              <w:ind w:left="302"/>
              <w:textAlignment w:val="baseline"/>
            </w:pPr>
            <w:r>
              <w:rPr>
                <w:sz w:val="20"/>
                <w:szCs w:val="20"/>
              </w:rPr>
              <w:t xml:space="preserve">Median </w:t>
            </w:r>
          </w:p>
        </w:tc>
        <w:tc>
          <w:tcPr>
            <w:tcW w:w="1074" w:type="pct"/>
            <w:gridSpan w:val="2"/>
            <w:tcBorders>
              <w:top w:val="single" w:sz="6" w:space="0" w:color="auto"/>
              <w:left w:val="single" w:sz="6" w:space="0" w:color="auto"/>
              <w:bottom w:val="single" w:sz="6" w:space="0" w:color="auto"/>
              <w:right w:val="single" w:sz="6" w:space="0" w:color="auto"/>
            </w:tcBorders>
            <w:vAlign w:val="center"/>
          </w:tcPr>
          <w:p w14:paraId="79C20D79" w14:textId="77777777" w:rsidR="008A3252" w:rsidRDefault="008A3252" w:rsidP="009B153D">
            <w:pPr>
              <w:pStyle w:val="Style"/>
              <w:ind w:left="14"/>
              <w:jc w:val="center"/>
              <w:textAlignment w:val="baseline"/>
            </w:pPr>
            <w:r>
              <w:rPr>
                <w:sz w:val="20"/>
                <w:szCs w:val="20"/>
              </w:rPr>
              <w:t xml:space="preserve">12.0 </w:t>
            </w:r>
          </w:p>
        </w:tc>
        <w:tc>
          <w:tcPr>
            <w:tcW w:w="1039" w:type="pct"/>
            <w:tcBorders>
              <w:top w:val="single" w:sz="6" w:space="0" w:color="auto"/>
              <w:left w:val="single" w:sz="6" w:space="0" w:color="auto"/>
              <w:bottom w:val="single" w:sz="6" w:space="0" w:color="auto"/>
              <w:right w:val="single" w:sz="6" w:space="0" w:color="auto"/>
            </w:tcBorders>
            <w:vAlign w:val="center"/>
          </w:tcPr>
          <w:p w14:paraId="248BDF48" w14:textId="77777777" w:rsidR="008A3252" w:rsidRDefault="008A3252" w:rsidP="009B153D">
            <w:pPr>
              <w:pStyle w:val="Style"/>
              <w:ind w:left="24"/>
              <w:jc w:val="center"/>
              <w:textAlignment w:val="baseline"/>
            </w:pPr>
            <w:r>
              <w:rPr>
                <w:sz w:val="20"/>
                <w:szCs w:val="20"/>
              </w:rPr>
              <w:t xml:space="preserve">15.0 </w:t>
            </w:r>
          </w:p>
        </w:tc>
        <w:tc>
          <w:tcPr>
            <w:tcW w:w="988" w:type="pct"/>
            <w:tcBorders>
              <w:top w:val="single" w:sz="6" w:space="0" w:color="auto"/>
              <w:left w:val="single" w:sz="6" w:space="0" w:color="auto"/>
              <w:bottom w:val="single" w:sz="6" w:space="0" w:color="auto"/>
              <w:right w:val="single" w:sz="6" w:space="0" w:color="auto"/>
            </w:tcBorders>
            <w:vAlign w:val="center"/>
          </w:tcPr>
          <w:p w14:paraId="25019E9B" w14:textId="77777777" w:rsidR="008A3252" w:rsidRDefault="008A3252" w:rsidP="009B153D">
            <w:pPr>
              <w:pStyle w:val="Style"/>
              <w:ind w:left="29"/>
              <w:jc w:val="center"/>
              <w:textAlignment w:val="baseline"/>
            </w:pPr>
            <w:r>
              <w:rPr>
                <w:sz w:val="20"/>
                <w:szCs w:val="20"/>
              </w:rPr>
              <w:t xml:space="preserve">14.0 </w:t>
            </w:r>
          </w:p>
        </w:tc>
        <w:tc>
          <w:tcPr>
            <w:tcW w:w="896" w:type="pct"/>
            <w:tcBorders>
              <w:top w:val="single" w:sz="6" w:space="0" w:color="auto"/>
              <w:left w:val="single" w:sz="6" w:space="0" w:color="auto"/>
              <w:bottom w:val="single" w:sz="6" w:space="0" w:color="auto"/>
              <w:right w:val="single" w:sz="6" w:space="0" w:color="auto"/>
            </w:tcBorders>
            <w:vAlign w:val="center"/>
          </w:tcPr>
          <w:p w14:paraId="4A2E64CB" w14:textId="77777777" w:rsidR="008A3252" w:rsidRDefault="008A3252" w:rsidP="009B153D">
            <w:pPr>
              <w:pStyle w:val="Style"/>
              <w:ind w:left="43"/>
              <w:jc w:val="center"/>
              <w:textAlignment w:val="baseline"/>
            </w:pPr>
            <w:r>
              <w:rPr>
                <w:sz w:val="20"/>
                <w:szCs w:val="20"/>
              </w:rPr>
              <w:t xml:space="preserve">14.0 </w:t>
            </w:r>
          </w:p>
        </w:tc>
      </w:tr>
      <w:tr w:rsidR="008A3252" w14:paraId="4813B2B6" w14:textId="77777777" w:rsidTr="008A3252">
        <w:trPr>
          <w:trHeight w:hRule="exact" w:val="379"/>
          <w:jc w:val="center"/>
        </w:trPr>
        <w:tc>
          <w:tcPr>
            <w:tcW w:w="1003" w:type="pct"/>
            <w:tcBorders>
              <w:top w:val="single" w:sz="6" w:space="0" w:color="auto"/>
              <w:left w:val="single" w:sz="6" w:space="0" w:color="auto"/>
              <w:bottom w:val="single" w:sz="6" w:space="0" w:color="auto"/>
              <w:right w:val="single" w:sz="6" w:space="0" w:color="auto"/>
            </w:tcBorders>
            <w:vAlign w:val="center"/>
          </w:tcPr>
          <w:p w14:paraId="00769FE0" w14:textId="77777777" w:rsidR="008A3252" w:rsidRDefault="008A3252" w:rsidP="009B153D">
            <w:pPr>
              <w:pStyle w:val="Style"/>
              <w:ind w:left="302"/>
              <w:textAlignment w:val="baseline"/>
            </w:pPr>
            <w:r>
              <w:rPr>
                <w:sz w:val="20"/>
                <w:szCs w:val="20"/>
              </w:rPr>
              <w:t xml:space="preserve">Min, max </w:t>
            </w:r>
          </w:p>
        </w:tc>
        <w:tc>
          <w:tcPr>
            <w:tcW w:w="1074" w:type="pct"/>
            <w:gridSpan w:val="2"/>
            <w:tcBorders>
              <w:top w:val="single" w:sz="6" w:space="0" w:color="auto"/>
              <w:left w:val="single" w:sz="6" w:space="0" w:color="auto"/>
              <w:bottom w:val="single" w:sz="6" w:space="0" w:color="auto"/>
              <w:right w:val="single" w:sz="6" w:space="0" w:color="auto"/>
            </w:tcBorders>
            <w:vAlign w:val="center"/>
          </w:tcPr>
          <w:p w14:paraId="61E0048D" w14:textId="77777777" w:rsidR="008A3252" w:rsidRDefault="008A3252" w:rsidP="009B153D">
            <w:pPr>
              <w:pStyle w:val="Style"/>
              <w:ind w:left="14"/>
              <w:jc w:val="center"/>
              <w:textAlignment w:val="baseline"/>
            </w:pPr>
            <w:r>
              <w:rPr>
                <w:sz w:val="20"/>
                <w:szCs w:val="20"/>
              </w:rPr>
              <w:t xml:space="preserve">1, 102 </w:t>
            </w:r>
          </w:p>
        </w:tc>
        <w:tc>
          <w:tcPr>
            <w:tcW w:w="1039" w:type="pct"/>
            <w:tcBorders>
              <w:top w:val="single" w:sz="6" w:space="0" w:color="auto"/>
              <w:left w:val="single" w:sz="6" w:space="0" w:color="auto"/>
              <w:bottom w:val="single" w:sz="6" w:space="0" w:color="auto"/>
              <w:right w:val="single" w:sz="6" w:space="0" w:color="auto"/>
            </w:tcBorders>
            <w:vAlign w:val="center"/>
          </w:tcPr>
          <w:p w14:paraId="6A1B8D8E" w14:textId="77777777" w:rsidR="008A3252" w:rsidRDefault="008A3252" w:rsidP="009B153D">
            <w:pPr>
              <w:pStyle w:val="Style"/>
              <w:ind w:left="24"/>
              <w:jc w:val="center"/>
              <w:textAlignment w:val="baseline"/>
            </w:pPr>
            <w:r>
              <w:rPr>
                <w:sz w:val="20"/>
                <w:szCs w:val="20"/>
              </w:rPr>
              <w:t xml:space="preserve">1, 110 </w:t>
            </w:r>
          </w:p>
        </w:tc>
        <w:tc>
          <w:tcPr>
            <w:tcW w:w="988" w:type="pct"/>
            <w:tcBorders>
              <w:top w:val="single" w:sz="6" w:space="0" w:color="auto"/>
              <w:left w:val="single" w:sz="6" w:space="0" w:color="auto"/>
              <w:bottom w:val="single" w:sz="6" w:space="0" w:color="auto"/>
              <w:right w:val="single" w:sz="6" w:space="0" w:color="auto"/>
            </w:tcBorders>
            <w:vAlign w:val="center"/>
          </w:tcPr>
          <w:p w14:paraId="3E128150" w14:textId="77777777" w:rsidR="008A3252" w:rsidRDefault="008A3252" w:rsidP="009B153D">
            <w:pPr>
              <w:pStyle w:val="Style"/>
              <w:ind w:left="29"/>
              <w:jc w:val="center"/>
              <w:textAlignment w:val="baseline"/>
            </w:pPr>
            <w:r>
              <w:rPr>
                <w:sz w:val="20"/>
                <w:szCs w:val="20"/>
              </w:rPr>
              <w:t xml:space="preserve">1, 103 </w:t>
            </w:r>
          </w:p>
        </w:tc>
        <w:tc>
          <w:tcPr>
            <w:tcW w:w="896" w:type="pct"/>
            <w:tcBorders>
              <w:top w:val="single" w:sz="6" w:space="0" w:color="auto"/>
              <w:left w:val="single" w:sz="6" w:space="0" w:color="auto"/>
              <w:bottom w:val="single" w:sz="6" w:space="0" w:color="auto"/>
              <w:right w:val="single" w:sz="6" w:space="0" w:color="auto"/>
            </w:tcBorders>
            <w:vAlign w:val="center"/>
          </w:tcPr>
          <w:p w14:paraId="66F7B626" w14:textId="77777777" w:rsidR="008A3252" w:rsidRDefault="008A3252" w:rsidP="009B153D">
            <w:pPr>
              <w:pStyle w:val="Style"/>
              <w:ind w:left="43"/>
              <w:jc w:val="center"/>
              <w:textAlignment w:val="baseline"/>
            </w:pPr>
            <w:r>
              <w:rPr>
                <w:sz w:val="20"/>
                <w:szCs w:val="20"/>
              </w:rPr>
              <w:t xml:space="preserve">1, 110 </w:t>
            </w:r>
          </w:p>
        </w:tc>
      </w:tr>
      <w:tr w:rsidR="008A3252" w14:paraId="0ECFD5B8" w14:textId="77777777" w:rsidTr="008A3252">
        <w:trPr>
          <w:trHeight w:hRule="exact" w:val="398"/>
          <w:jc w:val="center"/>
        </w:trPr>
        <w:tc>
          <w:tcPr>
            <w:tcW w:w="5000" w:type="pct"/>
            <w:gridSpan w:val="6"/>
            <w:tcBorders>
              <w:top w:val="single" w:sz="6" w:space="0" w:color="auto"/>
              <w:left w:val="single" w:sz="6" w:space="0" w:color="auto"/>
              <w:bottom w:val="single" w:sz="6" w:space="0" w:color="auto"/>
              <w:right w:val="single" w:sz="6" w:space="0" w:color="auto"/>
            </w:tcBorders>
            <w:vAlign w:val="center"/>
          </w:tcPr>
          <w:p w14:paraId="7B1C7C0C" w14:textId="4B812982" w:rsidR="008A3252" w:rsidRDefault="008A3252" w:rsidP="008A3252">
            <w:pPr>
              <w:pStyle w:val="Style"/>
              <w:ind w:left="115"/>
              <w:textAlignment w:val="baseline"/>
            </w:pPr>
            <w:r>
              <w:rPr>
                <w:sz w:val="20"/>
                <w:szCs w:val="20"/>
              </w:rPr>
              <w:t xml:space="preserve">PGADA score </w:t>
            </w:r>
            <w:r>
              <w:rPr>
                <w:rFonts w:ascii="Arial" w:eastAsia="Arial" w:hAnsi="Arial" w:cs="Arial"/>
                <w:sz w:val="12"/>
                <w:szCs w:val="12"/>
              </w:rPr>
              <w:t>b</w:t>
            </w:r>
          </w:p>
        </w:tc>
      </w:tr>
      <w:tr w:rsidR="008A3252" w14:paraId="327C553D" w14:textId="77777777" w:rsidTr="008A3252">
        <w:trPr>
          <w:trHeight w:hRule="exact" w:val="384"/>
          <w:jc w:val="center"/>
        </w:trPr>
        <w:tc>
          <w:tcPr>
            <w:tcW w:w="1003" w:type="pct"/>
            <w:tcBorders>
              <w:top w:val="single" w:sz="6" w:space="0" w:color="auto"/>
              <w:left w:val="single" w:sz="6" w:space="0" w:color="auto"/>
              <w:bottom w:val="single" w:sz="6" w:space="0" w:color="auto"/>
              <w:right w:val="single" w:sz="6" w:space="0" w:color="auto"/>
            </w:tcBorders>
            <w:vAlign w:val="center"/>
          </w:tcPr>
          <w:p w14:paraId="5646A2F9" w14:textId="77777777" w:rsidR="008A3252" w:rsidRDefault="008A3252" w:rsidP="009B153D">
            <w:pPr>
              <w:pStyle w:val="Style"/>
              <w:ind w:left="302"/>
              <w:textAlignment w:val="baseline"/>
            </w:pPr>
            <w:r>
              <w:rPr>
                <w:sz w:val="20"/>
                <w:szCs w:val="20"/>
              </w:rPr>
              <w:t xml:space="preserve">Mean (SD) </w:t>
            </w:r>
          </w:p>
        </w:tc>
        <w:tc>
          <w:tcPr>
            <w:tcW w:w="1074" w:type="pct"/>
            <w:gridSpan w:val="2"/>
            <w:tcBorders>
              <w:top w:val="single" w:sz="6" w:space="0" w:color="auto"/>
              <w:left w:val="single" w:sz="6" w:space="0" w:color="auto"/>
              <w:bottom w:val="single" w:sz="6" w:space="0" w:color="auto"/>
              <w:right w:val="single" w:sz="6" w:space="0" w:color="auto"/>
            </w:tcBorders>
            <w:vAlign w:val="center"/>
          </w:tcPr>
          <w:p w14:paraId="6EE70DF6" w14:textId="77777777" w:rsidR="008A3252" w:rsidRDefault="008A3252" w:rsidP="009B153D">
            <w:pPr>
              <w:pStyle w:val="Style"/>
              <w:ind w:left="14"/>
              <w:jc w:val="center"/>
              <w:textAlignment w:val="baseline"/>
            </w:pPr>
            <w:r>
              <w:rPr>
                <w:sz w:val="20"/>
                <w:szCs w:val="20"/>
              </w:rPr>
              <w:t xml:space="preserve">18.4 (23.9) </w:t>
            </w:r>
          </w:p>
        </w:tc>
        <w:tc>
          <w:tcPr>
            <w:tcW w:w="1039" w:type="pct"/>
            <w:tcBorders>
              <w:top w:val="single" w:sz="6" w:space="0" w:color="auto"/>
              <w:left w:val="single" w:sz="6" w:space="0" w:color="auto"/>
              <w:bottom w:val="single" w:sz="6" w:space="0" w:color="auto"/>
              <w:right w:val="single" w:sz="6" w:space="0" w:color="auto"/>
            </w:tcBorders>
            <w:vAlign w:val="center"/>
          </w:tcPr>
          <w:p w14:paraId="310F7899" w14:textId="77777777" w:rsidR="008A3252" w:rsidRDefault="008A3252" w:rsidP="009B153D">
            <w:pPr>
              <w:pStyle w:val="Style"/>
              <w:ind w:left="24"/>
              <w:jc w:val="center"/>
              <w:textAlignment w:val="baseline"/>
            </w:pPr>
            <w:r>
              <w:rPr>
                <w:sz w:val="20"/>
                <w:szCs w:val="20"/>
              </w:rPr>
              <w:t xml:space="preserve">20.2 (28.0) </w:t>
            </w:r>
          </w:p>
        </w:tc>
        <w:tc>
          <w:tcPr>
            <w:tcW w:w="988" w:type="pct"/>
            <w:tcBorders>
              <w:top w:val="single" w:sz="6" w:space="0" w:color="auto"/>
              <w:left w:val="single" w:sz="6" w:space="0" w:color="auto"/>
              <w:bottom w:val="single" w:sz="6" w:space="0" w:color="auto"/>
              <w:right w:val="single" w:sz="6" w:space="0" w:color="auto"/>
            </w:tcBorders>
            <w:vAlign w:val="center"/>
          </w:tcPr>
          <w:p w14:paraId="39926484" w14:textId="77777777" w:rsidR="008A3252" w:rsidRDefault="008A3252" w:rsidP="009B153D">
            <w:pPr>
              <w:pStyle w:val="Style"/>
              <w:ind w:left="29"/>
              <w:jc w:val="center"/>
              <w:textAlignment w:val="baseline"/>
            </w:pPr>
            <w:r>
              <w:rPr>
                <w:sz w:val="20"/>
                <w:szCs w:val="20"/>
              </w:rPr>
              <w:t xml:space="preserve">20.6 (28.2) </w:t>
            </w:r>
          </w:p>
        </w:tc>
        <w:tc>
          <w:tcPr>
            <w:tcW w:w="896" w:type="pct"/>
            <w:tcBorders>
              <w:top w:val="single" w:sz="6" w:space="0" w:color="auto"/>
              <w:left w:val="single" w:sz="6" w:space="0" w:color="auto"/>
              <w:bottom w:val="single" w:sz="6" w:space="0" w:color="auto"/>
              <w:right w:val="single" w:sz="6" w:space="0" w:color="auto"/>
            </w:tcBorders>
            <w:vAlign w:val="center"/>
          </w:tcPr>
          <w:p w14:paraId="4026FB1D" w14:textId="77777777" w:rsidR="008A3252" w:rsidRDefault="008A3252" w:rsidP="009B153D">
            <w:pPr>
              <w:pStyle w:val="Style"/>
              <w:ind w:left="43"/>
              <w:jc w:val="center"/>
              <w:textAlignment w:val="baseline"/>
            </w:pPr>
            <w:r>
              <w:rPr>
                <w:sz w:val="20"/>
                <w:szCs w:val="20"/>
              </w:rPr>
              <w:t xml:space="preserve">20.1 (27.5) </w:t>
            </w:r>
          </w:p>
        </w:tc>
      </w:tr>
      <w:tr w:rsidR="008A3252" w14:paraId="5CD4F199" w14:textId="77777777" w:rsidTr="008A3252">
        <w:trPr>
          <w:trHeight w:hRule="exact" w:val="394"/>
          <w:jc w:val="center"/>
        </w:trPr>
        <w:tc>
          <w:tcPr>
            <w:tcW w:w="1003" w:type="pct"/>
            <w:tcBorders>
              <w:top w:val="single" w:sz="6" w:space="0" w:color="auto"/>
              <w:left w:val="single" w:sz="6" w:space="0" w:color="auto"/>
              <w:bottom w:val="single" w:sz="6" w:space="0" w:color="auto"/>
              <w:right w:val="single" w:sz="6" w:space="0" w:color="auto"/>
            </w:tcBorders>
            <w:vAlign w:val="center"/>
          </w:tcPr>
          <w:p w14:paraId="66DEC67F" w14:textId="77777777" w:rsidR="008A3252" w:rsidRDefault="008A3252" w:rsidP="009B153D">
            <w:pPr>
              <w:pStyle w:val="Style"/>
              <w:ind w:left="302"/>
              <w:textAlignment w:val="baseline"/>
            </w:pPr>
            <w:r>
              <w:rPr>
                <w:sz w:val="20"/>
                <w:szCs w:val="20"/>
              </w:rPr>
              <w:t xml:space="preserve">Median </w:t>
            </w:r>
          </w:p>
        </w:tc>
        <w:tc>
          <w:tcPr>
            <w:tcW w:w="1074" w:type="pct"/>
            <w:gridSpan w:val="2"/>
            <w:tcBorders>
              <w:top w:val="single" w:sz="6" w:space="0" w:color="auto"/>
              <w:left w:val="single" w:sz="6" w:space="0" w:color="auto"/>
              <w:bottom w:val="single" w:sz="6" w:space="0" w:color="auto"/>
              <w:right w:val="single" w:sz="6" w:space="0" w:color="auto"/>
            </w:tcBorders>
            <w:vAlign w:val="center"/>
          </w:tcPr>
          <w:p w14:paraId="0B71DEF7" w14:textId="77777777" w:rsidR="008A3252" w:rsidRDefault="008A3252" w:rsidP="009B153D">
            <w:pPr>
              <w:pStyle w:val="Style"/>
              <w:ind w:left="14"/>
              <w:jc w:val="center"/>
              <w:textAlignment w:val="baseline"/>
            </w:pPr>
            <w:r>
              <w:rPr>
                <w:sz w:val="20"/>
                <w:szCs w:val="20"/>
              </w:rPr>
              <w:t xml:space="preserve">7.0 </w:t>
            </w:r>
          </w:p>
        </w:tc>
        <w:tc>
          <w:tcPr>
            <w:tcW w:w="1039" w:type="pct"/>
            <w:tcBorders>
              <w:top w:val="single" w:sz="6" w:space="0" w:color="auto"/>
              <w:left w:val="single" w:sz="6" w:space="0" w:color="auto"/>
              <w:bottom w:val="single" w:sz="6" w:space="0" w:color="auto"/>
              <w:right w:val="single" w:sz="6" w:space="0" w:color="auto"/>
            </w:tcBorders>
            <w:vAlign w:val="center"/>
          </w:tcPr>
          <w:p w14:paraId="2A8361A1" w14:textId="77777777" w:rsidR="008A3252" w:rsidRDefault="008A3252" w:rsidP="009B153D">
            <w:pPr>
              <w:pStyle w:val="Style"/>
              <w:ind w:left="24"/>
              <w:jc w:val="center"/>
              <w:textAlignment w:val="baseline"/>
            </w:pPr>
            <w:r>
              <w:rPr>
                <w:sz w:val="20"/>
                <w:szCs w:val="20"/>
              </w:rPr>
              <w:t xml:space="preserve">4.0 </w:t>
            </w:r>
          </w:p>
        </w:tc>
        <w:tc>
          <w:tcPr>
            <w:tcW w:w="988" w:type="pct"/>
            <w:tcBorders>
              <w:top w:val="single" w:sz="6" w:space="0" w:color="auto"/>
              <w:left w:val="single" w:sz="6" w:space="0" w:color="auto"/>
              <w:bottom w:val="single" w:sz="6" w:space="0" w:color="auto"/>
              <w:right w:val="single" w:sz="6" w:space="0" w:color="auto"/>
            </w:tcBorders>
            <w:vAlign w:val="center"/>
          </w:tcPr>
          <w:p w14:paraId="0D45244D" w14:textId="77777777" w:rsidR="008A3252" w:rsidRDefault="008A3252" w:rsidP="009B153D">
            <w:pPr>
              <w:pStyle w:val="Style"/>
              <w:ind w:left="29"/>
              <w:jc w:val="center"/>
              <w:textAlignment w:val="baseline"/>
            </w:pPr>
            <w:r>
              <w:rPr>
                <w:sz w:val="20"/>
                <w:szCs w:val="20"/>
              </w:rPr>
              <w:t xml:space="preserve">4.0 </w:t>
            </w:r>
          </w:p>
        </w:tc>
        <w:tc>
          <w:tcPr>
            <w:tcW w:w="896" w:type="pct"/>
            <w:tcBorders>
              <w:top w:val="single" w:sz="6" w:space="0" w:color="auto"/>
              <w:left w:val="single" w:sz="6" w:space="0" w:color="auto"/>
              <w:bottom w:val="single" w:sz="6" w:space="0" w:color="auto"/>
              <w:right w:val="single" w:sz="6" w:space="0" w:color="auto"/>
            </w:tcBorders>
            <w:vAlign w:val="center"/>
          </w:tcPr>
          <w:p w14:paraId="308E440A" w14:textId="77777777" w:rsidR="008A3252" w:rsidRDefault="008A3252" w:rsidP="009B153D">
            <w:pPr>
              <w:pStyle w:val="Style"/>
              <w:ind w:left="43"/>
              <w:jc w:val="center"/>
              <w:textAlignment w:val="baseline"/>
            </w:pPr>
            <w:r>
              <w:rPr>
                <w:sz w:val="20"/>
                <w:szCs w:val="20"/>
              </w:rPr>
              <w:t xml:space="preserve">5.0 </w:t>
            </w:r>
          </w:p>
        </w:tc>
      </w:tr>
      <w:tr w:rsidR="008A3252" w14:paraId="6C95BFCE" w14:textId="77777777" w:rsidTr="008A3252">
        <w:trPr>
          <w:trHeight w:hRule="exact" w:val="379"/>
          <w:jc w:val="center"/>
        </w:trPr>
        <w:tc>
          <w:tcPr>
            <w:tcW w:w="1003" w:type="pct"/>
            <w:tcBorders>
              <w:top w:val="single" w:sz="6" w:space="0" w:color="auto"/>
              <w:left w:val="single" w:sz="6" w:space="0" w:color="auto"/>
              <w:bottom w:val="single" w:sz="6" w:space="0" w:color="auto"/>
              <w:right w:val="single" w:sz="6" w:space="0" w:color="auto"/>
            </w:tcBorders>
            <w:vAlign w:val="center"/>
          </w:tcPr>
          <w:p w14:paraId="70455CBC" w14:textId="77777777" w:rsidR="008A3252" w:rsidRDefault="008A3252" w:rsidP="009B153D">
            <w:pPr>
              <w:pStyle w:val="Style"/>
              <w:ind w:left="302"/>
              <w:textAlignment w:val="baseline"/>
            </w:pPr>
            <w:r>
              <w:rPr>
                <w:sz w:val="20"/>
                <w:szCs w:val="20"/>
              </w:rPr>
              <w:t xml:space="preserve">Min, max </w:t>
            </w:r>
          </w:p>
        </w:tc>
        <w:tc>
          <w:tcPr>
            <w:tcW w:w="1074" w:type="pct"/>
            <w:gridSpan w:val="2"/>
            <w:tcBorders>
              <w:top w:val="single" w:sz="6" w:space="0" w:color="auto"/>
              <w:left w:val="single" w:sz="6" w:space="0" w:color="auto"/>
              <w:bottom w:val="single" w:sz="6" w:space="0" w:color="auto"/>
              <w:right w:val="single" w:sz="6" w:space="0" w:color="auto"/>
            </w:tcBorders>
            <w:vAlign w:val="center"/>
          </w:tcPr>
          <w:p w14:paraId="3003968D" w14:textId="77777777" w:rsidR="008A3252" w:rsidRDefault="008A3252" w:rsidP="009B153D">
            <w:pPr>
              <w:pStyle w:val="Style"/>
              <w:ind w:left="14"/>
              <w:jc w:val="center"/>
              <w:textAlignment w:val="baseline"/>
            </w:pPr>
            <w:r>
              <w:rPr>
                <w:sz w:val="20"/>
                <w:szCs w:val="20"/>
              </w:rPr>
              <w:t xml:space="preserve">0, 88 </w:t>
            </w:r>
          </w:p>
        </w:tc>
        <w:tc>
          <w:tcPr>
            <w:tcW w:w="1039" w:type="pct"/>
            <w:tcBorders>
              <w:top w:val="single" w:sz="6" w:space="0" w:color="auto"/>
              <w:left w:val="single" w:sz="6" w:space="0" w:color="auto"/>
              <w:bottom w:val="single" w:sz="6" w:space="0" w:color="auto"/>
              <w:right w:val="single" w:sz="6" w:space="0" w:color="auto"/>
            </w:tcBorders>
            <w:vAlign w:val="center"/>
          </w:tcPr>
          <w:p w14:paraId="14B37B9D" w14:textId="77777777" w:rsidR="008A3252" w:rsidRDefault="008A3252" w:rsidP="009B153D">
            <w:pPr>
              <w:pStyle w:val="Style"/>
              <w:ind w:left="24"/>
              <w:jc w:val="center"/>
              <w:textAlignment w:val="baseline"/>
            </w:pPr>
            <w:r>
              <w:rPr>
                <w:sz w:val="20"/>
                <w:szCs w:val="20"/>
              </w:rPr>
              <w:t xml:space="preserve">0, 100 </w:t>
            </w:r>
          </w:p>
        </w:tc>
        <w:tc>
          <w:tcPr>
            <w:tcW w:w="988" w:type="pct"/>
            <w:tcBorders>
              <w:top w:val="single" w:sz="6" w:space="0" w:color="auto"/>
              <w:left w:val="single" w:sz="6" w:space="0" w:color="auto"/>
              <w:bottom w:val="single" w:sz="6" w:space="0" w:color="auto"/>
              <w:right w:val="single" w:sz="6" w:space="0" w:color="auto"/>
            </w:tcBorders>
            <w:vAlign w:val="center"/>
          </w:tcPr>
          <w:p w14:paraId="4499E816" w14:textId="77777777" w:rsidR="008A3252" w:rsidRDefault="008A3252" w:rsidP="009B153D">
            <w:pPr>
              <w:pStyle w:val="Style"/>
              <w:ind w:left="29"/>
              <w:jc w:val="center"/>
              <w:textAlignment w:val="baseline"/>
            </w:pPr>
            <w:r>
              <w:rPr>
                <w:sz w:val="20"/>
                <w:szCs w:val="20"/>
              </w:rPr>
              <w:t xml:space="preserve">0,95 </w:t>
            </w:r>
          </w:p>
        </w:tc>
        <w:tc>
          <w:tcPr>
            <w:tcW w:w="896" w:type="pct"/>
            <w:tcBorders>
              <w:top w:val="single" w:sz="6" w:space="0" w:color="auto"/>
              <w:left w:val="single" w:sz="6" w:space="0" w:color="auto"/>
              <w:bottom w:val="single" w:sz="6" w:space="0" w:color="auto"/>
              <w:right w:val="single" w:sz="6" w:space="0" w:color="auto"/>
            </w:tcBorders>
            <w:vAlign w:val="center"/>
          </w:tcPr>
          <w:p w14:paraId="5F697AB8" w14:textId="77777777" w:rsidR="008A3252" w:rsidRDefault="008A3252" w:rsidP="009B153D">
            <w:pPr>
              <w:pStyle w:val="Style"/>
              <w:ind w:left="43"/>
              <w:jc w:val="center"/>
              <w:textAlignment w:val="baseline"/>
            </w:pPr>
            <w:r>
              <w:rPr>
                <w:sz w:val="20"/>
                <w:szCs w:val="20"/>
              </w:rPr>
              <w:t xml:space="preserve">0, 100 </w:t>
            </w:r>
          </w:p>
        </w:tc>
      </w:tr>
      <w:tr w:rsidR="008A3252" w14:paraId="3324081A" w14:textId="77777777" w:rsidTr="008A3252">
        <w:trPr>
          <w:trHeight w:hRule="exact" w:val="398"/>
          <w:jc w:val="center"/>
        </w:trPr>
        <w:tc>
          <w:tcPr>
            <w:tcW w:w="5000" w:type="pct"/>
            <w:gridSpan w:val="6"/>
            <w:tcBorders>
              <w:top w:val="single" w:sz="6" w:space="0" w:color="auto"/>
              <w:left w:val="single" w:sz="6" w:space="0" w:color="auto"/>
              <w:bottom w:val="single" w:sz="6" w:space="0" w:color="auto"/>
              <w:right w:val="single" w:sz="6" w:space="0" w:color="auto"/>
            </w:tcBorders>
            <w:vAlign w:val="center"/>
          </w:tcPr>
          <w:p w14:paraId="27423CD2" w14:textId="4C0470A9" w:rsidR="008A3252" w:rsidRDefault="008A3252" w:rsidP="008A3252">
            <w:pPr>
              <w:pStyle w:val="Style"/>
              <w:ind w:left="120"/>
              <w:textAlignment w:val="baseline"/>
            </w:pPr>
            <w:r>
              <w:rPr>
                <w:sz w:val="20"/>
                <w:szCs w:val="20"/>
              </w:rPr>
              <w:t xml:space="preserve">PGADA score category </w:t>
            </w:r>
            <w:r>
              <w:rPr>
                <w:rFonts w:ascii="Arial" w:eastAsia="Arial" w:hAnsi="Arial" w:cs="Arial"/>
                <w:sz w:val="12"/>
                <w:szCs w:val="12"/>
              </w:rPr>
              <w:t>b</w:t>
            </w:r>
          </w:p>
        </w:tc>
      </w:tr>
      <w:tr w:rsidR="008A3252" w14:paraId="1C251C0F" w14:textId="77777777" w:rsidTr="008A3252">
        <w:trPr>
          <w:trHeight w:hRule="exact" w:val="384"/>
          <w:jc w:val="center"/>
        </w:trPr>
        <w:tc>
          <w:tcPr>
            <w:tcW w:w="1003" w:type="pct"/>
            <w:tcBorders>
              <w:top w:val="single" w:sz="6" w:space="0" w:color="auto"/>
              <w:left w:val="single" w:sz="6" w:space="0" w:color="auto"/>
              <w:bottom w:val="single" w:sz="6" w:space="0" w:color="auto"/>
              <w:right w:val="single" w:sz="6" w:space="0" w:color="auto"/>
            </w:tcBorders>
            <w:vAlign w:val="center"/>
          </w:tcPr>
          <w:p w14:paraId="08578FB0" w14:textId="77777777" w:rsidR="008A3252" w:rsidRDefault="008A3252" w:rsidP="009B153D">
            <w:pPr>
              <w:pStyle w:val="Style"/>
              <w:ind w:left="302"/>
              <w:textAlignment w:val="baseline"/>
            </w:pPr>
            <w:r>
              <w:rPr>
                <w:sz w:val="20"/>
                <w:szCs w:val="20"/>
              </w:rPr>
              <w:t xml:space="preserve">0 </w:t>
            </w:r>
          </w:p>
        </w:tc>
        <w:tc>
          <w:tcPr>
            <w:tcW w:w="1074" w:type="pct"/>
            <w:gridSpan w:val="2"/>
            <w:tcBorders>
              <w:top w:val="single" w:sz="6" w:space="0" w:color="auto"/>
              <w:left w:val="single" w:sz="6" w:space="0" w:color="auto"/>
              <w:bottom w:val="single" w:sz="6" w:space="0" w:color="auto"/>
              <w:right w:val="single" w:sz="6" w:space="0" w:color="auto"/>
            </w:tcBorders>
            <w:vAlign w:val="center"/>
          </w:tcPr>
          <w:p w14:paraId="222FF5EE" w14:textId="77777777" w:rsidR="008A3252" w:rsidRDefault="008A3252" w:rsidP="009B153D">
            <w:pPr>
              <w:pStyle w:val="Style"/>
              <w:ind w:left="14"/>
              <w:jc w:val="center"/>
              <w:textAlignment w:val="baseline"/>
            </w:pPr>
            <w:r>
              <w:rPr>
                <w:sz w:val="20"/>
                <w:szCs w:val="20"/>
              </w:rPr>
              <w:t xml:space="preserve">22 (26.5) </w:t>
            </w:r>
          </w:p>
        </w:tc>
        <w:tc>
          <w:tcPr>
            <w:tcW w:w="1039" w:type="pct"/>
            <w:tcBorders>
              <w:top w:val="single" w:sz="6" w:space="0" w:color="auto"/>
              <w:left w:val="single" w:sz="6" w:space="0" w:color="auto"/>
              <w:bottom w:val="single" w:sz="6" w:space="0" w:color="auto"/>
              <w:right w:val="single" w:sz="6" w:space="0" w:color="auto"/>
            </w:tcBorders>
            <w:vAlign w:val="center"/>
          </w:tcPr>
          <w:p w14:paraId="24FA7EA2" w14:textId="77777777" w:rsidR="008A3252" w:rsidRDefault="008A3252" w:rsidP="009B153D">
            <w:pPr>
              <w:pStyle w:val="Style"/>
              <w:ind w:left="24"/>
              <w:jc w:val="center"/>
              <w:textAlignment w:val="baseline"/>
            </w:pPr>
            <w:r>
              <w:rPr>
                <w:sz w:val="20"/>
                <w:szCs w:val="20"/>
              </w:rPr>
              <w:t xml:space="preserve">111 (34.6) </w:t>
            </w:r>
          </w:p>
        </w:tc>
        <w:tc>
          <w:tcPr>
            <w:tcW w:w="988" w:type="pct"/>
            <w:tcBorders>
              <w:top w:val="single" w:sz="6" w:space="0" w:color="auto"/>
              <w:left w:val="single" w:sz="6" w:space="0" w:color="auto"/>
              <w:bottom w:val="single" w:sz="6" w:space="0" w:color="auto"/>
              <w:right w:val="single" w:sz="6" w:space="0" w:color="auto"/>
            </w:tcBorders>
            <w:vAlign w:val="center"/>
          </w:tcPr>
          <w:p w14:paraId="38D8D828" w14:textId="77777777" w:rsidR="008A3252" w:rsidRDefault="008A3252" w:rsidP="009B153D">
            <w:pPr>
              <w:pStyle w:val="Style"/>
              <w:ind w:left="29"/>
              <w:jc w:val="center"/>
              <w:textAlignment w:val="baseline"/>
            </w:pPr>
            <w:r>
              <w:rPr>
                <w:sz w:val="20"/>
                <w:szCs w:val="20"/>
              </w:rPr>
              <w:t xml:space="preserve">47 (28.8) </w:t>
            </w:r>
          </w:p>
        </w:tc>
        <w:tc>
          <w:tcPr>
            <w:tcW w:w="896" w:type="pct"/>
            <w:tcBorders>
              <w:top w:val="single" w:sz="6" w:space="0" w:color="auto"/>
              <w:left w:val="single" w:sz="6" w:space="0" w:color="auto"/>
              <w:bottom w:val="single" w:sz="6" w:space="0" w:color="auto"/>
              <w:right w:val="single" w:sz="6" w:space="0" w:color="auto"/>
            </w:tcBorders>
            <w:vAlign w:val="center"/>
          </w:tcPr>
          <w:p w14:paraId="71E93F0F" w14:textId="77777777" w:rsidR="008A3252" w:rsidRDefault="008A3252" w:rsidP="009B153D">
            <w:pPr>
              <w:pStyle w:val="Style"/>
              <w:ind w:left="43"/>
              <w:jc w:val="center"/>
              <w:textAlignment w:val="baseline"/>
            </w:pPr>
            <w:r>
              <w:rPr>
                <w:sz w:val="20"/>
                <w:szCs w:val="20"/>
              </w:rPr>
              <w:t xml:space="preserve">180 (31.7) </w:t>
            </w:r>
          </w:p>
        </w:tc>
      </w:tr>
      <w:tr w:rsidR="008A3252" w14:paraId="25A24FDF" w14:textId="77777777" w:rsidTr="008A3252">
        <w:trPr>
          <w:trHeight w:hRule="exact" w:val="384"/>
          <w:jc w:val="center"/>
        </w:trPr>
        <w:tc>
          <w:tcPr>
            <w:tcW w:w="1003" w:type="pct"/>
            <w:tcBorders>
              <w:top w:val="single" w:sz="6" w:space="0" w:color="auto"/>
              <w:left w:val="single" w:sz="6" w:space="0" w:color="auto"/>
              <w:bottom w:val="single" w:sz="6" w:space="0" w:color="auto"/>
              <w:right w:val="single" w:sz="6" w:space="0" w:color="auto"/>
            </w:tcBorders>
            <w:vAlign w:val="center"/>
          </w:tcPr>
          <w:p w14:paraId="56B23DCB" w14:textId="77777777" w:rsidR="008A3252" w:rsidRDefault="008A3252" w:rsidP="009B153D">
            <w:pPr>
              <w:pStyle w:val="Style"/>
              <w:ind w:left="302"/>
              <w:textAlignment w:val="baseline"/>
            </w:pPr>
            <w:r>
              <w:rPr>
                <w:rFonts w:ascii="Courier New" w:eastAsia="Courier New" w:hAnsi="Courier New" w:cs="Courier New"/>
                <w:w w:val="76"/>
                <w:sz w:val="25"/>
                <w:szCs w:val="25"/>
              </w:rPr>
              <w:t xml:space="preserve">&gt;O </w:t>
            </w:r>
          </w:p>
        </w:tc>
        <w:tc>
          <w:tcPr>
            <w:tcW w:w="1074" w:type="pct"/>
            <w:gridSpan w:val="2"/>
            <w:tcBorders>
              <w:top w:val="single" w:sz="6" w:space="0" w:color="auto"/>
              <w:left w:val="single" w:sz="6" w:space="0" w:color="auto"/>
              <w:bottom w:val="single" w:sz="6" w:space="0" w:color="auto"/>
              <w:right w:val="single" w:sz="6" w:space="0" w:color="auto"/>
            </w:tcBorders>
            <w:vAlign w:val="center"/>
          </w:tcPr>
          <w:p w14:paraId="0EF9867E" w14:textId="77777777" w:rsidR="008A3252" w:rsidRDefault="008A3252" w:rsidP="009B153D">
            <w:pPr>
              <w:pStyle w:val="Style"/>
              <w:ind w:left="14"/>
              <w:jc w:val="center"/>
              <w:textAlignment w:val="baseline"/>
            </w:pPr>
            <w:r>
              <w:rPr>
                <w:sz w:val="20"/>
                <w:szCs w:val="20"/>
              </w:rPr>
              <w:t xml:space="preserve">61 (73.5) </w:t>
            </w:r>
          </w:p>
        </w:tc>
        <w:tc>
          <w:tcPr>
            <w:tcW w:w="1039" w:type="pct"/>
            <w:tcBorders>
              <w:top w:val="single" w:sz="6" w:space="0" w:color="auto"/>
              <w:left w:val="single" w:sz="6" w:space="0" w:color="auto"/>
              <w:bottom w:val="single" w:sz="6" w:space="0" w:color="auto"/>
              <w:right w:val="single" w:sz="6" w:space="0" w:color="auto"/>
            </w:tcBorders>
            <w:vAlign w:val="center"/>
          </w:tcPr>
          <w:p w14:paraId="15A938E9" w14:textId="77777777" w:rsidR="008A3252" w:rsidRDefault="008A3252" w:rsidP="009B153D">
            <w:pPr>
              <w:pStyle w:val="Style"/>
              <w:ind w:left="24"/>
              <w:jc w:val="center"/>
              <w:textAlignment w:val="baseline"/>
            </w:pPr>
            <w:r>
              <w:rPr>
                <w:sz w:val="20"/>
                <w:szCs w:val="20"/>
              </w:rPr>
              <w:t xml:space="preserve">209 (65.1) </w:t>
            </w:r>
          </w:p>
        </w:tc>
        <w:tc>
          <w:tcPr>
            <w:tcW w:w="988" w:type="pct"/>
            <w:tcBorders>
              <w:top w:val="single" w:sz="6" w:space="0" w:color="auto"/>
              <w:left w:val="single" w:sz="6" w:space="0" w:color="auto"/>
              <w:bottom w:val="single" w:sz="6" w:space="0" w:color="auto"/>
              <w:right w:val="single" w:sz="6" w:space="0" w:color="auto"/>
            </w:tcBorders>
            <w:vAlign w:val="center"/>
          </w:tcPr>
          <w:p w14:paraId="17F911C6" w14:textId="77777777" w:rsidR="008A3252" w:rsidRDefault="008A3252" w:rsidP="009B153D">
            <w:pPr>
              <w:pStyle w:val="Style"/>
              <w:ind w:left="29"/>
              <w:jc w:val="center"/>
              <w:textAlignment w:val="baseline"/>
            </w:pPr>
            <w:r>
              <w:rPr>
                <w:sz w:val="20"/>
                <w:szCs w:val="20"/>
              </w:rPr>
              <w:t xml:space="preserve">115 (70.6) </w:t>
            </w:r>
          </w:p>
        </w:tc>
        <w:tc>
          <w:tcPr>
            <w:tcW w:w="896" w:type="pct"/>
            <w:tcBorders>
              <w:top w:val="single" w:sz="6" w:space="0" w:color="auto"/>
              <w:left w:val="single" w:sz="6" w:space="0" w:color="auto"/>
              <w:bottom w:val="single" w:sz="6" w:space="0" w:color="auto"/>
              <w:right w:val="single" w:sz="6" w:space="0" w:color="auto"/>
            </w:tcBorders>
            <w:vAlign w:val="center"/>
          </w:tcPr>
          <w:p w14:paraId="492B8536" w14:textId="77777777" w:rsidR="008A3252" w:rsidRDefault="008A3252" w:rsidP="009B153D">
            <w:pPr>
              <w:pStyle w:val="Style"/>
              <w:ind w:left="43"/>
              <w:jc w:val="center"/>
              <w:textAlignment w:val="baseline"/>
            </w:pPr>
            <w:r>
              <w:rPr>
                <w:sz w:val="20"/>
                <w:szCs w:val="20"/>
              </w:rPr>
              <w:t xml:space="preserve">385 (67.9) </w:t>
            </w:r>
          </w:p>
        </w:tc>
      </w:tr>
      <w:tr w:rsidR="008A3252" w14:paraId="00F5F153" w14:textId="77777777" w:rsidTr="008A3252">
        <w:trPr>
          <w:trHeight w:hRule="exact" w:val="389"/>
          <w:jc w:val="center"/>
        </w:trPr>
        <w:tc>
          <w:tcPr>
            <w:tcW w:w="1003" w:type="pct"/>
            <w:tcBorders>
              <w:top w:val="single" w:sz="6" w:space="0" w:color="auto"/>
              <w:left w:val="single" w:sz="6" w:space="0" w:color="auto"/>
              <w:bottom w:val="single" w:sz="6" w:space="0" w:color="auto"/>
              <w:right w:val="single" w:sz="6" w:space="0" w:color="auto"/>
            </w:tcBorders>
            <w:vAlign w:val="center"/>
          </w:tcPr>
          <w:p w14:paraId="5EDEDD06" w14:textId="77777777" w:rsidR="008A3252" w:rsidRDefault="008A3252" w:rsidP="009B153D">
            <w:pPr>
              <w:pStyle w:val="Style"/>
              <w:ind w:left="302"/>
              <w:textAlignment w:val="baseline"/>
            </w:pPr>
            <w:r>
              <w:rPr>
                <w:sz w:val="20"/>
                <w:szCs w:val="20"/>
              </w:rPr>
              <w:t xml:space="preserve">Missing </w:t>
            </w:r>
          </w:p>
        </w:tc>
        <w:tc>
          <w:tcPr>
            <w:tcW w:w="1074" w:type="pct"/>
            <w:gridSpan w:val="2"/>
            <w:tcBorders>
              <w:top w:val="single" w:sz="6" w:space="0" w:color="auto"/>
              <w:left w:val="single" w:sz="6" w:space="0" w:color="auto"/>
              <w:bottom w:val="single" w:sz="6" w:space="0" w:color="auto"/>
              <w:right w:val="single" w:sz="6" w:space="0" w:color="auto"/>
            </w:tcBorders>
            <w:vAlign w:val="center"/>
          </w:tcPr>
          <w:p w14:paraId="26D2262B" w14:textId="77777777" w:rsidR="008A3252" w:rsidRDefault="008A3252" w:rsidP="009B153D">
            <w:pPr>
              <w:pStyle w:val="Style"/>
              <w:ind w:left="14"/>
              <w:jc w:val="center"/>
              <w:textAlignment w:val="baseline"/>
            </w:pPr>
            <w:r>
              <w:rPr>
                <w:sz w:val="20"/>
                <w:szCs w:val="20"/>
              </w:rPr>
              <w:t xml:space="preserve">0 </w:t>
            </w:r>
          </w:p>
        </w:tc>
        <w:tc>
          <w:tcPr>
            <w:tcW w:w="1039" w:type="pct"/>
            <w:tcBorders>
              <w:top w:val="single" w:sz="6" w:space="0" w:color="auto"/>
              <w:left w:val="single" w:sz="6" w:space="0" w:color="auto"/>
              <w:bottom w:val="single" w:sz="6" w:space="0" w:color="auto"/>
              <w:right w:val="single" w:sz="6" w:space="0" w:color="auto"/>
            </w:tcBorders>
            <w:vAlign w:val="center"/>
          </w:tcPr>
          <w:p w14:paraId="670F042E" w14:textId="77777777" w:rsidR="008A3252" w:rsidRDefault="008A3252" w:rsidP="009B153D">
            <w:pPr>
              <w:pStyle w:val="Style"/>
              <w:ind w:left="24"/>
              <w:jc w:val="center"/>
              <w:textAlignment w:val="baseline"/>
            </w:pPr>
            <w:r>
              <w:rPr>
                <w:sz w:val="20"/>
                <w:szCs w:val="20"/>
              </w:rPr>
              <w:t xml:space="preserve">1 (0.3) </w:t>
            </w:r>
          </w:p>
        </w:tc>
        <w:tc>
          <w:tcPr>
            <w:tcW w:w="988" w:type="pct"/>
            <w:tcBorders>
              <w:top w:val="single" w:sz="6" w:space="0" w:color="auto"/>
              <w:left w:val="single" w:sz="6" w:space="0" w:color="auto"/>
              <w:bottom w:val="single" w:sz="6" w:space="0" w:color="auto"/>
              <w:right w:val="single" w:sz="6" w:space="0" w:color="auto"/>
            </w:tcBorders>
            <w:vAlign w:val="center"/>
          </w:tcPr>
          <w:p w14:paraId="46203A44" w14:textId="77777777" w:rsidR="008A3252" w:rsidRDefault="008A3252" w:rsidP="009B153D">
            <w:pPr>
              <w:pStyle w:val="Style"/>
              <w:ind w:left="29"/>
              <w:jc w:val="center"/>
              <w:textAlignment w:val="baseline"/>
            </w:pPr>
            <w:r>
              <w:rPr>
                <w:sz w:val="20"/>
                <w:szCs w:val="20"/>
              </w:rPr>
              <w:t xml:space="preserve">1 (0.6) </w:t>
            </w:r>
          </w:p>
        </w:tc>
        <w:tc>
          <w:tcPr>
            <w:tcW w:w="896" w:type="pct"/>
            <w:tcBorders>
              <w:top w:val="single" w:sz="6" w:space="0" w:color="auto"/>
              <w:left w:val="single" w:sz="6" w:space="0" w:color="auto"/>
              <w:bottom w:val="single" w:sz="6" w:space="0" w:color="auto"/>
              <w:right w:val="single" w:sz="6" w:space="0" w:color="auto"/>
            </w:tcBorders>
            <w:vAlign w:val="center"/>
          </w:tcPr>
          <w:p w14:paraId="5D682F93" w14:textId="77777777" w:rsidR="008A3252" w:rsidRDefault="008A3252" w:rsidP="009B153D">
            <w:pPr>
              <w:pStyle w:val="Style"/>
              <w:ind w:left="43"/>
              <w:jc w:val="center"/>
              <w:textAlignment w:val="baseline"/>
            </w:pPr>
            <w:r>
              <w:rPr>
                <w:sz w:val="20"/>
                <w:szCs w:val="20"/>
              </w:rPr>
              <w:t xml:space="preserve">2 (0.4) </w:t>
            </w:r>
          </w:p>
        </w:tc>
      </w:tr>
      <w:tr w:rsidR="008A3252" w14:paraId="6EDA8F50" w14:textId="77777777" w:rsidTr="008A3252">
        <w:trPr>
          <w:trHeight w:hRule="exact" w:val="389"/>
          <w:jc w:val="center"/>
        </w:trPr>
        <w:tc>
          <w:tcPr>
            <w:tcW w:w="5000" w:type="pct"/>
            <w:gridSpan w:val="6"/>
            <w:tcBorders>
              <w:top w:val="single" w:sz="6" w:space="0" w:color="auto"/>
              <w:left w:val="single" w:sz="6" w:space="0" w:color="auto"/>
              <w:bottom w:val="single" w:sz="6" w:space="0" w:color="auto"/>
              <w:right w:val="single" w:sz="6" w:space="0" w:color="auto"/>
            </w:tcBorders>
            <w:vAlign w:val="center"/>
          </w:tcPr>
          <w:p w14:paraId="223F3B81" w14:textId="2BF26F96" w:rsidR="008A3252" w:rsidRDefault="008A3252" w:rsidP="008A3252">
            <w:pPr>
              <w:pStyle w:val="Style"/>
              <w:ind w:left="115"/>
              <w:textAlignment w:val="baseline"/>
            </w:pPr>
            <w:r>
              <w:rPr>
                <w:sz w:val="20"/>
                <w:szCs w:val="20"/>
              </w:rPr>
              <w:t>DLQI total score</w:t>
            </w:r>
          </w:p>
        </w:tc>
      </w:tr>
      <w:tr w:rsidR="008A3252" w14:paraId="3B843FE8" w14:textId="77777777" w:rsidTr="008A3252">
        <w:trPr>
          <w:trHeight w:hRule="exact" w:val="394"/>
          <w:jc w:val="center"/>
        </w:trPr>
        <w:tc>
          <w:tcPr>
            <w:tcW w:w="1003" w:type="pct"/>
            <w:tcBorders>
              <w:top w:val="single" w:sz="6" w:space="0" w:color="auto"/>
              <w:left w:val="single" w:sz="6" w:space="0" w:color="auto"/>
              <w:bottom w:val="single" w:sz="6" w:space="0" w:color="auto"/>
              <w:right w:val="single" w:sz="6" w:space="0" w:color="auto"/>
            </w:tcBorders>
            <w:vAlign w:val="center"/>
          </w:tcPr>
          <w:p w14:paraId="51B8ECE4" w14:textId="77777777" w:rsidR="008A3252" w:rsidRDefault="008A3252" w:rsidP="009B153D">
            <w:pPr>
              <w:pStyle w:val="Style"/>
              <w:ind w:left="302"/>
              <w:textAlignment w:val="baseline"/>
            </w:pPr>
            <w:r>
              <w:rPr>
                <w:sz w:val="20"/>
                <w:szCs w:val="20"/>
              </w:rPr>
              <w:t xml:space="preserve">Mean (SD) </w:t>
            </w:r>
          </w:p>
        </w:tc>
        <w:tc>
          <w:tcPr>
            <w:tcW w:w="1074" w:type="pct"/>
            <w:gridSpan w:val="2"/>
            <w:tcBorders>
              <w:top w:val="single" w:sz="6" w:space="0" w:color="auto"/>
              <w:left w:val="single" w:sz="6" w:space="0" w:color="auto"/>
              <w:bottom w:val="single" w:sz="6" w:space="0" w:color="auto"/>
              <w:right w:val="single" w:sz="6" w:space="0" w:color="auto"/>
            </w:tcBorders>
            <w:vAlign w:val="center"/>
          </w:tcPr>
          <w:p w14:paraId="3E64D858" w14:textId="77777777" w:rsidR="008A3252" w:rsidRDefault="008A3252" w:rsidP="009B153D">
            <w:pPr>
              <w:pStyle w:val="Style"/>
              <w:ind w:left="14"/>
              <w:jc w:val="center"/>
              <w:textAlignment w:val="baseline"/>
            </w:pPr>
            <w:r>
              <w:rPr>
                <w:sz w:val="20"/>
                <w:szCs w:val="20"/>
              </w:rPr>
              <w:t xml:space="preserve">10.0 (6.8) </w:t>
            </w:r>
          </w:p>
        </w:tc>
        <w:tc>
          <w:tcPr>
            <w:tcW w:w="1039" w:type="pct"/>
            <w:tcBorders>
              <w:top w:val="single" w:sz="6" w:space="0" w:color="auto"/>
              <w:left w:val="single" w:sz="6" w:space="0" w:color="auto"/>
              <w:bottom w:val="single" w:sz="6" w:space="0" w:color="auto"/>
              <w:right w:val="single" w:sz="6" w:space="0" w:color="auto"/>
            </w:tcBorders>
            <w:vAlign w:val="center"/>
          </w:tcPr>
          <w:p w14:paraId="3DCC88ED" w14:textId="77777777" w:rsidR="008A3252" w:rsidRDefault="008A3252" w:rsidP="009B153D">
            <w:pPr>
              <w:pStyle w:val="Style"/>
              <w:ind w:left="24"/>
              <w:jc w:val="center"/>
              <w:textAlignment w:val="baseline"/>
            </w:pPr>
            <w:r>
              <w:rPr>
                <w:sz w:val="20"/>
                <w:szCs w:val="20"/>
              </w:rPr>
              <w:t xml:space="preserve">9.9 (6.3) </w:t>
            </w:r>
          </w:p>
        </w:tc>
        <w:tc>
          <w:tcPr>
            <w:tcW w:w="988" w:type="pct"/>
            <w:tcBorders>
              <w:top w:val="single" w:sz="6" w:space="0" w:color="auto"/>
              <w:left w:val="single" w:sz="6" w:space="0" w:color="auto"/>
              <w:bottom w:val="single" w:sz="6" w:space="0" w:color="auto"/>
              <w:right w:val="single" w:sz="6" w:space="0" w:color="auto"/>
            </w:tcBorders>
            <w:vAlign w:val="center"/>
          </w:tcPr>
          <w:p w14:paraId="6AADC795" w14:textId="77777777" w:rsidR="008A3252" w:rsidRDefault="008A3252" w:rsidP="009B153D">
            <w:pPr>
              <w:pStyle w:val="Style"/>
              <w:ind w:left="29"/>
              <w:jc w:val="center"/>
              <w:textAlignment w:val="baseline"/>
            </w:pPr>
            <w:r>
              <w:rPr>
                <w:sz w:val="20"/>
                <w:szCs w:val="20"/>
              </w:rPr>
              <w:t xml:space="preserve">11.0 (6.9) </w:t>
            </w:r>
          </w:p>
        </w:tc>
        <w:tc>
          <w:tcPr>
            <w:tcW w:w="896" w:type="pct"/>
            <w:tcBorders>
              <w:top w:val="single" w:sz="6" w:space="0" w:color="auto"/>
              <w:left w:val="single" w:sz="6" w:space="0" w:color="auto"/>
              <w:bottom w:val="single" w:sz="6" w:space="0" w:color="auto"/>
              <w:right w:val="single" w:sz="6" w:space="0" w:color="auto"/>
            </w:tcBorders>
            <w:vAlign w:val="center"/>
          </w:tcPr>
          <w:p w14:paraId="27CE9704" w14:textId="77777777" w:rsidR="008A3252" w:rsidRDefault="008A3252" w:rsidP="009B153D">
            <w:pPr>
              <w:pStyle w:val="Style"/>
              <w:ind w:left="43"/>
              <w:jc w:val="center"/>
              <w:textAlignment w:val="baseline"/>
            </w:pPr>
            <w:r>
              <w:rPr>
                <w:sz w:val="20"/>
                <w:szCs w:val="20"/>
              </w:rPr>
              <w:t xml:space="preserve">10.2 (6.6) </w:t>
            </w:r>
          </w:p>
        </w:tc>
      </w:tr>
      <w:tr w:rsidR="008A3252" w14:paraId="1CC55FDD" w14:textId="77777777" w:rsidTr="008A3252">
        <w:trPr>
          <w:trHeight w:hRule="exact" w:val="384"/>
          <w:jc w:val="center"/>
        </w:trPr>
        <w:tc>
          <w:tcPr>
            <w:tcW w:w="1003" w:type="pct"/>
            <w:tcBorders>
              <w:top w:val="single" w:sz="6" w:space="0" w:color="auto"/>
              <w:left w:val="single" w:sz="6" w:space="0" w:color="auto"/>
              <w:bottom w:val="single" w:sz="6" w:space="0" w:color="auto"/>
              <w:right w:val="single" w:sz="6" w:space="0" w:color="auto"/>
            </w:tcBorders>
            <w:vAlign w:val="center"/>
          </w:tcPr>
          <w:p w14:paraId="5B947DBF" w14:textId="77777777" w:rsidR="008A3252" w:rsidRDefault="008A3252" w:rsidP="009B153D">
            <w:pPr>
              <w:pStyle w:val="Style"/>
              <w:ind w:left="302"/>
              <w:textAlignment w:val="baseline"/>
            </w:pPr>
            <w:r>
              <w:rPr>
                <w:sz w:val="20"/>
                <w:szCs w:val="20"/>
              </w:rPr>
              <w:t xml:space="preserve">Median </w:t>
            </w:r>
          </w:p>
        </w:tc>
        <w:tc>
          <w:tcPr>
            <w:tcW w:w="1074" w:type="pct"/>
            <w:gridSpan w:val="2"/>
            <w:tcBorders>
              <w:top w:val="single" w:sz="6" w:space="0" w:color="auto"/>
              <w:left w:val="single" w:sz="6" w:space="0" w:color="auto"/>
              <w:bottom w:val="single" w:sz="6" w:space="0" w:color="auto"/>
              <w:right w:val="single" w:sz="6" w:space="0" w:color="auto"/>
            </w:tcBorders>
            <w:vAlign w:val="center"/>
          </w:tcPr>
          <w:p w14:paraId="6AA8F9C0" w14:textId="77777777" w:rsidR="008A3252" w:rsidRDefault="008A3252" w:rsidP="009B153D">
            <w:pPr>
              <w:pStyle w:val="Style"/>
              <w:ind w:left="14"/>
              <w:jc w:val="center"/>
              <w:textAlignment w:val="baseline"/>
            </w:pPr>
            <w:r>
              <w:rPr>
                <w:sz w:val="20"/>
                <w:szCs w:val="20"/>
              </w:rPr>
              <w:t xml:space="preserve">8.0 </w:t>
            </w:r>
          </w:p>
        </w:tc>
        <w:tc>
          <w:tcPr>
            <w:tcW w:w="1039" w:type="pct"/>
            <w:tcBorders>
              <w:top w:val="single" w:sz="6" w:space="0" w:color="auto"/>
              <w:left w:val="single" w:sz="6" w:space="0" w:color="auto"/>
              <w:bottom w:val="single" w:sz="6" w:space="0" w:color="auto"/>
              <w:right w:val="single" w:sz="6" w:space="0" w:color="auto"/>
            </w:tcBorders>
            <w:vAlign w:val="center"/>
          </w:tcPr>
          <w:p w14:paraId="6F823422" w14:textId="77777777" w:rsidR="008A3252" w:rsidRDefault="008A3252" w:rsidP="009B153D">
            <w:pPr>
              <w:pStyle w:val="Style"/>
              <w:ind w:left="24"/>
              <w:jc w:val="center"/>
              <w:textAlignment w:val="baseline"/>
            </w:pPr>
            <w:r>
              <w:rPr>
                <w:sz w:val="20"/>
                <w:szCs w:val="20"/>
              </w:rPr>
              <w:t xml:space="preserve">9.0 </w:t>
            </w:r>
          </w:p>
        </w:tc>
        <w:tc>
          <w:tcPr>
            <w:tcW w:w="988" w:type="pct"/>
            <w:tcBorders>
              <w:top w:val="single" w:sz="6" w:space="0" w:color="auto"/>
              <w:left w:val="single" w:sz="6" w:space="0" w:color="auto"/>
              <w:bottom w:val="single" w:sz="6" w:space="0" w:color="auto"/>
              <w:right w:val="single" w:sz="6" w:space="0" w:color="auto"/>
            </w:tcBorders>
            <w:vAlign w:val="center"/>
          </w:tcPr>
          <w:p w14:paraId="7116E014" w14:textId="77777777" w:rsidR="008A3252" w:rsidRDefault="008A3252" w:rsidP="009B153D">
            <w:pPr>
              <w:pStyle w:val="Style"/>
              <w:ind w:left="29"/>
              <w:jc w:val="center"/>
              <w:textAlignment w:val="baseline"/>
            </w:pPr>
            <w:r>
              <w:rPr>
                <w:sz w:val="20"/>
                <w:szCs w:val="20"/>
              </w:rPr>
              <w:t xml:space="preserve">10.0 </w:t>
            </w:r>
          </w:p>
        </w:tc>
        <w:tc>
          <w:tcPr>
            <w:tcW w:w="896" w:type="pct"/>
            <w:tcBorders>
              <w:top w:val="single" w:sz="6" w:space="0" w:color="auto"/>
              <w:left w:val="single" w:sz="6" w:space="0" w:color="auto"/>
              <w:bottom w:val="single" w:sz="6" w:space="0" w:color="auto"/>
              <w:right w:val="single" w:sz="6" w:space="0" w:color="auto"/>
            </w:tcBorders>
            <w:vAlign w:val="center"/>
          </w:tcPr>
          <w:p w14:paraId="159F567B" w14:textId="77777777" w:rsidR="008A3252" w:rsidRDefault="008A3252" w:rsidP="009B153D">
            <w:pPr>
              <w:pStyle w:val="Style"/>
              <w:ind w:left="43"/>
              <w:jc w:val="center"/>
              <w:textAlignment w:val="baseline"/>
            </w:pPr>
            <w:r>
              <w:rPr>
                <w:sz w:val="20"/>
                <w:szCs w:val="20"/>
              </w:rPr>
              <w:t xml:space="preserve">9.0 </w:t>
            </w:r>
          </w:p>
        </w:tc>
      </w:tr>
      <w:tr w:rsidR="008A3252" w14:paraId="0E34BBA3" w14:textId="77777777" w:rsidTr="008A3252">
        <w:trPr>
          <w:trHeight w:hRule="exact" w:val="379"/>
          <w:jc w:val="center"/>
        </w:trPr>
        <w:tc>
          <w:tcPr>
            <w:tcW w:w="1003" w:type="pct"/>
            <w:tcBorders>
              <w:top w:val="single" w:sz="6" w:space="0" w:color="auto"/>
              <w:left w:val="single" w:sz="6" w:space="0" w:color="auto"/>
              <w:bottom w:val="single" w:sz="6" w:space="0" w:color="auto"/>
              <w:right w:val="single" w:sz="6" w:space="0" w:color="auto"/>
            </w:tcBorders>
            <w:vAlign w:val="center"/>
          </w:tcPr>
          <w:p w14:paraId="5AFB5715" w14:textId="77777777" w:rsidR="008A3252" w:rsidRDefault="008A3252" w:rsidP="009B153D">
            <w:pPr>
              <w:pStyle w:val="Style"/>
              <w:ind w:left="302"/>
              <w:textAlignment w:val="baseline"/>
            </w:pPr>
            <w:r>
              <w:rPr>
                <w:sz w:val="20"/>
                <w:szCs w:val="20"/>
              </w:rPr>
              <w:t xml:space="preserve">Min, max </w:t>
            </w:r>
          </w:p>
        </w:tc>
        <w:tc>
          <w:tcPr>
            <w:tcW w:w="1074" w:type="pct"/>
            <w:gridSpan w:val="2"/>
            <w:tcBorders>
              <w:top w:val="single" w:sz="6" w:space="0" w:color="auto"/>
              <w:left w:val="single" w:sz="6" w:space="0" w:color="auto"/>
              <w:bottom w:val="single" w:sz="6" w:space="0" w:color="auto"/>
              <w:right w:val="single" w:sz="6" w:space="0" w:color="auto"/>
            </w:tcBorders>
            <w:vAlign w:val="center"/>
          </w:tcPr>
          <w:p w14:paraId="7748AA80" w14:textId="77777777" w:rsidR="008A3252" w:rsidRDefault="008A3252" w:rsidP="009B153D">
            <w:pPr>
              <w:pStyle w:val="Style"/>
              <w:ind w:left="14"/>
              <w:jc w:val="center"/>
              <w:textAlignment w:val="baseline"/>
            </w:pPr>
            <w:r>
              <w:rPr>
                <w:sz w:val="20"/>
                <w:szCs w:val="20"/>
              </w:rPr>
              <w:t xml:space="preserve">1, 27 </w:t>
            </w:r>
          </w:p>
        </w:tc>
        <w:tc>
          <w:tcPr>
            <w:tcW w:w="1039" w:type="pct"/>
            <w:tcBorders>
              <w:top w:val="single" w:sz="6" w:space="0" w:color="auto"/>
              <w:left w:val="single" w:sz="6" w:space="0" w:color="auto"/>
              <w:bottom w:val="single" w:sz="6" w:space="0" w:color="auto"/>
              <w:right w:val="single" w:sz="6" w:space="0" w:color="auto"/>
            </w:tcBorders>
            <w:vAlign w:val="center"/>
          </w:tcPr>
          <w:p w14:paraId="39C1E397" w14:textId="77777777" w:rsidR="008A3252" w:rsidRDefault="008A3252" w:rsidP="009B153D">
            <w:pPr>
              <w:pStyle w:val="Style"/>
              <w:ind w:left="24"/>
              <w:jc w:val="center"/>
              <w:textAlignment w:val="baseline"/>
            </w:pPr>
            <w:r>
              <w:rPr>
                <w:sz w:val="20"/>
                <w:szCs w:val="20"/>
              </w:rPr>
              <w:t xml:space="preserve">0,29 </w:t>
            </w:r>
          </w:p>
        </w:tc>
        <w:tc>
          <w:tcPr>
            <w:tcW w:w="988" w:type="pct"/>
            <w:tcBorders>
              <w:top w:val="single" w:sz="6" w:space="0" w:color="auto"/>
              <w:left w:val="single" w:sz="6" w:space="0" w:color="auto"/>
              <w:bottom w:val="single" w:sz="6" w:space="0" w:color="auto"/>
              <w:right w:val="single" w:sz="6" w:space="0" w:color="auto"/>
            </w:tcBorders>
            <w:vAlign w:val="center"/>
          </w:tcPr>
          <w:p w14:paraId="5E44F1B1" w14:textId="77777777" w:rsidR="008A3252" w:rsidRDefault="008A3252" w:rsidP="009B153D">
            <w:pPr>
              <w:pStyle w:val="Style"/>
              <w:ind w:left="29"/>
              <w:jc w:val="center"/>
              <w:textAlignment w:val="baseline"/>
            </w:pPr>
            <w:r>
              <w:rPr>
                <w:sz w:val="20"/>
                <w:szCs w:val="20"/>
              </w:rPr>
              <w:t xml:space="preserve">0,30 </w:t>
            </w:r>
          </w:p>
        </w:tc>
        <w:tc>
          <w:tcPr>
            <w:tcW w:w="896" w:type="pct"/>
            <w:tcBorders>
              <w:top w:val="single" w:sz="6" w:space="0" w:color="auto"/>
              <w:left w:val="single" w:sz="6" w:space="0" w:color="auto"/>
              <w:bottom w:val="single" w:sz="6" w:space="0" w:color="auto"/>
              <w:right w:val="single" w:sz="6" w:space="0" w:color="auto"/>
            </w:tcBorders>
            <w:vAlign w:val="center"/>
          </w:tcPr>
          <w:p w14:paraId="15F90B57" w14:textId="77777777" w:rsidR="008A3252" w:rsidRDefault="008A3252" w:rsidP="009B153D">
            <w:pPr>
              <w:pStyle w:val="Style"/>
              <w:ind w:left="43"/>
              <w:jc w:val="center"/>
              <w:textAlignment w:val="baseline"/>
            </w:pPr>
            <w:r>
              <w:rPr>
                <w:sz w:val="20"/>
                <w:szCs w:val="20"/>
              </w:rPr>
              <w:t xml:space="preserve">0,30 </w:t>
            </w:r>
          </w:p>
        </w:tc>
      </w:tr>
      <w:tr w:rsidR="008A3252" w14:paraId="7836F55E" w14:textId="77777777" w:rsidTr="008A3252">
        <w:trPr>
          <w:trHeight w:hRule="exact" w:val="398"/>
          <w:jc w:val="center"/>
        </w:trPr>
        <w:tc>
          <w:tcPr>
            <w:tcW w:w="5000" w:type="pct"/>
            <w:gridSpan w:val="6"/>
            <w:tcBorders>
              <w:top w:val="single" w:sz="6" w:space="0" w:color="auto"/>
              <w:left w:val="single" w:sz="6" w:space="0" w:color="auto"/>
              <w:bottom w:val="single" w:sz="6" w:space="0" w:color="auto"/>
              <w:right w:val="single" w:sz="6" w:space="0" w:color="auto"/>
            </w:tcBorders>
            <w:vAlign w:val="center"/>
          </w:tcPr>
          <w:p w14:paraId="372DEF02" w14:textId="0873644A" w:rsidR="008A3252" w:rsidRDefault="008A3252" w:rsidP="008A3252">
            <w:pPr>
              <w:pStyle w:val="Style"/>
              <w:ind w:left="120"/>
              <w:textAlignment w:val="baseline"/>
            </w:pPr>
            <w:r>
              <w:rPr>
                <w:sz w:val="20"/>
                <w:szCs w:val="20"/>
              </w:rPr>
              <w:t>DLQI score category</w:t>
            </w:r>
          </w:p>
        </w:tc>
      </w:tr>
      <w:tr w:rsidR="008A3252" w14:paraId="6C502DB2" w14:textId="77777777" w:rsidTr="008A3252">
        <w:trPr>
          <w:trHeight w:hRule="exact" w:val="384"/>
          <w:jc w:val="center"/>
        </w:trPr>
        <w:tc>
          <w:tcPr>
            <w:tcW w:w="1003" w:type="pct"/>
            <w:tcBorders>
              <w:top w:val="single" w:sz="6" w:space="0" w:color="auto"/>
              <w:left w:val="single" w:sz="6" w:space="0" w:color="auto"/>
              <w:bottom w:val="single" w:sz="6" w:space="0" w:color="auto"/>
              <w:right w:val="single" w:sz="6" w:space="0" w:color="auto"/>
            </w:tcBorders>
            <w:vAlign w:val="center"/>
          </w:tcPr>
          <w:p w14:paraId="6F700896" w14:textId="77777777" w:rsidR="008A3252" w:rsidRDefault="008A3252" w:rsidP="009B153D">
            <w:pPr>
              <w:pStyle w:val="Style"/>
              <w:ind w:left="302"/>
              <w:textAlignment w:val="baseline"/>
            </w:pPr>
            <w:r>
              <w:rPr>
                <w:sz w:val="20"/>
                <w:szCs w:val="20"/>
              </w:rPr>
              <w:t xml:space="preserve">0 </w:t>
            </w:r>
          </w:p>
        </w:tc>
        <w:tc>
          <w:tcPr>
            <w:tcW w:w="1074" w:type="pct"/>
            <w:gridSpan w:val="2"/>
            <w:tcBorders>
              <w:top w:val="single" w:sz="6" w:space="0" w:color="auto"/>
              <w:left w:val="single" w:sz="6" w:space="0" w:color="auto"/>
              <w:bottom w:val="single" w:sz="6" w:space="0" w:color="auto"/>
              <w:right w:val="single" w:sz="6" w:space="0" w:color="auto"/>
            </w:tcBorders>
            <w:vAlign w:val="center"/>
          </w:tcPr>
          <w:p w14:paraId="380662FF" w14:textId="77777777" w:rsidR="008A3252" w:rsidRDefault="008A3252" w:rsidP="009B153D">
            <w:pPr>
              <w:pStyle w:val="Style"/>
              <w:ind w:left="14"/>
              <w:jc w:val="center"/>
              <w:textAlignment w:val="baseline"/>
            </w:pPr>
            <w:r>
              <w:rPr>
                <w:sz w:val="20"/>
                <w:szCs w:val="20"/>
              </w:rPr>
              <w:t xml:space="preserve">0 </w:t>
            </w:r>
          </w:p>
        </w:tc>
        <w:tc>
          <w:tcPr>
            <w:tcW w:w="1039" w:type="pct"/>
            <w:tcBorders>
              <w:top w:val="single" w:sz="6" w:space="0" w:color="auto"/>
              <w:left w:val="single" w:sz="6" w:space="0" w:color="auto"/>
              <w:bottom w:val="single" w:sz="6" w:space="0" w:color="auto"/>
              <w:right w:val="single" w:sz="6" w:space="0" w:color="auto"/>
            </w:tcBorders>
            <w:vAlign w:val="center"/>
          </w:tcPr>
          <w:p w14:paraId="681097E4" w14:textId="77777777" w:rsidR="008A3252" w:rsidRDefault="008A3252" w:rsidP="009B153D">
            <w:pPr>
              <w:pStyle w:val="Style"/>
              <w:ind w:left="24"/>
              <w:jc w:val="center"/>
              <w:textAlignment w:val="baseline"/>
            </w:pPr>
            <w:r>
              <w:rPr>
                <w:sz w:val="20"/>
                <w:szCs w:val="20"/>
              </w:rPr>
              <w:t xml:space="preserve">2 (0.6) </w:t>
            </w:r>
          </w:p>
        </w:tc>
        <w:tc>
          <w:tcPr>
            <w:tcW w:w="988" w:type="pct"/>
            <w:tcBorders>
              <w:top w:val="single" w:sz="6" w:space="0" w:color="auto"/>
              <w:left w:val="single" w:sz="6" w:space="0" w:color="auto"/>
              <w:bottom w:val="single" w:sz="6" w:space="0" w:color="auto"/>
              <w:right w:val="single" w:sz="6" w:space="0" w:color="auto"/>
            </w:tcBorders>
            <w:vAlign w:val="center"/>
          </w:tcPr>
          <w:p w14:paraId="5F9FFC10" w14:textId="77777777" w:rsidR="008A3252" w:rsidRDefault="008A3252" w:rsidP="009B153D">
            <w:pPr>
              <w:pStyle w:val="Style"/>
              <w:ind w:left="29"/>
              <w:jc w:val="center"/>
              <w:textAlignment w:val="baseline"/>
            </w:pPr>
            <w:r>
              <w:rPr>
                <w:sz w:val="20"/>
                <w:szCs w:val="20"/>
              </w:rPr>
              <w:t xml:space="preserve">1 (0.6) </w:t>
            </w:r>
          </w:p>
        </w:tc>
        <w:tc>
          <w:tcPr>
            <w:tcW w:w="896" w:type="pct"/>
            <w:tcBorders>
              <w:top w:val="single" w:sz="6" w:space="0" w:color="auto"/>
              <w:left w:val="single" w:sz="6" w:space="0" w:color="auto"/>
              <w:bottom w:val="single" w:sz="6" w:space="0" w:color="auto"/>
              <w:right w:val="single" w:sz="6" w:space="0" w:color="auto"/>
            </w:tcBorders>
            <w:vAlign w:val="center"/>
          </w:tcPr>
          <w:p w14:paraId="1795E3C8" w14:textId="77777777" w:rsidR="008A3252" w:rsidRDefault="008A3252" w:rsidP="009B153D">
            <w:pPr>
              <w:pStyle w:val="Style"/>
              <w:ind w:left="43"/>
              <w:jc w:val="center"/>
              <w:textAlignment w:val="baseline"/>
            </w:pPr>
            <w:r>
              <w:rPr>
                <w:sz w:val="20"/>
                <w:szCs w:val="20"/>
              </w:rPr>
              <w:t xml:space="preserve">3 (0.5) </w:t>
            </w:r>
          </w:p>
        </w:tc>
      </w:tr>
      <w:tr w:rsidR="008A3252" w14:paraId="05EDA396" w14:textId="77777777" w:rsidTr="008A3252">
        <w:trPr>
          <w:trHeight w:hRule="exact" w:val="384"/>
          <w:jc w:val="center"/>
        </w:trPr>
        <w:tc>
          <w:tcPr>
            <w:tcW w:w="1003" w:type="pct"/>
            <w:tcBorders>
              <w:top w:val="single" w:sz="6" w:space="0" w:color="auto"/>
              <w:left w:val="single" w:sz="6" w:space="0" w:color="auto"/>
              <w:bottom w:val="single" w:sz="6" w:space="0" w:color="auto"/>
              <w:right w:val="single" w:sz="6" w:space="0" w:color="auto"/>
            </w:tcBorders>
            <w:vAlign w:val="center"/>
          </w:tcPr>
          <w:p w14:paraId="5AF5EECA" w14:textId="77777777" w:rsidR="008A3252" w:rsidRDefault="008A3252" w:rsidP="009B153D">
            <w:pPr>
              <w:pStyle w:val="Style"/>
              <w:ind w:left="302"/>
              <w:textAlignment w:val="baseline"/>
            </w:pPr>
            <w:r>
              <w:rPr>
                <w:rFonts w:ascii="Courier New" w:eastAsia="Courier New" w:hAnsi="Courier New" w:cs="Courier New"/>
                <w:w w:val="76"/>
                <w:sz w:val="25"/>
                <w:szCs w:val="25"/>
              </w:rPr>
              <w:t xml:space="preserve">&gt;O </w:t>
            </w:r>
          </w:p>
        </w:tc>
        <w:tc>
          <w:tcPr>
            <w:tcW w:w="1074" w:type="pct"/>
            <w:gridSpan w:val="2"/>
            <w:tcBorders>
              <w:top w:val="single" w:sz="6" w:space="0" w:color="auto"/>
              <w:left w:val="single" w:sz="6" w:space="0" w:color="auto"/>
              <w:bottom w:val="single" w:sz="6" w:space="0" w:color="auto"/>
              <w:right w:val="single" w:sz="6" w:space="0" w:color="auto"/>
            </w:tcBorders>
            <w:vAlign w:val="center"/>
          </w:tcPr>
          <w:p w14:paraId="27D68F3B" w14:textId="77777777" w:rsidR="008A3252" w:rsidRDefault="008A3252" w:rsidP="009B153D">
            <w:pPr>
              <w:pStyle w:val="Style"/>
              <w:ind w:left="14"/>
              <w:jc w:val="center"/>
              <w:textAlignment w:val="baseline"/>
            </w:pPr>
            <w:r>
              <w:rPr>
                <w:sz w:val="20"/>
                <w:szCs w:val="20"/>
              </w:rPr>
              <w:t xml:space="preserve">83 (100) </w:t>
            </w:r>
          </w:p>
        </w:tc>
        <w:tc>
          <w:tcPr>
            <w:tcW w:w="1039" w:type="pct"/>
            <w:tcBorders>
              <w:top w:val="single" w:sz="6" w:space="0" w:color="auto"/>
              <w:left w:val="single" w:sz="6" w:space="0" w:color="auto"/>
              <w:bottom w:val="single" w:sz="6" w:space="0" w:color="auto"/>
              <w:right w:val="single" w:sz="6" w:space="0" w:color="auto"/>
            </w:tcBorders>
            <w:vAlign w:val="center"/>
          </w:tcPr>
          <w:p w14:paraId="6D4187B9" w14:textId="77777777" w:rsidR="008A3252" w:rsidRDefault="008A3252" w:rsidP="009B153D">
            <w:pPr>
              <w:pStyle w:val="Style"/>
              <w:ind w:left="24"/>
              <w:jc w:val="center"/>
              <w:textAlignment w:val="baseline"/>
            </w:pPr>
            <w:r>
              <w:rPr>
                <w:sz w:val="20"/>
                <w:szCs w:val="20"/>
              </w:rPr>
              <w:t xml:space="preserve">319(99.4) </w:t>
            </w:r>
          </w:p>
        </w:tc>
        <w:tc>
          <w:tcPr>
            <w:tcW w:w="988" w:type="pct"/>
            <w:tcBorders>
              <w:top w:val="single" w:sz="6" w:space="0" w:color="auto"/>
              <w:left w:val="single" w:sz="6" w:space="0" w:color="auto"/>
              <w:bottom w:val="single" w:sz="6" w:space="0" w:color="auto"/>
              <w:right w:val="single" w:sz="6" w:space="0" w:color="auto"/>
            </w:tcBorders>
            <w:vAlign w:val="center"/>
          </w:tcPr>
          <w:p w14:paraId="0600B461" w14:textId="77777777" w:rsidR="008A3252" w:rsidRDefault="008A3252" w:rsidP="009B153D">
            <w:pPr>
              <w:pStyle w:val="Style"/>
              <w:ind w:left="29"/>
              <w:jc w:val="center"/>
              <w:textAlignment w:val="baseline"/>
            </w:pPr>
            <w:r>
              <w:rPr>
                <w:sz w:val="20"/>
                <w:szCs w:val="20"/>
              </w:rPr>
              <w:t xml:space="preserve">161 (98.8) </w:t>
            </w:r>
          </w:p>
        </w:tc>
        <w:tc>
          <w:tcPr>
            <w:tcW w:w="896" w:type="pct"/>
            <w:tcBorders>
              <w:top w:val="single" w:sz="6" w:space="0" w:color="auto"/>
              <w:left w:val="single" w:sz="6" w:space="0" w:color="auto"/>
              <w:bottom w:val="single" w:sz="6" w:space="0" w:color="auto"/>
              <w:right w:val="single" w:sz="6" w:space="0" w:color="auto"/>
            </w:tcBorders>
            <w:vAlign w:val="center"/>
          </w:tcPr>
          <w:p w14:paraId="64149D91" w14:textId="77777777" w:rsidR="008A3252" w:rsidRDefault="008A3252" w:rsidP="009B153D">
            <w:pPr>
              <w:pStyle w:val="Style"/>
              <w:ind w:left="43"/>
              <w:jc w:val="center"/>
              <w:textAlignment w:val="baseline"/>
            </w:pPr>
            <w:r>
              <w:rPr>
                <w:sz w:val="20"/>
                <w:szCs w:val="20"/>
              </w:rPr>
              <w:t xml:space="preserve">563 (99.3) </w:t>
            </w:r>
          </w:p>
        </w:tc>
      </w:tr>
      <w:tr w:rsidR="008A3252" w14:paraId="472776B9" w14:textId="77777777" w:rsidTr="008A3252">
        <w:trPr>
          <w:trHeight w:hRule="exact" w:val="389"/>
          <w:jc w:val="center"/>
        </w:trPr>
        <w:tc>
          <w:tcPr>
            <w:tcW w:w="1003" w:type="pct"/>
            <w:tcBorders>
              <w:top w:val="single" w:sz="6" w:space="0" w:color="auto"/>
              <w:left w:val="single" w:sz="6" w:space="0" w:color="auto"/>
              <w:bottom w:val="single" w:sz="6" w:space="0" w:color="auto"/>
              <w:right w:val="single" w:sz="6" w:space="0" w:color="auto"/>
            </w:tcBorders>
            <w:vAlign w:val="center"/>
          </w:tcPr>
          <w:p w14:paraId="08A97827" w14:textId="77777777" w:rsidR="008A3252" w:rsidRDefault="008A3252" w:rsidP="009B153D">
            <w:pPr>
              <w:pStyle w:val="Style"/>
              <w:ind w:left="302"/>
              <w:textAlignment w:val="baseline"/>
            </w:pPr>
            <w:r>
              <w:rPr>
                <w:sz w:val="20"/>
                <w:szCs w:val="20"/>
              </w:rPr>
              <w:lastRenderedPageBreak/>
              <w:t xml:space="preserve">Missing </w:t>
            </w:r>
          </w:p>
        </w:tc>
        <w:tc>
          <w:tcPr>
            <w:tcW w:w="1074" w:type="pct"/>
            <w:gridSpan w:val="2"/>
            <w:tcBorders>
              <w:top w:val="single" w:sz="6" w:space="0" w:color="auto"/>
              <w:left w:val="single" w:sz="6" w:space="0" w:color="auto"/>
              <w:bottom w:val="single" w:sz="6" w:space="0" w:color="auto"/>
              <w:right w:val="single" w:sz="6" w:space="0" w:color="auto"/>
            </w:tcBorders>
            <w:vAlign w:val="center"/>
          </w:tcPr>
          <w:p w14:paraId="68732EA8" w14:textId="77777777" w:rsidR="008A3252" w:rsidRDefault="008A3252" w:rsidP="009B153D">
            <w:pPr>
              <w:pStyle w:val="Style"/>
              <w:ind w:left="14"/>
              <w:jc w:val="center"/>
              <w:textAlignment w:val="baseline"/>
            </w:pPr>
            <w:r>
              <w:rPr>
                <w:sz w:val="20"/>
                <w:szCs w:val="20"/>
              </w:rPr>
              <w:t xml:space="preserve">0 </w:t>
            </w:r>
          </w:p>
        </w:tc>
        <w:tc>
          <w:tcPr>
            <w:tcW w:w="1039" w:type="pct"/>
            <w:tcBorders>
              <w:top w:val="single" w:sz="6" w:space="0" w:color="auto"/>
              <w:left w:val="single" w:sz="6" w:space="0" w:color="auto"/>
              <w:bottom w:val="single" w:sz="6" w:space="0" w:color="auto"/>
              <w:right w:val="single" w:sz="6" w:space="0" w:color="auto"/>
            </w:tcBorders>
            <w:vAlign w:val="center"/>
          </w:tcPr>
          <w:p w14:paraId="25D1CF9B" w14:textId="77777777" w:rsidR="008A3252" w:rsidRDefault="008A3252" w:rsidP="009B153D">
            <w:pPr>
              <w:pStyle w:val="Style"/>
              <w:ind w:left="24"/>
              <w:jc w:val="center"/>
              <w:textAlignment w:val="baseline"/>
            </w:pPr>
            <w:r>
              <w:rPr>
                <w:sz w:val="20"/>
                <w:szCs w:val="20"/>
              </w:rPr>
              <w:t xml:space="preserve">0 </w:t>
            </w:r>
          </w:p>
        </w:tc>
        <w:tc>
          <w:tcPr>
            <w:tcW w:w="988" w:type="pct"/>
            <w:tcBorders>
              <w:top w:val="single" w:sz="6" w:space="0" w:color="auto"/>
              <w:left w:val="single" w:sz="6" w:space="0" w:color="auto"/>
              <w:bottom w:val="single" w:sz="6" w:space="0" w:color="auto"/>
              <w:right w:val="single" w:sz="6" w:space="0" w:color="auto"/>
            </w:tcBorders>
            <w:vAlign w:val="center"/>
          </w:tcPr>
          <w:p w14:paraId="7D162859" w14:textId="77777777" w:rsidR="008A3252" w:rsidRDefault="008A3252" w:rsidP="009B153D">
            <w:pPr>
              <w:pStyle w:val="Style"/>
              <w:ind w:left="29"/>
              <w:jc w:val="center"/>
              <w:textAlignment w:val="baseline"/>
            </w:pPr>
            <w:r>
              <w:rPr>
                <w:sz w:val="20"/>
                <w:szCs w:val="20"/>
              </w:rPr>
              <w:t xml:space="preserve">1 (0.6) </w:t>
            </w:r>
          </w:p>
        </w:tc>
        <w:tc>
          <w:tcPr>
            <w:tcW w:w="896" w:type="pct"/>
            <w:tcBorders>
              <w:top w:val="single" w:sz="6" w:space="0" w:color="auto"/>
              <w:left w:val="single" w:sz="6" w:space="0" w:color="auto"/>
              <w:bottom w:val="single" w:sz="6" w:space="0" w:color="auto"/>
              <w:right w:val="single" w:sz="6" w:space="0" w:color="auto"/>
            </w:tcBorders>
            <w:vAlign w:val="center"/>
          </w:tcPr>
          <w:p w14:paraId="5616E3A1" w14:textId="77777777" w:rsidR="008A3252" w:rsidRDefault="008A3252" w:rsidP="009B153D">
            <w:pPr>
              <w:pStyle w:val="Style"/>
              <w:ind w:left="43"/>
              <w:jc w:val="center"/>
              <w:textAlignment w:val="baseline"/>
            </w:pPr>
            <w:r>
              <w:rPr>
                <w:sz w:val="20"/>
                <w:szCs w:val="20"/>
              </w:rPr>
              <w:t xml:space="preserve">1 (0.2) </w:t>
            </w:r>
          </w:p>
        </w:tc>
      </w:tr>
      <w:tr w:rsidR="008A3252" w14:paraId="193B6493" w14:textId="77777777" w:rsidTr="008A3252">
        <w:trPr>
          <w:trHeight w:hRule="exact" w:val="449"/>
          <w:jc w:val="center"/>
        </w:trPr>
        <w:tc>
          <w:tcPr>
            <w:tcW w:w="5000" w:type="pct"/>
            <w:gridSpan w:val="6"/>
            <w:tcBorders>
              <w:top w:val="single" w:sz="6" w:space="0" w:color="auto"/>
              <w:left w:val="single" w:sz="6" w:space="0" w:color="auto"/>
              <w:bottom w:val="single" w:sz="6" w:space="0" w:color="auto"/>
              <w:right w:val="single" w:sz="6" w:space="0" w:color="auto"/>
            </w:tcBorders>
            <w:vAlign w:val="center"/>
          </w:tcPr>
          <w:p w14:paraId="6BF46108" w14:textId="6254121F" w:rsidR="008A3252" w:rsidRDefault="008A3252" w:rsidP="008A3252">
            <w:pPr>
              <w:pStyle w:val="Style"/>
              <w:ind w:left="120"/>
              <w:textAlignment w:val="baseline"/>
            </w:pPr>
            <w:r>
              <w:rPr>
                <w:sz w:val="20"/>
                <w:szCs w:val="20"/>
              </w:rPr>
              <w:t>Duration of disease (years)</w:t>
            </w:r>
          </w:p>
        </w:tc>
      </w:tr>
      <w:tr w:rsidR="008A3252" w14:paraId="3A3425D8" w14:textId="77777777" w:rsidTr="008A3252">
        <w:trPr>
          <w:trHeight w:hRule="exact" w:val="384"/>
          <w:jc w:val="center"/>
        </w:trPr>
        <w:tc>
          <w:tcPr>
            <w:tcW w:w="1003" w:type="pct"/>
            <w:tcBorders>
              <w:top w:val="single" w:sz="6" w:space="0" w:color="auto"/>
              <w:left w:val="single" w:sz="6" w:space="0" w:color="auto"/>
              <w:bottom w:val="single" w:sz="6" w:space="0" w:color="auto"/>
              <w:right w:val="single" w:sz="6" w:space="0" w:color="auto"/>
            </w:tcBorders>
            <w:vAlign w:val="center"/>
          </w:tcPr>
          <w:p w14:paraId="168E07D6" w14:textId="77777777" w:rsidR="008A3252" w:rsidRDefault="008A3252" w:rsidP="009B153D">
            <w:pPr>
              <w:pStyle w:val="Style"/>
              <w:ind w:left="302"/>
              <w:textAlignment w:val="baseline"/>
            </w:pPr>
            <w:r>
              <w:rPr>
                <w:sz w:val="20"/>
                <w:szCs w:val="20"/>
              </w:rPr>
              <w:t xml:space="preserve">Mean (SD) </w:t>
            </w:r>
          </w:p>
        </w:tc>
        <w:tc>
          <w:tcPr>
            <w:tcW w:w="1074" w:type="pct"/>
            <w:gridSpan w:val="2"/>
            <w:tcBorders>
              <w:top w:val="single" w:sz="6" w:space="0" w:color="auto"/>
              <w:left w:val="single" w:sz="6" w:space="0" w:color="auto"/>
              <w:bottom w:val="single" w:sz="6" w:space="0" w:color="auto"/>
              <w:right w:val="single" w:sz="6" w:space="0" w:color="auto"/>
            </w:tcBorders>
            <w:vAlign w:val="center"/>
          </w:tcPr>
          <w:p w14:paraId="61CF6B91" w14:textId="77777777" w:rsidR="008A3252" w:rsidRDefault="008A3252" w:rsidP="009B153D">
            <w:pPr>
              <w:pStyle w:val="Style"/>
              <w:ind w:left="14"/>
              <w:jc w:val="center"/>
              <w:textAlignment w:val="baseline"/>
            </w:pPr>
            <w:r>
              <w:rPr>
                <w:sz w:val="20"/>
                <w:szCs w:val="20"/>
              </w:rPr>
              <w:t xml:space="preserve">19.690 (13.760) </w:t>
            </w:r>
          </w:p>
        </w:tc>
        <w:tc>
          <w:tcPr>
            <w:tcW w:w="1039" w:type="pct"/>
            <w:tcBorders>
              <w:top w:val="single" w:sz="6" w:space="0" w:color="auto"/>
              <w:left w:val="single" w:sz="6" w:space="0" w:color="auto"/>
              <w:bottom w:val="single" w:sz="6" w:space="0" w:color="auto"/>
              <w:right w:val="single" w:sz="6" w:space="0" w:color="auto"/>
            </w:tcBorders>
            <w:vAlign w:val="center"/>
          </w:tcPr>
          <w:p w14:paraId="6D5E76CF" w14:textId="77777777" w:rsidR="008A3252" w:rsidRDefault="008A3252" w:rsidP="009B153D">
            <w:pPr>
              <w:pStyle w:val="Style"/>
              <w:ind w:left="24"/>
              <w:jc w:val="center"/>
              <w:textAlignment w:val="baseline"/>
            </w:pPr>
            <w:r>
              <w:rPr>
                <w:sz w:val="20"/>
                <w:szCs w:val="20"/>
              </w:rPr>
              <w:t xml:space="preserve">16.015 (11.611) </w:t>
            </w:r>
          </w:p>
        </w:tc>
        <w:tc>
          <w:tcPr>
            <w:tcW w:w="988" w:type="pct"/>
            <w:tcBorders>
              <w:top w:val="single" w:sz="6" w:space="0" w:color="auto"/>
              <w:left w:val="single" w:sz="6" w:space="0" w:color="auto"/>
              <w:bottom w:val="single" w:sz="6" w:space="0" w:color="auto"/>
              <w:right w:val="single" w:sz="6" w:space="0" w:color="auto"/>
            </w:tcBorders>
            <w:vAlign w:val="center"/>
          </w:tcPr>
          <w:p w14:paraId="5C00DAEF" w14:textId="77777777" w:rsidR="008A3252" w:rsidRDefault="008A3252" w:rsidP="009B153D">
            <w:pPr>
              <w:pStyle w:val="Style"/>
              <w:ind w:left="29"/>
              <w:jc w:val="center"/>
              <w:textAlignment w:val="baseline"/>
            </w:pPr>
            <w:r>
              <w:rPr>
                <w:sz w:val="20"/>
                <w:szCs w:val="20"/>
              </w:rPr>
              <w:t xml:space="preserve">17.845 (11.597) </w:t>
            </w:r>
          </w:p>
        </w:tc>
        <w:tc>
          <w:tcPr>
            <w:tcW w:w="896" w:type="pct"/>
            <w:tcBorders>
              <w:top w:val="single" w:sz="6" w:space="0" w:color="auto"/>
              <w:left w:val="single" w:sz="6" w:space="0" w:color="auto"/>
              <w:bottom w:val="single" w:sz="6" w:space="0" w:color="auto"/>
              <w:right w:val="single" w:sz="6" w:space="0" w:color="auto"/>
            </w:tcBorders>
            <w:vAlign w:val="center"/>
          </w:tcPr>
          <w:p w14:paraId="27DBE6DB" w14:textId="77777777" w:rsidR="008A3252" w:rsidRDefault="008A3252" w:rsidP="009B153D">
            <w:pPr>
              <w:pStyle w:val="Style"/>
              <w:ind w:left="43"/>
              <w:jc w:val="center"/>
              <w:textAlignment w:val="baseline"/>
            </w:pPr>
            <w:r>
              <w:rPr>
                <w:sz w:val="20"/>
                <w:szCs w:val="20"/>
              </w:rPr>
              <w:t xml:space="preserve">17.079 (11.998) </w:t>
            </w:r>
          </w:p>
        </w:tc>
      </w:tr>
      <w:tr w:rsidR="008A3252" w14:paraId="55AC132B" w14:textId="77777777" w:rsidTr="008A3252">
        <w:trPr>
          <w:trHeight w:hRule="exact" w:val="384"/>
          <w:jc w:val="center"/>
        </w:trPr>
        <w:tc>
          <w:tcPr>
            <w:tcW w:w="1003" w:type="pct"/>
            <w:tcBorders>
              <w:top w:val="single" w:sz="6" w:space="0" w:color="auto"/>
              <w:left w:val="single" w:sz="6" w:space="0" w:color="auto"/>
              <w:bottom w:val="single" w:sz="6" w:space="0" w:color="auto"/>
              <w:right w:val="single" w:sz="6" w:space="0" w:color="auto"/>
            </w:tcBorders>
            <w:vAlign w:val="center"/>
          </w:tcPr>
          <w:p w14:paraId="7D9C917A" w14:textId="77777777" w:rsidR="008A3252" w:rsidRDefault="008A3252" w:rsidP="009B153D">
            <w:pPr>
              <w:pStyle w:val="Style"/>
              <w:ind w:left="302"/>
              <w:textAlignment w:val="baseline"/>
            </w:pPr>
            <w:r>
              <w:rPr>
                <w:sz w:val="20"/>
                <w:szCs w:val="20"/>
              </w:rPr>
              <w:t xml:space="preserve">Median </w:t>
            </w:r>
          </w:p>
        </w:tc>
        <w:tc>
          <w:tcPr>
            <w:tcW w:w="1074" w:type="pct"/>
            <w:gridSpan w:val="2"/>
            <w:tcBorders>
              <w:top w:val="single" w:sz="6" w:space="0" w:color="auto"/>
              <w:left w:val="single" w:sz="6" w:space="0" w:color="auto"/>
              <w:bottom w:val="single" w:sz="6" w:space="0" w:color="auto"/>
              <w:right w:val="single" w:sz="6" w:space="0" w:color="auto"/>
            </w:tcBorders>
            <w:vAlign w:val="center"/>
          </w:tcPr>
          <w:p w14:paraId="7A85F67E" w14:textId="77777777" w:rsidR="008A3252" w:rsidRDefault="008A3252" w:rsidP="009B153D">
            <w:pPr>
              <w:pStyle w:val="Style"/>
              <w:ind w:left="14"/>
              <w:jc w:val="center"/>
              <w:textAlignment w:val="baseline"/>
            </w:pPr>
            <w:r>
              <w:rPr>
                <w:sz w:val="20"/>
                <w:szCs w:val="20"/>
              </w:rPr>
              <w:t xml:space="preserve">17.520 </w:t>
            </w:r>
          </w:p>
        </w:tc>
        <w:tc>
          <w:tcPr>
            <w:tcW w:w="1039" w:type="pct"/>
            <w:tcBorders>
              <w:top w:val="single" w:sz="6" w:space="0" w:color="auto"/>
              <w:left w:val="single" w:sz="6" w:space="0" w:color="auto"/>
              <w:bottom w:val="single" w:sz="6" w:space="0" w:color="auto"/>
              <w:right w:val="single" w:sz="6" w:space="0" w:color="auto"/>
            </w:tcBorders>
            <w:vAlign w:val="center"/>
          </w:tcPr>
          <w:p w14:paraId="004E45AD" w14:textId="77777777" w:rsidR="008A3252" w:rsidRDefault="008A3252" w:rsidP="009B153D">
            <w:pPr>
              <w:pStyle w:val="Style"/>
              <w:ind w:left="24"/>
              <w:jc w:val="center"/>
              <w:textAlignment w:val="baseline"/>
            </w:pPr>
            <w:r>
              <w:rPr>
                <w:sz w:val="20"/>
                <w:szCs w:val="20"/>
              </w:rPr>
              <w:t xml:space="preserve">13.650 </w:t>
            </w:r>
          </w:p>
        </w:tc>
        <w:tc>
          <w:tcPr>
            <w:tcW w:w="988" w:type="pct"/>
            <w:tcBorders>
              <w:top w:val="single" w:sz="6" w:space="0" w:color="auto"/>
              <w:left w:val="single" w:sz="6" w:space="0" w:color="auto"/>
              <w:bottom w:val="single" w:sz="6" w:space="0" w:color="auto"/>
              <w:right w:val="single" w:sz="6" w:space="0" w:color="auto"/>
            </w:tcBorders>
            <w:vAlign w:val="center"/>
          </w:tcPr>
          <w:p w14:paraId="55D3A1BD" w14:textId="77777777" w:rsidR="008A3252" w:rsidRDefault="008A3252" w:rsidP="009B153D">
            <w:pPr>
              <w:pStyle w:val="Style"/>
              <w:ind w:left="29"/>
              <w:jc w:val="center"/>
              <w:textAlignment w:val="baseline"/>
            </w:pPr>
            <w:r>
              <w:rPr>
                <w:sz w:val="20"/>
                <w:szCs w:val="20"/>
              </w:rPr>
              <w:t xml:space="preserve">15.620 </w:t>
            </w:r>
          </w:p>
        </w:tc>
        <w:tc>
          <w:tcPr>
            <w:tcW w:w="896" w:type="pct"/>
            <w:tcBorders>
              <w:top w:val="single" w:sz="6" w:space="0" w:color="auto"/>
              <w:left w:val="single" w:sz="6" w:space="0" w:color="auto"/>
              <w:bottom w:val="single" w:sz="6" w:space="0" w:color="auto"/>
              <w:right w:val="single" w:sz="6" w:space="0" w:color="auto"/>
            </w:tcBorders>
            <w:vAlign w:val="center"/>
          </w:tcPr>
          <w:p w14:paraId="32F0A9BA" w14:textId="77777777" w:rsidR="008A3252" w:rsidRDefault="008A3252" w:rsidP="009B153D">
            <w:pPr>
              <w:pStyle w:val="Style"/>
              <w:ind w:left="43"/>
              <w:jc w:val="center"/>
              <w:textAlignment w:val="baseline"/>
            </w:pPr>
            <w:r>
              <w:rPr>
                <w:sz w:val="20"/>
                <w:szCs w:val="20"/>
              </w:rPr>
              <w:t xml:space="preserve">14.660 </w:t>
            </w:r>
          </w:p>
        </w:tc>
      </w:tr>
      <w:tr w:rsidR="008A3252" w14:paraId="3CBBB955" w14:textId="77777777" w:rsidTr="008A3252">
        <w:trPr>
          <w:trHeight w:hRule="exact" w:val="389"/>
          <w:jc w:val="center"/>
        </w:trPr>
        <w:tc>
          <w:tcPr>
            <w:tcW w:w="1003" w:type="pct"/>
            <w:tcBorders>
              <w:top w:val="single" w:sz="6" w:space="0" w:color="auto"/>
              <w:left w:val="single" w:sz="6" w:space="0" w:color="auto"/>
              <w:bottom w:val="single" w:sz="6" w:space="0" w:color="auto"/>
              <w:right w:val="single" w:sz="6" w:space="0" w:color="auto"/>
            </w:tcBorders>
            <w:vAlign w:val="center"/>
          </w:tcPr>
          <w:p w14:paraId="45684737" w14:textId="77777777" w:rsidR="008A3252" w:rsidRDefault="008A3252" w:rsidP="009B153D">
            <w:pPr>
              <w:pStyle w:val="Style"/>
              <w:ind w:left="302"/>
              <w:textAlignment w:val="baseline"/>
            </w:pPr>
            <w:r>
              <w:rPr>
                <w:sz w:val="20"/>
                <w:szCs w:val="20"/>
              </w:rPr>
              <w:t xml:space="preserve">Min, max </w:t>
            </w:r>
          </w:p>
        </w:tc>
        <w:tc>
          <w:tcPr>
            <w:tcW w:w="1074" w:type="pct"/>
            <w:gridSpan w:val="2"/>
            <w:tcBorders>
              <w:top w:val="single" w:sz="6" w:space="0" w:color="auto"/>
              <w:left w:val="single" w:sz="6" w:space="0" w:color="auto"/>
              <w:bottom w:val="single" w:sz="6" w:space="0" w:color="auto"/>
              <w:right w:val="single" w:sz="6" w:space="0" w:color="auto"/>
            </w:tcBorders>
            <w:vAlign w:val="center"/>
          </w:tcPr>
          <w:p w14:paraId="4C80E6B7" w14:textId="77777777" w:rsidR="008A3252" w:rsidRDefault="008A3252" w:rsidP="009B153D">
            <w:pPr>
              <w:pStyle w:val="Style"/>
              <w:ind w:left="14"/>
              <w:jc w:val="center"/>
              <w:textAlignment w:val="baseline"/>
            </w:pPr>
            <w:r>
              <w:rPr>
                <w:sz w:val="20"/>
                <w:szCs w:val="20"/>
              </w:rPr>
              <w:t xml:space="preserve">1.20, 58.97 </w:t>
            </w:r>
          </w:p>
        </w:tc>
        <w:tc>
          <w:tcPr>
            <w:tcW w:w="1039" w:type="pct"/>
            <w:tcBorders>
              <w:top w:val="single" w:sz="6" w:space="0" w:color="auto"/>
              <w:left w:val="single" w:sz="6" w:space="0" w:color="auto"/>
              <w:bottom w:val="single" w:sz="6" w:space="0" w:color="auto"/>
              <w:right w:val="single" w:sz="6" w:space="0" w:color="auto"/>
            </w:tcBorders>
            <w:vAlign w:val="center"/>
          </w:tcPr>
          <w:p w14:paraId="081FDD3D" w14:textId="77777777" w:rsidR="008A3252" w:rsidRDefault="008A3252" w:rsidP="009B153D">
            <w:pPr>
              <w:pStyle w:val="Style"/>
              <w:ind w:left="24"/>
              <w:jc w:val="center"/>
              <w:textAlignment w:val="baseline"/>
            </w:pPr>
            <w:r>
              <w:rPr>
                <w:sz w:val="20"/>
                <w:szCs w:val="20"/>
              </w:rPr>
              <w:t xml:space="preserve">0.62, 57.68 </w:t>
            </w:r>
          </w:p>
        </w:tc>
        <w:tc>
          <w:tcPr>
            <w:tcW w:w="988" w:type="pct"/>
            <w:tcBorders>
              <w:top w:val="single" w:sz="6" w:space="0" w:color="auto"/>
              <w:left w:val="single" w:sz="6" w:space="0" w:color="auto"/>
              <w:bottom w:val="single" w:sz="6" w:space="0" w:color="auto"/>
              <w:right w:val="single" w:sz="6" w:space="0" w:color="auto"/>
            </w:tcBorders>
            <w:vAlign w:val="center"/>
          </w:tcPr>
          <w:p w14:paraId="49773012" w14:textId="77777777" w:rsidR="008A3252" w:rsidRDefault="008A3252" w:rsidP="009B153D">
            <w:pPr>
              <w:pStyle w:val="Style"/>
              <w:ind w:left="29"/>
              <w:jc w:val="center"/>
              <w:textAlignment w:val="baseline"/>
            </w:pPr>
            <w:r>
              <w:rPr>
                <w:sz w:val="20"/>
                <w:szCs w:val="20"/>
              </w:rPr>
              <w:t xml:space="preserve">0.48, 56.49 </w:t>
            </w:r>
          </w:p>
        </w:tc>
        <w:tc>
          <w:tcPr>
            <w:tcW w:w="896" w:type="pct"/>
            <w:tcBorders>
              <w:top w:val="single" w:sz="6" w:space="0" w:color="auto"/>
              <w:left w:val="single" w:sz="6" w:space="0" w:color="auto"/>
              <w:bottom w:val="single" w:sz="6" w:space="0" w:color="auto"/>
              <w:right w:val="single" w:sz="6" w:space="0" w:color="auto"/>
            </w:tcBorders>
            <w:vAlign w:val="center"/>
          </w:tcPr>
          <w:p w14:paraId="7C7C043E" w14:textId="77777777" w:rsidR="008A3252" w:rsidRDefault="008A3252" w:rsidP="009B153D">
            <w:pPr>
              <w:pStyle w:val="Style"/>
              <w:ind w:left="43"/>
              <w:jc w:val="center"/>
              <w:textAlignment w:val="baseline"/>
            </w:pPr>
            <w:r>
              <w:rPr>
                <w:sz w:val="20"/>
                <w:szCs w:val="20"/>
              </w:rPr>
              <w:t xml:space="preserve">0.48, 58.97 </w:t>
            </w:r>
          </w:p>
        </w:tc>
      </w:tr>
      <w:tr w:rsidR="008A3252" w14:paraId="1E520033" w14:textId="77777777" w:rsidTr="008A3252">
        <w:trPr>
          <w:trHeight w:hRule="exact" w:val="401"/>
          <w:jc w:val="center"/>
        </w:trPr>
        <w:tc>
          <w:tcPr>
            <w:tcW w:w="5000" w:type="pct"/>
            <w:gridSpan w:val="6"/>
            <w:tcBorders>
              <w:top w:val="single" w:sz="6" w:space="0" w:color="auto"/>
              <w:left w:val="single" w:sz="6" w:space="0" w:color="auto"/>
              <w:bottom w:val="single" w:sz="6" w:space="0" w:color="auto"/>
              <w:right w:val="single" w:sz="6" w:space="0" w:color="auto"/>
            </w:tcBorders>
            <w:vAlign w:val="center"/>
          </w:tcPr>
          <w:p w14:paraId="7D86254D" w14:textId="6D045C6A" w:rsidR="008A3252" w:rsidRDefault="008A3252" w:rsidP="008A3252">
            <w:pPr>
              <w:pStyle w:val="Style"/>
              <w:ind w:left="120"/>
              <w:textAlignment w:val="baseline"/>
            </w:pPr>
            <w:r>
              <w:rPr>
                <w:sz w:val="20"/>
                <w:szCs w:val="20"/>
              </w:rPr>
              <w:t>Duration of disease, n (%)</w:t>
            </w:r>
          </w:p>
        </w:tc>
      </w:tr>
      <w:tr w:rsidR="008A3252" w14:paraId="5F84EFCD" w14:textId="77777777" w:rsidTr="008A3252">
        <w:trPr>
          <w:trHeight w:hRule="exact" w:val="360"/>
          <w:jc w:val="center"/>
        </w:trPr>
        <w:tc>
          <w:tcPr>
            <w:tcW w:w="1003" w:type="pct"/>
            <w:tcBorders>
              <w:top w:val="single" w:sz="6" w:space="0" w:color="auto"/>
              <w:left w:val="single" w:sz="6" w:space="0" w:color="auto"/>
              <w:bottom w:val="nil"/>
              <w:right w:val="single" w:sz="6" w:space="0" w:color="auto"/>
            </w:tcBorders>
            <w:vAlign w:val="center"/>
          </w:tcPr>
          <w:p w14:paraId="4ADE5681" w14:textId="77777777" w:rsidR="008A3252" w:rsidRDefault="008A3252" w:rsidP="009B153D">
            <w:pPr>
              <w:pStyle w:val="Style"/>
              <w:ind w:left="302"/>
              <w:textAlignment w:val="baseline"/>
            </w:pPr>
            <w:r>
              <w:rPr>
                <w:sz w:val="20"/>
                <w:szCs w:val="20"/>
              </w:rPr>
              <w:t xml:space="preserve">&lt;median years </w:t>
            </w:r>
          </w:p>
        </w:tc>
        <w:tc>
          <w:tcPr>
            <w:tcW w:w="1074" w:type="pct"/>
            <w:gridSpan w:val="2"/>
            <w:tcBorders>
              <w:top w:val="single" w:sz="6" w:space="0" w:color="auto"/>
              <w:left w:val="single" w:sz="6" w:space="0" w:color="auto"/>
              <w:bottom w:val="nil"/>
              <w:right w:val="single" w:sz="6" w:space="0" w:color="auto"/>
            </w:tcBorders>
            <w:vAlign w:val="center"/>
          </w:tcPr>
          <w:p w14:paraId="4EA9729F" w14:textId="77777777" w:rsidR="008A3252" w:rsidRDefault="008A3252" w:rsidP="009B153D">
            <w:pPr>
              <w:pStyle w:val="Style"/>
              <w:ind w:left="14"/>
              <w:jc w:val="center"/>
              <w:textAlignment w:val="baseline"/>
            </w:pPr>
            <w:r>
              <w:rPr>
                <w:sz w:val="20"/>
                <w:szCs w:val="20"/>
              </w:rPr>
              <w:t xml:space="preserve">36 (43.4) </w:t>
            </w:r>
          </w:p>
        </w:tc>
        <w:tc>
          <w:tcPr>
            <w:tcW w:w="1039" w:type="pct"/>
            <w:tcBorders>
              <w:top w:val="single" w:sz="6" w:space="0" w:color="auto"/>
              <w:left w:val="single" w:sz="6" w:space="0" w:color="auto"/>
              <w:bottom w:val="nil"/>
              <w:right w:val="single" w:sz="6" w:space="0" w:color="auto"/>
            </w:tcBorders>
            <w:vAlign w:val="center"/>
          </w:tcPr>
          <w:p w14:paraId="559F1CD8" w14:textId="77777777" w:rsidR="008A3252" w:rsidRDefault="008A3252" w:rsidP="009B153D">
            <w:pPr>
              <w:pStyle w:val="Style"/>
              <w:ind w:left="24"/>
              <w:jc w:val="center"/>
              <w:textAlignment w:val="baseline"/>
            </w:pPr>
            <w:r>
              <w:rPr>
                <w:sz w:val="20"/>
                <w:szCs w:val="20"/>
              </w:rPr>
              <w:t xml:space="preserve">172 (53.6) </w:t>
            </w:r>
          </w:p>
        </w:tc>
        <w:tc>
          <w:tcPr>
            <w:tcW w:w="988" w:type="pct"/>
            <w:tcBorders>
              <w:top w:val="single" w:sz="6" w:space="0" w:color="auto"/>
              <w:left w:val="single" w:sz="6" w:space="0" w:color="auto"/>
              <w:bottom w:val="nil"/>
              <w:right w:val="single" w:sz="6" w:space="0" w:color="auto"/>
            </w:tcBorders>
            <w:vAlign w:val="center"/>
          </w:tcPr>
          <w:p w14:paraId="54227790" w14:textId="77777777" w:rsidR="008A3252" w:rsidRDefault="008A3252" w:rsidP="009B153D">
            <w:pPr>
              <w:pStyle w:val="Style"/>
              <w:ind w:left="29"/>
              <w:jc w:val="center"/>
              <w:textAlignment w:val="baseline"/>
            </w:pPr>
            <w:r>
              <w:rPr>
                <w:sz w:val="20"/>
                <w:szCs w:val="20"/>
              </w:rPr>
              <w:t xml:space="preserve">74 (45.4) </w:t>
            </w:r>
          </w:p>
        </w:tc>
        <w:tc>
          <w:tcPr>
            <w:tcW w:w="896" w:type="pct"/>
            <w:tcBorders>
              <w:top w:val="single" w:sz="6" w:space="0" w:color="auto"/>
              <w:left w:val="single" w:sz="6" w:space="0" w:color="auto"/>
              <w:bottom w:val="nil"/>
              <w:right w:val="single" w:sz="6" w:space="0" w:color="auto"/>
            </w:tcBorders>
            <w:vAlign w:val="center"/>
          </w:tcPr>
          <w:p w14:paraId="4951BB22" w14:textId="77777777" w:rsidR="008A3252" w:rsidRDefault="008A3252" w:rsidP="009B153D">
            <w:pPr>
              <w:pStyle w:val="Style"/>
              <w:ind w:left="43"/>
              <w:jc w:val="center"/>
              <w:textAlignment w:val="baseline"/>
            </w:pPr>
            <w:r>
              <w:rPr>
                <w:sz w:val="20"/>
                <w:szCs w:val="20"/>
              </w:rPr>
              <w:t xml:space="preserve">282 (49.7) </w:t>
            </w:r>
          </w:p>
        </w:tc>
      </w:tr>
      <w:tr w:rsidR="008A3252" w14:paraId="2C553116" w14:textId="77777777" w:rsidTr="008A3252">
        <w:trPr>
          <w:trHeight w:hRule="exact" w:val="283"/>
          <w:jc w:val="center"/>
        </w:trPr>
        <w:tc>
          <w:tcPr>
            <w:tcW w:w="1003" w:type="pct"/>
            <w:tcBorders>
              <w:top w:val="nil"/>
              <w:left w:val="single" w:sz="6" w:space="0" w:color="auto"/>
              <w:bottom w:val="single" w:sz="6" w:space="0" w:color="auto"/>
              <w:right w:val="single" w:sz="6" w:space="0" w:color="auto"/>
            </w:tcBorders>
            <w:vAlign w:val="center"/>
          </w:tcPr>
          <w:p w14:paraId="09F06D42" w14:textId="77777777" w:rsidR="008A3252" w:rsidRDefault="008A3252" w:rsidP="009B153D">
            <w:pPr>
              <w:pStyle w:val="Style"/>
              <w:ind w:left="302"/>
              <w:textAlignment w:val="baseline"/>
            </w:pPr>
            <w:r>
              <w:rPr>
                <w:sz w:val="20"/>
                <w:szCs w:val="20"/>
              </w:rPr>
              <w:t xml:space="preserve">(14.66 years) </w:t>
            </w:r>
          </w:p>
        </w:tc>
        <w:tc>
          <w:tcPr>
            <w:tcW w:w="296" w:type="pct"/>
            <w:tcBorders>
              <w:top w:val="nil"/>
              <w:left w:val="single" w:sz="6" w:space="0" w:color="auto"/>
              <w:bottom w:val="single" w:sz="6" w:space="0" w:color="auto"/>
              <w:right w:val="nil"/>
            </w:tcBorders>
            <w:vAlign w:val="center"/>
          </w:tcPr>
          <w:p w14:paraId="679C3206" w14:textId="77777777" w:rsidR="008A3252" w:rsidRDefault="008A3252" w:rsidP="009B153D">
            <w:pPr>
              <w:pStyle w:val="Style"/>
              <w:textAlignment w:val="baseline"/>
            </w:pPr>
            <w:r>
              <w:rPr>
                <w:sz w:val="28"/>
                <w:szCs w:val="28"/>
              </w:rPr>
              <w:t xml:space="preserve"> </w:t>
            </w:r>
          </w:p>
        </w:tc>
        <w:tc>
          <w:tcPr>
            <w:tcW w:w="778" w:type="pct"/>
            <w:tcBorders>
              <w:top w:val="nil"/>
              <w:left w:val="nil"/>
              <w:bottom w:val="single" w:sz="6" w:space="0" w:color="auto"/>
              <w:right w:val="single" w:sz="6" w:space="0" w:color="auto"/>
            </w:tcBorders>
            <w:vAlign w:val="center"/>
          </w:tcPr>
          <w:p w14:paraId="6E380118" w14:textId="77777777" w:rsidR="008A3252" w:rsidRDefault="008A3252" w:rsidP="009B153D">
            <w:pPr>
              <w:pStyle w:val="Style"/>
              <w:textAlignment w:val="baseline"/>
            </w:pPr>
            <w:r>
              <w:rPr>
                <w:sz w:val="28"/>
                <w:szCs w:val="28"/>
              </w:rPr>
              <w:t xml:space="preserve"> </w:t>
            </w:r>
          </w:p>
        </w:tc>
        <w:tc>
          <w:tcPr>
            <w:tcW w:w="1039" w:type="pct"/>
            <w:tcBorders>
              <w:top w:val="nil"/>
              <w:left w:val="single" w:sz="6" w:space="0" w:color="auto"/>
              <w:bottom w:val="single" w:sz="6" w:space="0" w:color="auto"/>
              <w:right w:val="single" w:sz="6" w:space="0" w:color="auto"/>
            </w:tcBorders>
            <w:vAlign w:val="center"/>
          </w:tcPr>
          <w:p w14:paraId="758EEBA7" w14:textId="77777777" w:rsidR="008A3252" w:rsidRDefault="008A3252" w:rsidP="009B153D">
            <w:pPr>
              <w:pStyle w:val="Style"/>
              <w:textAlignment w:val="baseline"/>
            </w:pPr>
            <w:r>
              <w:rPr>
                <w:sz w:val="28"/>
                <w:szCs w:val="28"/>
              </w:rPr>
              <w:t xml:space="preserve"> </w:t>
            </w:r>
          </w:p>
        </w:tc>
        <w:tc>
          <w:tcPr>
            <w:tcW w:w="988" w:type="pct"/>
            <w:tcBorders>
              <w:top w:val="nil"/>
              <w:left w:val="single" w:sz="6" w:space="0" w:color="auto"/>
              <w:bottom w:val="single" w:sz="6" w:space="0" w:color="auto"/>
              <w:right w:val="single" w:sz="6" w:space="0" w:color="auto"/>
            </w:tcBorders>
            <w:vAlign w:val="center"/>
          </w:tcPr>
          <w:p w14:paraId="06F36247" w14:textId="77777777" w:rsidR="008A3252" w:rsidRDefault="008A3252" w:rsidP="009B153D">
            <w:pPr>
              <w:pStyle w:val="Style"/>
              <w:textAlignment w:val="baseline"/>
            </w:pPr>
            <w:r>
              <w:rPr>
                <w:sz w:val="28"/>
                <w:szCs w:val="28"/>
              </w:rPr>
              <w:t xml:space="preserve"> </w:t>
            </w:r>
          </w:p>
        </w:tc>
        <w:tc>
          <w:tcPr>
            <w:tcW w:w="896" w:type="pct"/>
            <w:tcBorders>
              <w:top w:val="nil"/>
              <w:left w:val="single" w:sz="6" w:space="0" w:color="auto"/>
              <w:bottom w:val="single" w:sz="6" w:space="0" w:color="auto"/>
              <w:right w:val="single" w:sz="6" w:space="0" w:color="auto"/>
            </w:tcBorders>
            <w:vAlign w:val="center"/>
          </w:tcPr>
          <w:p w14:paraId="420DF3F7" w14:textId="77777777" w:rsidR="008A3252" w:rsidRDefault="008A3252" w:rsidP="009B153D">
            <w:pPr>
              <w:pStyle w:val="Style"/>
              <w:textAlignment w:val="baseline"/>
            </w:pPr>
            <w:r>
              <w:rPr>
                <w:sz w:val="28"/>
                <w:szCs w:val="28"/>
              </w:rPr>
              <w:t xml:space="preserve"> </w:t>
            </w:r>
          </w:p>
        </w:tc>
      </w:tr>
      <w:tr w:rsidR="008A3252" w14:paraId="503D945F" w14:textId="77777777" w:rsidTr="008A3252">
        <w:trPr>
          <w:trHeight w:hRule="exact" w:val="355"/>
          <w:jc w:val="center"/>
        </w:trPr>
        <w:tc>
          <w:tcPr>
            <w:tcW w:w="1003" w:type="pct"/>
            <w:tcBorders>
              <w:top w:val="single" w:sz="6" w:space="0" w:color="auto"/>
              <w:left w:val="single" w:sz="6" w:space="0" w:color="auto"/>
              <w:bottom w:val="nil"/>
              <w:right w:val="single" w:sz="6" w:space="0" w:color="auto"/>
            </w:tcBorders>
            <w:vAlign w:val="center"/>
          </w:tcPr>
          <w:p w14:paraId="5B48D11D" w14:textId="77777777" w:rsidR="008A3252" w:rsidRDefault="008A3252" w:rsidP="009B153D">
            <w:pPr>
              <w:pStyle w:val="Style"/>
              <w:ind w:left="302"/>
              <w:textAlignment w:val="baseline"/>
            </w:pPr>
            <w:r>
              <w:rPr>
                <w:sz w:val="20"/>
                <w:szCs w:val="20"/>
              </w:rPr>
              <w:t xml:space="preserve">median years </w:t>
            </w:r>
          </w:p>
        </w:tc>
        <w:tc>
          <w:tcPr>
            <w:tcW w:w="1074" w:type="pct"/>
            <w:gridSpan w:val="2"/>
            <w:tcBorders>
              <w:top w:val="single" w:sz="6" w:space="0" w:color="auto"/>
              <w:left w:val="single" w:sz="6" w:space="0" w:color="auto"/>
              <w:bottom w:val="nil"/>
              <w:right w:val="single" w:sz="6" w:space="0" w:color="auto"/>
            </w:tcBorders>
            <w:vAlign w:val="center"/>
          </w:tcPr>
          <w:p w14:paraId="138B2140" w14:textId="77777777" w:rsidR="008A3252" w:rsidRDefault="008A3252" w:rsidP="009B153D">
            <w:pPr>
              <w:pStyle w:val="Style"/>
              <w:ind w:left="14"/>
              <w:jc w:val="center"/>
              <w:textAlignment w:val="baseline"/>
            </w:pPr>
            <w:r>
              <w:rPr>
                <w:sz w:val="20"/>
                <w:szCs w:val="20"/>
              </w:rPr>
              <w:t xml:space="preserve">47 (56.6) </w:t>
            </w:r>
          </w:p>
        </w:tc>
        <w:tc>
          <w:tcPr>
            <w:tcW w:w="1039" w:type="pct"/>
            <w:tcBorders>
              <w:top w:val="single" w:sz="6" w:space="0" w:color="auto"/>
              <w:left w:val="single" w:sz="6" w:space="0" w:color="auto"/>
              <w:bottom w:val="nil"/>
              <w:right w:val="single" w:sz="6" w:space="0" w:color="auto"/>
            </w:tcBorders>
            <w:vAlign w:val="center"/>
          </w:tcPr>
          <w:p w14:paraId="5B875450" w14:textId="77777777" w:rsidR="008A3252" w:rsidRDefault="008A3252" w:rsidP="009B153D">
            <w:pPr>
              <w:pStyle w:val="Style"/>
              <w:ind w:left="24"/>
              <w:jc w:val="center"/>
              <w:textAlignment w:val="baseline"/>
            </w:pPr>
            <w:r>
              <w:rPr>
                <w:sz w:val="20"/>
                <w:szCs w:val="20"/>
              </w:rPr>
              <w:t xml:space="preserve">149 (46.4) </w:t>
            </w:r>
          </w:p>
        </w:tc>
        <w:tc>
          <w:tcPr>
            <w:tcW w:w="988" w:type="pct"/>
            <w:tcBorders>
              <w:top w:val="single" w:sz="6" w:space="0" w:color="auto"/>
              <w:left w:val="single" w:sz="6" w:space="0" w:color="auto"/>
              <w:bottom w:val="nil"/>
              <w:right w:val="single" w:sz="6" w:space="0" w:color="auto"/>
            </w:tcBorders>
            <w:vAlign w:val="center"/>
          </w:tcPr>
          <w:p w14:paraId="71BA6683" w14:textId="77777777" w:rsidR="008A3252" w:rsidRDefault="008A3252" w:rsidP="009B153D">
            <w:pPr>
              <w:pStyle w:val="Style"/>
              <w:ind w:left="29"/>
              <w:jc w:val="center"/>
              <w:textAlignment w:val="baseline"/>
            </w:pPr>
            <w:r>
              <w:rPr>
                <w:sz w:val="20"/>
                <w:szCs w:val="20"/>
              </w:rPr>
              <w:t xml:space="preserve">89 (54.6) </w:t>
            </w:r>
          </w:p>
        </w:tc>
        <w:tc>
          <w:tcPr>
            <w:tcW w:w="896" w:type="pct"/>
            <w:tcBorders>
              <w:top w:val="single" w:sz="6" w:space="0" w:color="auto"/>
              <w:left w:val="single" w:sz="6" w:space="0" w:color="auto"/>
              <w:bottom w:val="nil"/>
              <w:right w:val="single" w:sz="6" w:space="0" w:color="auto"/>
            </w:tcBorders>
            <w:vAlign w:val="center"/>
          </w:tcPr>
          <w:p w14:paraId="16FBAD8C" w14:textId="77777777" w:rsidR="008A3252" w:rsidRDefault="008A3252" w:rsidP="009B153D">
            <w:pPr>
              <w:pStyle w:val="Style"/>
              <w:ind w:left="43"/>
              <w:jc w:val="center"/>
              <w:textAlignment w:val="baseline"/>
            </w:pPr>
            <w:r>
              <w:rPr>
                <w:sz w:val="20"/>
                <w:szCs w:val="20"/>
              </w:rPr>
              <w:t xml:space="preserve">285 (50.3) </w:t>
            </w:r>
          </w:p>
        </w:tc>
      </w:tr>
      <w:tr w:rsidR="008A3252" w14:paraId="61675A14" w14:textId="77777777" w:rsidTr="008A3252">
        <w:trPr>
          <w:trHeight w:hRule="exact" w:val="283"/>
          <w:jc w:val="center"/>
        </w:trPr>
        <w:tc>
          <w:tcPr>
            <w:tcW w:w="1003" w:type="pct"/>
            <w:tcBorders>
              <w:top w:val="nil"/>
              <w:left w:val="single" w:sz="6" w:space="0" w:color="auto"/>
              <w:bottom w:val="single" w:sz="6" w:space="0" w:color="auto"/>
              <w:right w:val="single" w:sz="6" w:space="0" w:color="auto"/>
            </w:tcBorders>
            <w:vAlign w:val="center"/>
          </w:tcPr>
          <w:p w14:paraId="6571E969" w14:textId="77777777" w:rsidR="008A3252" w:rsidRDefault="008A3252" w:rsidP="009B153D">
            <w:pPr>
              <w:pStyle w:val="Style"/>
              <w:ind w:left="302"/>
              <w:textAlignment w:val="baseline"/>
            </w:pPr>
            <w:r>
              <w:rPr>
                <w:sz w:val="20"/>
                <w:szCs w:val="20"/>
              </w:rPr>
              <w:t xml:space="preserve">(14.66 years) </w:t>
            </w:r>
          </w:p>
        </w:tc>
        <w:tc>
          <w:tcPr>
            <w:tcW w:w="296" w:type="pct"/>
            <w:tcBorders>
              <w:top w:val="nil"/>
              <w:left w:val="single" w:sz="6" w:space="0" w:color="auto"/>
              <w:bottom w:val="single" w:sz="6" w:space="0" w:color="auto"/>
              <w:right w:val="nil"/>
            </w:tcBorders>
            <w:vAlign w:val="center"/>
          </w:tcPr>
          <w:p w14:paraId="5E14465F" w14:textId="77777777" w:rsidR="008A3252" w:rsidRDefault="008A3252" w:rsidP="009B153D">
            <w:pPr>
              <w:pStyle w:val="Style"/>
              <w:textAlignment w:val="baseline"/>
            </w:pPr>
            <w:r>
              <w:rPr>
                <w:sz w:val="28"/>
                <w:szCs w:val="28"/>
              </w:rPr>
              <w:t xml:space="preserve"> </w:t>
            </w:r>
          </w:p>
        </w:tc>
        <w:tc>
          <w:tcPr>
            <w:tcW w:w="778" w:type="pct"/>
            <w:tcBorders>
              <w:top w:val="nil"/>
              <w:left w:val="nil"/>
              <w:bottom w:val="single" w:sz="6" w:space="0" w:color="auto"/>
              <w:right w:val="single" w:sz="6" w:space="0" w:color="auto"/>
            </w:tcBorders>
            <w:vAlign w:val="center"/>
          </w:tcPr>
          <w:p w14:paraId="4ADC9390" w14:textId="77777777" w:rsidR="008A3252" w:rsidRDefault="008A3252" w:rsidP="009B153D">
            <w:pPr>
              <w:pStyle w:val="Style"/>
              <w:textAlignment w:val="baseline"/>
            </w:pPr>
            <w:r>
              <w:rPr>
                <w:sz w:val="28"/>
                <w:szCs w:val="28"/>
              </w:rPr>
              <w:t xml:space="preserve"> </w:t>
            </w:r>
          </w:p>
        </w:tc>
        <w:tc>
          <w:tcPr>
            <w:tcW w:w="1039" w:type="pct"/>
            <w:tcBorders>
              <w:top w:val="nil"/>
              <w:left w:val="single" w:sz="6" w:space="0" w:color="auto"/>
              <w:bottom w:val="single" w:sz="6" w:space="0" w:color="auto"/>
              <w:right w:val="single" w:sz="6" w:space="0" w:color="auto"/>
            </w:tcBorders>
            <w:vAlign w:val="center"/>
          </w:tcPr>
          <w:p w14:paraId="0B15C81E" w14:textId="77777777" w:rsidR="008A3252" w:rsidRDefault="008A3252" w:rsidP="009B153D">
            <w:pPr>
              <w:pStyle w:val="Style"/>
              <w:textAlignment w:val="baseline"/>
            </w:pPr>
            <w:r>
              <w:rPr>
                <w:sz w:val="28"/>
                <w:szCs w:val="28"/>
              </w:rPr>
              <w:t xml:space="preserve"> </w:t>
            </w:r>
          </w:p>
        </w:tc>
        <w:tc>
          <w:tcPr>
            <w:tcW w:w="988" w:type="pct"/>
            <w:tcBorders>
              <w:top w:val="nil"/>
              <w:left w:val="single" w:sz="6" w:space="0" w:color="auto"/>
              <w:bottom w:val="single" w:sz="6" w:space="0" w:color="auto"/>
              <w:right w:val="single" w:sz="6" w:space="0" w:color="auto"/>
            </w:tcBorders>
            <w:vAlign w:val="center"/>
          </w:tcPr>
          <w:p w14:paraId="5DAAE157" w14:textId="77777777" w:rsidR="008A3252" w:rsidRDefault="008A3252" w:rsidP="009B153D">
            <w:pPr>
              <w:pStyle w:val="Style"/>
              <w:textAlignment w:val="baseline"/>
            </w:pPr>
            <w:r>
              <w:rPr>
                <w:sz w:val="28"/>
                <w:szCs w:val="28"/>
              </w:rPr>
              <w:t xml:space="preserve"> </w:t>
            </w:r>
          </w:p>
        </w:tc>
        <w:tc>
          <w:tcPr>
            <w:tcW w:w="896" w:type="pct"/>
            <w:tcBorders>
              <w:top w:val="nil"/>
              <w:left w:val="single" w:sz="6" w:space="0" w:color="auto"/>
              <w:bottom w:val="single" w:sz="6" w:space="0" w:color="auto"/>
              <w:right w:val="single" w:sz="6" w:space="0" w:color="auto"/>
            </w:tcBorders>
            <w:vAlign w:val="center"/>
          </w:tcPr>
          <w:p w14:paraId="7F93BA84" w14:textId="77777777" w:rsidR="008A3252" w:rsidRDefault="008A3252" w:rsidP="009B153D">
            <w:pPr>
              <w:pStyle w:val="Style"/>
              <w:textAlignment w:val="baseline"/>
            </w:pPr>
            <w:r>
              <w:rPr>
                <w:sz w:val="28"/>
                <w:szCs w:val="28"/>
              </w:rPr>
              <w:t xml:space="preserve"> </w:t>
            </w:r>
          </w:p>
        </w:tc>
      </w:tr>
      <w:tr w:rsidR="008A3252" w14:paraId="74AB1BCF" w14:textId="77777777" w:rsidTr="008A3252">
        <w:trPr>
          <w:trHeight w:hRule="exact" w:val="389"/>
          <w:jc w:val="center"/>
        </w:trPr>
        <w:tc>
          <w:tcPr>
            <w:tcW w:w="5000" w:type="pct"/>
            <w:gridSpan w:val="6"/>
            <w:tcBorders>
              <w:top w:val="single" w:sz="6" w:space="0" w:color="auto"/>
              <w:left w:val="single" w:sz="6" w:space="0" w:color="auto"/>
              <w:bottom w:val="single" w:sz="6" w:space="0" w:color="auto"/>
              <w:right w:val="single" w:sz="6" w:space="0" w:color="auto"/>
            </w:tcBorders>
            <w:vAlign w:val="center"/>
          </w:tcPr>
          <w:p w14:paraId="244B37DF" w14:textId="10D07693" w:rsidR="008A3252" w:rsidRDefault="008A3252" w:rsidP="008A3252">
            <w:pPr>
              <w:pStyle w:val="Style"/>
              <w:ind w:left="115"/>
              <w:textAlignment w:val="baseline"/>
            </w:pPr>
            <w:r>
              <w:rPr>
                <w:sz w:val="20"/>
                <w:szCs w:val="20"/>
              </w:rPr>
              <w:t>IGA score, n (%)</w:t>
            </w:r>
          </w:p>
        </w:tc>
      </w:tr>
      <w:tr w:rsidR="008A3252" w14:paraId="5D53319C" w14:textId="77777777" w:rsidTr="008A3252">
        <w:trPr>
          <w:trHeight w:hRule="exact" w:val="384"/>
          <w:jc w:val="center"/>
        </w:trPr>
        <w:tc>
          <w:tcPr>
            <w:tcW w:w="1003" w:type="pct"/>
            <w:tcBorders>
              <w:top w:val="single" w:sz="6" w:space="0" w:color="auto"/>
              <w:left w:val="single" w:sz="6" w:space="0" w:color="auto"/>
              <w:bottom w:val="single" w:sz="6" w:space="0" w:color="auto"/>
              <w:right w:val="single" w:sz="6" w:space="0" w:color="auto"/>
            </w:tcBorders>
            <w:vAlign w:val="center"/>
          </w:tcPr>
          <w:p w14:paraId="6356BE12" w14:textId="77777777" w:rsidR="008A3252" w:rsidRDefault="008A3252" w:rsidP="009B153D">
            <w:pPr>
              <w:pStyle w:val="Style"/>
              <w:ind w:left="293"/>
              <w:textAlignment w:val="baseline"/>
            </w:pPr>
            <w:r>
              <w:rPr>
                <w:sz w:val="20"/>
                <w:szCs w:val="20"/>
              </w:rPr>
              <w:t xml:space="preserve">2 (Mild) </w:t>
            </w:r>
          </w:p>
        </w:tc>
        <w:tc>
          <w:tcPr>
            <w:tcW w:w="1074" w:type="pct"/>
            <w:gridSpan w:val="2"/>
            <w:tcBorders>
              <w:top w:val="single" w:sz="6" w:space="0" w:color="auto"/>
              <w:left w:val="single" w:sz="6" w:space="0" w:color="auto"/>
              <w:bottom w:val="single" w:sz="6" w:space="0" w:color="auto"/>
              <w:right w:val="single" w:sz="6" w:space="0" w:color="auto"/>
            </w:tcBorders>
            <w:vAlign w:val="center"/>
          </w:tcPr>
          <w:p w14:paraId="11C6ABB5" w14:textId="77777777" w:rsidR="008A3252" w:rsidRDefault="008A3252" w:rsidP="009B153D">
            <w:pPr>
              <w:pStyle w:val="Style"/>
              <w:ind w:left="14"/>
              <w:jc w:val="center"/>
              <w:textAlignment w:val="baseline"/>
            </w:pPr>
            <w:r>
              <w:rPr>
                <w:b/>
                <w:w w:val="64"/>
                <w:sz w:val="22"/>
                <w:szCs w:val="22"/>
              </w:rPr>
              <w:t xml:space="preserve">1 </w:t>
            </w:r>
            <w:r>
              <w:rPr>
                <w:sz w:val="20"/>
                <w:szCs w:val="20"/>
              </w:rPr>
              <w:t xml:space="preserve">(1.2) </w:t>
            </w:r>
          </w:p>
        </w:tc>
        <w:tc>
          <w:tcPr>
            <w:tcW w:w="1039" w:type="pct"/>
            <w:tcBorders>
              <w:top w:val="single" w:sz="6" w:space="0" w:color="auto"/>
              <w:left w:val="single" w:sz="6" w:space="0" w:color="auto"/>
              <w:bottom w:val="single" w:sz="6" w:space="0" w:color="auto"/>
              <w:right w:val="single" w:sz="6" w:space="0" w:color="auto"/>
            </w:tcBorders>
            <w:vAlign w:val="center"/>
          </w:tcPr>
          <w:p w14:paraId="0DB5F934" w14:textId="77777777" w:rsidR="008A3252" w:rsidRDefault="008A3252" w:rsidP="009B153D">
            <w:pPr>
              <w:pStyle w:val="Style"/>
              <w:ind w:left="24"/>
              <w:jc w:val="center"/>
              <w:textAlignment w:val="baseline"/>
            </w:pPr>
            <w:r>
              <w:rPr>
                <w:b/>
                <w:w w:val="64"/>
                <w:sz w:val="22"/>
                <w:szCs w:val="22"/>
              </w:rPr>
              <w:t xml:space="preserve">1 </w:t>
            </w:r>
            <w:r>
              <w:rPr>
                <w:sz w:val="20"/>
                <w:szCs w:val="20"/>
              </w:rPr>
              <w:t xml:space="preserve">(0.3) </w:t>
            </w:r>
          </w:p>
        </w:tc>
        <w:tc>
          <w:tcPr>
            <w:tcW w:w="988" w:type="pct"/>
            <w:tcBorders>
              <w:top w:val="single" w:sz="6" w:space="0" w:color="auto"/>
              <w:left w:val="single" w:sz="6" w:space="0" w:color="auto"/>
              <w:bottom w:val="single" w:sz="6" w:space="0" w:color="auto"/>
              <w:right w:val="single" w:sz="6" w:space="0" w:color="auto"/>
            </w:tcBorders>
            <w:vAlign w:val="center"/>
          </w:tcPr>
          <w:p w14:paraId="1925E715" w14:textId="77777777" w:rsidR="008A3252" w:rsidRDefault="008A3252" w:rsidP="009B153D">
            <w:pPr>
              <w:pStyle w:val="Style"/>
              <w:ind w:left="24"/>
              <w:jc w:val="center"/>
              <w:textAlignment w:val="baseline"/>
            </w:pPr>
            <w:r>
              <w:rPr>
                <w:b/>
                <w:w w:val="64"/>
                <w:sz w:val="22"/>
                <w:szCs w:val="22"/>
              </w:rPr>
              <w:t xml:space="preserve">1 </w:t>
            </w:r>
            <w:r>
              <w:rPr>
                <w:sz w:val="20"/>
                <w:szCs w:val="20"/>
              </w:rPr>
              <w:t xml:space="preserve">(0.6) </w:t>
            </w:r>
          </w:p>
        </w:tc>
        <w:tc>
          <w:tcPr>
            <w:tcW w:w="896" w:type="pct"/>
            <w:tcBorders>
              <w:top w:val="single" w:sz="6" w:space="0" w:color="auto"/>
              <w:left w:val="single" w:sz="6" w:space="0" w:color="auto"/>
              <w:bottom w:val="single" w:sz="6" w:space="0" w:color="auto"/>
              <w:right w:val="single" w:sz="6" w:space="0" w:color="auto"/>
            </w:tcBorders>
            <w:vAlign w:val="center"/>
          </w:tcPr>
          <w:p w14:paraId="5E1EC407" w14:textId="77777777" w:rsidR="008A3252" w:rsidRDefault="008A3252" w:rsidP="009B153D">
            <w:pPr>
              <w:pStyle w:val="Style"/>
              <w:ind w:left="19"/>
              <w:jc w:val="center"/>
              <w:textAlignment w:val="baseline"/>
            </w:pPr>
            <w:r>
              <w:rPr>
                <w:sz w:val="20"/>
                <w:szCs w:val="20"/>
              </w:rPr>
              <w:t xml:space="preserve">3 (0.5) </w:t>
            </w:r>
          </w:p>
        </w:tc>
      </w:tr>
      <w:tr w:rsidR="008A3252" w14:paraId="266AEBB3" w14:textId="77777777" w:rsidTr="008A3252">
        <w:trPr>
          <w:trHeight w:hRule="exact" w:val="394"/>
          <w:jc w:val="center"/>
        </w:trPr>
        <w:tc>
          <w:tcPr>
            <w:tcW w:w="1003" w:type="pct"/>
            <w:tcBorders>
              <w:top w:val="single" w:sz="6" w:space="0" w:color="auto"/>
              <w:left w:val="single" w:sz="6" w:space="0" w:color="auto"/>
              <w:bottom w:val="single" w:sz="6" w:space="0" w:color="auto"/>
              <w:right w:val="single" w:sz="6" w:space="0" w:color="auto"/>
            </w:tcBorders>
            <w:vAlign w:val="center"/>
          </w:tcPr>
          <w:p w14:paraId="5BA30B2E" w14:textId="77777777" w:rsidR="008A3252" w:rsidRDefault="008A3252" w:rsidP="009B153D">
            <w:pPr>
              <w:pStyle w:val="Style"/>
              <w:ind w:left="293"/>
              <w:textAlignment w:val="baseline"/>
            </w:pPr>
            <w:r>
              <w:rPr>
                <w:sz w:val="20"/>
                <w:szCs w:val="20"/>
              </w:rPr>
              <w:t xml:space="preserve">3 (Moderate) </w:t>
            </w:r>
          </w:p>
        </w:tc>
        <w:tc>
          <w:tcPr>
            <w:tcW w:w="1074" w:type="pct"/>
            <w:gridSpan w:val="2"/>
            <w:tcBorders>
              <w:top w:val="single" w:sz="6" w:space="0" w:color="auto"/>
              <w:left w:val="single" w:sz="6" w:space="0" w:color="auto"/>
              <w:bottom w:val="single" w:sz="6" w:space="0" w:color="auto"/>
              <w:right w:val="single" w:sz="6" w:space="0" w:color="auto"/>
            </w:tcBorders>
            <w:vAlign w:val="center"/>
          </w:tcPr>
          <w:p w14:paraId="18F0D7ED" w14:textId="77777777" w:rsidR="008A3252" w:rsidRDefault="008A3252" w:rsidP="009B153D">
            <w:pPr>
              <w:pStyle w:val="Style"/>
              <w:ind w:left="14"/>
              <w:jc w:val="center"/>
              <w:textAlignment w:val="baseline"/>
            </w:pPr>
            <w:r>
              <w:rPr>
                <w:sz w:val="20"/>
                <w:szCs w:val="20"/>
              </w:rPr>
              <w:t xml:space="preserve">54(65.1) </w:t>
            </w:r>
          </w:p>
        </w:tc>
        <w:tc>
          <w:tcPr>
            <w:tcW w:w="1039" w:type="pct"/>
            <w:tcBorders>
              <w:top w:val="single" w:sz="6" w:space="0" w:color="auto"/>
              <w:left w:val="single" w:sz="6" w:space="0" w:color="auto"/>
              <w:bottom w:val="single" w:sz="6" w:space="0" w:color="auto"/>
              <w:right w:val="single" w:sz="6" w:space="0" w:color="auto"/>
            </w:tcBorders>
            <w:vAlign w:val="center"/>
          </w:tcPr>
          <w:p w14:paraId="6A986E5F" w14:textId="77777777" w:rsidR="008A3252" w:rsidRDefault="008A3252" w:rsidP="009B153D">
            <w:pPr>
              <w:pStyle w:val="Style"/>
              <w:ind w:left="24"/>
              <w:jc w:val="center"/>
              <w:textAlignment w:val="baseline"/>
            </w:pPr>
            <w:r>
              <w:rPr>
                <w:sz w:val="20"/>
                <w:szCs w:val="20"/>
              </w:rPr>
              <w:t xml:space="preserve">201 (62.6) </w:t>
            </w:r>
          </w:p>
        </w:tc>
        <w:tc>
          <w:tcPr>
            <w:tcW w:w="988" w:type="pct"/>
            <w:tcBorders>
              <w:top w:val="single" w:sz="6" w:space="0" w:color="auto"/>
              <w:left w:val="single" w:sz="6" w:space="0" w:color="auto"/>
              <w:bottom w:val="single" w:sz="6" w:space="0" w:color="auto"/>
              <w:right w:val="single" w:sz="6" w:space="0" w:color="auto"/>
            </w:tcBorders>
            <w:vAlign w:val="center"/>
          </w:tcPr>
          <w:p w14:paraId="74CF1317" w14:textId="77777777" w:rsidR="008A3252" w:rsidRDefault="008A3252" w:rsidP="009B153D">
            <w:pPr>
              <w:pStyle w:val="Style"/>
              <w:ind w:left="24"/>
              <w:jc w:val="center"/>
              <w:textAlignment w:val="baseline"/>
            </w:pPr>
            <w:r>
              <w:rPr>
                <w:sz w:val="20"/>
                <w:szCs w:val="20"/>
              </w:rPr>
              <w:t xml:space="preserve">96 (58.9) </w:t>
            </w:r>
          </w:p>
        </w:tc>
        <w:tc>
          <w:tcPr>
            <w:tcW w:w="896" w:type="pct"/>
            <w:tcBorders>
              <w:top w:val="single" w:sz="6" w:space="0" w:color="auto"/>
              <w:left w:val="single" w:sz="6" w:space="0" w:color="auto"/>
              <w:bottom w:val="single" w:sz="6" w:space="0" w:color="auto"/>
              <w:right w:val="single" w:sz="6" w:space="0" w:color="auto"/>
            </w:tcBorders>
            <w:vAlign w:val="center"/>
          </w:tcPr>
          <w:p w14:paraId="471C5EBA" w14:textId="77777777" w:rsidR="008A3252" w:rsidRDefault="008A3252" w:rsidP="009B153D">
            <w:pPr>
              <w:pStyle w:val="Style"/>
              <w:ind w:left="19"/>
              <w:jc w:val="center"/>
              <w:textAlignment w:val="baseline"/>
            </w:pPr>
            <w:r>
              <w:rPr>
                <w:sz w:val="20"/>
                <w:szCs w:val="20"/>
              </w:rPr>
              <w:t xml:space="preserve">351 (61.9) </w:t>
            </w:r>
          </w:p>
        </w:tc>
      </w:tr>
      <w:tr w:rsidR="008A3252" w14:paraId="5BEC9308" w14:textId="77777777" w:rsidTr="008A3252">
        <w:trPr>
          <w:trHeight w:hRule="exact" w:val="379"/>
          <w:jc w:val="center"/>
        </w:trPr>
        <w:tc>
          <w:tcPr>
            <w:tcW w:w="1003" w:type="pct"/>
            <w:tcBorders>
              <w:top w:val="single" w:sz="6" w:space="0" w:color="auto"/>
              <w:left w:val="single" w:sz="6" w:space="0" w:color="auto"/>
              <w:bottom w:val="single" w:sz="6" w:space="0" w:color="auto"/>
              <w:right w:val="single" w:sz="6" w:space="0" w:color="auto"/>
            </w:tcBorders>
            <w:vAlign w:val="center"/>
          </w:tcPr>
          <w:p w14:paraId="6EE0FB9B" w14:textId="77777777" w:rsidR="008A3252" w:rsidRDefault="008A3252" w:rsidP="009B153D">
            <w:pPr>
              <w:pStyle w:val="Style"/>
              <w:ind w:left="293"/>
              <w:textAlignment w:val="baseline"/>
            </w:pPr>
            <w:r>
              <w:rPr>
                <w:sz w:val="20"/>
                <w:szCs w:val="20"/>
              </w:rPr>
              <w:t xml:space="preserve">4 (Severe) </w:t>
            </w:r>
          </w:p>
        </w:tc>
        <w:tc>
          <w:tcPr>
            <w:tcW w:w="1074" w:type="pct"/>
            <w:gridSpan w:val="2"/>
            <w:tcBorders>
              <w:top w:val="single" w:sz="6" w:space="0" w:color="auto"/>
              <w:left w:val="single" w:sz="6" w:space="0" w:color="auto"/>
              <w:bottom w:val="single" w:sz="6" w:space="0" w:color="auto"/>
              <w:right w:val="single" w:sz="6" w:space="0" w:color="auto"/>
            </w:tcBorders>
            <w:vAlign w:val="center"/>
          </w:tcPr>
          <w:p w14:paraId="48215162" w14:textId="77777777" w:rsidR="008A3252" w:rsidRDefault="008A3252" w:rsidP="009B153D">
            <w:pPr>
              <w:pStyle w:val="Style"/>
              <w:ind w:left="14"/>
              <w:jc w:val="center"/>
              <w:textAlignment w:val="baseline"/>
            </w:pPr>
            <w:r>
              <w:rPr>
                <w:sz w:val="20"/>
                <w:szCs w:val="20"/>
              </w:rPr>
              <w:t xml:space="preserve">28 (33.7) </w:t>
            </w:r>
          </w:p>
        </w:tc>
        <w:tc>
          <w:tcPr>
            <w:tcW w:w="1039" w:type="pct"/>
            <w:tcBorders>
              <w:top w:val="single" w:sz="6" w:space="0" w:color="auto"/>
              <w:left w:val="single" w:sz="6" w:space="0" w:color="auto"/>
              <w:bottom w:val="single" w:sz="6" w:space="0" w:color="auto"/>
              <w:right w:val="single" w:sz="6" w:space="0" w:color="auto"/>
            </w:tcBorders>
            <w:vAlign w:val="center"/>
          </w:tcPr>
          <w:p w14:paraId="413C01FB" w14:textId="77777777" w:rsidR="008A3252" w:rsidRDefault="008A3252" w:rsidP="009B153D">
            <w:pPr>
              <w:pStyle w:val="Style"/>
              <w:ind w:left="24"/>
              <w:jc w:val="center"/>
              <w:textAlignment w:val="baseline"/>
            </w:pPr>
            <w:r>
              <w:rPr>
                <w:sz w:val="20"/>
                <w:szCs w:val="20"/>
              </w:rPr>
              <w:t xml:space="preserve">119 (37.1) </w:t>
            </w:r>
          </w:p>
        </w:tc>
        <w:tc>
          <w:tcPr>
            <w:tcW w:w="988" w:type="pct"/>
            <w:tcBorders>
              <w:top w:val="single" w:sz="6" w:space="0" w:color="auto"/>
              <w:left w:val="single" w:sz="6" w:space="0" w:color="auto"/>
              <w:bottom w:val="single" w:sz="6" w:space="0" w:color="auto"/>
              <w:right w:val="single" w:sz="6" w:space="0" w:color="auto"/>
            </w:tcBorders>
            <w:vAlign w:val="center"/>
          </w:tcPr>
          <w:p w14:paraId="3624CACF" w14:textId="77777777" w:rsidR="008A3252" w:rsidRDefault="008A3252" w:rsidP="009B153D">
            <w:pPr>
              <w:pStyle w:val="Style"/>
              <w:ind w:left="24"/>
              <w:jc w:val="center"/>
              <w:textAlignment w:val="baseline"/>
            </w:pPr>
            <w:r>
              <w:rPr>
                <w:sz w:val="20"/>
                <w:szCs w:val="20"/>
              </w:rPr>
              <w:t xml:space="preserve">66 (40.5) </w:t>
            </w:r>
          </w:p>
        </w:tc>
        <w:tc>
          <w:tcPr>
            <w:tcW w:w="896" w:type="pct"/>
            <w:tcBorders>
              <w:top w:val="single" w:sz="6" w:space="0" w:color="auto"/>
              <w:left w:val="single" w:sz="6" w:space="0" w:color="auto"/>
              <w:bottom w:val="single" w:sz="6" w:space="0" w:color="auto"/>
              <w:right w:val="single" w:sz="6" w:space="0" w:color="auto"/>
            </w:tcBorders>
            <w:vAlign w:val="center"/>
          </w:tcPr>
          <w:p w14:paraId="3C852BC2" w14:textId="77777777" w:rsidR="008A3252" w:rsidRDefault="008A3252" w:rsidP="009B153D">
            <w:pPr>
              <w:pStyle w:val="Style"/>
              <w:ind w:left="19"/>
              <w:jc w:val="center"/>
              <w:textAlignment w:val="baseline"/>
            </w:pPr>
            <w:r>
              <w:rPr>
                <w:sz w:val="20"/>
                <w:szCs w:val="20"/>
              </w:rPr>
              <w:t xml:space="preserve">213 (37.6) </w:t>
            </w:r>
          </w:p>
        </w:tc>
      </w:tr>
      <w:tr w:rsidR="008A3252" w14:paraId="498CC311" w14:textId="77777777" w:rsidTr="008A3252">
        <w:trPr>
          <w:trHeight w:hRule="exact" w:val="398"/>
          <w:jc w:val="center"/>
        </w:trPr>
        <w:tc>
          <w:tcPr>
            <w:tcW w:w="5000" w:type="pct"/>
            <w:gridSpan w:val="6"/>
            <w:tcBorders>
              <w:top w:val="single" w:sz="6" w:space="0" w:color="auto"/>
              <w:left w:val="single" w:sz="6" w:space="0" w:color="auto"/>
              <w:bottom w:val="single" w:sz="6" w:space="0" w:color="auto"/>
              <w:right w:val="single" w:sz="6" w:space="0" w:color="auto"/>
            </w:tcBorders>
            <w:vAlign w:val="center"/>
          </w:tcPr>
          <w:p w14:paraId="10DB565C" w14:textId="089FA633" w:rsidR="008A3252" w:rsidRDefault="008A3252" w:rsidP="008A3252">
            <w:pPr>
              <w:pStyle w:val="Style"/>
              <w:ind w:left="115"/>
              <w:textAlignment w:val="baseline"/>
            </w:pPr>
            <w:r>
              <w:rPr>
                <w:sz w:val="20"/>
                <w:szCs w:val="20"/>
              </w:rPr>
              <w:t>PASI score, n (%)</w:t>
            </w:r>
          </w:p>
        </w:tc>
      </w:tr>
      <w:tr w:rsidR="008A3252" w14:paraId="7BBFF99D" w14:textId="77777777" w:rsidTr="008A3252">
        <w:trPr>
          <w:trHeight w:hRule="exact" w:val="384"/>
          <w:jc w:val="center"/>
        </w:trPr>
        <w:tc>
          <w:tcPr>
            <w:tcW w:w="1003" w:type="pct"/>
            <w:tcBorders>
              <w:top w:val="single" w:sz="6" w:space="0" w:color="auto"/>
              <w:left w:val="single" w:sz="6" w:space="0" w:color="auto"/>
              <w:bottom w:val="single" w:sz="6" w:space="0" w:color="auto"/>
              <w:right w:val="single" w:sz="6" w:space="0" w:color="auto"/>
            </w:tcBorders>
            <w:vAlign w:val="center"/>
          </w:tcPr>
          <w:p w14:paraId="38242D21" w14:textId="77777777" w:rsidR="008A3252" w:rsidRDefault="008A3252" w:rsidP="009B153D">
            <w:pPr>
              <w:pStyle w:val="Style"/>
              <w:ind w:left="293"/>
              <w:textAlignment w:val="baseline"/>
            </w:pPr>
            <w:r>
              <w:rPr>
                <w:sz w:val="20"/>
                <w:szCs w:val="20"/>
              </w:rPr>
              <w:t xml:space="preserve">&lt;20 </w:t>
            </w:r>
          </w:p>
        </w:tc>
        <w:tc>
          <w:tcPr>
            <w:tcW w:w="1074" w:type="pct"/>
            <w:gridSpan w:val="2"/>
            <w:tcBorders>
              <w:top w:val="single" w:sz="6" w:space="0" w:color="auto"/>
              <w:left w:val="single" w:sz="6" w:space="0" w:color="auto"/>
              <w:bottom w:val="single" w:sz="6" w:space="0" w:color="auto"/>
              <w:right w:val="single" w:sz="6" w:space="0" w:color="auto"/>
            </w:tcBorders>
            <w:vAlign w:val="center"/>
          </w:tcPr>
          <w:p w14:paraId="5EE42F8A" w14:textId="77777777" w:rsidR="008A3252" w:rsidRDefault="008A3252" w:rsidP="009B153D">
            <w:pPr>
              <w:pStyle w:val="Style"/>
              <w:ind w:left="14"/>
              <w:jc w:val="center"/>
              <w:textAlignment w:val="baseline"/>
            </w:pPr>
            <w:r>
              <w:rPr>
                <w:sz w:val="20"/>
                <w:szCs w:val="20"/>
              </w:rPr>
              <w:t xml:space="preserve">54(65.1) </w:t>
            </w:r>
          </w:p>
        </w:tc>
        <w:tc>
          <w:tcPr>
            <w:tcW w:w="1039" w:type="pct"/>
            <w:tcBorders>
              <w:top w:val="single" w:sz="6" w:space="0" w:color="auto"/>
              <w:left w:val="single" w:sz="6" w:space="0" w:color="auto"/>
              <w:bottom w:val="single" w:sz="6" w:space="0" w:color="auto"/>
              <w:right w:val="single" w:sz="6" w:space="0" w:color="auto"/>
            </w:tcBorders>
            <w:vAlign w:val="center"/>
          </w:tcPr>
          <w:p w14:paraId="7300B831" w14:textId="77777777" w:rsidR="008A3252" w:rsidRDefault="008A3252" w:rsidP="009B153D">
            <w:pPr>
              <w:pStyle w:val="Style"/>
              <w:ind w:left="24"/>
              <w:jc w:val="center"/>
              <w:textAlignment w:val="baseline"/>
            </w:pPr>
            <w:r>
              <w:rPr>
                <w:sz w:val="20"/>
                <w:szCs w:val="20"/>
              </w:rPr>
              <w:t xml:space="preserve">170 (53.0) </w:t>
            </w:r>
          </w:p>
        </w:tc>
        <w:tc>
          <w:tcPr>
            <w:tcW w:w="988" w:type="pct"/>
            <w:tcBorders>
              <w:top w:val="single" w:sz="6" w:space="0" w:color="auto"/>
              <w:left w:val="single" w:sz="6" w:space="0" w:color="auto"/>
              <w:bottom w:val="single" w:sz="6" w:space="0" w:color="auto"/>
              <w:right w:val="single" w:sz="6" w:space="0" w:color="auto"/>
            </w:tcBorders>
            <w:vAlign w:val="center"/>
          </w:tcPr>
          <w:p w14:paraId="7DA721B0" w14:textId="77777777" w:rsidR="008A3252" w:rsidRDefault="008A3252" w:rsidP="009B153D">
            <w:pPr>
              <w:pStyle w:val="Style"/>
              <w:ind w:left="24"/>
              <w:jc w:val="center"/>
              <w:textAlignment w:val="baseline"/>
            </w:pPr>
            <w:r>
              <w:rPr>
                <w:sz w:val="20"/>
                <w:szCs w:val="20"/>
              </w:rPr>
              <w:t xml:space="preserve">102 (62.6) </w:t>
            </w:r>
          </w:p>
        </w:tc>
        <w:tc>
          <w:tcPr>
            <w:tcW w:w="896" w:type="pct"/>
            <w:tcBorders>
              <w:top w:val="single" w:sz="6" w:space="0" w:color="auto"/>
              <w:left w:val="single" w:sz="6" w:space="0" w:color="auto"/>
              <w:bottom w:val="single" w:sz="6" w:space="0" w:color="auto"/>
              <w:right w:val="single" w:sz="6" w:space="0" w:color="auto"/>
            </w:tcBorders>
            <w:vAlign w:val="center"/>
          </w:tcPr>
          <w:p w14:paraId="0FC460BD" w14:textId="77777777" w:rsidR="008A3252" w:rsidRDefault="008A3252" w:rsidP="009B153D">
            <w:pPr>
              <w:pStyle w:val="Style"/>
              <w:ind w:left="19"/>
              <w:jc w:val="center"/>
              <w:textAlignment w:val="baseline"/>
            </w:pPr>
            <w:r>
              <w:rPr>
                <w:sz w:val="20"/>
                <w:szCs w:val="20"/>
              </w:rPr>
              <w:t xml:space="preserve">326 (57.5) </w:t>
            </w:r>
          </w:p>
        </w:tc>
      </w:tr>
      <w:tr w:rsidR="008A3252" w14:paraId="2F10C890" w14:textId="77777777" w:rsidTr="008A3252">
        <w:trPr>
          <w:trHeight w:hRule="exact" w:val="384"/>
          <w:jc w:val="center"/>
        </w:trPr>
        <w:tc>
          <w:tcPr>
            <w:tcW w:w="1003" w:type="pct"/>
            <w:tcBorders>
              <w:top w:val="single" w:sz="6" w:space="0" w:color="auto"/>
              <w:left w:val="single" w:sz="6" w:space="0" w:color="auto"/>
              <w:bottom w:val="single" w:sz="6" w:space="0" w:color="auto"/>
              <w:right w:val="single" w:sz="6" w:space="0" w:color="auto"/>
            </w:tcBorders>
            <w:vAlign w:val="center"/>
          </w:tcPr>
          <w:p w14:paraId="0ED7FCC4" w14:textId="77777777" w:rsidR="008A3252" w:rsidRDefault="008A3252" w:rsidP="009B153D">
            <w:pPr>
              <w:pStyle w:val="Style"/>
              <w:ind w:left="293"/>
              <w:textAlignment w:val="baseline"/>
            </w:pPr>
            <w:r>
              <w:rPr>
                <w:sz w:val="20"/>
                <w:szCs w:val="20"/>
              </w:rPr>
              <w:t xml:space="preserve">220 </w:t>
            </w:r>
          </w:p>
        </w:tc>
        <w:tc>
          <w:tcPr>
            <w:tcW w:w="1074" w:type="pct"/>
            <w:gridSpan w:val="2"/>
            <w:tcBorders>
              <w:top w:val="single" w:sz="6" w:space="0" w:color="auto"/>
              <w:left w:val="single" w:sz="6" w:space="0" w:color="auto"/>
              <w:bottom w:val="single" w:sz="6" w:space="0" w:color="auto"/>
              <w:right w:val="single" w:sz="6" w:space="0" w:color="auto"/>
            </w:tcBorders>
            <w:vAlign w:val="center"/>
          </w:tcPr>
          <w:p w14:paraId="0F08A114" w14:textId="77777777" w:rsidR="008A3252" w:rsidRDefault="008A3252" w:rsidP="009B153D">
            <w:pPr>
              <w:pStyle w:val="Style"/>
              <w:ind w:left="14"/>
              <w:jc w:val="center"/>
              <w:textAlignment w:val="baseline"/>
            </w:pPr>
            <w:r>
              <w:rPr>
                <w:sz w:val="20"/>
                <w:szCs w:val="20"/>
              </w:rPr>
              <w:t xml:space="preserve">29 (34.9) </w:t>
            </w:r>
          </w:p>
        </w:tc>
        <w:tc>
          <w:tcPr>
            <w:tcW w:w="1039" w:type="pct"/>
            <w:tcBorders>
              <w:top w:val="single" w:sz="6" w:space="0" w:color="auto"/>
              <w:left w:val="single" w:sz="6" w:space="0" w:color="auto"/>
              <w:bottom w:val="single" w:sz="6" w:space="0" w:color="auto"/>
              <w:right w:val="single" w:sz="6" w:space="0" w:color="auto"/>
            </w:tcBorders>
            <w:vAlign w:val="center"/>
          </w:tcPr>
          <w:p w14:paraId="591846BE" w14:textId="77777777" w:rsidR="008A3252" w:rsidRDefault="008A3252" w:rsidP="009B153D">
            <w:pPr>
              <w:pStyle w:val="Style"/>
              <w:ind w:left="24"/>
              <w:jc w:val="center"/>
              <w:textAlignment w:val="baseline"/>
            </w:pPr>
            <w:r>
              <w:rPr>
                <w:sz w:val="20"/>
                <w:szCs w:val="20"/>
              </w:rPr>
              <w:t xml:space="preserve">151 (47.0) </w:t>
            </w:r>
          </w:p>
        </w:tc>
        <w:tc>
          <w:tcPr>
            <w:tcW w:w="988" w:type="pct"/>
            <w:tcBorders>
              <w:top w:val="single" w:sz="6" w:space="0" w:color="auto"/>
              <w:left w:val="single" w:sz="6" w:space="0" w:color="auto"/>
              <w:bottom w:val="single" w:sz="6" w:space="0" w:color="auto"/>
              <w:right w:val="single" w:sz="6" w:space="0" w:color="auto"/>
            </w:tcBorders>
            <w:vAlign w:val="center"/>
          </w:tcPr>
          <w:p w14:paraId="135ED5FF" w14:textId="77777777" w:rsidR="008A3252" w:rsidRDefault="008A3252" w:rsidP="009B153D">
            <w:pPr>
              <w:pStyle w:val="Style"/>
              <w:ind w:left="24"/>
              <w:jc w:val="center"/>
              <w:textAlignment w:val="baseline"/>
            </w:pPr>
            <w:r>
              <w:rPr>
                <w:sz w:val="20"/>
                <w:szCs w:val="20"/>
              </w:rPr>
              <w:t xml:space="preserve">60 (36.8) </w:t>
            </w:r>
          </w:p>
        </w:tc>
        <w:tc>
          <w:tcPr>
            <w:tcW w:w="896" w:type="pct"/>
            <w:tcBorders>
              <w:top w:val="single" w:sz="6" w:space="0" w:color="auto"/>
              <w:left w:val="single" w:sz="6" w:space="0" w:color="auto"/>
              <w:bottom w:val="single" w:sz="6" w:space="0" w:color="auto"/>
              <w:right w:val="single" w:sz="6" w:space="0" w:color="auto"/>
            </w:tcBorders>
            <w:vAlign w:val="center"/>
          </w:tcPr>
          <w:p w14:paraId="38444B7D" w14:textId="77777777" w:rsidR="008A3252" w:rsidRDefault="008A3252" w:rsidP="009B153D">
            <w:pPr>
              <w:pStyle w:val="Style"/>
              <w:ind w:left="19"/>
              <w:jc w:val="center"/>
              <w:textAlignment w:val="baseline"/>
            </w:pPr>
            <w:r>
              <w:rPr>
                <w:sz w:val="20"/>
                <w:szCs w:val="20"/>
              </w:rPr>
              <w:t xml:space="preserve">240 (42.3) </w:t>
            </w:r>
          </w:p>
        </w:tc>
      </w:tr>
      <w:tr w:rsidR="008A3252" w14:paraId="3586AA8D" w14:textId="77777777" w:rsidTr="008A3252">
        <w:trPr>
          <w:trHeight w:hRule="exact" w:val="389"/>
          <w:jc w:val="center"/>
        </w:trPr>
        <w:tc>
          <w:tcPr>
            <w:tcW w:w="1003" w:type="pct"/>
            <w:tcBorders>
              <w:top w:val="single" w:sz="6" w:space="0" w:color="auto"/>
              <w:left w:val="single" w:sz="6" w:space="0" w:color="auto"/>
              <w:bottom w:val="single" w:sz="6" w:space="0" w:color="auto"/>
              <w:right w:val="single" w:sz="6" w:space="0" w:color="auto"/>
            </w:tcBorders>
            <w:vAlign w:val="center"/>
          </w:tcPr>
          <w:p w14:paraId="31EB0119" w14:textId="77777777" w:rsidR="008A3252" w:rsidRDefault="008A3252" w:rsidP="009B153D">
            <w:pPr>
              <w:pStyle w:val="Style"/>
              <w:ind w:left="293"/>
              <w:textAlignment w:val="baseline"/>
            </w:pPr>
            <w:r>
              <w:rPr>
                <w:sz w:val="20"/>
                <w:szCs w:val="20"/>
              </w:rPr>
              <w:t xml:space="preserve">Missing </w:t>
            </w:r>
          </w:p>
        </w:tc>
        <w:tc>
          <w:tcPr>
            <w:tcW w:w="1074" w:type="pct"/>
            <w:gridSpan w:val="2"/>
            <w:tcBorders>
              <w:top w:val="single" w:sz="6" w:space="0" w:color="auto"/>
              <w:left w:val="single" w:sz="6" w:space="0" w:color="auto"/>
              <w:bottom w:val="single" w:sz="6" w:space="0" w:color="auto"/>
              <w:right w:val="single" w:sz="6" w:space="0" w:color="auto"/>
            </w:tcBorders>
            <w:vAlign w:val="center"/>
          </w:tcPr>
          <w:p w14:paraId="1F95EC2F" w14:textId="77777777" w:rsidR="008A3252" w:rsidRDefault="008A3252" w:rsidP="009B153D">
            <w:pPr>
              <w:pStyle w:val="Style"/>
              <w:ind w:left="14"/>
              <w:jc w:val="center"/>
              <w:textAlignment w:val="baseline"/>
            </w:pPr>
            <w:r>
              <w:rPr>
                <w:sz w:val="20"/>
                <w:szCs w:val="20"/>
              </w:rPr>
              <w:t xml:space="preserve">0 </w:t>
            </w:r>
          </w:p>
        </w:tc>
        <w:tc>
          <w:tcPr>
            <w:tcW w:w="1039" w:type="pct"/>
            <w:tcBorders>
              <w:top w:val="single" w:sz="6" w:space="0" w:color="auto"/>
              <w:left w:val="single" w:sz="6" w:space="0" w:color="auto"/>
              <w:bottom w:val="single" w:sz="6" w:space="0" w:color="auto"/>
              <w:right w:val="single" w:sz="6" w:space="0" w:color="auto"/>
            </w:tcBorders>
            <w:vAlign w:val="center"/>
          </w:tcPr>
          <w:p w14:paraId="55928138" w14:textId="77777777" w:rsidR="008A3252" w:rsidRDefault="008A3252" w:rsidP="009B153D">
            <w:pPr>
              <w:pStyle w:val="Style"/>
              <w:ind w:left="24"/>
              <w:jc w:val="center"/>
              <w:textAlignment w:val="baseline"/>
            </w:pPr>
            <w:r>
              <w:rPr>
                <w:sz w:val="20"/>
                <w:szCs w:val="20"/>
              </w:rPr>
              <w:t xml:space="preserve">0 </w:t>
            </w:r>
          </w:p>
        </w:tc>
        <w:tc>
          <w:tcPr>
            <w:tcW w:w="988" w:type="pct"/>
            <w:tcBorders>
              <w:top w:val="single" w:sz="6" w:space="0" w:color="auto"/>
              <w:left w:val="single" w:sz="6" w:space="0" w:color="auto"/>
              <w:bottom w:val="single" w:sz="6" w:space="0" w:color="auto"/>
              <w:right w:val="single" w:sz="6" w:space="0" w:color="auto"/>
            </w:tcBorders>
            <w:vAlign w:val="center"/>
          </w:tcPr>
          <w:p w14:paraId="70741962" w14:textId="77777777" w:rsidR="008A3252" w:rsidRDefault="008A3252" w:rsidP="009B153D">
            <w:pPr>
              <w:pStyle w:val="Style"/>
              <w:ind w:left="24"/>
              <w:jc w:val="center"/>
              <w:textAlignment w:val="baseline"/>
            </w:pPr>
            <w:r>
              <w:rPr>
                <w:b/>
                <w:w w:val="64"/>
                <w:sz w:val="22"/>
                <w:szCs w:val="22"/>
              </w:rPr>
              <w:t xml:space="preserve">1 </w:t>
            </w:r>
            <w:r>
              <w:rPr>
                <w:sz w:val="20"/>
                <w:szCs w:val="20"/>
              </w:rPr>
              <w:t xml:space="preserve">(0.6) </w:t>
            </w:r>
          </w:p>
        </w:tc>
        <w:tc>
          <w:tcPr>
            <w:tcW w:w="896" w:type="pct"/>
            <w:tcBorders>
              <w:top w:val="single" w:sz="6" w:space="0" w:color="auto"/>
              <w:left w:val="single" w:sz="6" w:space="0" w:color="auto"/>
              <w:bottom w:val="single" w:sz="6" w:space="0" w:color="auto"/>
              <w:right w:val="single" w:sz="6" w:space="0" w:color="auto"/>
            </w:tcBorders>
            <w:vAlign w:val="center"/>
          </w:tcPr>
          <w:p w14:paraId="30FEAEDA" w14:textId="77777777" w:rsidR="008A3252" w:rsidRDefault="008A3252" w:rsidP="009B153D">
            <w:pPr>
              <w:pStyle w:val="Style"/>
              <w:ind w:left="19"/>
              <w:jc w:val="center"/>
              <w:textAlignment w:val="baseline"/>
            </w:pPr>
            <w:r>
              <w:rPr>
                <w:b/>
                <w:w w:val="64"/>
                <w:sz w:val="22"/>
                <w:szCs w:val="22"/>
              </w:rPr>
              <w:t xml:space="preserve">1 </w:t>
            </w:r>
            <w:r>
              <w:rPr>
                <w:sz w:val="20"/>
                <w:szCs w:val="20"/>
              </w:rPr>
              <w:t xml:space="preserve">(0.2) </w:t>
            </w:r>
          </w:p>
        </w:tc>
      </w:tr>
      <w:tr w:rsidR="008A3252" w14:paraId="0DAE38EC" w14:textId="77777777" w:rsidTr="008A3252">
        <w:trPr>
          <w:trHeight w:hRule="exact" w:val="389"/>
          <w:jc w:val="center"/>
        </w:trPr>
        <w:tc>
          <w:tcPr>
            <w:tcW w:w="5000" w:type="pct"/>
            <w:gridSpan w:val="6"/>
            <w:tcBorders>
              <w:top w:val="single" w:sz="6" w:space="0" w:color="auto"/>
              <w:left w:val="single" w:sz="6" w:space="0" w:color="auto"/>
              <w:bottom w:val="single" w:sz="6" w:space="0" w:color="auto"/>
              <w:right w:val="single" w:sz="6" w:space="0" w:color="auto"/>
            </w:tcBorders>
            <w:vAlign w:val="center"/>
          </w:tcPr>
          <w:p w14:paraId="13FA8ADF" w14:textId="67408714" w:rsidR="008A3252" w:rsidRDefault="008A3252" w:rsidP="008A3252">
            <w:pPr>
              <w:pStyle w:val="Style"/>
              <w:ind w:left="110"/>
              <w:textAlignment w:val="baseline"/>
            </w:pPr>
            <w:r>
              <w:rPr>
                <w:sz w:val="20"/>
                <w:szCs w:val="20"/>
              </w:rPr>
              <w:t>Nail involvement, n (%)</w:t>
            </w:r>
          </w:p>
        </w:tc>
      </w:tr>
      <w:tr w:rsidR="008A3252" w14:paraId="2403D499" w14:textId="77777777" w:rsidTr="008A3252">
        <w:trPr>
          <w:trHeight w:hRule="exact" w:val="394"/>
          <w:jc w:val="center"/>
        </w:trPr>
        <w:tc>
          <w:tcPr>
            <w:tcW w:w="1003" w:type="pct"/>
            <w:tcBorders>
              <w:top w:val="single" w:sz="6" w:space="0" w:color="auto"/>
              <w:left w:val="single" w:sz="6" w:space="0" w:color="auto"/>
              <w:bottom w:val="single" w:sz="6" w:space="0" w:color="auto"/>
              <w:right w:val="single" w:sz="6" w:space="0" w:color="auto"/>
            </w:tcBorders>
            <w:vAlign w:val="center"/>
          </w:tcPr>
          <w:p w14:paraId="6FCA7A24" w14:textId="77777777" w:rsidR="008A3252" w:rsidRDefault="008A3252" w:rsidP="009B153D">
            <w:pPr>
              <w:pStyle w:val="Style"/>
              <w:ind w:left="293"/>
              <w:textAlignment w:val="baseline"/>
            </w:pPr>
            <w:r>
              <w:rPr>
                <w:sz w:val="20"/>
                <w:szCs w:val="20"/>
              </w:rPr>
              <w:t xml:space="preserve">Yes </w:t>
            </w:r>
          </w:p>
        </w:tc>
        <w:tc>
          <w:tcPr>
            <w:tcW w:w="1074" w:type="pct"/>
            <w:gridSpan w:val="2"/>
            <w:tcBorders>
              <w:top w:val="single" w:sz="6" w:space="0" w:color="auto"/>
              <w:left w:val="single" w:sz="6" w:space="0" w:color="auto"/>
              <w:bottom w:val="single" w:sz="6" w:space="0" w:color="auto"/>
              <w:right w:val="single" w:sz="6" w:space="0" w:color="auto"/>
            </w:tcBorders>
            <w:vAlign w:val="center"/>
          </w:tcPr>
          <w:p w14:paraId="45BCB110" w14:textId="77777777" w:rsidR="008A3252" w:rsidRDefault="008A3252" w:rsidP="009B153D">
            <w:pPr>
              <w:pStyle w:val="Style"/>
              <w:ind w:left="14"/>
              <w:jc w:val="center"/>
              <w:textAlignment w:val="baseline"/>
            </w:pPr>
            <w:r>
              <w:rPr>
                <w:sz w:val="20"/>
                <w:szCs w:val="20"/>
              </w:rPr>
              <w:t xml:space="preserve">51 (61.4) </w:t>
            </w:r>
          </w:p>
        </w:tc>
        <w:tc>
          <w:tcPr>
            <w:tcW w:w="1039" w:type="pct"/>
            <w:tcBorders>
              <w:top w:val="single" w:sz="6" w:space="0" w:color="auto"/>
              <w:left w:val="single" w:sz="6" w:space="0" w:color="auto"/>
              <w:bottom w:val="single" w:sz="6" w:space="0" w:color="auto"/>
              <w:right w:val="single" w:sz="6" w:space="0" w:color="auto"/>
            </w:tcBorders>
            <w:vAlign w:val="center"/>
          </w:tcPr>
          <w:p w14:paraId="72E1818F" w14:textId="77777777" w:rsidR="008A3252" w:rsidRDefault="008A3252" w:rsidP="009B153D">
            <w:pPr>
              <w:pStyle w:val="Style"/>
              <w:ind w:left="24"/>
              <w:jc w:val="center"/>
              <w:textAlignment w:val="baseline"/>
            </w:pPr>
            <w:r>
              <w:rPr>
                <w:sz w:val="20"/>
                <w:szCs w:val="20"/>
              </w:rPr>
              <w:t xml:space="preserve">194 (60.4) </w:t>
            </w:r>
          </w:p>
        </w:tc>
        <w:tc>
          <w:tcPr>
            <w:tcW w:w="988" w:type="pct"/>
            <w:tcBorders>
              <w:top w:val="single" w:sz="6" w:space="0" w:color="auto"/>
              <w:left w:val="single" w:sz="6" w:space="0" w:color="auto"/>
              <w:bottom w:val="single" w:sz="6" w:space="0" w:color="auto"/>
              <w:right w:val="single" w:sz="6" w:space="0" w:color="auto"/>
            </w:tcBorders>
            <w:vAlign w:val="center"/>
          </w:tcPr>
          <w:p w14:paraId="5034477B" w14:textId="77777777" w:rsidR="008A3252" w:rsidRDefault="008A3252" w:rsidP="009B153D">
            <w:pPr>
              <w:pStyle w:val="Style"/>
              <w:ind w:left="24"/>
              <w:jc w:val="center"/>
              <w:textAlignment w:val="baseline"/>
            </w:pPr>
            <w:r>
              <w:rPr>
                <w:sz w:val="20"/>
                <w:szCs w:val="20"/>
              </w:rPr>
              <w:t xml:space="preserve">109 (66.9) </w:t>
            </w:r>
          </w:p>
        </w:tc>
        <w:tc>
          <w:tcPr>
            <w:tcW w:w="896" w:type="pct"/>
            <w:tcBorders>
              <w:top w:val="single" w:sz="6" w:space="0" w:color="auto"/>
              <w:left w:val="single" w:sz="6" w:space="0" w:color="auto"/>
              <w:bottom w:val="single" w:sz="6" w:space="0" w:color="auto"/>
              <w:right w:val="single" w:sz="6" w:space="0" w:color="auto"/>
            </w:tcBorders>
            <w:vAlign w:val="center"/>
          </w:tcPr>
          <w:p w14:paraId="00A70F55" w14:textId="77777777" w:rsidR="008A3252" w:rsidRDefault="008A3252" w:rsidP="009B153D">
            <w:pPr>
              <w:pStyle w:val="Style"/>
              <w:ind w:left="19"/>
              <w:jc w:val="center"/>
              <w:textAlignment w:val="baseline"/>
            </w:pPr>
            <w:r>
              <w:rPr>
                <w:sz w:val="20"/>
                <w:szCs w:val="20"/>
              </w:rPr>
              <w:t xml:space="preserve">354 (62.4) </w:t>
            </w:r>
          </w:p>
        </w:tc>
      </w:tr>
      <w:tr w:rsidR="008A3252" w14:paraId="7C0848BE" w14:textId="77777777" w:rsidTr="008A3252">
        <w:trPr>
          <w:trHeight w:hRule="exact" w:val="379"/>
          <w:jc w:val="center"/>
        </w:trPr>
        <w:tc>
          <w:tcPr>
            <w:tcW w:w="1003" w:type="pct"/>
            <w:tcBorders>
              <w:top w:val="single" w:sz="6" w:space="0" w:color="auto"/>
              <w:left w:val="single" w:sz="6" w:space="0" w:color="auto"/>
              <w:bottom w:val="single" w:sz="6" w:space="0" w:color="auto"/>
              <w:right w:val="single" w:sz="6" w:space="0" w:color="auto"/>
            </w:tcBorders>
            <w:vAlign w:val="center"/>
          </w:tcPr>
          <w:p w14:paraId="41FFA536" w14:textId="77777777" w:rsidR="008A3252" w:rsidRDefault="008A3252" w:rsidP="009B153D">
            <w:pPr>
              <w:pStyle w:val="Style"/>
              <w:ind w:left="293"/>
              <w:textAlignment w:val="baseline"/>
            </w:pPr>
            <w:r>
              <w:rPr>
                <w:sz w:val="20"/>
                <w:szCs w:val="20"/>
              </w:rPr>
              <w:t xml:space="preserve">No </w:t>
            </w:r>
          </w:p>
        </w:tc>
        <w:tc>
          <w:tcPr>
            <w:tcW w:w="1074" w:type="pct"/>
            <w:gridSpan w:val="2"/>
            <w:tcBorders>
              <w:top w:val="single" w:sz="6" w:space="0" w:color="auto"/>
              <w:left w:val="single" w:sz="6" w:space="0" w:color="auto"/>
              <w:bottom w:val="single" w:sz="6" w:space="0" w:color="auto"/>
              <w:right w:val="single" w:sz="6" w:space="0" w:color="auto"/>
            </w:tcBorders>
            <w:vAlign w:val="center"/>
          </w:tcPr>
          <w:p w14:paraId="0771CD5E" w14:textId="77777777" w:rsidR="008A3252" w:rsidRDefault="008A3252" w:rsidP="009B153D">
            <w:pPr>
              <w:pStyle w:val="Style"/>
              <w:ind w:left="14"/>
              <w:jc w:val="center"/>
              <w:textAlignment w:val="baseline"/>
            </w:pPr>
            <w:r>
              <w:rPr>
                <w:sz w:val="20"/>
                <w:szCs w:val="20"/>
              </w:rPr>
              <w:t xml:space="preserve">32 (38.6) </w:t>
            </w:r>
          </w:p>
        </w:tc>
        <w:tc>
          <w:tcPr>
            <w:tcW w:w="1039" w:type="pct"/>
            <w:tcBorders>
              <w:top w:val="single" w:sz="6" w:space="0" w:color="auto"/>
              <w:left w:val="single" w:sz="6" w:space="0" w:color="auto"/>
              <w:bottom w:val="single" w:sz="6" w:space="0" w:color="auto"/>
              <w:right w:val="single" w:sz="6" w:space="0" w:color="auto"/>
            </w:tcBorders>
            <w:vAlign w:val="center"/>
          </w:tcPr>
          <w:p w14:paraId="33E0488B" w14:textId="77777777" w:rsidR="008A3252" w:rsidRDefault="008A3252" w:rsidP="009B153D">
            <w:pPr>
              <w:pStyle w:val="Style"/>
              <w:ind w:left="24"/>
              <w:jc w:val="center"/>
              <w:textAlignment w:val="baseline"/>
            </w:pPr>
            <w:r>
              <w:rPr>
                <w:sz w:val="20"/>
                <w:szCs w:val="20"/>
              </w:rPr>
              <w:t xml:space="preserve">127 (39.6) </w:t>
            </w:r>
          </w:p>
        </w:tc>
        <w:tc>
          <w:tcPr>
            <w:tcW w:w="988" w:type="pct"/>
            <w:tcBorders>
              <w:top w:val="single" w:sz="6" w:space="0" w:color="auto"/>
              <w:left w:val="single" w:sz="6" w:space="0" w:color="auto"/>
              <w:bottom w:val="single" w:sz="6" w:space="0" w:color="auto"/>
              <w:right w:val="single" w:sz="6" w:space="0" w:color="auto"/>
            </w:tcBorders>
            <w:vAlign w:val="center"/>
          </w:tcPr>
          <w:p w14:paraId="3E4BDB95" w14:textId="77777777" w:rsidR="008A3252" w:rsidRDefault="008A3252" w:rsidP="009B153D">
            <w:pPr>
              <w:pStyle w:val="Style"/>
              <w:ind w:left="24"/>
              <w:jc w:val="center"/>
              <w:textAlignment w:val="baseline"/>
            </w:pPr>
            <w:r>
              <w:rPr>
                <w:sz w:val="20"/>
                <w:szCs w:val="20"/>
              </w:rPr>
              <w:t xml:space="preserve">54(33.1) </w:t>
            </w:r>
          </w:p>
        </w:tc>
        <w:tc>
          <w:tcPr>
            <w:tcW w:w="896" w:type="pct"/>
            <w:tcBorders>
              <w:top w:val="single" w:sz="6" w:space="0" w:color="auto"/>
              <w:left w:val="single" w:sz="6" w:space="0" w:color="auto"/>
              <w:bottom w:val="single" w:sz="6" w:space="0" w:color="auto"/>
              <w:right w:val="single" w:sz="6" w:space="0" w:color="auto"/>
            </w:tcBorders>
            <w:vAlign w:val="center"/>
          </w:tcPr>
          <w:p w14:paraId="7F33A9DC" w14:textId="77777777" w:rsidR="008A3252" w:rsidRDefault="008A3252" w:rsidP="009B153D">
            <w:pPr>
              <w:pStyle w:val="Style"/>
              <w:ind w:left="19"/>
              <w:jc w:val="center"/>
              <w:textAlignment w:val="baseline"/>
            </w:pPr>
            <w:r>
              <w:rPr>
                <w:sz w:val="20"/>
                <w:szCs w:val="20"/>
              </w:rPr>
              <w:t xml:space="preserve">213 (37.6) </w:t>
            </w:r>
          </w:p>
        </w:tc>
      </w:tr>
      <w:tr w:rsidR="008A3252" w14:paraId="5E83BCB9" w14:textId="77777777" w:rsidTr="008A3252">
        <w:trPr>
          <w:trHeight w:hRule="exact" w:val="389"/>
          <w:jc w:val="center"/>
        </w:trPr>
        <w:tc>
          <w:tcPr>
            <w:tcW w:w="5000" w:type="pct"/>
            <w:gridSpan w:val="6"/>
            <w:tcBorders>
              <w:top w:val="single" w:sz="6" w:space="0" w:color="auto"/>
              <w:left w:val="single" w:sz="6" w:space="0" w:color="auto"/>
              <w:bottom w:val="single" w:sz="6" w:space="0" w:color="auto"/>
              <w:right w:val="single" w:sz="6" w:space="0" w:color="auto"/>
            </w:tcBorders>
            <w:vAlign w:val="center"/>
          </w:tcPr>
          <w:p w14:paraId="5B4E1B8C" w14:textId="616DC2DF" w:rsidR="008A3252" w:rsidRDefault="008A3252" w:rsidP="008A3252">
            <w:pPr>
              <w:pStyle w:val="Style"/>
              <w:ind w:left="110"/>
              <w:textAlignment w:val="baseline"/>
            </w:pPr>
            <w:r>
              <w:rPr>
                <w:sz w:val="20"/>
                <w:szCs w:val="20"/>
              </w:rPr>
              <w:t>Scalp involvement, n (%)</w:t>
            </w:r>
          </w:p>
        </w:tc>
      </w:tr>
      <w:tr w:rsidR="008A3252" w14:paraId="240D7898" w14:textId="77777777" w:rsidTr="008A3252">
        <w:trPr>
          <w:trHeight w:hRule="exact" w:val="394"/>
          <w:jc w:val="center"/>
        </w:trPr>
        <w:tc>
          <w:tcPr>
            <w:tcW w:w="1003" w:type="pct"/>
            <w:tcBorders>
              <w:top w:val="single" w:sz="6" w:space="0" w:color="auto"/>
              <w:left w:val="single" w:sz="6" w:space="0" w:color="auto"/>
              <w:bottom w:val="single" w:sz="6" w:space="0" w:color="auto"/>
              <w:right w:val="single" w:sz="6" w:space="0" w:color="auto"/>
            </w:tcBorders>
            <w:vAlign w:val="center"/>
          </w:tcPr>
          <w:p w14:paraId="7EEBF080" w14:textId="77777777" w:rsidR="008A3252" w:rsidRDefault="008A3252" w:rsidP="009B153D">
            <w:pPr>
              <w:pStyle w:val="Style"/>
              <w:ind w:left="293"/>
              <w:textAlignment w:val="baseline"/>
            </w:pPr>
            <w:r>
              <w:rPr>
                <w:sz w:val="20"/>
                <w:szCs w:val="20"/>
              </w:rPr>
              <w:t xml:space="preserve">Yes </w:t>
            </w:r>
          </w:p>
        </w:tc>
        <w:tc>
          <w:tcPr>
            <w:tcW w:w="1074" w:type="pct"/>
            <w:gridSpan w:val="2"/>
            <w:tcBorders>
              <w:top w:val="single" w:sz="6" w:space="0" w:color="auto"/>
              <w:left w:val="single" w:sz="6" w:space="0" w:color="auto"/>
              <w:bottom w:val="single" w:sz="6" w:space="0" w:color="auto"/>
              <w:right w:val="single" w:sz="6" w:space="0" w:color="auto"/>
            </w:tcBorders>
            <w:vAlign w:val="center"/>
          </w:tcPr>
          <w:p w14:paraId="3C7662E6" w14:textId="77777777" w:rsidR="008A3252" w:rsidRDefault="008A3252" w:rsidP="009B153D">
            <w:pPr>
              <w:pStyle w:val="Style"/>
              <w:ind w:left="14"/>
              <w:jc w:val="center"/>
              <w:textAlignment w:val="baseline"/>
            </w:pPr>
            <w:r>
              <w:rPr>
                <w:sz w:val="20"/>
                <w:szCs w:val="20"/>
              </w:rPr>
              <w:t xml:space="preserve">73 (88.0) </w:t>
            </w:r>
          </w:p>
        </w:tc>
        <w:tc>
          <w:tcPr>
            <w:tcW w:w="1039" w:type="pct"/>
            <w:tcBorders>
              <w:top w:val="single" w:sz="6" w:space="0" w:color="auto"/>
              <w:left w:val="single" w:sz="6" w:space="0" w:color="auto"/>
              <w:bottom w:val="single" w:sz="6" w:space="0" w:color="auto"/>
              <w:right w:val="single" w:sz="6" w:space="0" w:color="auto"/>
            </w:tcBorders>
            <w:vAlign w:val="center"/>
          </w:tcPr>
          <w:p w14:paraId="24BCE9E6" w14:textId="77777777" w:rsidR="008A3252" w:rsidRDefault="008A3252" w:rsidP="009B153D">
            <w:pPr>
              <w:pStyle w:val="Style"/>
              <w:ind w:left="24"/>
              <w:jc w:val="center"/>
              <w:textAlignment w:val="baseline"/>
            </w:pPr>
            <w:r>
              <w:rPr>
                <w:sz w:val="20"/>
                <w:szCs w:val="20"/>
              </w:rPr>
              <w:t xml:space="preserve">302 (94.1) </w:t>
            </w:r>
          </w:p>
        </w:tc>
        <w:tc>
          <w:tcPr>
            <w:tcW w:w="988" w:type="pct"/>
            <w:tcBorders>
              <w:top w:val="single" w:sz="6" w:space="0" w:color="auto"/>
              <w:left w:val="single" w:sz="6" w:space="0" w:color="auto"/>
              <w:bottom w:val="single" w:sz="6" w:space="0" w:color="auto"/>
              <w:right w:val="single" w:sz="6" w:space="0" w:color="auto"/>
            </w:tcBorders>
            <w:vAlign w:val="center"/>
          </w:tcPr>
          <w:p w14:paraId="7E65D5F2" w14:textId="77777777" w:rsidR="008A3252" w:rsidRDefault="008A3252" w:rsidP="009B153D">
            <w:pPr>
              <w:pStyle w:val="Style"/>
              <w:ind w:left="24"/>
              <w:jc w:val="center"/>
              <w:textAlignment w:val="baseline"/>
            </w:pPr>
            <w:r>
              <w:rPr>
                <w:sz w:val="20"/>
                <w:szCs w:val="20"/>
              </w:rPr>
              <w:t xml:space="preserve">155 (95.1) </w:t>
            </w:r>
          </w:p>
        </w:tc>
        <w:tc>
          <w:tcPr>
            <w:tcW w:w="896" w:type="pct"/>
            <w:tcBorders>
              <w:top w:val="single" w:sz="6" w:space="0" w:color="auto"/>
              <w:left w:val="single" w:sz="6" w:space="0" w:color="auto"/>
              <w:bottom w:val="single" w:sz="6" w:space="0" w:color="auto"/>
              <w:right w:val="single" w:sz="6" w:space="0" w:color="auto"/>
            </w:tcBorders>
            <w:vAlign w:val="center"/>
          </w:tcPr>
          <w:p w14:paraId="23CDAA5D" w14:textId="77777777" w:rsidR="008A3252" w:rsidRDefault="008A3252" w:rsidP="009B153D">
            <w:pPr>
              <w:pStyle w:val="Style"/>
              <w:ind w:left="19"/>
              <w:jc w:val="center"/>
              <w:textAlignment w:val="baseline"/>
            </w:pPr>
            <w:r>
              <w:rPr>
                <w:sz w:val="20"/>
                <w:szCs w:val="20"/>
              </w:rPr>
              <w:t xml:space="preserve">530 (93.5) </w:t>
            </w:r>
          </w:p>
        </w:tc>
      </w:tr>
      <w:tr w:rsidR="008A3252" w14:paraId="1E23E383" w14:textId="77777777" w:rsidTr="008A3252">
        <w:trPr>
          <w:trHeight w:hRule="exact" w:val="379"/>
          <w:jc w:val="center"/>
        </w:trPr>
        <w:tc>
          <w:tcPr>
            <w:tcW w:w="1003" w:type="pct"/>
            <w:tcBorders>
              <w:top w:val="single" w:sz="6" w:space="0" w:color="auto"/>
              <w:left w:val="single" w:sz="6" w:space="0" w:color="auto"/>
              <w:bottom w:val="single" w:sz="6" w:space="0" w:color="auto"/>
              <w:right w:val="single" w:sz="6" w:space="0" w:color="auto"/>
            </w:tcBorders>
            <w:vAlign w:val="center"/>
          </w:tcPr>
          <w:p w14:paraId="33D82BA6" w14:textId="77777777" w:rsidR="008A3252" w:rsidRDefault="008A3252" w:rsidP="009B153D">
            <w:pPr>
              <w:pStyle w:val="Style"/>
              <w:ind w:left="293"/>
              <w:textAlignment w:val="baseline"/>
            </w:pPr>
            <w:r>
              <w:rPr>
                <w:sz w:val="20"/>
                <w:szCs w:val="20"/>
              </w:rPr>
              <w:t xml:space="preserve">No </w:t>
            </w:r>
          </w:p>
        </w:tc>
        <w:tc>
          <w:tcPr>
            <w:tcW w:w="1074" w:type="pct"/>
            <w:gridSpan w:val="2"/>
            <w:tcBorders>
              <w:top w:val="single" w:sz="6" w:space="0" w:color="auto"/>
              <w:left w:val="single" w:sz="6" w:space="0" w:color="auto"/>
              <w:bottom w:val="single" w:sz="6" w:space="0" w:color="auto"/>
              <w:right w:val="single" w:sz="6" w:space="0" w:color="auto"/>
            </w:tcBorders>
            <w:vAlign w:val="center"/>
          </w:tcPr>
          <w:p w14:paraId="070F3D46" w14:textId="77777777" w:rsidR="008A3252" w:rsidRDefault="008A3252" w:rsidP="009B153D">
            <w:pPr>
              <w:pStyle w:val="Style"/>
              <w:ind w:left="14"/>
              <w:jc w:val="center"/>
              <w:textAlignment w:val="baseline"/>
            </w:pPr>
            <w:r>
              <w:rPr>
                <w:sz w:val="20"/>
                <w:szCs w:val="20"/>
              </w:rPr>
              <w:t xml:space="preserve">10 (12.0) </w:t>
            </w:r>
          </w:p>
        </w:tc>
        <w:tc>
          <w:tcPr>
            <w:tcW w:w="1039" w:type="pct"/>
            <w:tcBorders>
              <w:top w:val="single" w:sz="6" w:space="0" w:color="auto"/>
              <w:left w:val="single" w:sz="6" w:space="0" w:color="auto"/>
              <w:bottom w:val="single" w:sz="6" w:space="0" w:color="auto"/>
              <w:right w:val="single" w:sz="6" w:space="0" w:color="auto"/>
            </w:tcBorders>
            <w:vAlign w:val="center"/>
          </w:tcPr>
          <w:p w14:paraId="6EAE6238" w14:textId="77777777" w:rsidR="008A3252" w:rsidRDefault="008A3252" w:rsidP="009B153D">
            <w:pPr>
              <w:pStyle w:val="Style"/>
              <w:ind w:left="24"/>
              <w:jc w:val="center"/>
              <w:textAlignment w:val="baseline"/>
            </w:pPr>
            <w:r>
              <w:rPr>
                <w:sz w:val="20"/>
                <w:szCs w:val="20"/>
              </w:rPr>
              <w:t xml:space="preserve">19 (5.9) </w:t>
            </w:r>
          </w:p>
        </w:tc>
        <w:tc>
          <w:tcPr>
            <w:tcW w:w="988" w:type="pct"/>
            <w:tcBorders>
              <w:top w:val="single" w:sz="6" w:space="0" w:color="auto"/>
              <w:left w:val="single" w:sz="6" w:space="0" w:color="auto"/>
              <w:bottom w:val="single" w:sz="6" w:space="0" w:color="auto"/>
              <w:right w:val="single" w:sz="6" w:space="0" w:color="auto"/>
            </w:tcBorders>
            <w:vAlign w:val="center"/>
          </w:tcPr>
          <w:p w14:paraId="32FAFC99" w14:textId="77777777" w:rsidR="008A3252" w:rsidRDefault="008A3252" w:rsidP="009B153D">
            <w:pPr>
              <w:pStyle w:val="Style"/>
              <w:ind w:left="24"/>
              <w:jc w:val="center"/>
              <w:textAlignment w:val="baseline"/>
            </w:pPr>
            <w:r>
              <w:rPr>
                <w:sz w:val="20"/>
                <w:szCs w:val="20"/>
              </w:rPr>
              <w:t xml:space="preserve">8 (4.9) </w:t>
            </w:r>
          </w:p>
        </w:tc>
        <w:tc>
          <w:tcPr>
            <w:tcW w:w="896" w:type="pct"/>
            <w:tcBorders>
              <w:top w:val="single" w:sz="6" w:space="0" w:color="auto"/>
              <w:left w:val="single" w:sz="6" w:space="0" w:color="auto"/>
              <w:bottom w:val="single" w:sz="6" w:space="0" w:color="auto"/>
              <w:right w:val="single" w:sz="6" w:space="0" w:color="auto"/>
            </w:tcBorders>
            <w:vAlign w:val="center"/>
          </w:tcPr>
          <w:p w14:paraId="61B955F8" w14:textId="77777777" w:rsidR="008A3252" w:rsidRDefault="008A3252" w:rsidP="009B153D">
            <w:pPr>
              <w:pStyle w:val="Style"/>
              <w:ind w:left="19"/>
              <w:jc w:val="center"/>
              <w:textAlignment w:val="baseline"/>
            </w:pPr>
            <w:r>
              <w:rPr>
                <w:sz w:val="20"/>
                <w:szCs w:val="20"/>
              </w:rPr>
              <w:t xml:space="preserve">37 (6.5) </w:t>
            </w:r>
          </w:p>
        </w:tc>
      </w:tr>
      <w:tr w:rsidR="008A3252" w14:paraId="0A91730C" w14:textId="77777777" w:rsidTr="008A3252">
        <w:trPr>
          <w:trHeight w:hRule="exact" w:val="398"/>
          <w:jc w:val="center"/>
        </w:trPr>
        <w:tc>
          <w:tcPr>
            <w:tcW w:w="5000" w:type="pct"/>
            <w:gridSpan w:val="6"/>
            <w:tcBorders>
              <w:top w:val="single" w:sz="6" w:space="0" w:color="auto"/>
              <w:left w:val="single" w:sz="6" w:space="0" w:color="auto"/>
              <w:bottom w:val="single" w:sz="6" w:space="0" w:color="auto"/>
              <w:right w:val="single" w:sz="6" w:space="0" w:color="auto"/>
            </w:tcBorders>
            <w:vAlign w:val="center"/>
          </w:tcPr>
          <w:p w14:paraId="2C2E62CF" w14:textId="40DF18EC" w:rsidR="008A3252" w:rsidRDefault="008A3252" w:rsidP="008A3252">
            <w:pPr>
              <w:pStyle w:val="Style"/>
              <w:ind w:left="110"/>
              <w:textAlignment w:val="baseline"/>
            </w:pPr>
            <w:r>
              <w:rPr>
                <w:sz w:val="20"/>
                <w:szCs w:val="20"/>
              </w:rPr>
              <w:t>Palmoplantar involvement, n (%)</w:t>
            </w:r>
          </w:p>
        </w:tc>
      </w:tr>
      <w:tr w:rsidR="008A3252" w14:paraId="4A15EDDE" w14:textId="77777777" w:rsidTr="008A3252">
        <w:trPr>
          <w:trHeight w:hRule="exact" w:val="384"/>
          <w:jc w:val="center"/>
        </w:trPr>
        <w:tc>
          <w:tcPr>
            <w:tcW w:w="1003" w:type="pct"/>
            <w:tcBorders>
              <w:top w:val="single" w:sz="6" w:space="0" w:color="auto"/>
              <w:left w:val="single" w:sz="6" w:space="0" w:color="auto"/>
              <w:bottom w:val="single" w:sz="6" w:space="0" w:color="auto"/>
              <w:right w:val="single" w:sz="6" w:space="0" w:color="auto"/>
            </w:tcBorders>
            <w:vAlign w:val="center"/>
          </w:tcPr>
          <w:p w14:paraId="08F750A8" w14:textId="77777777" w:rsidR="008A3252" w:rsidRDefault="008A3252" w:rsidP="009B153D">
            <w:pPr>
              <w:pStyle w:val="Style"/>
              <w:ind w:left="293"/>
              <w:textAlignment w:val="baseline"/>
            </w:pPr>
            <w:r>
              <w:rPr>
                <w:sz w:val="20"/>
                <w:szCs w:val="20"/>
              </w:rPr>
              <w:t xml:space="preserve">Yes </w:t>
            </w:r>
          </w:p>
        </w:tc>
        <w:tc>
          <w:tcPr>
            <w:tcW w:w="1074" w:type="pct"/>
            <w:gridSpan w:val="2"/>
            <w:tcBorders>
              <w:top w:val="single" w:sz="6" w:space="0" w:color="auto"/>
              <w:left w:val="single" w:sz="6" w:space="0" w:color="auto"/>
              <w:bottom w:val="single" w:sz="6" w:space="0" w:color="auto"/>
              <w:right w:val="single" w:sz="6" w:space="0" w:color="auto"/>
            </w:tcBorders>
            <w:vAlign w:val="center"/>
          </w:tcPr>
          <w:p w14:paraId="12DDE07A" w14:textId="77777777" w:rsidR="008A3252" w:rsidRDefault="008A3252" w:rsidP="009B153D">
            <w:pPr>
              <w:pStyle w:val="Style"/>
              <w:ind w:left="14"/>
              <w:jc w:val="center"/>
              <w:textAlignment w:val="baseline"/>
            </w:pPr>
            <w:r>
              <w:rPr>
                <w:sz w:val="20"/>
                <w:szCs w:val="20"/>
              </w:rPr>
              <w:t xml:space="preserve">33 (39.8) </w:t>
            </w:r>
          </w:p>
        </w:tc>
        <w:tc>
          <w:tcPr>
            <w:tcW w:w="1039" w:type="pct"/>
            <w:tcBorders>
              <w:top w:val="single" w:sz="6" w:space="0" w:color="auto"/>
              <w:left w:val="single" w:sz="6" w:space="0" w:color="auto"/>
              <w:bottom w:val="single" w:sz="6" w:space="0" w:color="auto"/>
              <w:right w:val="single" w:sz="6" w:space="0" w:color="auto"/>
            </w:tcBorders>
            <w:vAlign w:val="center"/>
          </w:tcPr>
          <w:p w14:paraId="64F95892" w14:textId="77777777" w:rsidR="008A3252" w:rsidRDefault="008A3252" w:rsidP="009B153D">
            <w:pPr>
              <w:pStyle w:val="Style"/>
              <w:ind w:left="24"/>
              <w:jc w:val="center"/>
              <w:textAlignment w:val="baseline"/>
            </w:pPr>
            <w:r>
              <w:rPr>
                <w:sz w:val="20"/>
                <w:szCs w:val="20"/>
              </w:rPr>
              <w:t xml:space="preserve">129 (40.2) </w:t>
            </w:r>
          </w:p>
        </w:tc>
        <w:tc>
          <w:tcPr>
            <w:tcW w:w="988" w:type="pct"/>
            <w:tcBorders>
              <w:top w:val="single" w:sz="6" w:space="0" w:color="auto"/>
              <w:left w:val="single" w:sz="6" w:space="0" w:color="auto"/>
              <w:bottom w:val="single" w:sz="6" w:space="0" w:color="auto"/>
              <w:right w:val="single" w:sz="6" w:space="0" w:color="auto"/>
            </w:tcBorders>
            <w:vAlign w:val="center"/>
          </w:tcPr>
          <w:p w14:paraId="4CC7D857" w14:textId="77777777" w:rsidR="008A3252" w:rsidRDefault="008A3252" w:rsidP="009B153D">
            <w:pPr>
              <w:pStyle w:val="Style"/>
              <w:ind w:left="24"/>
              <w:jc w:val="center"/>
              <w:textAlignment w:val="baseline"/>
            </w:pPr>
            <w:r>
              <w:rPr>
                <w:sz w:val="20"/>
                <w:szCs w:val="20"/>
              </w:rPr>
              <w:t xml:space="preserve">65 (39.9) </w:t>
            </w:r>
          </w:p>
        </w:tc>
        <w:tc>
          <w:tcPr>
            <w:tcW w:w="896" w:type="pct"/>
            <w:tcBorders>
              <w:top w:val="single" w:sz="6" w:space="0" w:color="auto"/>
              <w:left w:val="single" w:sz="6" w:space="0" w:color="auto"/>
              <w:bottom w:val="single" w:sz="6" w:space="0" w:color="auto"/>
              <w:right w:val="single" w:sz="6" w:space="0" w:color="auto"/>
            </w:tcBorders>
            <w:vAlign w:val="center"/>
          </w:tcPr>
          <w:p w14:paraId="29C372C0" w14:textId="77777777" w:rsidR="008A3252" w:rsidRDefault="008A3252" w:rsidP="009B153D">
            <w:pPr>
              <w:pStyle w:val="Style"/>
              <w:ind w:left="19"/>
              <w:jc w:val="center"/>
              <w:textAlignment w:val="baseline"/>
            </w:pPr>
            <w:r>
              <w:rPr>
                <w:sz w:val="20"/>
                <w:szCs w:val="20"/>
              </w:rPr>
              <w:t xml:space="preserve">227 (40.0) </w:t>
            </w:r>
          </w:p>
        </w:tc>
      </w:tr>
      <w:tr w:rsidR="008A3252" w14:paraId="17C6C2A0" w14:textId="77777777" w:rsidTr="008A3252">
        <w:trPr>
          <w:trHeight w:hRule="exact" w:val="389"/>
          <w:jc w:val="center"/>
        </w:trPr>
        <w:tc>
          <w:tcPr>
            <w:tcW w:w="1003" w:type="pct"/>
            <w:tcBorders>
              <w:top w:val="single" w:sz="6" w:space="0" w:color="auto"/>
              <w:left w:val="single" w:sz="6" w:space="0" w:color="auto"/>
              <w:bottom w:val="single" w:sz="6" w:space="0" w:color="auto"/>
              <w:right w:val="single" w:sz="6" w:space="0" w:color="auto"/>
            </w:tcBorders>
            <w:vAlign w:val="center"/>
          </w:tcPr>
          <w:p w14:paraId="46532761" w14:textId="77777777" w:rsidR="008A3252" w:rsidRDefault="008A3252" w:rsidP="009B153D">
            <w:pPr>
              <w:pStyle w:val="Style"/>
              <w:ind w:left="293"/>
              <w:textAlignment w:val="baseline"/>
            </w:pPr>
            <w:r>
              <w:rPr>
                <w:sz w:val="20"/>
                <w:szCs w:val="20"/>
              </w:rPr>
              <w:t xml:space="preserve">No </w:t>
            </w:r>
          </w:p>
        </w:tc>
        <w:tc>
          <w:tcPr>
            <w:tcW w:w="1074" w:type="pct"/>
            <w:gridSpan w:val="2"/>
            <w:tcBorders>
              <w:top w:val="single" w:sz="6" w:space="0" w:color="auto"/>
              <w:left w:val="single" w:sz="6" w:space="0" w:color="auto"/>
              <w:bottom w:val="single" w:sz="6" w:space="0" w:color="auto"/>
              <w:right w:val="single" w:sz="6" w:space="0" w:color="auto"/>
            </w:tcBorders>
            <w:vAlign w:val="center"/>
          </w:tcPr>
          <w:p w14:paraId="7F1A83E2" w14:textId="77777777" w:rsidR="008A3252" w:rsidRDefault="008A3252" w:rsidP="009B153D">
            <w:pPr>
              <w:pStyle w:val="Style"/>
              <w:ind w:left="14"/>
              <w:jc w:val="center"/>
              <w:textAlignment w:val="baseline"/>
            </w:pPr>
            <w:r>
              <w:rPr>
                <w:sz w:val="20"/>
                <w:szCs w:val="20"/>
              </w:rPr>
              <w:t xml:space="preserve">50 (60.2) </w:t>
            </w:r>
          </w:p>
        </w:tc>
        <w:tc>
          <w:tcPr>
            <w:tcW w:w="1039" w:type="pct"/>
            <w:tcBorders>
              <w:top w:val="single" w:sz="6" w:space="0" w:color="auto"/>
              <w:left w:val="single" w:sz="6" w:space="0" w:color="auto"/>
              <w:bottom w:val="single" w:sz="6" w:space="0" w:color="auto"/>
              <w:right w:val="single" w:sz="6" w:space="0" w:color="auto"/>
            </w:tcBorders>
            <w:vAlign w:val="center"/>
          </w:tcPr>
          <w:p w14:paraId="37427887" w14:textId="77777777" w:rsidR="008A3252" w:rsidRDefault="008A3252" w:rsidP="009B153D">
            <w:pPr>
              <w:pStyle w:val="Style"/>
              <w:ind w:left="24"/>
              <w:jc w:val="center"/>
              <w:textAlignment w:val="baseline"/>
            </w:pPr>
            <w:r>
              <w:rPr>
                <w:sz w:val="20"/>
                <w:szCs w:val="20"/>
              </w:rPr>
              <w:t xml:space="preserve">192 (59.8) </w:t>
            </w:r>
          </w:p>
        </w:tc>
        <w:tc>
          <w:tcPr>
            <w:tcW w:w="988" w:type="pct"/>
            <w:tcBorders>
              <w:top w:val="single" w:sz="6" w:space="0" w:color="auto"/>
              <w:left w:val="single" w:sz="6" w:space="0" w:color="auto"/>
              <w:bottom w:val="single" w:sz="6" w:space="0" w:color="auto"/>
              <w:right w:val="single" w:sz="6" w:space="0" w:color="auto"/>
            </w:tcBorders>
            <w:vAlign w:val="center"/>
          </w:tcPr>
          <w:p w14:paraId="0C169D9A" w14:textId="77777777" w:rsidR="008A3252" w:rsidRDefault="008A3252" w:rsidP="009B153D">
            <w:pPr>
              <w:pStyle w:val="Style"/>
              <w:ind w:left="24"/>
              <w:jc w:val="center"/>
              <w:textAlignment w:val="baseline"/>
            </w:pPr>
            <w:r>
              <w:rPr>
                <w:sz w:val="20"/>
                <w:szCs w:val="20"/>
              </w:rPr>
              <w:t xml:space="preserve">98 (60.1) </w:t>
            </w:r>
          </w:p>
        </w:tc>
        <w:tc>
          <w:tcPr>
            <w:tcW w:w="896" w:type="pct"/>
            <w:tcBorders>
              <w:top w:val="single" w:sz="6" w:space="0" w:color="auto"/>
              <w:left w:val="single" w:sz="6" w:space="0" w:color="auto"/>
              <w:bottom w:val="single" w:sz="6" w:space="0" w:color="auto"/>
              <w:right w:val="single" w:sz="6" w:space="0" w:color="auto"/>
            </w:tcBorders>
            <w:vAlign w:val="center"/>
          </w:tcPr>
          <w:p w14:paraId="5AA8C628" w14:textId="77777777" w:rsidR="008A3252" w:rsidRDefault="008A3252" w:rsidP="009B153D">
            <w:pPr>
              <w:pStyle w:val="Style"/>
              <w:ind w:left="19"/>
              <w:jc w:val="center"/>
              <w:textAlignment w:val="baseline"/>
            </w:pPr>
            <w:r>
              <w:rPr>
                <w:sz w:val="20"/>
                <w:szCs w:val="20"/>
              </w:rPr>
              <w:t xml:space="preserve">340 (60.0) </w:t>
            </w:r>
          </w:p>
        </w:tc>
      </w:tr>
      <w:tr w:rsidR="008A3252" w:rsidRPr="00D16809" w14:paraId="68D64624" w14:textId="77777777" w:rsidTr="008A3252">
        <w:trPr>
          <w:trHeight w:val="389"/>
          <w:jc w:val="center"/>
        </w:trPr>
        <w:tc>
          <w:tcPr>
            <w:tcW w:w="1003" w:type="pct"/>
            <w:tcBorders>
              <w:top w:val="single" w:sz="6" w:space="0" w:color="auto"/>
              <w:left w:val="single" w:sz="6" w:space="0" w:color="auto"/>
              <w:bottom w:val="single" w:sz="6" w:space="0" w:color="auto"/>
              <w:right w:val="single" w:sz="6" w:space="0" w:color="auto"/>
            </w:tcBorders>
            <w:vAlign w:val="center"/>
          </w:tcPr>
          <w:p w14:paraId="61E5FE0B" w14:textId="77777777" w:rsidR="008A3252" w:rsidRPr="00D16809" w:rsidRDefault="008A3252" w:rsidP="009B153D">
            <w:pPr>
              <w:pStyle w:val="Style"/>
              <w:ind w:left="293"/>
              <w:textAlignment w:val="baseline"/>
              <w:rPr>
                <w:sz w:val="20"/>
                <w:szCs w:val="20"/>
              </w:rPr>
            </w:pPr>
            <w:r w:rsidRPr="00D16809">
              <w:rPr>
                <w:sz w:val="20"/>
                <w:szCs w:val="20"/>
              </w:rPr>
              <w:t xml:space="preserve">Variable </w:t>
            </w:r>
          </w:p>
        </w:tc>
        <w:tc>
          <w:tcPr>
            <w:tcW w:w="1074" w:type="pct"/>
            <w:gridSpan w:val="2"/>
            <w:tcBorders>
              <w:top w:val="single" w:sz="6" w:space="0" w:color="auto"/>
              <w:left w:val="single" w:sz="6" w:space="0" w:color="auto"/>
              <w:bottom w:val="single" w:sz="6" w:space="0" w:color="auto"/>
              <w:right w:val="single" w:sz="6" w:space="0" w:color="auto"/>
            </w:tcBorders>
            <w:vAlign w:val="center"/>
          </w:tcPr>
          <w:p w14:paraId="4F4FCC47" w14:textId="77777777" w:rsidR="008A3252" w:rsidRPr="00D16809" w:rsidRDefault="008A3252" w:rsidP="009B153D">
            <w:pPr>
              <w:pStyle w:val="Style"/>
              <w:ind w:left="14"/>
              <w:jc w:val="center"/>
              <w:textAlignment w:val="baseline"/>
              <w:rPr>
                <w:sz w:val="20"/>
                <w:szCs w:val="20"/>
              </w:rPr>
            </w:pPr>
            <w:r w:rsidRPr="00D16809">
              <w:rPr>
                <w:sz w:val="20"/>
                <w:szCs w:val="20"/>
              </w:rPr>
              <w:t xml:space="preserve">n (%) </w:t>
            </w:r>
          </w:p>
        </w:tc>
        <w:tc>
          <w:tcPr>
            <w:tcW w:w="1039" w:type="pct"/>
            <w:tcBorders>
              <w:top w:val="single" w:sz="6" w:space="0" w:color="auto"/>
              <w:left w:val="single" w:sz="6" w:space="0" w:color="auto"/>
              <w:bottom w:val="single" w:sz="6" w:space="0" w:color="auto"/>
              <w:right w:val="single" w:sz="6" w:space="0" w:color="auto"/>
            </w:tcBorders>
            <w:vAlign w:val="center"/>
          </w:tcPr>
          <w:p w14:paraId="435CA94B" w14:textId="3C14AF63" w:rsidR="008A3252" w:rsidRPr="00D16809" w:rsidRDefault="001D2CFA" w:rsidP="009B153D">
            <w:pPr>
              <w:pStyle w:val="Style"/>
              <w:ind w:left="24"/>
              <w:jc w:val="center"/>
              <w:textAlignment w:val="baseline"/>
              <w:rPr>
                <w:sz w:val="20"/>
                <w:szCs w:val="20"/>
              </w:rPr>
            </w:pPr>
            <w:r>
              <w:rPr>
                <w:sz w:val="20"/>
                <w:szCs w:val="20"/>
              </w:rPr>
              <w:t xml:space="preserve">N = </w:t>
            </w:r>
            <w:r w:rsidR="008A3252" w:rsidRPr="00D16809">
              <w:rPr>
                <w:sz w:val="20"/>
                <w:szCs w:val="20"/>
              </w:rPr>
              <w:t xml:space="preserve">321 </w:t>
            </w:r>
          </w:p>
        </w:tc>
        <w:tc>
          <w:tcPr>
            <w:tcW w:w="988" w:type="pct"/>
            <w:tcBorders>
              <w:top w:val="single" w:sz="6" w:space="0" w:color="auto"/>
              <w:left w:val="single" w:sz="6" w:space="0" w:color="auto"/>
              <w:bottom w:val="single" w:sz="6" w:space="0" w:color="auto"/>
              <w:right w:val="single" w:sz="6" w:space="0" w:color="auto"/>
            </w:tcBorders>
            <w:vAlign w:val="center"/>
          </w:tcPr>
          <w:p w14:paraId="54D7727E" w14:textId="124E6E64" w:rsidR="008A3252" w:rsidRPr="00D16809" w:rsidRDefault="001D2CFA" w:rsidP="009B153D">
            <w:pPr>
              <w:pStyle w:val="Style"/>
              <w:ind w:left="24"/>
              <w:jc w:val="center"/>
              <w:textAlignment w:val="baseline"/>
              <w:rPr>
                <w:sz w:val="20"/>
                <w:szCs w:val="20"/>
              </w:rPr>
            </w:pPr>
            <w:r>
              <w:rPr>
                <w:sz w:val="20"/>
                <w:szCs w:val="20"/>
              </w:rPr>
              <w:t xml:space="preserve">N = </w:t>
            </w:r>
            <w:r w:rsidR="008A3252" w:rsidRPr="00D16809">
              <w:rPr>
                <w:sz w:val="20"/>
                <w:szCs w:val="20"/>
              </w:rPr>
              <w:t xml:space="preserve">163 </w:t>
            </w:r>
          </w:p>
        </w:tc>
        <w:tc>
          <w:tcPr>
            <w:tcW w:w="896" w:type="pct"/>
            <w:tcBorders>
              <w:top w:val="single" w:sz="6" w:space="0" w:color="auto"/>
              <w:left w:val="single" w:sz="6" w:space="0" w:color="auto"/>
              <w:bottom w:val="single" w:sz="6" w:space="0" w:color="auto"/>
              <w:right w:val="single" w:sz="6" w:space="0" w:color="auto"/>
            </w:tcBorders>
            <w:vAlign w:val="center"/>
          </w:tcPr>
          <w:p w14:paraId="68503A37" w14:textId="6A351F0A" w:rsidR="008A3252" w:rsidRPr="00D16809" w:rsidRDefault="001D2CFA" w:rsidP="009B153D">
            <w:pPr>
              <w:pStyle w:val="Style"/>
              <w:ind w:left="19"/>
              <w:jc w:val="center"/>
              <w:textAlignment w:val="baseline"/>
              <w:rPr>
                <w:sz w:val="20"/>
                <w:szCs w:val="20"/>
              </w:rPr>
            </w:pPr>
            <w:r>
              <w:rPr>
                <w:sz w:val="20"/>
                <w:szCs w:val="20"/>
              </w:rPr>
              <w:t xml:space="preserve">N = </w:t>
            </w:r>
            <w:r w:rsidR="008A3252" w:rsidRPr="00D16809">
              <w:rPr>
                <w:sz w:val="20"/>
                <w:szCs w:val="20"/>
              </w:rPr>
              <w:t xml:space="preserve">567 </w:t>
            </w:r>
          </w:p>
        </w:tc>
      </w:tr>
      <w:tr w:rsidR="008A3252" w:rsidRPr="00D16809" w14:paraId="3CC1C86B" w14:textId="77777777" w:rsidTr="008A3252">
        <w:trPr>
          <w:trHeight w:val="389"/>
          <w:jc w:val="center"/>
        </w:trPr>
        <w:tc>
          <w:tcPr>
            <w:tcW w:w="5000" w:type="pct"/>
            <w:gridSpan w:val="6"/>
            <w:tcBorders>
              <w:top w:val="single" w:sz="6" w:space="0" w:color="auto"/>
              <w:left w:val="single" w:sz="6" w:space="0" w:color="auto"/>
              <w:bottom w:val="single" w:sz="6" w:space="0" w:color="auto"/>
            </w:tcBorders>
            <w:vAlign w:val="center"/>
          </w:tcPr>
          <w:p w14:paraId="465818F2" w14:textId="67386CFF" w:rsidR="008A3252" w:rsidRPr="00D16809" w:rsidRDefault="008A3252" w:rsidP="008A3252">
            <w:pPr>
              <w:pStyle w:val="Style"/>
              <w:ind w:left="293"/>
              <w:textAlignment w:val="baseline"/>
              <w:rPr>
                <w:sz w:val="20"/>
                <w:szCs w:val="20"/>
              </w:rPr>
            </w:pPr>
            <w:r w:rsidRPr="00D16809">
              <w:rPr>
                <w:sz w:val="20"/>
                <w:szCs w:val="20"/>
              </w:rPr>
              <w:t>PSD: pain</w:t>
            </w:r>
          </w:p>
        </w:tc>
      </w:tr>
      <w:tr w:rsidR="008A3252" w:rsidRPr="00D16809" w14:paraId="60916CCD" w14:textId="77777777" w:rsidTr="008A3252">
        <w:trPr>
          <w:trHeight w:val="389"/>
          <w:jc w:val="center"/>
        </w:trPr>
        <w:tc>
          <w:tcPr>
            <w:tcW w:w="1003" w:type="pct"/>
            <w:tcBorders>
              <w:top w:val="single" w:sz="6" w:space="0" w:color="auto"/>
              <w:left w:val="single" w:sz="6" w:space="0" w:color="auto"/>
              <w:bottom w:val="single" w:sz="6" w:space="0" w:color="auto"/>
              <w:right w:val="single" w:sz="6" w:space="0" w:color="auto"/>
            </w:tcBorders>
            <w:vAlign w:val="center"/>
          </w:tcPr>
          <w:p w14:paraId="713275CD" w14:textId="77777777" w:rsidR="008A3252" w:rsidRPr="00D16809" w:rsidRDefault="008A3252" w:rsidP="009B153D">
            <w:pPr>
              <w:pStyle w:val="Style"/>
              <w:ind w:left="293"/>
              <w:textAlignment w:val="baseline"/>
              <w:rPr>
                <w:sz w:val="20"/>
                <w:szCs w:val="20"/>
              </w:rPr>
            </w:pPr>
            <w:r w:rsidRPr="00D16809">
              <w:rPr>
                <w:sz w:val="20"/>
                <w:szCs w:val="20"/>
              </w:rPr>
              <w:t xml:space="preserve">N </w:t>
            </w:r>
          </w:p>
        </w:tc>
        <w:tc>
          <w:tcPr>
            <w:tcW w:w="1074" w:type="pct"/>
            <w:gridSpan w:val="2"/>
            <w:tcBorders>
              <w:top w:val="single" w:sz="6" w:space="0" w:color="auto"/>
              <w:left w:val="single" w:sz="6" w:space="0" w:color="auto"/>
              <w:bottom w:val="single" w:sz="6" w:space="0" w:color="auto"/>
              <w:right w:val="single" w:sz="6" w:space="0" w:color="auto"/>
            </w:tcBorders>
            <w:vAlign w:val="center"/>
          </w:tcPr>
          <w:p w14:paraId="37DE3DDF" w14:textId="77777777" w:rsidR="008A3252" w:rsidRPr="00D16809" w:rsidRDefault="008A3252" w:rsidP="009B153D">
            <w:pPr>
              <w:pStyle w:val="Style"/>
              <w:ind w:left="14"/>
              <w:jc w:val="center"/>
              <w:textAlignment w:val="baseline"/>
              <w:rPr>
                <w:sz w:val="20"/>
                <w:szCs w:val="20"/>
              </w:rPr>
            </w:pPr>
            <w:r w:rsidRPr="00D16809">
              <w:rPr>
                <w:sz w:val="20"/>
                <w:szCs w:val="20"/>
              </w:rPr>
              <w:t xml:space="preserve">67 </w:t>
            </w:r>
          </w:p>
        </w:tc>
        <w:tc>
          <w:tcPr>
            <w:tcW w:w="1039" w:type="pct"/>
            <w:tcBorders>
              <w:top w:val="single" w:sz="6" w:space="0" w:color="auto"/>
              <w:left w:val="single" w:sz="6" w:space="0" w:color="auto"/>
              <w:bottom w:val="single" w:sz="6" w:space="0" w:color="auto"/>
              <w:right w:val="single" w:sz="6" w:space="0" w:color="auto"/>
            </w:tcBorders>
            <w:vAlign w:val="center"/>
          </w:tcPr>
          <w:p w14:paraId="63F86C5A" w14:textId="77777777" w:rsidR="008A3252" w:rsidRPr="00D16809" w:rsidRDefault="008A3252" w:rsidP="009B153D">
            <w:pPr>
              <w:pStyle w:val="Style"/>
              <w:ind w:left="24"/>
              <w:jc w:val="center"/>
              <w:textAlignment w:val="baseline"/>
              <w:rPr>
                <w:sz w:val="20"/>
                <w:szCs w:val="20"/>
              </w:rPr>
            </w:pPr>
            <w:r w:rsidRPr="00D16809">
              <w:rPr>
                <w:sz w:val="20"/>
                <w:szCs w:val="20"/>
              </w:rPr>
              <w:t xml:space="preserve">260 </w:t>
            </w:r>
          </w:p>
        </w:tc>
        <w:tc>
          <w:tcPr>
            <w:tcW w:w="988" w:type="pct"/>
            <w:tcBorders>
              <w:top w:val="single" w:sz="6" w:space="0" w:color="auto"/>
              <w:left w:val="single" w:sz="6" w:space="0" w:color="auto"/>
              <w:bottom w:val="single" w:sz="6" w:space="0" w:color="auto"/>
              <w:right w:val="single" w:sz="6" w:space="0" w:color="auto"/>
            </w:tcBorders>
            <w:vAlign w:val="center"/>
          </w:tcPr>
          <w:p w14:paraId="4C619874" w14:textId="77777777" w:rsidR="008A3252" w:rsidRPr="00D16809" w:rsidRDefault="008A3252" w:rsidP="009B153D">
            <w:pPr>
              <w:pStyle w:val="Style"/>
              <w:ind w:left="24"/>
              <w:jc w:val="center"/>
              <w:textAlignment w:val="baseline"/>
              <w:rPr>
                <w:sz w:val="20"/>
                <w:szCs w:val="20"/>
              </w:rPr>
            </w:pPr>
            <w:r w:rsidRPr="00D16809">
              <w:rPr>
                <w:sz w:val="20"/>
                <w:szCs w:val="20"/>
              </w:rPr>
              <w:t xml:space="preserve">124 </w:t>
            </w:r>
          </w:p>
        </w:tc>
        <w:tc>
          <w:tcPr>
            <w:tcW w:w="896" w:type="pct"/>
            <w:tcBorders>
              <w:top w:val="single" w:sz="6" w:space="0" w:color="auto"/>
              <w:left w:val="single" w:sz="6" w:space="0" w:color="auto"/>
              <w:bottom w:val="single" w:sz="6" w:space="0" w:color="auto"/>
              <w:right w:val="single" w:sz="6" w:space="0" w:color="auto"/>
            </w:tcBorders>
            <w:vAlign w:val="center"/>
          </w:tcPr>
          <w:p w14:paraId="57227939" w14:textId="77777777" w:rsidR="008A3252" w:rsidRPr="00D16809" w:rsidRDefault="008A3252" w:rsidP="009B153D">
            <w:pPr>
              <w:pStyle w:val="Style"/>
              <w:ind w:left="19"/>
              <w:jc w:val="center"/>
              <w:textAlignment w:val="baseline"/>
              <w:rPr>
                <w:sz w:val="20"/>
                <w:szCs w:val="20"/>
              </w:rPr>
            </w:pPr>
            <w:r w:rsidRPr="00D16809">
              <w:rPr>
                <w:sz w:val="20"/>
                <w:szCs w:val="20"/>
              </w:rPr>
              <w:t xml:space="preserve">451 </w:t>
            </w:r>
          </w:p>
        </w:tc>
      </w:tr>
      <w:tr w:rsidR="008A3252" w:rsidRPr="00D16809" w14:paraId="58576E9D" w14:textId="77777777" w:rsidTr="008A3252">
        <w:trPr>
          <w:trHeight w:val="389"/>
          <w:jc w:val="center"/>
        </w:trPr>
        <w:tc>
          <w:tcPr>
            <w:tcW w:w="1003" w:type="pct"/>
            <w:tcBorders>
              <w:top w:val="single" w:sz="6" w:space="0" w:color="auto"/>
              <w:left w:val="single" w:sz="6" w:space="0" w:color="auto"/>
              <w:bottom w:val="single" w:sz="6" w:space="0" w:color="auto"/>
              <w:right w:val="single" w:sz="6" w:space="0" w:color="auto"/>
            </w:tcBorders>
            <w:vAlign w:val="center"/>
          </w:tcPr>
          <w:p w14:paraId="4607E04B" w14:textId="77777777" w:rsidR="008A3252" w:rsidRPr="00D16809" w:rsidRDefault="008A3252" w:rsidP="009B153D">
            <w:pPr>
              <w:pStyle w:val="Style"/>
              <w:ind w:left="293"/>
              <w:textAlignment w:val="baseline"/>
              <w:rPr>
                <w:sz w:val="20"/>
                <w:szCs w:val="20"/>
              </w:rPr>
            </w:pPr>
            <w:r w:rsidRPr="00D16809">
              <w:rPr>
                <w:sz w:val="20"/>
                <w:szCs w:val="20"/>
              </w:rPr>
              <w:t xml:space="preserve">Mean (SD) </w:t>
            </w:r>
          </w:p>
        </w:tc>
        <w:tc>
          <w:tcPr>
            <w:tcW w:w="1074" w:type="pct"/>
            <w:gridSpan w:val="2"/>
            <w:tcBorders>
              <w:top w:val="single" w:sz="6" w:space="0" w:color="auto"/>
              <w:left w:val="single" w:sz="6" w:space="0" w:color="auto"/>
              <w:bottom w:val="single" w:sz="6" w:space="0" w:color="auto"/>
              <w:right w:val="single" w:sz="6" w:space="0" w:color="auto"/>
            </w:tcBorders>
            <w:vAlign w:val="center"/>
          </w:tcPr>
          <w:p w14:paraId="373485B2" w14:textId="77777777" w:rsidR="008A3252" w:rsidRPr="00D16809" w:rsidRDefault="008A3252" w:rsidP="009B153D">
            <w:pPr>
              <w:pStyle w:val="Style"/>
              <w:ind w:left="14"/>
              <w:jc w:val="center"/>
              <w:textAlignment w:val="baseline"/>
              <w:rPr>
                <w:sz w:val="20"/>
                <w:szCs w:val="20"/>
              </w:rPr>
            </w:pPr>
            <w:r w:rsidRPr="00D16809">
              <w:rPr>
                <w:sz w:val="20"/>
                <w:szCs w:val="20"/>
              </w:rPr>
              <w:t xml:space="preserve">5.052 (2.887) </w:t>
            </w:r>
          </w:p>
        </w:tc>
        <w:tc>
          <w:tcPr>
            <w:tcW w:w="1039" w:type="pct"/>
            <w:tcBorders>
              <w:top w:val="single" w:sz="6" w:space="0" w:color="auto"/>
              <w:left w:val="single" w:sz="6" w:space="0" w:color="auto"/>
              <w:bottom w:val="single" w:sz="6" w:space="0" w:color="auto"/>
              <w:right w:val="single" w:sz="6" w:space="0" w:color="auto"/>
            </w:tcBorders>
            <w:vAlign w:val="center"/>
          </w:tcPr>
          <w:p w14:paraId="74F9DF71" w14:textId="77777777" w:rsidR="008A3252" w:rsidRPr="00D16809" w:rsidRDefault="008A3252" w:rsidP="009B153D">
            <w:pPr>
              <w:pStyle w:val="Style"/>
              <w:ind w:left="24"/>
              <w:jc w:val="center"/>
              <w:textAlignment w:val="baseline"/>
              <w:rPr>
                <w:sz w:val="20"/>
                <w:szCs w:val="20"/>
              </w:rPr>
            </w:pPr>
            <w:r w:rsidRPr="00D16809">
              <w:rPr>
                <w:sz w:val="20"/>
                <w:szCs w:val="20"/>
              </w:rPr>
              <w:t xml:space="preserve">5.682 (2.853) </w:t>
            </w:r>
          </w:p>
        </w:tc>
        <w:tc>
          <w:tcPr>
            <w:tcW w:w="988" w:type="pct"/>
            <w:tcBorders>
              <w:top w:val="single" w:sz="6" w:space="0" w:color="auto"/>
              <w:left w:val="single" w:sz="6" w:space="0" w:color="auto"/>
              <w:bottom w:val="single" w:sz="6" w:space="0" w:color="auto"/>
              <w:right w:val="single" w:sz="6" w:space="0" w:color="auto"/>
            </w:tcBorders>
            <w:vAlign w:val="center"/>
          </w:tcPr>
          <w:p w14:paraId="30FDF3D4" w14:textId="77777777" w:rsidR="008A3252" w:rsidRPr="00D16809" w:rsidRDefault="008A3252" w:rsidP="009B153D">
            <w:pPr>
              <w:pStyle w:val="Style"/>
              <w:ind w:left="24"/>
              <w:jc w:val="center"/>
              <w:textAlignment w:val="baseline"/>
              <w:rPr>
                <w:sz w:val="20"/>
                <w:szCs w:val="20"/>
              </w:rPr>
            </w:pPr>
            <w:r w:rsidRPr="00D16809">
              <w:rPr>
                <w:sz w:val="20"/>
                <w:szCs w:val="20"/>
              </w:rPr>
              <w:t xml:space="preserve">5.746 (2.929) </w:t>
            </w:r>
          </w:p>
        </w:tc>
        <w:tc>
          <w:tcPr>
            <w:tcW w:w="896" w:type="pct"/>
            <w:tcBorders>
              <w:top w:val="single" w:sz="6" w:space="0" w:color="auto"/>
              <w:left w:val="single" w:sz="6" w:space="0" w:color="auto"/>
              <w:bottom w:val="single" w:sz="6" w:space="0" w:color="auto"/>
              <w:right w:val="single" w:sz="6" w:space="0" w:color="auto"/>
            </w:tcBorders>
            <w:vAlign w:val="center"/>
          </w:tcPr>
          <w:p w14:paraId="197FD692" w14:textId="77777777" w:rsidR="008A3252" w:rsidRPr="00D16809" w:rsidRDefault="008A3252" w:rsidP="009B153D">
            <w:pPr>
              <w:pStyle w:val="Style"/>
              <w:ind w:left="19"/>
              <w:jc w:val="center"/>
              <w:textAlignment w:val="baseline"/>
              <w:rPr>
                <w:sz w:val="20"/>
                <w:szCs w:val="20"/>
              </w:rPr>
            </w:pPr>
            <w:r w:rsidRPr="00D16809">
              <w:rPr>
                <w:sz w:val="20"/>
                <w:szCs w:val="20"/>
              </w:rPr>
              <w:t xml:space="preserve">5.606 (2.882) </w:t>
            </w:r>
          </w:p>
        </w:tc>
      </w:tr>
      <w:tr w:rsidR="008A3252" w:rsidRPr="00D16809" w14:paraId="195ED10F" w14:textId="77777777" w:rsidTr="008A3252">
        <w:trPr>
          <w:trHeight w:val="389"/>
          <w:jc w:val="center"/>
        </w:trPr>
        <w:tc>
          <w:tcPr>
            <w:tcW w:w="1003" w:type="pct"/>
            <w:tcBorders>
              <w:top w:val="single" w:sz="6" w:space="0" w:color="auto"/>
              <w:left w:val="single" w:sz="6" w:space="0" w:color="auto"/>
              <w:bottom w:val="single" w:sz="6" w:space="0" w:color="auto"/>
              <w:right w:val="single" w:sz="6" w:space="0" w:color="auto"/>
            </w:tcBorders>
            <w:vAlign w:val="center"/>
          </w:tcPr>
          <w:p w14:paraId="2D3B5321" w14:textId="77777777" w:rsidR="008A3252" w:rsidRPr="00D16809" w:rsidRDefault="008A3252" w:rsidP="009B153D">
            <w:pPr>
              <w:pStyle w:val="Style"/>
              <w:ind w:left="293"/>
              <w:textAlignment w:val="baseline"/>
              <w:rPr>
                <w:sz w:val="20"/>
                <w:szCs w:val="20"/>
              </w:rPr>
            </w:pPr>
            <w:r w:rsidRPr="00D16809">
              <w:rPr>
                <w:sz w:val="20"/>
                <w:szCs w:val="20"/>
              </w:rPr>
              <w:t xml:space="preserve">Median </w:t>
            </w:r>
          </w:p>
        </w:tc>
        <w:tc>
          <w:tcPr>
            <w:tcW w:w="1074" w:type="pct"/>
            <w:gridSpan w:val="2"/>
            <w:tcBorders>
              <w:top w:val="single" w:sz="6" w:space="0" w:color="auto"/>
              <w:left w:val="single" w:sz="6" w:space="0" w:color="auto"/>
              <w:bottom w:val="single" w:sz="6" w:space="0" w:color="auto"/>
              <w:right w:val="single" w:sz="6" w:space="0" w:color="auto"/>
            </w:tcBorders>
            <w:vAlign w:val="center"/>
          </w:tcPr>
          <w:p w14:paraId="57F0E783" w14:textId="77777777" w:rsidR="008A3252" w:rsidRPr="00D16809" w:rsidRDefault="008A3252" w:rsidP="009B153D">
            <w:pPr>
              <w:pStyle w:val="Style"/>
              <w:ind w:left="14"/>
              <w:jc w:val="center"/>
              <w:textAlignment w:val="baseline"/>
              <w:rPr>
                <w:sz w:val="20"/>
                <w:szCs w:val="20"/>
              </w:rPr>
            </w:pPr>
            <w:r w:rsidRPr="00D16809">
              <w:rPr>
                <w:sz w:val="20"/>
                <w:szCs w:val="20"/>
              </w:rPr>
              <w:t xml:space="preserve">5.333 </w:t>
            </w:r>
          </w:p>
        </w:tc>
        <w:tc>
          <w:tcPr>
            <w:tcW w:w="1039" w:type="pct"/>
            <w:tcBorders>
              <w:top w:val="single" w:sz="6" w:space="0" w:color="auto"/>
              <w:left w:val="single" w:sz="6" w:space="0" w:color="auto"/>
              <w:bottom w:val="single" w:sz="6" w:space="0" w:color="auto"/>
              <w:right w:val="single" w:sz="6" w:space="0" w:color="auto"/>
            </w:tcBorders>
            <w:vAlign w:val="center"/>
          </w:tcPr>
          <w:p w14:paraId="4FEE7437" w14:textId="77777777" w:rsidR="008A3252" w:rsidRPr="00D16809" w:rsidRDefault="008A3252" w:rsidP="009B153D">
            <w:pPr>
              <w:pStyle w:val="Style"/>
              <w:ind w:left="24"/>
              <w:jc w:val="center"/>
              <w:textAlignment w:val="baseline"/>
              <w:rPr>
                <w:sz w:val="20"/>
                <w:szCs w:val="20"/>
              </w:rPr>
            </w:pPr>
            <w:r w:rsidRPr="00D16809">
              <w:rPr>
                <w:sz w:val="20"/>
                <w:szCs w:val="20"/>
              </w:rPr>
              <w:t xml:space="preserve">6.000 </w:t>
            </w:r>
          </w:p>
        </w:tc>
        <w:tc>
          <w:tcPr>
            <w:tcW w:w="988" w:type="pct"/>
            <w:tcBorders>
              <w:top w:val="single" w:sz="6" w:space="0" w:color="auto"/>
              <w:left w:val="single" w:sz="6" w:space="0" w:color="auto"/>
              <w:bottom w:val="single" w:sz="6" w:space="0" w:color="auto"/>
              <w:right w:val="single" w:sz="6" w:space="0" w:color="auto"/>
            </w:tcBorders>
            <w:vAlign w:val="center"/>
          </w:tcPr>
          <w:p w14:paraId="09ED43D7" w14:textId="77777777" w:rsidR="008A3252" w:rsidRPr="00D16809" w:rsidRDefault="008A3252" w:rsidP="009B153D">
            <w:pPr>
              <w:pStyle w:val="Style"/>
              <w:ind w:left="24"/>
              <w:jc w:val="center"/>
              <w:textAlignment w:val="baseline"/>
              <w:rPr>
                <w:sz w:val="20"/>
                <w:szCs w:val="20"/>
              </w:rPr>
            </w:pPr>
            <w:r w:rsidRPr="00D16809">
              <w:rPr>
                <w:sz w:val="20"/>
                <w:szCs w:val="20"/>
              </w:rPr>
              <w:t xml:space="preserve">6.450 </w:t>
            </w:r>
          </w:p>
        </w:tc>
        <w:tc>
          <w:tcPr>
            <w:tcW w:w="896" w:type="pct"/>
            <w:tcBorders>
              <w:top w:val="single" w:sz="6" w:space="0" w:color="auto"/>
              <w:left w:val="single" w:sz="6" w:space="0" w:color="auto"/>
              <w:bottom w:val="single" w:sz="6" w:space="0" w:color="auto"/>
              <w:right w:val="single" w:sz="6" w:space="0" w:color="auto"/>
            </w:tcBorders>
            <w:vAlign w:val="center"/>
          </w:tcPr>
          <w:p w14:paraId="6E504B1F" w14:textId="77777777" w:rsidR="008A3252" w:rsidRPr="00D16809" w:rsidRDefault="008A3252" w:rsidP="009B153D">
            <w:pPr>
              <w:pStyle w:val="Style"/>
              <w:ind w:left="19"/>
              <w:jc w:val="center"/>
              <w:textAlignment w:val="baseline"/>
              <w:rPr>
                <w:sz w:val="20"/>
                <w:szCs w:val="20"/>
              </w:rPr>
            </w:pPr>
            <w:r w:rsidRPr="00D16809">
              <w:rPr>
                <w:sz w:val="20"/>
                <w:szCs w:val="20"/>
              </w:rPr>
              <w:t xml:space="preserve">6.000 </w:t>
            </w:r>
          </w:p>
        </w:tc>
      </w:tr>
      <w:tr w:rsidR="008A3252" w:rsidRPr="00D16809" w14:paraId="3F8C9FDD" w14:textId="77777777" w:rsidTr="008A3252">
        <w:trPr>
          <w:trHeight w:val="389"/>
          <w:jc w:val="center"/>
        </w:trPr>
        <w:tc>
          <w:tcPr>
            <w:tcW w:w="1003" w:type="pct"/>
            <w:tcBorders>
              <w:top w:val="single" w:sz="6" w:space="0" w:color="auto"/>
              <w:left w:val="single" w:sz="6" w:space="0" w:color="auto"/>
              <w:bottom w:val="single" w:sz="6" w:space="0" w:color="auto"/>
              <w:right w:val="single" w:sz="6" w:space="0" w:color="auto"/>
            </w:tcBorders>
            <w:vAlign w:val="center"/>
          </w:tcPr>
          <w:p w14:paraId="6586FC65" w14:textId="77777777" w:rsidR="008A3252" w:rsidRPr="00D16809" w:rsidRDefault="008A3252" w:rsidP="009B153D">
            <w:pPr>
              <w:pStyle w:val="Style"/>
              <w:ind w:left="293"/>
              <w:textAlignment w:val="baseline"/>
              <w:rPr>
                <w:sz w:val="20"/>
                <w:szCs w:val="20"/>
              </w:rPr>
            </w:pPr>
            <w:r w:rsidRPr="00D16809">
              <w:rPr>
                <w:sz w:val="20"/>
                <w:szCs w:val="20"/>
              </w:rPr>
              <w:t xml:space="preserve">Min, max </w:t>
            </w:r>
          </w:p>
        </w:tc>
        <w:tc>
          <w:tcPr>
            <w:tcW w:w="1074" w:type="pct"/>
            <w:gridSpan w:val="2"/>
            <w:tcBorders>
              <w:top w:val="single" w:sz="6" w:space="0" w:color="auto"/>
              <w:left w:val="single" w:sz="6" w:space="0" w:color="auto"/>
              <w:bottom w:val="single" w:sz="6" w:space="0" w:color="auto"/>
              <w:right w:val="single" w:sz="6" w:space="0" w:color="auto"/>
            </w:tcBorders>
            <w:vAlign w:val="center"/>
          </w:tcPr>
          <w:p w14:paraId="068DA7A1" w14:textId="77777777" w:rsidR="008A3252" w:rsidRPr="00D16809" w:rsidRDefault="008A3252" w:rsidP="009B153D">
            <w:pPr>
              <w:pStyle w:val="Style"/>
              <w:ind w:left="14"/>
              <w:jc w:val="center"/>
              <w:textAlignment w:val="baseline"/>
              <w:rPr>
                <w:sz w:val="20"/>
                <w:szCs w:val="20"/>
              </w:rPr>
            </w:pPr>
            <w:r w:rsidRPr="00D16809">
              <w:rPr>
                <w:sz w:val="20"/>
                <w:szCs w:val="20"/>
              </w:rPr>
              <w:t xml:space="preserve">0.00, 10.00 </w:t>
            </w:r>
          </w:p>
        </w:tc>
        <w:tc>
          <w:tcPr>
            <w:tcW w:w="1039" w:type="pct"/>
            <w:tcBorders>
              <w:top w:val="single" w:sz="6" w:space="0" w:color="auto"/>
              <w:left w:val="single" w:sz="6" w:space="0" w:color="auto"/>
              <w:bottom w:val="single" w:sz="6" w:space="0" w:color="auto"/>
              <w:right w:val="single" w:sz="6" w:space="0" w:color="auto"/>
            </w:tcBorders>
            <w:vAlign w:val="center"/>
          </w:tcPr>
          <w:p w14:paraId="03648569" w14:textId="77777777" w:rsidR="008A3252" w:rsidRPr="00D16809" w:rsidRDefault="008A3252" w:rsidP="009B153D">
            <w:pPr>
              <w:pStyle w:val="Style"/>
              <w:ind w:left="24"/>
              <w:jc w:val="center"/>
              <w:textAlignment w:val="baseline"/>
              <w:rPr>
                <w:sz w:val="20"/>
                <w:szCs w:val="20"/>
              </w:rPr>
            </w:pPr>
            <w:r w:rsidRPr="00D16809">
              <w:rPr>
                <w:sz w:val="20"/>
                <w:szCs w:val="20"/>
              </w:rPr>
              <w:t xml:space="preserve">0.00, 10.00 </w:t>
            </w:r>
          </w:p>
        </w:tc>
        <w:tc>
          <w:tcPr>
            <w:tcW w:w="988" w:type="pct"/>
            <w:tcBorders>
              <w:top w:val="single" w:sz="6" w:space="0" w:color="auto"/>
              <w:left w:val="single" w:sz="6" w:space="0" w:color="auto"/>
              <w:bottom w:val="single" w:sz="6" w:space="0" w:color="auto"/>
              <w:right w:val="single" w:sz="6" w:space="0" w:color="auto"/>
            </w:tcBorders>
            <w:vAlign w:val="center"/>
          </w:tcPr>
          <w:p w14:paraId="425ED048" w14:textId="77777777" w:rsidR="008A3252" w:rsidRPr="00D16809" w:rsidRDefault="008A3252" w:rsidP="009B153D">
            <w:pPr>
              <w:pStyle w:val="Style"/>
              <w:ind w:left="24"/>
              <w:jc w:val="center"/>
              <w:textAlignment w:val="baseline"/>
              <w:rPr>
                <w:sz w:val="20"/>
                <w:szCs w:val="20"/>
              </w:rPr>
            </w:pPr>
            <w:r w:rsidRPr="00D16809">
              <w:rPr>
                <w:sz w:val="20"/>
                <w:szCs w:val="20"/>
              </w:rPr>
              <w:t xml:space="preserve">0.00, 10.00 </w:t>
            </w:r>
          </w:p>
        </w:tc>
        <w:tc>
          <w:tcPr>
            <w:tcW w:w="896" w:type="pct"/>
            <w:tcBorders>
              <w:top w:val="single" w:sz="6" w:space="0" w:color="auto"/>
              <w:left w:val="single" w:sz="6" w:space="0" w:color="auto"/>
              <w:bottom w:val="single" w:sz="6" w:space="0" w:color="auto"/>
              <w:right w:val="single" w:sz="6" w:space="0" w:color="auto"/>
            </w:tcBorders>
            <w:vAlign w:val="center"/>
          </w:tcPr>
          <w:p w14:paraId="4A692A67" w14:textId="77777777" w:rsidR="008A3252" w:rsidRPr="00D16809" w:rsidRDefault="008A3252" w:rsidP="009B153D">
            <w:pPr>
              <w:pStyle w:val="Style"/>
              <w:ind w:left="19"/>
              <w:jc w:val="center"/>
              <w:textAlignment w:val="baseline"/>
              <w:rPr>
                <w:sz w:val="20"/>
                <w:szCs w:val="20"/>
              </w:rPr>
            </w:pPr>
            <w:r w:rsidRPr="00D16809">
              <w:rPr>
                <w:sz w:val="20"/>
                <w:szCs w:val="20"/>
              </w:rPr>
              <w:t xml:space="preserve">0.00, 10.00 </w:t>
            </w:r>
          </w:p>
        </w:tc>
      </w:tr>
      <w:tr w:rsidR="008A3252" w:rsidRPr="00D16809" w14:paraId="3A46AC2B" w14:textId="77777777" w:rsidTr="008A3252">
        <w:trPr>
          <w:trHeight w:val="389"/>
          <w:jc w:val="center"/>
        </w:trPr>
        <w:tc>
          <w:tcPr>
            <w:tcW w:w="5000" w:type="pct"/>
            <w:gridSpan w:val="6"/>
            <w:tcBorders>
              <w:top w:val="single" w:sz="6" w:space="0" w:color="auto"/>
              <w:left w:val="single" w:sz="6" w:space="0" w:color="auto"/>
              <w:bottom w:val="single" w:sz="6" w:space="0" w:color="auto"/>
              <w:right w:val="single" w:sz="6" w:space="0" w:color="auto"/>
            </w:tcBorders>
            <w:vAlign w:val="center"/>
          </w:tcPr>
          <w:p w14:paraId="17733861" w14:textId="37441B3C" w:rsidR="008A3252" w:rsidRPr="00D16809" w:rsidRDefault="008A3252" w:rsidP="008A3252">
            <w:pPr>
              <w:pStyle w:val="Style"/>
              <w:ind w:left="293"/>
              <w:textAlignment w:val="baseline"/>
              <w:rPr>
                <w:sz w:val="20"/>
                <w:szCs w:val="20"/>
              </w:rPr>
            </w:pPr>
            <w:r w:rsidRPr="00D16809">
              <w:rPr>
                <w:sz w:val="20"/>
                <w:szCs w:val="20"/>
              </w:rPr>
              <w:t>PSD: itch</w:t>
            </w:r>
          </w:p>
        </w:tc>
      </w:tr>
      <w:tr w:rsidR="008A3252" w:rsidRPr="00D16809" w14:paraId="48FE2E76" w14:textId="77777777" w:rsidTr="008A3252">
        <w:trPr>
          <w:trHeight w:val="389"/>
          <w:jc w:val="center"/>
        </w:trPr>
        <w:tc>
          <w:tcPr>
            <w:tcW w:w="1003" w:type="pct"/>
            <w:tcBorders>
              <w:top w:val="single" w:sz="6" w:space="0" w:color="auto"/>
              <w:left w:val="single" w:sz="6" w:space="0" w:color="auto"/>
              <w:bottom w:val="single" w:sz="6" w:space="0" w:color="auto"/>
              <w:right w:val="single" w:sz="6" w:space="0" w:color="auto"/>
            </w:tcBorders>
            <w:vAlign w:val="center"/>
          </w:tcPr>
          <w:p w14:paraId="4447B9AC" w14:textId="77777777" w:rsidR="008A3252" w:rsidRPr="00D16809" w:rsidRDefault="008A3252" w:rsidP="009B153D">
            <w:pPr>
              <w:pStyle w:val="Style"/>
              <w:ind w:left="293"/>
              <w:textAlignment w:val="baseline"/>
              <w:rPr>
                <w:sz w:val="20"/>
                <w:szCs w:val="20"/>
              </w:rPr>
            </w:pPr>
            <w:r w:rsidRPr="00D16809">
              <w:rPr>
                <w:sz w:val="20"/>
                <w:szCs w:val="20"/>
              </w:rPr>
              <w:t xml:space="preserve">N </w:t>
            </w:r>
          </w:p>
        </w:tc>
        <w:tc>
          <w:tcPr>
            <w:tcW w:w="1074" w:type="pct"/>
            <w:gridSpan w:val="2"/>
            <w:tcBorders>
              <w:top w:val="single" w:sz="6" w:space="0" w:color="auto"/>
              <w:left w:val="single" w:sz="6" w:space="0" w:color="auto"/>
              <w:bottom w:val="single" w:sz="6" w:space="0" w:color="auto"/>
              <w:right w:val="single" w:sz="6" w:space="0" w:color="auto"/>
            </w:tcBorders>
            <w:vAlign w:val="center"/>
          </w:tcPr>
          <w:p w14:paraId="0EAAE357" w14:textId="77777777" w:rsidR="008A3252" w:rsidRPr="00D16809" w:rsidRDefault="008A3252" w:rsidP="009B153D">
            <w:pPr>
              <w:pStyle w:val="Style"/>
              <w:ind w:left="14"/>
              <w:jc w:val="center"/>
              <w:textAlignment w:val="baseline"/>
              <w:rPr>
                <w:sz w:val="20"/>
                <w:szCs w:val="20"/>
              </w:rPr>
            </w:pPr>
            <w:r w:rsidRPr="00D16809">
              <w:rPr>
                <w:sz w:val="20"/>
                <w:szCs w:val="20"/>
              </w:rPr>
              <w:t xml:space="preserve">67 </w:t>
            </w:r>
          </w:p>
        </w:tc>
        <w:tc>
          <w:tcPr>
            <w:tcW w:w="1039" w:type="pct"/>
            <w:tcBorders>
              <w:top w:val="single" w:sz="6" w:space="0" w:color="auto"/>
              <w:left w:val="single" w:sz="6" w:space="0" w:color="auto"/>
              <w:bottom w:val="single" w:sz="6" w:space="0" w:color="auto"/>
              <w:right w:val="single" w:sz="6" w:space="0" w:color="auto"/>
            </w:tcBorders>
            <w:vAlign w:val="center"/>
          </w:tcPr>
          <w:p w14:paraId="4CE02AA4" w14:textId="77777777" w:rsidR="008A3252" w:rsidRPr="00D16809" w:rsidRDefault="008A3252" w:rsidP="009B153D">
            <w:pPr>
              <w:pStyle w:val="Style"/>
              <w:ind w:left="24"/>
              <w:jc w:val="center"/>
              <w:textAlignment w:val="baseline"/>
              <w:rPr>
                <w:sz w:val="20"/>
                <w:szCs w:val="20"/>
              </w:rPr>
            </w:pPr>
            <w:r w:rsidRPr="00D16809">
              <w:rPr>
                <w:sz w:val="20"/>
                <w:szCs w:val="20"/>
              </w:rPr>
              <w:t xml:space="preserve">260 </w:t>
            </w:r>
          </w:p>
        </w:tc>
        <w:tc>
          <w:tcPr>
            <w:tcW w:w="988" w:type="pct"/>
            <w:tcBorders>
              <w:top w:val="single" w:sz="6" w:space="0" w:color="auto"/>
              <w:left w:val="single" w:sz="6" w:space="0" w:color="auto"/>
              <w:bottom w:val="single" w:sz="6" w:space="0" w:color="auto"/>
              <w:right w:val="single" w:sz="6" w:space="0" w:color="auto"/>
            </w:tcBorders>
            <w:vAlign w:val="center"/>
          </w:tcPr>
          <w:p w14:paraId="4ED0AB98" w14:textId="77777777" w:rsidR="008A3252" w:rsidRPr="00D16809" w:rsidRDefault="008A3252" w:rsidP="009B153D">
            <w:pPr>
              <w:pStyle w:val="Style"/>
              <w:ind w:left="24"/>
              <w:jc w:val="center"/>
              <w:textAlignment w:val="baseline"/>
              <w:rPr>
                <w:sz w:val="20"/>
                <w:szCs w:val="20"/>
              </w:rPr>
            </w:pPr>
            <w:r w:rsidRPr="00D16809">
              <w:rPr>
                <w:sz w:val="20"/>
                <w:szCs w:val="20"/>
              </w:rPr>
              <w:t xml:space="preserve">124 </w:t>
            </w:r>
          </w:p>
        </w:tc>
        <w:tc>
          <w:tcPr>
            <w:tcW w:w="896" w:type="pct"/>
            <w:tcBorders>
              <w:top w:val="single" w:sz="6" w:space="0" w:color="auto"/>
              <w:left w:val="single" w:sz="6" w:space="0" w:color="auto"/>
              <w:bottom w:val="single" w:sz="6" w:space="0" w:color="auto"/>
              <w:right w:val="single" w:sz="6" w:space="0" w:color="auto"/>
            </w:tcBorders>
            <w:vAlign w:val="center"/>
          </w:tcPr>
          <w:p w14:paraId="3653D424" w14:textId="77777777" w:rsidR="008A3252" w:rsidRPr="00D16809" w:rsidRDefault="008A3252" w:rsidP="009B153D">
            <w:pPr>
              <w:pStyle w:val="Style"/>
              <w:ind w:left="19"/>
              <w:jc w:val="center"/>
              <w:textAlignment w:val="baseline"/>
              <w:rPr>
                <w:sz w:val="20"/>
                <w:szCs w:val="20"/>
              </w:rPr>
            </w:pPr>
            <w:r w:rsidRPr="00D16809">
              <w:rPr>
                <w:sz w:val="20"/>
                <w:szCs w:val="20"/>
              </w:rPr>
              <w:t xml:space="preserve">451 </w:t>
            </w:r>
          </w:p>
        </w:tc>
      </w:tr>
      <w:tr w:rsidR="008A3252" w:rsidRPr="00D16809" w14:paraId="29FC9708" w14:textId="77777777" w:rsidTr="008A3252">
        <w:trPr>
          <w:trHeight w:val="389"/>
          <w:jc w:val="center"/>
        </w:trPr>
        <w:tc>
          <w:tcPr>
            <w:tcW w:w="1003" w:type="pct"/>
            <w:tcBorders>
              <w:top w:val="single" w:sz="6" w:space="0" w:color="auto"/>
              <w:left w:val="single" w:sz="6" w:space="0" w:color="auto"/>
              <w:bottom w:val="single" w:sz="6" w:space="0" w:color="auto"/>
              <w:right w:val="single" w:sz="6" w:space="0" w:color="auto"/>
            </w:tcBorders>
            <w:vAlign w:val="center"/>
          </w:tcPr>
          <w:p w14:paraId="5A494659" w14:textId="77777777" w:rsidR="008A3252" w:rsidRPr="00D16809" w:rsidRDefault="008A3252" w:rsidP="009B153D">
            <w:pPr>
              <w:pStyle w:val="Style"/>
              <w:ind w:left="293"/>
              <w:textAlignment w:val="baseline"/>
              <w:rPr>
                <w:sz w:val="20"/>
                <w:szCs w:val="20"/>
              </w:rPr>
            </w:pPr>
            <w:r w:rsidRPr="00D16809">
              <w:rPr>
                <w:sz w:val="20"/>
                <w:szCs w:val="20"/>
              </w:rPr>
              <w:t xml:space="preserve">Mean (SD) </w:t>
            </w:r>
          </w:p>
        </w:tc>
        <w:tc>
          <w:tcPr>
            <w:tcW w:w="1074" w:type="pct"/>
            <w:gridSpan w:val="2"/>
            <w:tcBorders>
              <w:top w:val="single" w:sz="6" w:space="0" w:color="auto"/>
              <w:left w:val="single" w:sz="6" w:space="0" w:color="auto"/>
              <w:bottom w:val="single" w:sz="6" w:space="0" w:color="auto"/>
              <w:right w:val="single" w:sz="6" w:space="0" w:color="auto"/>
            </w:tcBorders>
            <w:vAlign w:val="center"/>
          </w:tcPr>
          <w:p w14:paraId="481CAA3C" w14:textId="77777777" w:rsidR="008A3252" w:rsidRPr="00D16809" w:rsidRDefault="008A3252" w:rsidP="009B153D">
            <w:pPr>
              <w:pStyle w:val="Style"/>
              <w:ind w:left="14"/>
              <w:jc w:val="center"/>
              <w:textAlignment w:val="baseline"/>
              <w:rPr>
                <w:sz w:val="20"/>
                <w:szCs w:val="20"/>
              </w:rPr>
            </w:pPr>
            <w:r w:rsidRPr="00D16809">
              <w:rPr>
                <w:sz w:val="20"/>
                <w:szCs w:val="20"/>
              </w:rPr>
              <w:t xml:space="preserve">6.107 (2.517) </w:t>
            </w:r>
          </w:p>
        </w:tc>
        <w:tc>
          <w:tcPr>
            <w:tcW w:w="1039" w:type="pct"/>
            <w:tcBorders>
              <w:top w:val="single" w:sz="6" w:space="0" w:color="auto"/>
              <w:left w:val="single" w:sz="6" w:space="0" w:color="auto"/>
              <w:bottom w:val="single" w:sz="6" w:space="0" w:color="auto"/>
              <w:right w:val="single" w:sz="6" w:space="0" w:color="auto"/>
            </w:tcBorders>
            <w:vAlign w:val="center"/>
          </w:tcPr>
          <w:p w14:paraId="0EBB9AD7" w14:textId="77777777" w:rsidR="008A3252" w:rsidRPr="00D16809" w:rsidRDefault="008A3252" w:rsidP="009B153D">
            <w:pPr>
              <w:pStyle w:val="Style"/>
              <w:ind w:left="24"/>
              <w:jc w:val="center"/>
              <w:textAlignment w:val="baseline"/>
              <w:rPr>
                <w:sz w:val="20"/>
                <w:szCs w:val="20"/>
              </w:rPr>
            </w:pPr>
            <w:r w:rsidRPr="00D16809">
              <w:rPr>
                <w:sz w:val="20"/>
                <w:szCs w:val="20"/>
              </w:rPr>
              <w:t xml:space="preserve">6.584 (2.402) </w:t>
            </w:r>
          </w:p>
        </w:tc>
        <w:tc>
          <w:tcPr>
            <w:tcW w:w="988" w:type="pct"/>
            <w:tcBorders>
              <w:top w:val="single" w:sz="6" w:space="0" w:color="auto"/>
              <w:left w:val="single" w:sz="6" w:space="0" w:color="auto"/>
              <w:bottom w:val="single" w:sz="6" w:space="0" w:color="auto"/>
              <w:right w:val="single" w:sz="6" w:space="0" w:color="auto"/>
            </w:tcBorders>
            <w:vAlign w:val="center"/>
          </w:tcPr>
          <w:p w14:paraId="4E2FD1D1" w14:textId="77777777" w:rsidR="008A3252" w:rsidRPr="00D16809" w:rsidRDefault="008A3252" w:rsidP="009B153D">
            <w:pPr>
              <w:pStyle w:val="Style"/>
              <w:ind w:left="24"/>
              <w:jc w:val="center"/>
              <w:textAlignment w:val="baseline"/>
              <w:rPr>
                <w:sz w:val="20"/>
                <w:szCs w:val="20"/>
              </w:rPr>
            </w:pPr>
            <w:r w:rsidRPr="00D16809">
              <w:rPr>
                <w:sz w:val="20"/>
                <w:szCs w:val="20"/>
              </w:rPr>
              <w:t xml:space="preserve">6.824 (2.387) </w:t>
            </w:r>
          </w:p>
        </w:tc>
        <w:tc>
          <w:tcPr>
            <w:tcW w:w="896" w:type="pct"/>
            <w:tcBorders>
              <w:top w:val="single" w:sz="6" w:space="0" w:color="auto"/>
              <w:left w:val="single" w:sz="6" w:space="0" w:color="auto"/>
              <w:bottom w:val="single" w:sz="6" w:space="0" w:color="auto"/>
              <w:right w:val="single" w:sz="6" w:space="0" w:color="auto"/>
            </w:tcBorders>
            <w:vAlign w:val="center"/>
          </w:tcPr>
          <w:p w14:paraId="1B91231C" w14:textId="77777777" w:rsidR="008A3252" w:rsidRPr="00D16809" w:rsidRDefault="008A3252" w:rsidP="009B153D">
            <w:pPr>
              <w:pStyle w:val="Style"/>
              <w:ind w:left="19"/>
              <w:jc w:val="center"/>
              <w:textAlignment w:val="baseline"/>
              <w:rPr>
                <w:sz w:val="20"/>
                <w:szCs w:val="20"/>
              </w:rPr>
            </w:pPr>
            <w:r w:rsidRPr="00D16809">
              <w:rPr>
                <w:sz w:val="20"/>
                <w:szCs w:val="20"/>
              </w:rPr>
              <w:t xml:space="preserve">6.524 (2.416) </w:t>
            </w:r>
          </w:p>
        </w:tc>
      </w:tr>
      <w:tr w:rsidR="008A3252" w:rsidRPr="00D16809" w14:paraId="1FEEE8E0" w14:textId="77777777" w:rsidTr="008A3252">
        <w:trPr>
          <w:trHeight w:val="389"/>
          <w:jc w:val="center"/>
        </w:trPr>
        <w:tc>
          <w:tcPr>
            <w:tcW w:w="1003" w:type="pct"/>
            <w:tcBorders>
              <w:top w:val="single" w:sz="6" w:space="0" w:color="auto"/>
              <w:left w:val="single" w:sz="6" w:space="0" w:color="auto"/>
              <w:bottom w:val="single" w:sz="6" w:space="0" w:color="auto"/>
              <w:right w:val="single" w:sz="6" w:space="0" w:color="auto"/>
            </w:tcBorders>
            <w:vAlign w:val="center"/>
          </w:tcPr>
          <w:p w14:paraId="5A3AC7AD" w14:textId="77777777" w:rsidR="008A3252" w:rsidRPr="00D16809" w:rsidRDefault="008A3252" w:rsidP="009B153D">
            <w:pPr>
              <w:pStyle w:val="Style"/>
              <w:ind w:left="293"/>
              <w:textAlignment w:val="baseline"/>
              <w:rPr>
                <w:sz w:val="20"/>
                <w:szCs w:val="20"/>
              </w:rPr>
            </w:pPr>
            <w:r w:rsidRPr="00D16809">
              <w:rPr>
                <w:sz w:val="20"/>
                <w:szCs w:val="20"/>
              </w:rPr>
              <w:lastRenderedPageBreak/>
              <w:t xml:space="preserve">Median </w:t>
            </w:r>
          </w:p>
        </w:tc>
        <w:tc>
          <w:tcPr>
            <w:tcW w:w="1074" w:type="pct"/>
            <w:gridSpan w:val="2"/>
            <w:tcBorders>
              <w:top w:val="single" w:sz="6" w:space="0" w:color="auto"/>
              <w:left w:val="single" w:sz="6" w:space="0" w:color="auto"/>
              <w:bottom w:val="single" w:sz="6" w:space="0" w:color="auto"/>
              <w:right w:val="single" w:sz="6" w:space="0" w:color="auto"/>
            </w:tcBorders>
            <w:vAlign w:val="center"/>
          </w:tcPr>
          <w:p w14:paraId="1C0B136A" w14:textId="77777777" w:rsidR="008A3252" w:rsidRPr="00D16809" w:rsidRDefault="008A3252" w:rsidP="009B153D">
            <w:pPr>
              <w:pStyle w:val="Style"/>
              <w:ind w:left="14"/>
              <w:jc w:val="center"/>
              <w:textAlignment w:val="baseline"/>
              <w:rPr>
                <w:sz w:val="20"/>
                <w:szCs w:val="20"/>
              </w:rPr>
            </w:pPr>
            <w:r w:rsidRPr="00D16809">
              <w:rPr>
                <w:sz w:val="20"/>
                <w:szCs w:val="20"/>
              </w:rPr>
              <w:t xml:space="preserve">6.000 </w:t>
            </w:r>
          </w:p>
        </w:tc>
        <w:tc>
          <w:tcPr>
            <w:tcW w:w="1039" w:type="pct"/>
            <w:tcBorders>
              <w:top w:val="single" w:sz="6" w:space="0" w:color="auto"/>
              <w:left w:val="single" w:sz="6" w:space="0" w:color="auto"/>
              <w:bottom w:val="single" w:sz="6" w:space="0" w:color="auto"/>
              <w:right w:val="single" w:sz="6" w:space="0" w:color="auto"/>
            </w:tcBorders>
            <w:vAlign w:val="center"/>
          </w:tcPr>
          <w:p w14:paraId="6FF47BA2" w14:textId="77777777" w:rsidR="008A3252" w:rsidRPr="00D16809" w:rsidRDefault="008A3252" w:rsidP="009B153D">
            <w:pPr>
              <w:pStyle w:val="Style"/>
              <w:ind w:left="24"/>
              <w:jc w:val="center"/>
              <w:textAlignment w:val="baseline"/>
              <w:rPr>
                <w:sz w:val="20"/>
                <w:szCs w:val="20"/>
              </w:rPr>
            </w:pPr>
            <w:r w:rsidRPr="00D16809">
              <w:rPr>
                <w:sz w:val="20"/>
                <w:szCs w:val="20"/>
              </w:rPr>
              <w:t xml:space="preserve">6.833 </w:t>
            </w:r>
          </w:p>
        </w:tc>
        <w:tc>
          <w:tcPr>
            <w:tcW w:w="988" w:type="pct"/>
            <w:tcBorders>
              <w:top w:val="single" w:sz="6" w:space="0" w:color="auto"/>
              <w:left w:val="single" w:sz="6" w:space="0" w:color="auto"/>
              <w:bottom w:val="single" w:sz="6" w:space="0" w:color="auto"/>
              <w:right w:val="single" w:sz="6" w:space="0" w:color="auto"/>
            </w:tcBorders>
            <w:vAlign w:val="center"/>
          </w:tcPr>
          <w:p w14:paraId="1137E38D" w14:textId="77777777" w:rsidR="008A3252" w:rsidRPr="00D16809" w:rsidRDefault="008A3252" w:rsidP="009B153D">
            <w:pPr>
              <w:pStyle w:val="Style"/>
              <w:ind w:left="24"/>
              <w:jc w:val="center"/>
              <w:textAlignment w:val="baseline"/>
              <w:rPr>
                <w:sz w:val="20"/>
                <w:szCs w:val="20"/>
              </w:rPr>
            </w:pPr>
            <w:r w:rsidRPr="00D16809">
              <w:rPr>
                <w:sz w:val="20"/>
                <w:szCs w:val="20"/>
              </w:rPr>
              <w:t xml:space="preserve">7.00 </w:t>
            </w:r>
          </w:p>
        </w:tc>
        <w:tc>
          <w:tcPr>
            <w:tcW w:w="896" w:type="pct"/>
            <w:tcBorders>
              <w:top w:val="single" w:sz="6" w:space="0" w:color="auto"/>
              <w:left w:val="single" w:sz="6" w:space="0" w:color="auto"/>
              <w:bottom w:val="single" w:sz="6" w:space="0" w:color="auto"/>
              <w:right w:val="single" w:sz="6" w:space="0" w:color="auto"/>
            </w:tcBorders>
            <w:vAlign w:val="center"/>
          </w:tcPr>
          <w:p w14:paraId="282148B4" w14:textId="77777777" w:rsidR="008A3252" w:rsidRPr="00D16809" w:rsidRDefault="008A3252" w:rsidP="009B153D">
            <w:pPr>
              <w:pStyle w:val="Style"/>
              <w:ind w:left="19"/>
              <w:jc w:val="center"/>
              <w:textAlignment w:val="baseline"/>
              <w:rPr>
                <w:sz w:val="20"/>
                <w:szCs w:val="20"/>
              </w:rPr>
            </w:pPr>
            <w:r w:rsidRPr="00D16809">
              <w:rPr>
                <w:sz w:val="20"/>
                <w:szCs w:val="20"/>
              </w:rPr>
              <w:t xml:space="preserve">6.833 </w:t>
            </w:r>
          </w:p>
        </w:tc>
      </w:tr>
      <w:tr w:rsidR="008A3252" w:rsidRPr="00D16809" w14:paraId="35149B2B" w14:textId="77777777" w:rsidTr="008A3252">
        <w:trPr>
          <w:trHeight w:val="389"/>
          <w:jc w:val="center"/>
        </w:trPr>
        <w:tc>
          <w:tcPr>
            <w:tcW w:w="1003" w:type="pct"/>
            <w:tcBorders>
              <w:top w:val="single" w:sz="6" w:space="0" w:color="auto"/>
              <w:left w:val="single" w:sz="6" w:space="0" w:color="auto"/>
              <w:bottom w:val="single" w:sz="6" w:space="0" w:color="auto"/>
              <w:right w:val="single" w:sz="6" w:space="0" w:color="auto"/>
            </w:tcBorders>
            <w:vAlign w:val="center"/>
          </w:tcPr>
          <w:p w14:paraId="2B6897CB" w14:textId="77777777" w:rsidR="008A3252" w:rsidRPr="00D16809" w:rsidRDefault="008A3252" w:rsidP="009B153D">
            <w:pPr>
              <w:pStyle w:val="Style"/>
              <w:ind w:left="293"/>
              <w:textAlignment w:val="baseline"/>
              <w:rPr>
                <w:sz w:val="20"/>
                <w:szCs w:val="20"/>
              </w:rPr>
            </w:pPr>
            <w:r w:rsidRPr="00D16809">
              <w:rPr>
                <w:sz w:val="20"/>
                <w:szCs w:val="20"/>
              </w:rPr>
              <w:t xml:space="preserve">Min, max </w:t>
            </w:r>
          </w:p>
        </w:tc>
        <w:tc>
          <w:tcPr>
            <w:tcW w:w="1074" w:type="pct"/>
            <w:gridSpan w:val="2"/>
            <w:tcBorders>
              <w:top w:val="single" w:sz="6" w:space="0" w:color="auto"/>
              <w:left w:val="single" w:sz="6" w:space="0" w:color="auto"/>
              <w:bottom w:val="single" w:sz="6" w:space="0" w:color="auto"/>
              <w:right w:val="single" w:sz="6" w:space="0" w:color="auto"/>
            </w:tcBorders>
            <w:vAlign w:val="center"/>
          </w:tcPr>
          <w:p w14:paraId="669405FC" w14:textId="77777777" w:rsidR="008A3252" w:rsidRPr="00D16809" w:rsidRDefault="008A3252" w:rsidP="009B153D">
            <w:pPr>
              <w:pStyle w:val="Style"/>
              <w:ind w:left="14"/>
              <w:jc w:val="center"/>
              <w:textAlignment w:val="baseline"/>
              <w:rPr>
                <w:sz w:val="20"/>
                <w:szCs w:val="20"/>
              </w:rPr>
            </w:pPr>
            <w:r w:rsidRPr="00D16809">
              <w:rPr>
                <w:sz w:val="20"/>
                <w:szCs w:val="20"/>
              </w:rPr>
              <w:t xml:space="preserve">0.00, 10.00 </w:t>
            </w:r>
          </w:p>
        </w:tc>
        <w:tc>
          <w:tcPr>
            <w:tcW w:w="1039" w:type="pct"/>
            <w:tcBorders>
              <w:top w:val="single" w:sz="6" w:space="0" w:color="auto"/>
              <w:left w:val="single" w:sz="6" w:space="0" w:color="auto"/>
              <w:bottom w:val="single" w:sz="6" w:space="0" w:color="auto"/>
              <w:right w:val="single" w:sz="6" w:space="0" w:color="auto"/>
            </w:tcBorders>
            <w:vAlign w:val="center"/>
          </w:tcPr>
          <w:p w14:paraId="57B67A13" w14:textId="77777777" w:rsidR="008A3252" w:rsidRPr="00D16809" w:rsidRDefault="008A3252" w:rsidP="009B153D">
            <w:pPr>
              <w:pStyle w:val="Style"/>
              <w:ind w:left="24"/>
              <w:jc w:val="center"/>
              <w:textAlignment w:val="baseline"/>
              <w:rPr>
                <w:sz w:val="20"/>
                <w:szCs w:val="20"/>
              </w:rPr>
            </w:pPr>
            <w:r w:rsidRPr="00D16809">
              <w:rPr>
                <w:sz w:val="20"/>
                <w:szCs w:val="20"/>
              </w:rPr>
              <w:t xml:space="preserve">0.00, 10.00 </w:t>
            </w:r>
          </w:p>
        </w:tc>
        <w:tc>
          <w:tcPr>
            <w:tcW w:w="988" w:type="pct"/>
            <w:tcBorders>
              <w:top w:val="single" w:sz="6" w:space="0" w:color="auto"/>
              <w:left w:val="single" w:sz="6" w:space="0" w:color="auto"/>
              <w:bottom w:val="single" w:sz="6" w:space="0" w:color="auto"/>
              <w:right w:val="single" w:sz="6" w:space="0" w:color="auto"/>
            </w:tcBorders>
            <w:vAlign w:val="center"/>
          </w:tcPr>
          <w:p w14:paraId="0E760977" w14:textId="77777777" w:rsidR="008A3252" w:rsidRPr="00D16809" w:rsidRDefault="008A3252" w:rsidP="009B153D">
            <w:pPr>
              <w:pStyle w:val="Style"/>
              <w:ind w:left="24"/>
              <w:jc w:val="center"/>
              <w:textAlignment w:val="baseline"/>
              <w:rPr>
                <w:sz w:val="20"/>
                <w:szCs w:val="20"/>
              </w:rPr>
            </w:pPr>
            <w:r w:rsidRPr="00D16809">
              <w:rPr>
                <w:sz w:val="20"/>
                <w:szCs w:val="20"/>
              </w:rPr>
              <w:t xml:space="preserve">0.71, 10.00 </w:t>
            </w:r>
          </w:p>
        </w:tc>
        <w:tc>
          <w:tcPr>
            <w:tcW w:w="896" w:type="pct"/>
            <w:tcBorders>
              <w:top w:val="single" w:sz="6" w:space="0" w:color="auto"/>
              <w:left w:val="single" w:sz="6" w:space="0" w:color="auto"/>
              <w:bottom w:val="single" w:sz="6" w:space="0" w:color="auto"/>
              <w:right w:val="single" w:sz="6" w:space="0" w:color="auto"/>
            </w:tcBorders>
            <w:vAlign w:val="center"/>
          </w:tcPr>
          <w:p w14:paraId="6155D68C" w14:textId="77777777" w:rsidR="008A3252" w:rsidRPr="00D16809" w:rsidRDefault="008A3252" w:rsidP="009B153D">
            <w:pPr>
              <w:pStyle w:val="Style"/>
              <w:ind w:left="19"/>
              <w:jc w:val="center"/>
              <w:textAlignment w:val="baseline"/>
              <w:rPr>
                <w:sz w:val="20"/>
                <w:szCs w:val="20"/>
              </w:rPr>
            </w:pPr>
            <w:r w:rsidRPr="00D16809">
              <w:rPr>
                <w:sz w:val="20"/>
                <w:szCs w:val="20"/>
              </w:rPr>
              <w:t xml:space="preserve">0.00, 10.00 </w:t>
            </w:r>
          </w:p>
        </w:tc>
      </w:tr>
      <w:tr w:rsidR="008A3252" w:rsidRPr="00D16809" w14:paraId="47C73D96" w14:textId="77777777" w:rsidTr="008A3252">
        <w:trPr>
          <w:trHeight w:val="389"/>
          <w:jc w:val="center"/>
        </w:trPr>
        <w:tc>
          <w:tcPr>
            <w:tcW w:w="5000" w:type="pct"/>
            <w:gridSpan w:val="6"/>
            <w:tcBorders>
              <w:top w:val="single" w:sz="6" w:space="0" w:color="auto"/>
              <w:left w:val="single" w:sz="6" w:space="0" w:color="auto"/>
              <w:bottom w:val="single" w:sz="6" w:space="0" w:color="auto"/>
              <w:right w:val="single" w:sz="6" w:space="0" w:color="auto"/>
            </w:tcBorders>
            <w:vAlign w:val="center"/>
          </w:tcPr>
          <w:p w14:paraId="406C41D1" w14:textId="2A051BAB" w:rsidR="008A3252" w:rsidRPr="00D16809" w:rsidRDefault="008A3252" w:rsidP="008A3252">
            <w:pPr>
              <w:pStyle w:val="Style"/>
              <w:ind w:left="293"/>
              <w:textAlignment w:val="baseline"/>
              <w:rPr>
                <w:sz w:val="20"/>
                <w:szCs w:val="20"/>
              </w:rPr>
            </w:pPr>
            <w:r w:rsidRPr="00D16809">
              <w:rPr>
                <w:sz w:val="20"/>
                <w:szCs w:val="20"/>
              </w:rPr>
              <w:t>PSD: scaling</w:t>
            </w:r>
          </w:p>
          <w:p w14:paraId="177D94EE" w14:textId="1425C46C" w:rsidR="008A3252" w:rsidRPr="00D16809" w:rsidRDefault="008A3252" w:rsidP="009B153D">
            <w:pPr>
              <w:pStyle w:val="Style"/>
              <w:ind w:left="19"/>
              <w:jc w:val="center"/>
              <w:textAlignment w:val="baseline"/>
              <w:rPr>
                <w:sz w:val="20"/>
                <w:szCs w:val="20"/>
              </w:rPr>
            </w:pPr>
          </w:p>
        </w:tc>
      </w:tr>
      <w:tr w:rsidR="008A3252" w:rsidRPr="00D16809" w14:paraId="447151AE" w14:textId="77777777" w:rsidTr="008A3252">
        <w:trPr>
          <w:trHeight w:val="389"/>
          <w:jc w:val="center"/>
        </w:trPr>
        <w:tc>
          <w:tcPr>
            <w:tcW w:w="1003" w:type="pct"/>
            <w:tcBorders>
              <w:top w:val="single" w:sz="6" w:space="0" w:color="auto"/>
              <w:left w:val="single" w:sz="6" w:space="0" w:color="auto"/>
              <w:bottom w:val="single" w:sz="6" w:space="0" w:color="auto"/>
              <w:right w:val="single" w:sz="6" w:space="0" w:color="auto"/>
            </w:tcBorders>
            <w:vAlign w:val="center"/>
          </w:tcPr>
          <w:p w14:paraId="41927623" w14:textId="77777777" w:rsidR="008A3252" w:rsidRPr="00D16809" w:rsidRDefault="008A3252" w:rsidP="009B153D">
            <w:pPr>
              <w:pStyle w:val="Style"/>
              <w:ind w:left="293"/>
              <w:textAlignment w:val="baseline"/>
              <w:rPr>
                <w:sz w:val="20"/>
                <w:szCs w:val="20"/>
              </w:rPr>
            </w:pPr>
            <w:r w:rsidRPr="00D16809">
              <w:rPr>
                <w:sz w:val="20"/>
                <w:szCs w:val="20"/>
              </w:rPr>
              <w:t xml:space="preserve">n </w:t>
            </w:r>
          </w:p>
        </w:tc>
        <w:tc>
          <w:tcPr>
            <w:tcW w:w="1074" w:type="pct"/>
            <w:gridSpan w:val="2"/>
            <w:tcBorders>
              <w:top w:val="single" w:sz="6" w:space="0" w:color="auto"/>
              <w:left w:val="single" w:sz="6" w:space="0" w:color="auto"/>
              <w:bottom w:val="single" w:sz="6" w:space="0" w:color="auto"/>
              <w:right w:val="single" w:sz="6" w:space="0" w:color="auto"/>
            </w:tcBorders>
            <w:vAlign w:val="center"/>
          </w:tcPr>
          <w:p w14:paraId="2ACB03F8" w14:textId="77777777" w:rsidR="008A3252" w:rsidRPr="00D16809" w:rsidRDefault="008A3252" w:rsidP="009B153D">
            <w:pPr>
              <w:pStyle w:val="Style"/>
              <w:ind w:left="14"/>
              <w:jc w:val="center"/>
              <w:textAlignment w:val="baseline"/>
              <w:rPr>
                <w:sz w:val="20"/>
                <w:szCs w:val="20"/>
              </w:rPr>
            </w:pPr>
            <w:r w:rsidRPr="00D16809">
              <w:rPr>
                <w:sz w:val="20"/>
                <w:szCs w:val="20"/>
              </w:rPr>
              <w:t xml:space="preserve">67 </w:t>
            </w:r>
          </w:p>
        </w:tc>
        <w:tc>
          <w:tcPr>
            <w:tcW w:w="1039" w:type="pct"/>
            <w:tcBorders>
              <w:top w:val="single" w:sz="6" w:space="0" w:color="auto"/>
              <w:left w:val="single" w:sz="6" w:space="0" w:color="auto"/>
              <w:bottom w:val="single" w:sz="6" w:space="0" w:color="auto"/>
              <w:right w:val="single" w:sz="6" w:space="0" w:color="auto"/>
            </w:tcBorders>
            <w:vAlign w:val="center"/>
          </w:tcPr>
          <w:p w14:paraId="4964001C" w14:textId="77777777" w:rsidR="008A3252" w:rsidRPr="00D16809" w:rsidRDefault="008A3252" w:rsidP="009B153D">
            <w:pPr>
              <w:pStyle w:val="Style"/>
              <w:ind w:left="24"/>
              <w:jc w:val="center"/>
              <w:textAlignment w:val="baseline"/>
              <w:rPr>
                <w:sz w:val="20"/>
                <w:szCs w:val="20"/>
              </w:rPr>
            </w:pPr>
            <w:r w:rsidRPr="00D16809">
              <w:rPr>
                <w:sz w:val="20"/>
                <w:szCs w:val="20"/>
              </w:rPr>
              <w:t xml:space="preserve">260 </w:t>
            </w:r>
          </w:p>
        </w:tc>
        <w:tc>
          <w:tcPr>
            <w:tcW w:w="988" w:type="pct"/>
            <w:tcBorders>
              <w:top w:val="single" w:sz="6" w:space="0" w:color="auto"/>
              <w:left w:val="single" w:sz="6" w:space="0" w:color="auto"/>
              <w:bottom w:val="single" w:sz="6" w:space="0" w:color="auto"/>
              <w:right w:val="single" w:sz="6" w:space="0" w:color="auto"/>
            </w:tcBorders>
            <w:vAlign w:val="center"/>
          </w:tcPr>
          <w:p w14:paraId="1C6502CC" w14:textId="77777777" w:rsidR="008A3252" w:rsidRPr="00D16809" w:rsidRDefault="008A3252" w:rsidP="009B153D">
            <w:pPr>
              <w:pStyle w:val="Style"/>
              <w:ind w:left="24"/>
              <w:jc w:val="center"/>
              <w:textAlignment w:val="baseline"/>
              <w:rPr>
                <w:sz w:val="20"/>
                <w:szCs w:val="20"/>
              </w:rPr>
            </w:pPr>
            <w:r w:rsidRPr="00D16809">
              <w:rPr>
                <w:sz w:val="20"/>
                <w:szCs w:val="20"/>
              </w:rPr>
              <w:t xml:space="preserve">124 </w:t>
            </w:r>
          </w:p>
        </w:tc>
        <w:tc>
          <w:tcPr>
            <w:tcW w:w="896" w:type="pct"/>
            <w:tcBorders>
              <w:top w:val="single" w:sz="6" w:space="0" w:color="auto"/>
              <w:left w:val="single" w:sz="6" w:space="0" w:color="auto"/>
              <w:bottom w:val="single" w:sz="6" w:space="0" w:color="auto"/>
              <w:right w:val="single" w:sz="6" w:space="0" w:color="auto"/>
            </w:tcBorders>
            <w:vAlign w:val="center"/>
          </w:tcPr>
          <w:p w14:paraId="6A2910AB" w14:textId="77777777" w:rsidR="008A3252" w:rsidRPr="00D16809" w:rsidRDefault="008A3252" w:rsidP="009B153D">
            <w:pPr>
              <w:pStyle w:val="Style"/>
              <w:ind w:left="19"/>
              <w:jc w:val="center"/>
              <w:textAlignment w:val="baseline"/>
              <w:rPr>
                <w:sz w:val="20"/>
                <w:szCs w:val="20"/>
              </w:rPr>
            </w:pPr>
            <w:r w:rsidRPr="00D16809">
              <w:rPr>
                <w:sz w:val="20"/>
                <w:szCs w:val="20"/>
              </w:rPr>
              <w:t xml:space="preserve">451 </w:t>
            </w:r>
          </w:p>
        </w:tc>
      </w:tr>
      <w:tr w:rsidR="008A3252" w:rsidRPr="00D16809" w14:paraId="612830EB" w14:textId="77777777" w:rsidTr="008A3252">
        <w:trPr>
          <w:trHeight w:val="389"/>
          <w:jc w:val="center"/>
        </w:trPr>
        <w:tc>
          <w:tcPr>
            <w:tcW w:w="1003" w:type="pct"/>
            <w:tcBorders>
              <w:top w:val="single" w:sz="6" w:space="0" w:color="auto"/>
              <w:left w:val="single" w:sz="6" w:space="0" w:color="auto"/>
              <w:bottom w:val="single" w:sz="6" w:space="0" w:color="auto"/>
              <w:right w:val="single" w:sz="6" w:space="0" w:color="auto"/>
            </w:tcBorders>
            <w:vAlign w:val="center"/>
          </w:tcPr>
          <w:p w14:paraId="4A5746B8" w14:textId="77777777" w:rsidR="008A3252" w:rsidRPr="00D16809" w:rsidRDefault="008A3252" w:rsidP="009B153D">
            <w:pPr>
              <w:pStyle w:val="Style"/>
              <w:ind w:left="293"/>
              <w:textAlignment w:val="baseline"/>
              <w:rPr>
                <w:sz w:val="20"/>
                <w:szCs w:val="20"/>
              </w:rPr>
            </w:pPr>
            <w:r w:rsidRPr="00D16809">
              <w:rPr>
                <w:sz w:val="20"/>
                <w:szCs w:val="20"/>
              </w:rPr>
              <w:t xml:space="preserve">Mean (SD) </w:t>
            </w:r>
          </w:p>
        </w:tc>
        <w:tc>
          <w:tcPr>
            <w:tcW w:w="1074" w:type="pct"/>
            <w:gridSpan w:val="2"/>
            <w:tcBorders>
              <w:top w:val="single" w:sz="6" w:space="0" w:color="auto"/>
              <w:left w:val="single" w:sz="6" w:space="0" w:color="auto"/>
              <w:bottom w:val="single" w:sz="6" w:space="0" w:color="auto"/>
              <w:right w:val="single" w:sz="6" w:space="0" w:color="auto"/>
            </w:tcBorders>
            <w:vAlign w:val="center"/>
          </w:tcPr>
          <w:p w14:paraId="1140D7C4" w14:textId="77777777" w:rsidR="008A3252" w:rsidRPr="00D16809" w:rsidRDefault="008A3252" w:rsidP="009B153D">
            <w:pPr>
              <w:pStyle w:val="Style"/>
              <w:ind w:left="14"/>
              <w:jc w:val="center"/>
              <w:textAlignment w:val="baseline"/>
              <w:rPr>
                <w:sz w:val="20"/>
                <w:szCs w:val="20"/>
              </w:rPr>
            </w:pPr>
            <w:r w:rsidRPr="00D16809">
              <w:rPr>
                <w:sz w:val="20"/>
                <w:szCs w:val="20"/>
              </w:rPr>
              <w:t xml:space="preserve">6.570 (2.254) </w:t>
            </w:r>
          </w:p>
        </w:tc>
        <w:tc>
          <w:tcPr>
            <w:tcW w:w="1039" w:type="pct"/>
            <w:tcBorders>
              <w:top w:val="single" w:sz="6" w:space="0" w:color="auto"/>
              <w:left w:val="single" w:sz="6" w:space="0" w:color="auto"/>
              <w:bottom w:val="single" w:sz="6" w:space="0" w:color="auto"/>
              <w:right w:val="single" w:sz="6" w:space="0" w:color="auto"/>
            </w:tcBorders>
            <w:vAlign w:val="center"/>
          </w:tcPr>
          <w:p w14:paraId="7FA22249" w14:textId="77777777" w:rsidR="008A3252" w:rsidRPr="00D16809" w:rsidRDefault="008A3252" w:rsidP="009B153D">
            <w:pPr>
              <w:pStyle w:val="Style"/>
              <w:ind w:left="24"/>
              <w:jc w:val="center"/>
              <w:textAlignment w:val="baseline"/>
              <w:rPr>
                <w:sz w:val="20"/>
                <w:szCs w:val="20"/>
              </w:rPr>
            </w:pPr>
            <w:r w:rsidRPr="00D16809">
              <w:rPr>
                <w:sz w:val="20"/>
                <w:szCs w:val="20"/>
              </w:rPr>
              <w:t xml:space="preserve">6.677 (2.264) </w:t>
            </w:r>
          </w:p>
        </w:tc>
        <w:tc>
          <w:tcPr>
            <w:tcW w:w="988" w:type="pct"/>
            <w:tcBorders>
              <w:top w:val="single" w:sz="6" w:space="0" w:color="auto"/>
              <w:left w:val="single" w:sz="6" w:space="0" w:color="auto"/>
              <w:bottom w:val="single" w:sz="6" w:space="0" w:color="auto"/>
              <w:right w:val="single" w:sz="6" w:space="0" w:color="auto"/>
            </w:tcBorders>
            <w:vAlign w:val="center"/>
          </w:tcPr>
          <w:p w14:paraId="0A0A518B" w14:textId="77777777" w:rsidR="008A3252" w:rsidRPr="00D16809" w:rsidRDefault="008A3252" w:rsidP="009B153D">
            <w:pPr>
              <w:pStyle w:val="Style"/>
              <w:ind w:left="24"/>
              <w:jc w:val="center"/>
              <w:textAlignment w:val="baseline"/>
              <w:rPr>
                <w:sz w:val="20"/>
                <w:szCs w:val="20"/>
              </w:rPr>
            </w:pPr>
            <w:r w:rsidRPr="00D16809">
              <w:rPr>
                <w:sz w:val="20"/>
                <w:szCs w:val="20"/>
              </w:rPr>
              <w:t xml:space="preserve">6.824 (2.388) </w:t>
            </w:r>
          </w:p>
        </w:tc>
        <w:tc>
          <w:tcPr>
            <w:tcW w:w="896" w:type="pct"/>
            <w:tcBorders>
              <w:top w:val="single" w:sz="6" w:space="0" w:color="auto"/>
              <w:left w:val="single" w:sz="6" w:space="0" w:color="auto"/>
              <w:bottom w:val="single" w:sz="6" w:space="0" w:color="auto"/>
              <w:right w:val="single" w:sz="6" w:space="0" w:color="auto"/>
            </w:tcBorders>
            <w:vAlign w:val="center"/>
          </w:tcPr>
          <w:p w14:paraId="48E70143" w14:textId="77777777" w:rsidR="008A3252" w:rsidRPr="00D16809" w:rsidRDefault="008A3252" w:rsidP="009B153D">
            <w:pPr>
              <w:pStyle w:val="Style"/>
              <w:ind w:left="19"/>
              <w:jc w:val="center"/>
              <w:textAlignment w:val="baseline"/>
              <w:rPr>
                <w:sz w:val="20"/>
                <w:szCs w:val="20"/>
              </w:rPr>
            </w:pPr>
            <w:r w:rsidRPr="00D16809">
              <w:rPr>
                <w:sz w:val="20"/>
                <w:szCs w:val="20"/>
              </w:rPr>
              <w:t xml:space="preserve">6.702 (2.294) </w:t>
            </w:r>
          </w:p>
        </w:tc>
      </w:tr>
      <w:tr w:rsidR="008A3252" w:rsidRPr="00D16809" w14:paraId="0E05E439" w14:textId="77777777" w:rsidTr="008A3252">
        <w:trPr>
          <w:trHeight w:val="389"/>
          <w:jc w:val="center"/>
        </w:trPr>
        <w:tc>
          <w:tcPr>
            <w:tcW w:w="1003" w:type="pct"/>
            <w:tcBorders>
              <w:top w:val="single" w:sz="6" w:space="0" w:color="auto"/>
              <w:left w:val="single" w:sz="6" w:space="0" w:color="auto"/>
              <w:bottom w:val="single" w:sz="6" w:space="0" w:color="auto"/>
              <w:right w:val="single" w:sz="6" w:space="0" w:color="auto"/>
            </w:tcBorders>
            <w:vAlign w:val="center"/>
          </w:tcPr>
          <w:p w14:paraId="5DE98F72" w14:textId="77777777" w:rsidR="008A3252" w:rsidRPr="00D16809" w:rsidRDefault="008A3252" w:rsidP="009B153D">
            <w:pPr>
              <w:pStyle w:val="Style"/>
              <w:ind w:left="293"/>
              <w:textAlignment w:val="baseline"/>
              <w:rPr>
                <w:sz w:val="20"/>
                <w:szCs w:val="20"/>
              </w:rPr>
            </w:pPr>
            <w:r w:rsidRPr="00D16809">
              <w:rPr>
                <w:sz w:val="20"/>
                <w:szCs w:val="20"/>
              </w:rPr>
              <w:t xml:space="preserve">Median </w:t>
            </w:r>
          </w:p>
        </w:tc>
        <w:tc>
          <w:tcPr>
            <w:tcW w:w="1074" w:type="pct"/>
            <w:gridSpan w:val="2"/>
            <w:tcBorders>
              <w:top w:val="single" w:sz="6" w:space="0" w:color="auto"/>
              <w:left w:val="single" w:sz="6" w:space="0" w:color="auto"/>
              <w:bottom w:val="single" w:sz="6" w:space="0" w:color="auto"/>
              <w:right w:val="single" w:sz="6" w:space="0" w:color="auto"/>
            </w:tcBorders>
            <w:vAlign w:val="center"/>
          </w:tcPr>
          <w:p w14:paraId="6430EDB7" w14:textId="77777777" w:rsidR="008A3252" w:rsidRPr="00D16809" w:rsidRDefault="008A3252" w:rsidP="009B153D">
            <w:pPr>
              <w:pStyle w:val="Style"/>
              <w:ind w:left="14"/>
              <w:jc w:val="center"/>
              <w:textAlignment w:val="baseline"/>
              <w:rPr>
                <w:sz w:val="20"/>
                <w:szCs w:val="20"/>
              </w:rPr>
            </w:pPr>
            <w:r w:rsidRPr="00D16809">
              <w:rPr>
                <w:sz w:val="20"/>
                <w:szCs w:val="20"/>
              </w:rPr>
              <w:t xml:space="preserve">6.333 </w:t>
            </w:r>
          </w:p>
        </w:tc>
        <w:tc>
          <w:tcPr>
            <w:tcW w:w="1039" w:type="pct"/>
            <w:tcBorders>
              <w:top w:val="single" w:sz="6" w:space="0" w:color="auto"/>
              <w:left w:val="single" w:sz="6" w:space="0" w:color="auto"/>
              <w:bottom w:val="single" w:sz="6" w:space="0" w:color="auto"/>
              <w:right w:val="single" w:sz="6" w:space="0" w:color="auto"/>
            </w:tcBorders>
            <w:vAlign w:val="center"/>
          </w:tcPr>
          <w:p w14:paraId="441C7580" w14:textId="77777777" w:rsidR="008A3252" w:rsidRPr="00D16809" w:rsidRDefault="008A3252" w:rsidP="009B153D">
            <w:pPr>
              <w:pStyle w:val="Style"/>
              <w:ind w:left="24"/>
              <w:jc w:val="center"/>
              <w:textAlignment w:val="baseline"/>
              <w:rPr>
                <w:sz w:val="20"/>
                <w:szCs w:val="20"/>
              </w:rPr>
            </w:pPr>
            <w:r w:rsidRPr="00D16809">
              <w:rPr>
                <w:sz w:val="20"/>
                <w:szCs w:val="20"/>
              </w:rPr>
              <w:t xml:space="preserve">6.714 </w:t>
            </w:r>
          </w:p>
        </w:tc>
        <w:tc>
          <w:tcPr>
            <w:tcW w:w="988" w:type="pct"/>
            <w:tcBorders>
              <w:top w:val="single" w:sz="6" w:space="0" w:color="auto"/>
              <w:left w:val="single" w:sz="6" w:space="0" w:color="auto"/>
              <w:bottom w:val="single" w:sz="6" w:space="0" w:color="auto"/>
              <w:right w:val="single" w:sz="6" w:space="0" w:color="auto"/>
            </w:tcBorders>
            <w:vAlign w:val="center"/>
          </w:tcPr>
          <w:p w14:paraId="12D4782F" w14:textId="77777777" w:rsidR="008A3252" w:rsidRPr="00D16809" w:rsidRDefault="008A3252" w:rsidP="009B153D">
            <w:pPr>
              <w:pStyle w:val="Style"/>
              <w:ind w:left="24"/>
              <w:jc w:val="center"/>
              <w:textAlignment w:val="baseline"/>
              <w:rPr>
                <w:sz w:val="20"/>
                <w:szCs w:val="20"/>
              </w:rPr>
            </w:pPr>
            <w:r w:rsidRPr="00D16809">
              <w:rPr>
                <w:sz w:val="20"/>
                <w:szCs w:val="20"/>
              </w:rPr>
              <w:t xml:space="preserve">7.310 </w:t>
            </w:r>
          </w:p>
        </w:tc>
        <w:tc>
          <w:tcPr>
            <w:tcW w:w="896" w:type="pct"/>
            <w:tcBorders>
              <w:top w:val="single" w:sz="6" w:space="0" w:color="auto"/>
              <w:left w:val="single" w:sz="6" w:space="0" w:color="auto"/>
              <w:bottom w:val="single" w:sz="6" w:space="0" w:color="auto"/>
              <w:right w:val="single" w:sz="6" w:space="0" w:color="auto"/>
            </w:tcBorders>
            <w:vAlign w:val="center"/>
          </w:tcPr>
          <w:p w14:paraId="7C135DE4" w14:textId="77777777" w:rsidR="008A3252" w:rsidRPr="00D16809" w:rsidRDefault="008A3252" w:rsidP="009B153D">
            <w:pPr>
              <w:pStyle w:val="Style"/>
              <w:ind w:left="19"/>
              <w:jc w:val="center"/>
              <w:textAlignment w:val="baseline"/>
              <w:rPr>
                <w:sz w:val="20"/>
                <w:szCs w:val="20"/>
              </w:rPr>
            </w:pPr>
            <w:r w:rsidRPr="00D16809">
              <w:rPr>
                <w:sz w:val="20"/>
                <w:szCs w:val="20"/>
              </w:rPr>
              <w:t xml:space="preserve">6.800 </w:t>
            </w:r>
          </w:p>
        </w:tc>
      </w:tr>
      <w:tr w:rsidR="008A3252" w:rsidRPr="00D16809" w14:paraId="16BBFC70" w14:textId="77777777" w:rsidTr="008A3252">
        <w:trPr>
          <w:trHeight w:val="389"/>
          <w:jc w:val="center"/>
        </w:trPr>
        <w:tc>
          <w:tcPr>
            <w:tcW w:w="1003" w:type="pct"/>
            <w:tcBorders>
              <w:top w:val="single" w:sz="6" w:space="0" w:color="auto"/>
              <w:left w:val="single" w:sz="6" w:space="0" w:color="auto"/>
              <w:bottom w:val="single" w:sz="6" w:space="0" w:color="auto"/>
              <w:right w:val="single" w:sz="6" w:space="0" w:color="auto"/>
            </w:tcBorders>
            <w:vAlign w:val="center"/>
          </w:tcPr>
          <w:p w14:paraId="131123DE" w14:textId="77777777" w:rsidR="008A3252" w:rsidRPr="00D16809" w:rsidRDefault="008A3252" w:rsidP="009B153D">
            <w:pPr>
              <w:pStyle w:val="Style"/>
              <w:ind w:left="293"/>
              <w:textAlignment w:val="baseline"/>
              <w:rPr>
                <w:sz w:val="20"/>
                <w:szCs w:val="20"/>
              </w:rPr>
            </w:pPr>
            <w:r w:rsidRPr="00D16809">
              <w:rPr>
                <w:sz w:val="20"/>
                <w:szCs w:val="20"/>
              </w:rPr>
              <w:t xml:space="preserve">Min, max </w:t>
            </w:r>
          </w:p>
        </w:tc>
        <w:tc>
          <w:tcPr>
            <w:tcW w:w="1074" w:type="pct"/>
            <w:gridSpan w:val="2"/>
            <w:tcBorders>
              <w:top w:val="single" w:sz="6" w:space="0" w:color="auto"/>
              <w:left w:val="single" w:sz="6" w:space="0" w:color="auto"/>
              <w:bottom w:val="single" w:sz="6" w:space="0" w:color="auto"/>
              <w:right w:val="single" w:sz="6" w:space="0" w:color="auto"/>
            </w:tcBorders>
            <w:vAlign w:val="center"/>
          </w:tcPr>
          <w:p w14:paraId="1399C83A" w14:textId="77777777" w:rsidR="008A3252" w:rsidRPr="00D16809" w:rsidRDefault="008A3252" w:rsidP="009B153D">
            <w:pPr>
              <w:pStyle w:val="Style"/>
              <w:ind w:left="14"/>
              <w:jc w:val="center"/>
              <w:textAlignment w:val="baseline"/>
              <w:rPr>
                <w:sz w:val="20"/>
                <w:szCs w:val="20"/>
              </w:rPr>
            </w:pPr>
            <w:r w:rsidRPr="00D16809">
              <w:rPr>
                <w:sz w:val="20"/>
                <w:szCs w:val="20"/>
              </w:rPr>
              <w:t xml:space="preserve">2.00, 10.00 </w:t>
            </w:r>
          </w:p>
        </w:tc>
        <w:tc>
          <w:tcPr>
            <w:tcW w:w="1039" w:type="pct"/>
            <w:tcBorders>
              <w:top w:val="single" w:sz="6" w:space="0" w:color="auto"/>
              <w:left w:val="single" w:sz="6" w:space="0" w:color="auto"/>
              <w:bottom w:val="single" w:sz="6" w:space="0" w:color="auto"/>
              <w:right w:val="single" w:sz="6" w:space="0" w:color="auto"/>
            </w:tcBorders>
            <w:vAlign w:val="center"/>
          </w:tcPr>
          <w:p w14:paraId="0DA324FA" w14:textId="77777777" w:rsidR="008A3252" w:rsidRPr="00D16809" w:rsidRDefault="008A3252" w:rsidP="009B153D">
            <w:pPr>
              <w:pStyle w:val="Style"/>
              <w:ind w:left="24"/>
              <w:jc w:val="center"/>
              <w:textAlignment w:val="baseline"/>
              <w:rPr>
                <w:sz w:val="20"/>
                <w:szCs w:val="20"/>
              </w:rPr>
            </w:pPr>
            <w:r w:rsidRPr="00D16809">
              <w:rPr>
                <w:sz w:val="20"/>
                <w:szCs w:val="20"/>
              </w:rPr>
              <w:t xml:space="preserve">1.00, 10.00 </w:t>
            </w:r>
          </w:p>
        </w:tc>
        <w:tc>
          <w:tcPr>
            <w:tcW w:w="988" w:type="pct"/>
            <w:tcBorders>
              <w:top w:val="single" w:sz="6" w:space="0" w:color="auto"/>
              <w:left w:val="single" w:sz="6" w:space="0" w:color="auto"/>
              <w:bottom w:val="single" w:sz="6" w:space="0" w:color="auto"/>
              <w:right w:val="single" w:sz="6" w:space="0" w:color="auto"/>
            </w:tcBorders>
            <w:vAlign w:val="center"/>
          </w:tcPr>
          <w:p w14:paraId="46CE3E5F" w14:textId="77777777" w:rsidR="008A3252" w:rsidRPr="00D16809" w:rsidRDefault="008A3252" w:rsidP="009B153D">
            <w:pPr>
              <w:pStyle w:val="Style"/>
              <w:ind w:left="24"/>
              <w:jc w:val="center"/>
              <w:textAlignment w:val="baseline"/>
              <w:rPr>
                <w:sz w:val="20"/>
                <w:szCs w:val="20"/>
              </w:rPr>
            </w:pPr>
            <w:r w:rsidRPr="00D16809">
              <w:rPr>
                <w:sz w:val="20"/>
                <w:szCs w:val="20"/>
              </w:rPr>
              <w:t xml:space="preserve">1.40, 10.00 </w:t>
            </w:r>
          </w:p>
        </w:tc>
        <w:tc>
          <w:tcPr>
            <w:tcW w:w="896" w:type="pct"/>
            <w:tcBorders>
              <w:top w:val="single" w:sz="6" w:space="0" w:color="auto"/>
              <w:left w:val="single" w:sz="6" w:space="0" w:color="auto"/>
              <w:bottom w:val="single" w:sz="6" w:space="0" w:color="auto"/>
              <w:right w:val="single" w:sz="6" w:space="0" w:color="auto"/>
            </w:tcBorders>
            <w:vAlign w:val="center"/>
          </w:tcPr>
          <w:p w14:paraId="713B9B26" w14:textId="77777777" w:rsidR="008A3252" w:rsidRPr="00D16809" w:rsidRDefault="008A3252" w:rsidP="009B153D">
            <w:pPr>
              <w:pStyle w:val="Style"/>
              <w:ind w:left="19"/>
              <w:jc w:val="center"/>
              <w:textAlignment w:val="baseline"/>
              <w:rPr>
                <w:sz w:val="20"/>
                <w:szCs w:val="20"/>
              </w:rPr>
            </w:pPr>
            <w:r w:rsidRPr="00D16809">
              <w:rPr>
                <w:sz w:val="20"/>
                <w:szCs w:val="20"/>
              </w:rPr>
              <w:t xml:space="preserve">1.00, 10.00 </w:t>
            </w:r>
          </w:p>
        </w:tc>
      </w:tr>
    </w:tbl>
    <w:p w14:paraId="42D8F95A" w14:textId="5C727D70" w:rsidR="008A3252" w:rsidRDefault="00227392" w:rsidP="008A3252">
      <w:pPr>
        <w:pStyle w:val="TableDescription"/>
        <w:rPr>
          <w:lang w:eastAsia="ja-JP"/>
        </w:rPr>
      </w:pPr>
      <w:r>
        <w:rPr>
          <w:lang w:eastAsia="ja-JP"/>
        </w:rPr>
        <w:t>Abbreviation</w:t>
      </w:r>
      <w:r w:rsidR="00305A86">
        <w:rPr>
          <w:lang w:eastAsia="ja-JP"/>
        </w:rPr>
        <w:t>s</w:t>
      </w:r>
      <w:r>
        <w:rPr>
          <w:lang w:eastAsia="ja-JP"/>
        </w:rPr>
        <w:t xml:space="preserve">: max </w:t>
      </w:r>
      <w:r w:rsidR="008A3252" w:rsidRPr="002A53F8">
        <w:rPr>
          <w:lang w:eastAsia="ja-JP"/>
        </w:rPr>
        <w:t>=maximum; min</w:t>
      </w:r>
      <w:r>
        <w:rPr>
          <w:lang w:eastAsia="ja-JP"/>
        </w:rPr>
        <w:t xml:space="preserve"> </w:t>
      </w:r>
      <w:r w:rsidR="008A3252" w:rsidRPr="002A53F8">
        <w:rPr>
          <w:lang w:eastAsia="ja-JP"/>
        </w:rPr>
        <w:t>=</w:t>
      </w:r>
      <w:r>
        <w:rPr>
          <w:lang w:eastAsia="ja-JP"/>
        </w:rPr>
        <w:t xml:space="preserve"> </w:t>
      </w:r>
      <w:r w:rsidR="008A3252" w:rsidRPr="002A53F8">
        <w:rPr>
          <w:lang w:eastAsia="ja-JP"/>
        </w:rPr>
        <w:t xml:space="preserve">minimum; </w:t>
      </w:r>
      <w:proofErr w:type="spellStart"/>
      <w:r w:rsidR="008A3252" w:rsidRPr="002A53F8">
        <w:rPr>
          <w:lang w:eastAsia="ja-JP"/>
        </w:rPr>
        <w:t>mNAPSI</w:t>
      </w:r>
      <w:proofErr w:type="spellEnd"/>
      <w:r>
        <w:rPr>
          <w:lang w:eastAsia="ja-JP"/>
        </w:rPr>
        <w:t xml:space="preserve"> </w:t>
      </w:r>
      <w:r w:rsidR="008A3252" w:rsidRPr="002A53F8">
        <w:rPr>
          <w:lang w:eastAsia="ja-JP"/>
        </w:rPr>
        <w:t>=</w:t>
      </w:r>
      <w:r>
        <w:rPr>
          <w:lang w:eastAsia="ja-JP"/>
        </w:rPr>
        <w:t xml:space="preserve"> </w:t>
      </w:r>
      <w:r w:rsidR="008A3252" w:rsidRPr="002A53F8">
        <w:rPr>
          <w:lang w:eastAsia="ja-JP"/>
        </w:rPr>
        <w:t>Modified Nail Psoriasis Severity Index;</w:t>
      </w:r>
      <w:r w:rsidR="008A3252">
        <w:rPr>
          <w:lang w:eastAsia="ja-JP"/>
        </w:rPr>
        <w:t xml:space="preserve"> </w:t>
      </w:r>
      <w:r w:rsidR="008A3252" w:rsidRPr="002A53F8">
        <w:rPr>
          <w:lang w:eastAsia="ja-JP"/>
        </w:rPr>
        <w:t>PASI</w:t>
      </w:r>
      <w:r>
        <w:rPr>
          <w:lang w:eastAsia="ja-JP"/>
        </w:rPr>
        <w:t xml:space="preserve"> </w:t>
      </w:r>
      <w:r w:rsidR="008A3252" w:rsidRPr="002A53F8">
        <w:rPr>
          <w:lang w:eastAsia="ja-JP"/>
        </w:rPr>
        <w:t>=</w:t>
      </w:r>
      <w:r>
        <w:rPr>
          <w:lang w:eastAsia="ja-JP"/>
        </w:rPr>
        <w:t xml:space="preserve"> </w:t>
      </w:r>
      <w:r w:rsidR="008A3252" w:rsidRPr="002A53F8">
        <w:rPr>
          <w:lang w:eastAsia="ja-JP"/>
        </w:rPr>
        <w:t xml:space="preserve">Psoriasis Area and Severity Index; placebo </w:t>
      </w:r>
      <w:r>
        <w:rPr>
          <w:lang w:eastAsia="ja-JP"/>
        </w:rPr>
        <w:t xml:space="preserve">= </w:t>
      </w:r>
      <w:r w:rsidR="008A3252" w:rsidRPr="002A53F8">
        <w:rPr>
          <w:lang w:eastAsia="ja-JP"/>
        </w:rPr>
        <w:t xml:space="preserve">PBO; PGADA </w:t>
      </w:r>
      <w:r>
        <w:rPr>
          <w:lang w:eastAsia="ja-JP"/>
        </w:rPr>
        <w:t xml:space="preserve">= </w:t>
      </w:r>
      <w:r w:rsidR="008A3252" w:rsidRPr="002A53F8">
        <w:rPr>
          <w:lang w:eastAsia="ja-JP"/>
        </w:rPr>
        <w:t>Patient's Global Assessment of Disease</w:t>
      </w:r>
      <w:r w:rsidR="008A3252">
        <w:rPr>
          <w:lang w:eastAsia="ja-JP"/>
        </w:rPr>
        <w:t xml:space="preserve"> </w:t>
      </w:r>
      <w:r w:rsidR="008A3252" w:rsidRPr="002A53F8">
        <w:rPr>
          <w:lang w:eastAsia="ja-JP"/>
        </w:rPr>
        <w:t>Activity; PSD</w:t>
      </w:r>
      <w:r>
        <w:rPr>
          <w:lang w:eastAsia="ja-JP"/>
        </w:rPr>
        <w:t xml:space="preserve"> </w:t>
      </w:r>
      <w:r w:rsidR="008A3252" w:rsidRPr="002A53F8">
        <w:rPr>
          <w:lang w:eastAsia="ja-JP"/>
        </w:rPr>
        <w:t>=</w:t>
      </w:r>
      <w:r>
        <w:rPr>
          <w:lang w:eastAsia="ja-JP"/>
        </w:rPr>
        <w:t xml:space="preserve"> </w:t>
      </w:r>
      <w:r w:rsidR="008A3252" w:rsidRPr="002A53F8">
        <w:rPr>
          <w:lang w:eastAsia="ja-JP"/>
        </w:rPr>
        <w:t xml:space="preserve">Patient Symptom Diary; </w:t>
      </w:r>
      <w:r>
        <w:rPr>
          <w:lang w:eastAsia="ja-JP"/>
        </w:rPr>
        <w:t xml:space="preserve">Q4W </w:t>
      </w:r>
      <w:r w:rsidR="008A3252" w:rsidRPr="002A53F8">
        <w:rPr>
          <w:lang w:eastAsia="ja-JP"/>
        </w:rPr>
        <w:t>=</w:t>
      </w:r>
      <w:r>
        <w:rPr>
          <w:lang w:eastAsia="ja-JP"/>
        </w:rPr>
        <w:t xml:space="preserve"> </w:t>
      </w:r>
      <w:r w:rsidR="008A3252" w:rsidRPr="002A53F8">
        <w:rPr>
          <w:lang w:eastAsia="ja-JP"/>
        </w:rPr>
        <w:t>every 4 weeks; RS</w:t>
      </w:r>
      <w:r>
        <w:rPr>
          <w:lang w:eastAsia="ja-JP"/>
        </w:rPr>
        <w:t xml:space="preserve"> </w:t>
      </w:r>
      <w:r w:rsidR="008A3252" w:rsidRPr="002A53F8">
        <w:rPr>
          <w:lang w:eastAsia="ja-JP"/>
        </w:rPr>
        <w:t>=</w:t>
      </w:r>
      <w:r>
        <w:rPr>
          <w:lang w:eastAsia="ja-JP"/>
        </w:rPr>
        <w:t xml:space="preserve"> r</w:t>
      </w:r>
      <w:r w:rsidR="008A3252" w:rsidRPr="002A53F8">
        <w:rPr>
          <w:lang w:eastAsia="ja-JP"/>
        </w:rPr>
        <w:t>andomi</w:t>
      </w:r>
      <w:r>
        <w:rPr>
          <w:lang w:eastAsia="ja-JP"/>
        </w:rPr>
        <w:t>s</w:t>
      </w:r>
      <w:r w:rsidR="008A3252" w:rsidRPr="002A53F8">
        <w:rPr>
          <w:lang w:eastAsia="ja-JP"/>
        </w:rPr>
        <w:t xml:space="preserve">ed </w:t>
      </w:r>
      <w:r>
        <w:rPr>
          <w:lang w:eastAsia="ja-JP"/>
        </w:rPr>
        <w:t>s</w:t>
      </w:r>
      <w:r w:rsidR="008A3252" w:rsidRPr="002A53F8">
        <w:rPr>
          <w:lang w:eastAsia="ja-JP"/>
        </w:rPr>
        <w:t>et</w:t>
      </w:r>
      <w:r w:rsidR="008A3252">
        <w:rPr>
          <w:lang w:eastAsia="ja-JP"/>
        </w:rPr>
        <w:t xml:space="preserve">; </w:t>
      </w:r>
      <w:r w:rsidR="008A3252" w:rsidRPr="002A53F8">
        <w:rPr>
          <w:lang w:eastAsia="ja-JP"/>
        </w:rPr>
        <w:t>SD</w:t>
      </w:r>
      <w:r>
        <w:rPr>
          <w:lang w:eastAsia="ja-JP"/>
        </w:rPr>
        <w:t xml:space="preserve"> </w:t>
      </w:r>
      <w:r w:rsidR="008A3252" w:rsidRPr="002A53F8">
        <w:rPr>
          <w:lang w:eastAsia="ja-JP"/>
        </w:rPr>
        <w:t>=</w:t>
      </w:r>
      <w:r>
        <w:rPr>
          <w:lang w:eastAsia="ja-JP"/>
        </w:rPr>
        <w:t xml:space="preserve"> </w:t>
      </w:r>
      <w:r w:rsidR="008A3252" w:rsidRPr="002A53F8">
        <w:rPr>
          <w:lang w:eastAsia="ja-JP"/>
        </w:rPr>
        <w:t>standard deviation; TNF</w:t>
      </w:r>
      <w:r>
        <w:rPr>
          <w:lang w:eastAsia="ja-JP"/>
        </w:rPr>
        <w:t xml:space="preserve"> </w:t>
      </w:r>
      <w:r w:rsidR="008A3252" w:rsidRPr="002A53F8">
        <w:rPr>
          <w:lang w:eastAsia="ja-JP"/>
        </w:rPr>
        <w:t>=</w:t>
      </w:r>
      <w:r>
        <w:rPr>
          <w:lang w:eastAsia="ja-JP"/>
        </w:rPr>
        <w:t xml:space="preserve"> </w:t>
      </w:r>
      <w:r w:rsidR="008A3252" w:rsidRPr="002A53F8">
        <w:rPr>
          <w:lang w:eastAsia="ja-JP"/>
        </w:rPr>
        <w:t xml:space="preserve">tumour necrosis factor; </w:t>
      </w:r>
      <w:proofErr w:type="spellStart"/>
      <w:r w:rsidR="008A3252" w:rsidRPr="002A53F8">
        <w:rPr>
          <w:lang w:eastAsia="ja-JP"/>
        </w:rPr>
        <w:t>Uste</w:t>
      </w:r>
      <w:proofErr w:type="spellEnd"/>
      <w:r>
        <w:rPr>
          <w:lang w:eastAsia="ja-JP"/>
        </w:rPr>
        <w:t xml:space="preserve"> </w:t>
      </w:r>
      <w:r w:rsidR="008A3252" w:rsidRPr="002A53F8">
        <w:rPr>
          <w:lang w:eastAsia="ja-JP"/>
        </w:rPr>
        <w:t>=</w:t>
      </w:r>
      <w:r>
        <w:rPr>
          <w:lang w:eastAsia="ja-JP"/>
        </w:rPr>
        <w:t xml:space="preserve"> </w:t>
      </w:r>
      <w:proofErr w:type="spellStart"/>
      <w:r w:rsidR="008A3252" w:rsidRPr="002A53F8">
        <w:rPr>
          <w:lang w:eastAsia="ja-JP"/>
        </w:rPr>
        <w:t>ustekinumab</w:t>
      </w:r>
      <w:proofErr w:type="spellEnd"/>
      <w:r>
        <w:rPr>
          <w:lang w:eastAsia="ja-JP"/>
        </w:rPr>
        <w:t xml:space="preserve"> </w:t>
      </w:r>
    </w:p>
    <w:p w14:paraId="6651B599" w14:textId="3C18ED48" w:rsidR="008A3252" w:rsidRPr="00797654" w:rsidRDefault="008A3252" w:rsidP="008A3252">
      <w:pPr>
        <w:rPr>
          <w:lang w:eastAsia="ja-JP"/>
        </w:rPr>
      </w:pPr>
      <w:r w:rsidRPr="007D4B6F">
        <w:rPr>
          <w:lang w:eastAsia="ja-JP"/>
        </w:rPr>
        <w:t xml:space="preserve">Overall, the </w:t>
      </w:r>
      <w:r>
        <w:rPr>
          <w:lang w:eastAsia="ja-JP"/>
        </w:rPr>
        <w:t>b</w:t>
      </w:r>
      <w:r w:rsidRPr="007D4B6F">
        <w:rPr>
          <w:lang w:eastAsia="ja-JP"/>
        </w:rPr>
        <w:t xml:space="preserve">aseline characteristics were reflective of a population with moderate to severe plaque </w:t>
      </w:r>
      <w:r w:rsidR="008B40FD">
        <w:rPr>
          <w:lang w:eastAsia="ja-JP"/>
        </w:rPr>
        <w:t>psoriasis</w:t>
      </w:r>
      <w:r w:rsidR="00227392">
        <w:rPr>
          <w:lang w:eastAsia="ja-JP"/>
        </w:rPr>
        <w:t xml:space="preserve"> (</w:t>
      </w:r>
      <w:r w:rsidR="00305A86">
        <w:rPr>
          <w:lang w:eastAsia="ja-JP"/>
        </w:rPr>
        <w:t xml:space="preserve">see </w:t>
      </w:r>
      <w:r w:rsidR="00227392">
        <w:rPr>
          <w:lang w:eastAsia="ja-JP"/>
        </w:rPr>
        <w:fldChar w:fldCharType="begin"/>
      </w:r>
      <w:r w:rsidR="00227392">
        <w:rPr>
          <w:lang w:eastAsia="ja-JP"/>
        </w:rPr>
        <w:instrText xml:space="preserve"> REF _Ref129955126 \h </w:instrText>
      </w:r>
      <w:r w:rsidR="00227392">
        <w:rPr>
          <w:lang w:eastAsia="ja-JP"/>
        </w:rPr>
      </w:r>
      <w:r w:rsidR="00227392">
        <w:rPr>
          <w:lang w:eastAsia="ja-JP"/>
        </w:rPr>
        <w:fldChar w:fldCharType="separate"/>
      </w:r>
      <w:r w:rsidR="00B54079" w:rsidRPr="00227392">
        <w:t xml:space="preserve">Table </w:t>
      </w:r>
      <w:r w:rsidR="00B54079">
        <w:rPr>
          <w:noProof/>
        </w:rPr>
        <w:t>28</w:t>
      </w:r>
      <w:r w:rsidR="00227392">
        <w:rPr>
          <w:lang w:eastAsia="ja-JP"/>
        </w:rPr>
        <w:fldChar w:fldCharType="end"/>
      </w:r>
      <w:r w:rsidR="00305A86">
        <w:rPr>
          <w:lang w:eastAsia="ja-JP"/>
        </w:rPr>
        <w:t xml:space="preserve"> above</w:t>
      </w:r>
      <w:r w:rsidR="00227392">
        <w:rPr>
          <w:lang w:eastAsia="ja-JP"/>
        </w:rPr>
        <w:t>)</w:t>
      </w:r>
      <w:r>
        <w:rPr>
          <w:lang w:eastAsia="ja-JP"/>
        </w:rPr>
        <w:t>.</w:t>
      </w:r>
      <w:r w:rsidRPr="007D4B6F">
        <w:rPr>
          <w:lang w:eastAsia="ja-JP"/>
        </w:rPr>
        <w:t xml:space="preserve"> The</w:t>
      </w:r>
      <w:r w:rsidRPr="00797654">
        <w:rPr>
          <w:lang w:eastAsia="ja-JP"/>
        </w:rPr>
        <w:t xml:space="preserve"> mean PASI score was 21.54.</w:t>
      </w:r>
    </w:p>
    <w:p w14:paraId="67B0A7BD" w14:textId="0732F2BD" w:rsidR="008A3252" w:rsidRPr="007D4B6F" w:rsidRDefault="008A3252" w:rsidP="008A3252">
      <w:pPr>
        <w:rPr>
          <w:lang w:eastAsia="ja-JP"/>
        </w:rPr>
      </w:pPr>
      <w:r w:rsidRPr="007D4B6F">
        <w:rPr>
          <w:lang w:eastAsia="ja-JP"/>
        </w:rPr>
        <w:t xml:space="preserve">All but </w:t>
      </w:r>
      <w:r>
        <w:rPr>
          <w:lang w:eastAsia="ja-JP"/>
        </w:rPr>
        <w:t>three</w:t>
      </w:r>
      <w:r w:rsidRPr="007D4B6F">
        <w:rPr>
          <w:lang w:eastAsia="ja-JP"/>
        </w:rPr>
        <w:t xml:space="preserve"> study participants had an IGA score </w:t>
      </w:r>
      <w:r w:rsidR="00227392">
        <w:rPr>
          <w:lang w:eastAsia="ja-JP"/>
        </w:rPr>
        <w:t>greater than</w:t>
      </w:r>
      <w:r>
        <w:rPr>
          <w:lang w:eastAsia="ja-JP"/>
        </w:rPr>
        <w:t xml:space="preserve"> </w:t>
      </w:r>
      <w:r w:rsidR="00227392">
        <w:rPr>
          <w:lang w:eastAsia="ja-JP"/>
        </w:rPr>
        <w:t>three</w:t>
      </w:r>
      <w:r w:rsidRPr="007D4B6F">
        <w:rPr>
          <w:lang w:eastAsia="ja-JP"/>
        </w:rPr>
        <w:t xml:space="preserve">. Those </w:t>
      </w:r>
      <w:r>
        <w:rPr>
          <w:lang w:eastAsia="ja-JP"/>
        </w:rPr>
        <w:t xml:space="preserve">three </w:t>
      </w:r>
      <w:r w:rsidRPr="007D4B6F">
        <w:rPr>
          <w:lang w:eastAsia="ja-JP"/>
        </w:rPr>
        <w:t>study participants had a Baseline IGA score of 2 (mild) (1 in each treatment group), but also had a pre-treatment IGA score of 3 (moderate) at Screening and this was not considered an important protocol deviation</w:t>
      </w:r>
      <w:r>
        <w:rPr>
          <w:lang w:eastAsia="ja-JP"/>
        </w:rPr>
        <w:t>.</w:t>
      </w:r>
    </w:p>
    <w:p w14:paraId="7F1FF2D8" w14:textId="621F9988" w:rsidR="008A3252" w:rsidRPr="0073381D" w:rsidRDefault="008A3252" w:rsidP="008A3252">
      <w:pPr>
        <w:rPr>
          <w:lang w:eastAsia="ja-JP"/>
        </w:rPr>
      </w:pPr>
      <w:r w:rsidRPr="007D4B6F">
        <w:rPr>
          <w:lang w:eastAsia="ja-JP"/>
        </w:rPr>
        <w:t xml:space="preserve">Treatment groups were generally well balanced with respect to </w:t>
      </w:r>
      <w:r w:rsidR="008B40FD">
        <w:rPr>
          <w:lang w:eastAsia="ja-JP"/>
        </w:rPr>
        <w:t>psoriasis</w:t>
      </w:r>
      <w:r w:rsidRPr="007D4B6F">
        <w:rPr>
          <w:lang w:eastAsia="ja-JP"/>
        </w:rPr>
        <w:t xml:space="preserve">-related and other </w:t>
      </w:r>
      <w:r w:rsidR="00227392">
        <w:rPr>
          <w:lang w:eastAsia="ja-JP"/>
        </w:rPr>
        <w:t>b</w:t>
      </w:r>
      <w:r w:rsidRPr="007D4B6F">
        <w:rPr>
          <w:lang w:eastAsia="ja-JP"/>
        </w:rPr>
        <w:t xml:space="preserve">aseline characteristics. </w:t>
      </w:r>
      <w:r>
        <w:rPr>
          <w:lang w:eastAsia="ja-JP"/>
        </w:rPr>
        <w:t>The n</w:t>
      </w:r>
      <w:r w:rsidRPr="0073381D">
        <w:rPr>
          <w:lang w:eastAsia="ja-JP"/>
        </w:rPr>
        <w:t xml:space="preserve">otable differences include: </w:t>
      </w:r>
    </w:p>
    <w:p w14:paraId="2AD33A8B" w14:textId="6E10C940" w:rsidR="008A3252" w:rsidRPr="00554D9D" w:rsidRDefault="008A3252" w:rsidP="008A3252">
      <w:pPr>
        <w:pStyle w:val="ListBullet"/>
        <w:rPr>
          <w:lang w:eastAsia="ja-JP"/>
        </w:rPr>
      </w:pPr>
      <w:r w:rsidRPr="00554D9D">
        <w:rPr>
          <w:lang w:eastAsia="ja-JP"/>
        </w:rPr>
        <w:t xml:space="preserve">The proportion of study participants with a PASI score of </w:t>
      </w:r>
      <w:r w:rsidR="00227392">
        <w:rPr>
          <w:lang w:eastAsia="ja-JP"/>
        </w:rPr>
        <w:t xml:space="preserve">greater than </w:t>
      </w:r>
      <w:r w:rsidRPr="00554D9D">
        <w:rPr>
          <w:lang w:eastAsia="ja-JP"/>
        </w:rPr>
        <w:t xml:space="preserve">20 at Baseline was numerically higher in the </w:t>
      </w:r>
      <w:proofErr w:type="spellStart"/>
      <w:r w:rsidR="008B40FD">
        <w:rPr>
          <w:lang w:eastAsia="ja-JP"/>
        </w:rPr>
        <w:t>bimekizumab</w:t>
      </w:r>
      <w:proofErr w:type="spellEnd"/>
      <w:r w:rsidRPr="00554D9D">
        <w:rPr>
          <w:lang w:eastAsia="ja-JP"/>
        </w:rPr>
        <w:t xml:space="preserve"> 320</w:t>
      </w:r>
      <w:r w:rsidR="00227392">
        <w:rPr>
          <w:lang w:eastAsia="ja-JP"/>
        </w:rPr>
        <w:t xml:space="preserve"> </w:t>
      </w:r>
      <w:r w:rsidRPr="00554D9D">
        <w:rPr>
          <w:lang w:eastAsia="ja-JP"/>
        </w:rPr>
        <w:t xml:space="preserve">mg </w:t>
      </w:r>
      <w:r w:rsidR="00F23C97">
        <w:rPr>
          <w:lang w:eastAsia="ja-JP"/>
        </w:rPr>
        <w:t>every 4 weeks</w:t>
      </w:r>
      <w:r w:rsidRPr="00554D9D">
        <w:rPr>
          <w:lang w:eastAsia="ja-JP"/>
        </w:rPr>
        <w:t xml:space="preserve"> group (151 study participants </w:t>
      </w:r>
      <w:r w:rsidR="00305A86">
        <w:rPr>
          <w:lang w:eastAsia="ja-JP"/>
        </w:rPr>
        <w:t>(</w:t>
      </w:r>
      <w:r w:rsidRPr="00554D9D">
        <w:rPr>
          <w:lang w:eastAsia="ja-JP"/>
        </w:rPr>
        <w:t>47.0%</w:t>
      </w:r>
      <w:r w:rsidR="00305A86">
        <w:rPr>
          <w:lang w:eastAsia="ja-JP"/>
        </w:rPr>
        <w:t>)</w:t>
      </w:r>
      <w:r w:rsidRPr="00554D9D">
        <w:rPr>
          <w:lang w:eastAsia="ja-JP"/>
        </w:rPr>
        <w:t xml:space="preserve">) compared with the </w:t>
      </w:r>
      <w:proofErr w:type="spellStart"/>
      <w:r w:rsidR="004858E7">
        <w:rPr>
          <w:lang w:eastAsia="ja-JP"/>
        </w:rPr>
        <w:t>ustekinumab</w:t>
      </w:r>
      <w:proofErr w:type="spellEnd"/>
      <w:r w:rsidRPr="00554D9D">
        <w:rPr>
          <w:lang w:eastAsia="ja-JP"/>
        </w:rPr>
        <w:t xml:space="preserve"> group (60 study participants </w:t>
      </w:r>
      <w:r w:rsidR="00305A86">
        <w:rPr>
          <w:lang w:eastAsia="ja-JP"/>
        </w:rPr>
        <w:t>(</w:t>
      </w:r>
      <w:r w:rsidRPr="00554D9D">
        <w:rPr>
          <w:lang w:eastAsia="ja-JP"/>
        </w:rPr>
        <w:t>36.8%</w:t>
      </w:r>
      <w:r w:rsidR="00305A86">
        <w:rPr>
          <w:lang w:eastAsia="ja-JP"/>
        </w:rPr>
        <w:t>)</w:t>
      </w:r>
      <w:r w:rsidRPr="00554D9D">
        <w:rPr>
          <w:lang w:eastAsia="ja-JP"/>
        </w:rPr>
        <w:t xml:space="preserve">) and the placebo group (29 study participants </w:t>
      </w:r>
      <w:r w:rsidR="00305A86">
        <w:rPr>
          <w:lang w:eastAsia="ja-JP"/>
        </w:rPr>
        <w:t>(</w:t>
      </w:r>
      <w:r w:rsidRPr="00554D9D">
        <w:rPr>
          <w:lang w:eastAsia="ja-JP"/>
        </w:rPr>
        <w:t>34.9%</w:t>
      </w:r>
      <w:r w:rsidR="00305A86">
        <w:rPr>
          <w:lang w:eastAsia="ja-JP"/>
        </w:rPr>
        <w:t>)</w:t>
      </w:r>
      <w:r w:rsidRPr="00554D9D">
        <w:rPr>
          <w:lang w:eastAsia="ja-JP"/>
        </w:rPr>
        <w:t>). Overall, the mean PASI score was 21.54</w:t>
      </w:r>
      <w:r>
        <w:rPr>
          <w:lang w:eastAsia="ja-JP"/>
        </w:rPr>
        <w:t>.</w:t>
      </w:r>
    </w:p>
    <w:p w14:paraId="0479AAFC" w14:textId="4E870933" w:rsidR="008A3252" w:rsidRPr="008A3252" w:rsidRDefault="008A3252" w:rsidP="008A3252">
      <w:pPr>
        <w:pStyle w:val="ListBullet"/>
        <w:rPr>
          <w:b/>
          <w:bCs/>
          <w:lang w:eastAsia="en-AU"/>
        </w:rPr>
      </w:pPr>
      <w:r w:rsidRPr="00554D9D">
        <w:rPr>
          <w:lang w:eastAsia="ja-JP"/>
        </w:rPr>
        <w:t xml:space="preserve">The proportion of study participants with an IGA score of 4 (severe) at Baseline was higher in the </w:t>
      </w:r>
      <w:proofErr w:type="spellStart"/>
      <w:r w:rsidR="008B40FD">
        <w:rPr>
          <w:lang w:eastAsia="ja-JP"/>
        </w:rPr>
        <w:t>bimekizumab</w:t>
      </w:r>
      <w:proofErr w:type="spellEnd"/>
      <w:r w:rsidRPr="00554D9D">
        <w:rPr>
          <w:lang w:eastAsia="ja-JP"/>
        </w:rPr>
        <w:t xml:space="preserve"> 320</w:t>
      </w:r>
      <w:r w:rsidR="00227392">
        <w:rPr>
          <w:lang w:eastAsia="ja-JP"/>
        </w:rPr>
        <w:t xml:space="preserve"> </w:t>
      </w:r>
      <w:r w:rsidRPr="00554D9D">
        <w:rPr>
          <w:lang w:eastAsia="ja-JP"/>
        </w:rPr>
        <w:t xml:space="preserve">mg </w:t>
      </w:r>
      <w:r w:rsidR="00F23C97">
        <w:rPr>
          <w:lang w:eastAsia="ja-JP"/>
        </w:rPr>
        <w:t>every 4 weeks</w:t>
      </w:r>
      <w:r w:rsidRPr="00554D9D">
        <w:rPr>
          <w:lang w:eastAsia="ja-JP"/>
        </w:rPr>
        <w:t xml:space="preserve"> group (119 study participants [37.1 %]) and the </w:t>
      </w:r>
      <w:proofErr w:type="spellStart"/>
      <w:r w:rsidR="004858E7">
        <w:rPr>
          <w:lang w:eastAsia="ja-JP"/>
        </w:rPr>
        <w:t>ustekinumab</w:t>
      </w:r>
      <w:proofErr w:type="spellEnd"/>
      <w:r w:rsidRPr="00554D9D">
        <w:rPr>
          <w:lang w:eastAsia="ja-JP"/>
        </w:rPr>
        <w:t xml:space="preserve"> group (66 study participants [ 40.5%]) compared with the placebo group (28 study participants [33.7%]).</w:t>
      </w:r>
    </w:p>
    <w:p w14:paraId="7696845D" w14:textId="3BC36959" w:rsidR="008A3252" w:rsidRPr="008A3252" w:rsidRDefault="008A3252" w:rsidP="008A3252">
      <w:pPr>
        <w:rPr>
          <w:b/>
          <w:bCs/>
          <w:lang w:eastAsia="en-AU"/>
        </w:rPr>
      </w:pPr>
      <w:r>
        <w:rPr>
          <w:lang w:eastAsia="ja-JP"/>
        </w:rPr>
        <w:t xml:space="preserve">The Delegate commented that the slight baseline variation in disease severity between </w:t>
      </w:r>
      <w:proofErr w:type="spellStart"/>
      <w:r w:rsidR="008B40FD">
        <w:rPr>
          <w:lang w:eastAsia="ja-JP"/>
        </w:rPr>
        <w:t>bimekizumab</w:t>
      </w:r>
      <w:proofErr w:type="spellEnd"/>
      <w:r>
        <w:rPr>
          <w:lang w:eastAsia="ja-JP"/>
        </w:rPr>
        <w:t xml:space="preserve"> and </w:t>
      </w:r>
      <w:proofErr w:type="spellStart"/>
      <w:r w:rsidR="004858E7">
        <w:rPr>
          <w:lang w:eastAsia="ja-JP"/>
        </w:rPr>
        <w:t>ustekinumab</w:t>
      </w:r>
      <w:proofErr w:type="spellEnd"/>
      <w:r>
        <w:rPr>
          <w:lang w:eastAsia="ja-JP"/>
        </w:rPr>
        <w:t xml:space="preserve"> participants, should not significantly favour either </w:t>
      </w:r>
      <w:proofErr w:type="spellStart"/>
      <w:r w:rsidR="008B40FD">
        <w:rPr>
          <w:lang w:eastAsia="ja-JP"/>
        </w:rPr>
        <w:t>bimekizumab</w:t>
      </w:r>
      <w:proofErr w:type="spellEnd"/>
      <w:r>
        <w:rPr>
          <w:lang w:eastAsia="ja-JP"/>
        </w:rPr>
        <w:t xml:space="preserve"> or </w:t>
      </w:r>
      <w:proofErr w:type="spellStart"/>
      <w:r w:rsidR="004858E7">
        <w:rPr>
          <w:lang w:eastAsia="ja-JP"/>
        </w:rPr>
        <w:t>ustekinumab</w:t>
      </w:r>
      <w:proofErr w:type="spellEnd"/>
      <w:r>
        <w:rPr>
          <w:lang w:eastAsia="ja-JP"/>
        </w:rPr>
        <w:t xml:space="preserve"> when it comes to assessing the efficacy parameters’ outcome.</w:t>
      </w:r>
    </w:p>
    <w:p w14:paraId="746DFAD5" w14:textId="2D78CDC8" w:rsidR="008A3252" w:rsidRDefault="008A3252" w:rsidP="008A3252">
      <w:pPr>
        <w:pStyle w:val="Heading6"/>
      </w:pPr>
      <w:r>
        <w:lastRenderedPageBreak/>
        <w:t>Baseline therapies</w:t>
      </w:r>
    </w:p>
    <w:p w14:paraId="0E7B4CD9" w14:textId="38C02E3D" w:rsidR="00227392" w:rsidRPr="00227392" w:rsidRDefault="00227392" w:rsidP="00227392">
      <w:pPr>
        <w:pStyle w:val="TableTitle"/>
      </w:pPr>
      <w:bookmarkStart w:id="106" w:name="_Ref129955072"/>
      <w:r w:rsidRPr="00227392">
        <w:t xml:space="preserve">Table </w:t>
      </w:r>
      <w:r w:rsidR="00172397">
        <w:fldChar w:fldCharType="begin"/>
      </w:r>
      <w:r w:rsidR="00172397">
        <w:instrText xml:space="preserve"> SEQ Table \* ARABIC </w:instrText>
      </w:r>
      <w:r w:rsidR="00172397">
        <w:fldChar w:fldCharType="separate"/>
      </w:r>
      <w:r w:rsidR="00B54079">
        <w:rPr>
          <w:noProof/>
        </w:rPr>
        <w:t>29</w:t>
      </w:r>
      <w:r w:rsidR="00172397">
        <w:rPr>
          <w:noProof/>
        </w:rPr>
        <w:fldChar w:fldCharType="end"/>
      </w:r>
      <w:bookmarkEnd w:id="106"/>
      <w:r>
        <w:t>: Study PS0009 Baseline therapies</w:t>
      </w:r>
    </w:p>
    <w:p w14:paraId="140039D3" w14:textId="6F0ACBF5" w:rsidR="008A3252" w:rsidRDefault="008A3252" w:rsidP="008A3252">
      <w:r w:rsidRPr="008A3252">
        <w:rPr>
          <w:noProof/>
          <w:lang w:val="en-GB" w:eastAsia="en-GB"/>
        </w:rPr>
        <w:drawing>
          <wp:inline distT="0" distB="0" distL="0" distR="0" wp14:anchorId="6FC4397C" wp14:editId="0E12F3BD">
            <wp:extent cx="4921858" cy="4021621"/>
            <wp:effectExtent l="0" t="0" r="0" b="0"/>
            <wp:docPr id="13" name="Picture 13" descr="Study PS0009 Baseline therap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tudy PS0009 Baseline therapies"/>
                    <pic:cNvPicPr/>
                  </pic:nvPicPr>
                  <pic:blipFill>
                    <a:blip r:embed="rId37"/>
                    <a:stretch>
                      <a:fillRect/>
                    </a:stretch>
                  </pic:blipFill>
                  <pic:spPr>
                    <a:xfrm>
                      <a:off x="0" y="0"/>
                      <a:ext cx="4930094" cy="4028351"/>
                    </a:xfrm>
                    <a:prstGeom prst="rect">
                      <a:avLst/>
                    </a:prstGeom>
                  </pic:spPr>
                </pic:pic>
              </a:graphicData>
            </a:graphic>
          </wp:inline>
        </w:drawing>
      </w:r>
    </w:p>
    <w:p w14:paraId="2F65DC9D" w14:textId="2F9A5FAB" w:rsidR="008A3252" w:rsidRPr="00A8234E" w:rsidRDefault="008A3252" w:rsidP="008A3252">
      <w:pPr>
        <w:rPr>
          <w:lang w:eastAsia="ja-JP"/>
        </w:rPr>
      </w:pPr>
      <w:r w:rsidRPr="00A8234E">
        <w:rPr>
          <w:lang w:eastAsia="ja-JP"/>
        </w:rPr>
        <w:t xml:space="preserve">The use of prior medications was generally similar across the </w:t>
      </w:r>
      <w:proofErr w:type="spellStart"/>
      <w:r w:rsidR="008B40FD">
        <w:rPr>
          <w:lang w:eastAsia="ja-JP"/>
        </w:rPr>
        <w:t>bimekizumab</w:t>
      </w:r>
      <w:proofErr w:type="spellEnd"/>
      <w:r w:rsidRPr="00A8234E">
        <w:rPr>
          <w:lang w:eastAsia="ja-JP"/>
        </w:rPr>
        <w:t xml:space="preserve"> 320</w:t>
      </w:r>
      <w:r w:rsidR="00227392">
        <w:rPr>
          <w:lang w:eastAsia="ja-JP"/>
        </w:rPr>
        <w:t xml:space="preserve"> </w:t>
      </w:r>
      <w:r w:rsidRPr="00A8234E">
        <w:rPr>
          <w:lang w:eastAsia="ja-JP"/>
        </w:rPr>
        <w:t xml:space="preserve">mg </w:t>
      </w:r>
      <w:r w:rsidR="00F23C97">
        <w:rPr>
          <w:lang w:eastAsia="ja-JP"/>
        </w:rPr>
        <w:t>every 4 weeks</w:t>
      </w:r>
      <w:r w:rsidRPr="00A8234E">
        <w:rPr>
          <w:lang w:eastAsia="ja-JP"/>
        </w:rPr>
        <w:t xml:space="preserve"> (91.0%), placebo (94%), and </w:t>
      </w:r>
      <w:proofErr w:type="spellStart"/>
      <w:r w:rsidRPr="00A8234E">
        <w:rPr>
          <w:lang w:eastAsia="ja-JP"/>
        </w:rPr>
        <w:t>ustekinumab</w:t>
      </w:r>
      <w:proofErr w:type="spellEnd"/>
      <w:r w:rsidRPr="00A8234E">
        <w:rPr>
          <w:lang w:eastAsia="ja-JP"/>
        </w:rPr>
        <w:t xml:space="preserve"> groups (90.2%), and any differences observed were not considered to be clinically meaningful</w:t>
      </w:r>
      <w:r w:rsidR="00227392">
        <w:rPr>
          <w:lang w:eastAsia="ja-JP"/>
        </w:rPr>
        <w:t xml:space="preserve"> (</w:t>
      </w:r>
      <w:r w:rsidR="00227392">
        <w:rPr>
          <w:lang w:eastAsia="ja-JP"/>
        </w:rPr>
        <w:fldChar w:fldCharType="begin"/>
      </w:r>
      <w:r w:rsidR="00227392">
        <w:rPr>
          <w:lang w:eastAsia="ja-JP"/>
        </w:rPr>
        <w:instrText xml:space="preserve"> REF _Ref129955072 \h </w:instrText>
      </w:r>
      <w:r w:rsidR="00227392">
        <w:rPr>
          <w:lang w:eastAsia="ja-JP"/>
        </w:rPr>
      </w:r>
      <w:r w:rsidR="00227392">
        <w:rPr>
          <w:lang w:eastAsia="ja-JP"/>
        </w:rPr>
        <w:fldChar w:fldCharType="separate"/>
      </w:r>
      <w:r w:rsidR="00B54079" w:rsidRPr="00227392">
        <w:t xml:space="preserve">Table </w:t>
      </w:r>
      <w:r w:rsidR="00B54079">
        <w:rPr>
          <w:noProof/>
        </w:rPr>
        <w:t>29</w:t>
      </w:r>
      <w:r w:rsidR="00227392">
        <w:rPr>
          <w:lang w:eastAsia="ja-JP"/>
        </w:rPr>
        <w:fldChar w:fldCharType="end"/>
      </w:r>
      <w:r w:rsidR="00227392">
        <w:rPr>
          <w:lang w:eastAsia="ja-JP"/>
        </w:rPr>
        <w:t>)</w:t>
      </w:r>
      <w:r w:rsidRPr="00A8234E">
        <w:rPr>
          <w:lang w:eastAsia="ja-JP"/>
        </w:rPr>
        <w:t>.</w:t>
      </w:r>
    </w:p>
    <w:p w14:paraId="71CD36D8" w14:textId="7275EB90" w:rsidR="008A3252" w:rsidRPr="00A8234E" w:rsidRDefault="008A3252" w:rsidP="008A3252">
      <w:pPr>
        <w:rPr>
          <w:lang w:eastAsia="ja-JP"/>
        </w:rPr>
      </w:pPr>
      <w:r w:rsidRPr="00A8234E">
        <w:rPr>
          <w:lang w:eastAsia="ja-JP"/>
        </w:rPr>
        <w:t xml:space="preserve">The use of concomitant medications was generally similar across the </w:t>
      </w:r>
      <w:proofErr w:type="spellStart"/>
      <w:r w:rsidR="008B40FD">
        <w:rPr>
          <w:lang w:eastAsia="ja-JP"/>
        </w:rPr>
        <w:t>bimekizumab</w:t>
      </w:r>
      <w:proofErr w:type="spellEnd"/>
      <w:r w:rsidRPr="00A8234E">
        <w:rPr>
          <w:lang w:eastAsia="ja-JP"/>
        </w:rPr>
        <w:t xml:space="preserve"> 320</w:t>
      </w:r>
      <w:r w:rsidR="00227392">
        <w:rPr>
          <w:lang w:eastAsia="ja-JP"/>
        </w:rPr>
        <w:t> </w:t>
      </w:r>
      <w:r w:rsidRPr="00A8234E">
        <w:rPr>
          <w:lang w:eastAsia="ja-JP"/>
        </w:rPr>
        <w:t xml:space="preserve">mg </w:t>
      </w:r>
      <w:r w:rsidR="00F23C97">
        <w:rPr>
          <w:lang w:eastAsia="ja-JP"/>
        </w:rPr>
        <w:t>every 4 weeks</w:t>
      </w:r>
      <w:r w:rsidRPr="00A8234E">
        <w:rPr>
          <w:lang w:eastAsia="ja-JP"/>
        </w:rPr>
        <w:t xml:space="preserve"> (89.1%), placebo (90.4%), and </w:t>
      </w:r>
      <w:proofErr w:type="spellStart"/>
      <w:r w:rsidR="004858E7">
        <w:rPr>
          <w:lang w:eastAsia="ja-JP"/>
        </w:rPr>
        <w:t>ustekinumab</w:t>
      </w:r>
      <w:proofErr w:type="spellEnd"/>
      <w:r w:rsidRPr="00A8234E">
        <w:rPr>
          <w:lang w:eastAsia="ja-JP"/>
        </w:rPr>
        <w:t xml:space="preserve"> groups (82.8%). </w:t>
      </w:r>
    </w:p>
    <w:p w14:paraId="68BDE511" w14:textId="5736494F" w:rsidR="008A3252" w:rsidRPr="00FF5B3E" w:rsidRDefault="008A3252" w:rsidP="008A3252">
      <w:pPr>
        <w:rPr>
          <w:lang w:eastAsia="ja-JP"/>
        </w:rPr>
      </w:pPr>
      <w:r w:rsidRPr="00FF5B3E">
        <w:rPr>
          <w:lang w:eastAsia="ja-JP"/>
        </w:rPr>
        <w:t xml:space="preserve">Antifungals for topical use were used at a higher incidence in the </w:t>
      </w:r>
      <w:proofErr w:type="spellStart"/>
      <w:r w:rsidR="008B40FD">
        <w:rPr>
          <w:lang w:eastAsia="ja-JP"/>
        </w:rPr>
        <w:t>bimekizumab</w:t>
      </w:r>
      <w:proofErr w:type="spellEnd"/>
      <w:r w:rsidRPr="00FF5B3E">
        <w:rPr>
          <w:lang w:eastAsia="ja-JP"/>
        </w:rPr>
        <w:t xml:space="preserve"> 320</w:t>
      </w:r>
      <w:r w:rsidR="00227392">
        <w:rPr>
          <w:lang w:eastAsia="ja-JP"/>
        </w:rPr>
        <w:t> </w:t>
      </w:r>
      <w:r w:rsidRPr="00FF5B3E">
        <w:rPr>
          <w:lang w:eastAsia="ja-JP"/>
        </w:rPr>
        <w:t xml:space="preserve">mg </w:t>
      </w:r>
      <w:r w:rsidR="00F23C97">
        <w:rPr>
          <w:lang w:eastAsia="ja-JP"/>
        </w:rPr>
        <w:t>every 4 weeks</w:t>
      </w:r>
      <w:r w:rsidRPr="00FF5B3E">
        <w:rPr>
          <w:lang w:eastAsia="ja-JP"/>
        </w:rPr>
        <w:t xml:space="preserve"> (9.7%) and placebo/</w:t>
      </w:r>
      <w:proofErr w:type="spellStart"/>
      <w:r w:rsidR="008B40FD">
        <w:rPr>
          <w:lang w:eastAsia="ja-JP"/>
        </w:rPr>
        <w:t>bimekizumab</w:t>
      </w:r>
      <w:proofErr w:type="spellEnd"/>
      <w:r w:rsidRPr="00FF5B3E">
        <w:rPr>
          <w:lang w:eastAsia="ja-JP"/>
        </w:rPr>
        <w:t xml:space="preserve"> 320</w:t>
      </w:r>
      <w:r w:rsidR="00227392">
        <w:rPr>
          <w:lang w:eastAsia="ja-JP"/>
        </w:rPr>
        <w:t xml:space="preserve"> </w:t>
      </w:r>
      <w:r w:rsidRPr="00FF5B3E">
        <w:rPr>
          <w:lang w:eastAsia="ja-JP"/>
        </w:rPr>
        <w:t xml:space="preserve">mg </w:t>
      </w:r>
      <w:r w:rsidR="00F23C97">
        <w:rPr>
          <w:lang w:eastAsia="ja-JP"/>
        </w:rPr>
        <w:t>every 4 weeks</w:t>
      </w:r>
      <w:r w:rsidRPr="00FF5B3E">
        <w:rPr>
          <w:lang w:eastAsia="ja-JP"/>
        </w:rPr>
        <w:t xml:space="preserve"> groups (7.2%) compared with the </w:t>
      </w:r>
      <w:proofErr w:type="spellStart"/>
      <w:r w:rsidR="004858E7">
        <w:rPr>
          <w:lang w:eastAsia="ja-JP"/>
        </w:rPr>
        <w:t>ustekinumab</w:t>
      </w:r>
      <w:proofErr w:type="spellEnd"/>
      <w:r w:rsidRPr="00FF5B3E">
        <w:rPr>
          <w:lang w:eastAsia="ja-JP"/>
        </w:rPr>
        <w:t xml:space="preserve"> group (2.5%).</w:t>
      </w:r>
    </w:p>
    <w:p w14:paraId="1226DB17" w14:textId="71EFB8C4" w:rsidR="008A3252" w:rsidRPr="008A3252" w:rsidRDefault="008A3252" w:rsidP="008A3252">
      <w:pPr>
        <w:pStyle w:val="ListBullet"/>
        <w:rPr>
          <w:b/>
          <w:bCs/>
        </w:rPr>
      </w:pPr>
      <w:r>
        <w:rPr>
          <w:lang w:eastAsia="ja-JP"/>
        </w:rPr>
        <w:t>The clinical evaluator commented that t</w:t>
      </w:r>
      <w:r w:rsidRPr="00036CF8">
        <w:t xml:space="preserve">he population studied is representative of patients with moderate to severe plaque </w:t>
      </w:r>
      <w:proofErr w:type="gramStart"/>
      <w:r w:rsidRPr="00036CF8">
        <w:t>psoriasis</w:t>
      </w:r>
      <w:r>
        <w:t>;</w:t>
      </w:r>
      <w:proofErr w:type="gramEnd"/>
    </w:p>
    <w:p w14:paraId="77AFC9E2" w14:textId="77777777" w:rsidR="008A3252" w:rsidRDefault="008A3252" w:rsidP="008A3252">
      <w:pPr>
        <w:pStyle w:val="ListBullet"/>
        <w:rPr>
          <w:lang w:eastAsia="ja-JP"/>
        </w:rPr>
      </w:pPr>
      <w:r w:rsidRPr="00036CF8">
        <w:t xml:space="preserve">The mean PASI and IGA scores were balanced across treatment </w:t>
      </w:r>
      <w:proofErr w:type="gramStart"/>
      <w:r w:rsidRPr="00036CF8">
        <w:t>groups</w:t>
      </w:r>
      <w:r>
        <w:t>;</w:t>
      </w:r>
      <w:proofErr w:type="gramEnd"/>
    </w:p>
    <w:p w14:paraId="0C3F6CC5" w14:textId="202B9DD8" w:rsidR="008A3252" w:rsidRDefault="008A3252" w:rsidP="008A3252">
      <w:pPr>
        <w:pStyle w:val="ListBullet"/>
        <w:rPr>
          <w:lang w:eastAsia="ja-JP"/>
        </w:rPr>
      </w:pPr>
      <w:r w:rsidRPr="00FF5B3E">
        <w:t xml:space="preserve">There are no apparent differences that would bias outcomes towards one treatment </w:t>
      </w:r>
      <w:r>
        <w:rPr>
          <w:lang w:eastAsia="ja-JP"/>
        </w:rPr>
        <w:t>g</w:t>
      </w:r>
      <w:r w:rsidRPr="00FF5B3E">
        <w:t>roup.</w:t>
      </w:r>
    </w:p>
    <w:p w14:paraId="440D44F7" w14:textId="77777777" w:rsidR="008A3252" w:rsidRPr="00D675F5" w:rsidRDefault="008A3252" w:rsidP="008A3252">
      <w:pPr>
        <w:pStyle w:val="Heading6"/>
      </w:pPr>
      <w:r w:rsidRPr="00D675F5">
        <w:t>Major protocol violations/deviations</w:t>
      </w:r>
    </w:p>
    <w:p w14:paraId="4C1B8BF3" w14:textId="6E038F69" w:rsidR="008A3252" w:rsidRPr="00D675F5" w:rsidRDefault="008A3252" w:rsidP="008A3252">
      <w:pPr>
        <w:rPr>
          <w:rFonts w:eastAsia="Times New Roman"/>
          <w:lang w:val="en-US" w:eastAsia="zh-CN"/>
        </w:rPr>
      </w:pPr>
      <w:r w:rsidRPr="00D675F5">
        <w:t xml:space="preserve">The incidence of study participants with at least one important protocol deviation </w:t>
      </w:r>
      <w:r w:rsidRPr="00D675F5">
        <w:rPr>
          <w:rFonts w:eastAsia="Times New Roman"/>
          <w:lang w:val="en-US" w:eastAsia="zh-CN"/>
        </w:rPr>
        <w:t xml:space="preserve">during the </w:t>
      </w:r>
      <w:r w:rsidR="00227392">
        <w:rPr>
          <w:rFonts w:eastAsia="Times New Roman"/>
          <w:lang w:val="en-US" w:eastAsia="zh-CN"/>
        </w:rPr>
        <w:t>i</w:t>
      </w:r>
      <w:r w:rsidRPr="00D675F5">
        <w:rPr>
          <w:rFonts w:eastAsia="Times New Roman"/>
          <w:lang w:val="en-US" w:eastAsia="zh-CN"/>
        </w:rPr>
        <w:t xml:space="preserve">nitial </w:t>
      </w:r>
      <w:r w:rsidR="00227392">
        <w:rPr>
          <w:rFonts w:eastAsia="Times New Roman"/>
          <w:lang w:val="en-US" w:eastAsia="zh-CN"/>
        </w:rPr>
        <w:t>t</w:t>
      </w:r>
      <w:r w:rsidRPr="00D675F5">
        <w:rPr>
          <w:rFonts w:eastAsia="Times New Roman"/>
          <w:lang w:val="en-US" w:eastAsia="zh-CN"/>
        </w:rPr>
        <w:t xml:space="preserve">reatment </w:t>
      </w:r>
      <w:r w:rsidR="00227392">
        <w:rPr>
          <w:rFonts w:eastAsia="Times New Roman"/>
          <w:lang w:val="en-US" w:eastAsia="zh-CN"/>
        </w:rPr>
        <w:t>p</w:t>
      </w:r>
      <w:r w:rsidRPr="00D675F5">
        <w:rPr>
          <w:rFonts w:eastAsia="Times New Roman"/>
          <w:lang w:val="en-US" w:eastAsia="zh-CN"/>
        </w:rPr>
        <w:t>eriod was</w:t>
      </w:r>
      <w:r w:rsidRPr="00D675F5">
        <w:t xml:space="preserve"> 10 (3.1%), 5 (3.1%) </w:t>
      </w:r>
      <w:r w:rsidRPr="00D675F5">
        <w:rPr>
          <w:rFonts w:eastAsia="Times New Roman"/>
          <w:lang w:val="en-US" w:eastAsia="zh-CN"/>
        </w:rPr>
        <w:t xml:space="preserve">and </w:t>
      </w:r>
      <w:r w:rsidRPr="00D675F5">
        <w:t xml:space="preserve">2 (2.4%) </w:t>
      </w:r>
      <w:r w:rsidRPr="00D675F5">
        <w:rPr>
          <w:rFonts w:eastAsia="Times New Roman"/>
          <w:lang w:val="en-US" w:eastAsia="zh-CN"/>
        </w:rPr>
        <w:t xml:space="preserve">respectively for the </w:t>
      </w:r>
      <w:proofErr w:type="spellStart"/>
      <w:r w:rsidR="008B40FD">
        <w:rPr>
          <w:rFonts w:eastAsia="Times New Roman"/>
          <w:lang w:val="en-US" w:eastAsia="zh-CN"/>
        </w:rPr>
        <w:t>bimekizumab</w:t>
      </w:r>
      <w:proofErr w:type="spellEnd"/>
      <w:r w:rsidRPr="00D675F5">
        <w:rPr>
          <w:rFonts w:eastAsia="Times New Roman"/>
          <w:lang w:val="en-US" w:eastAsia="zh-CN"/>
        </w:rPr>
        <w:t xml:space="preserve">, </w:t>
      </w:r>
      <w:proofErr w:type="spellStart"/>
      <w:r w:rsidR="004858E7">
        <w:rPr>
          <w:rFonts w:eastAsia="Times New Roman"/>
          <w:lang w:val="en-US" w:eastAsia="zh-CN"/>
        </w:rPr>
        <w:t>ustekinumab</w:t>
      </w:r>
      <w:proofErr w:type="spellEnd"/>
      <w:r w:rsidRPr="00D675F5">
        <w:rPr>
          <w:rFonts w:eastAsia="Times New Roman"/>
          <w:lang w:val="en-US" w:eastAsia="zh-CN"/>
        </w:rPr>
        <w:t xml:space="preserve"> and </w:t>
      </w:r>
      <w:r w:rsidR="004858E7">
        <w:rPr>
          <w:rFonts w:eastAsia="Times New Roman"/>
          <w:lang w:val="en-US" w:eastAsia="zh-CN"/>
        </w:rPr>
        <w:t>placebo</w:t>
      </w:r>
      <w:r w:rsidRPr="00D675F5">
        <w:rPr>
          <w:rFonts w:eastAsia="Times New Roman"/>
          <w:lang w:val="en-US" w:eastAsia="zh-CN"/>
        </w:rPr>
        <w:t xml:space="preserve"> groups. In the same period, the study participants excluded from the </w:t>
      </w:r>
      <w:r w:rsidR="00AF4D50">
        <w:rPr>
          <w:rFonts w:eastAsia="Times New Roman"/>
          <w:lang w:val="en-US" w:eastAsia="zh-CN"/>
        </w:rPr>
        <w:t>per protocol set</w:t>
      </w:r>
      <w:r w:rsidR="00AF4D50" w:rsidRPr="00D675F5">
        <w:rPr>
          <w:rFonts w:eastAsia="Times New Roman"/>
          <w:lang w:val="en-US" w:eastAsia="zh-CN"/>
        </w:rPr>
        <w:t xml:space="preserve"> </w:t>
      </w:r>
      <w:r w:rsidRPr="00D675F5">
        <w:rPr>
          <w:rFonts w:eastAsia="Times New Roman"/>
          <w:lang w:val="en-US" w:eastAsia="zh-CN"/>
        </w:rPr>
        <w:t xml:space="preserve">were </w:t>
      </w:r>
      <w:r w:rsidRPr="00D675F5">
        <w:t xml:space="preserve">9 (2.8%),4 (2.5%) </w:t>
      </w:r>
      <w:r w:rsidRPr="00D675F5">
        <w:rPr>
          <w:rFonts w:eastAsia="Times New Roman"/>
          <w:lang w:val="en-US" w:eastAsia="zh-CN"/>
        </w:rPr>
        <w:t xml:space="preserve">and </w:t>
      </w:r>
      <w:r w:rsidRPr="00D675F5">
        <w:t xml:space="preserve">2 (2.4%) </w:t>
      </w:r>
      <w:r w:rsidRPr="00D675F5">
        <w:rPr>
          <w:rFonts w:eastAsia="Times New Roman"/>
          <w:lang w:val="en-US" w:eastAsia="zh-CN"/>
        </w:rPr>
        <w:t xml:space="preserve">respectively for the </w:t>
      </w:r>
      <w:proofErr w:type="spellStart"/>
      <w:r w:rsidR="008B40FD">
        <w:rPr>
          <w:rFonts w:eastAsia="Times New Roman"/>
          <w:lang w:val="en-US" w:eastAsia="zh-CN"/>
        </w:rPr>
        <w:t>bimekizumab</w:t>
      </w:r>
      <w:proofErr w:type="spellEnd"/>
      <w:r w:rsidRPr="00D675F5">
        <w:rPr>
          <w:rFonts w:eastAsia="Times New Roman"/>
          <w:lang w:val="en-US" w:eastAsia="zh-CN"/>
        </w:rPr>
        <w:t xml:space="preserve">, </w:t>
      </w:r>
      <w:proofErr w:type="spellStart"/>
      <w:r w:rsidR="004858E7">
        <w:rPr>
          <w:rFonts w:eastAsia="Times New Roman"/>
          <w:lang w:val="en-US" w:eastAsia="zh-CN"/>
        </w:rPr>
        <w:t>ustekinumab</w:t>
      </w:r>
      <w:proofErr w:type="spellEnd"/>
      <w:r w:rsidRPr="00D675F5">
        <w:rPr>
          <w:rFonts w:eastAsia="Times New Roman"/>
          <w:lang w:val="en-US" w:eastAsia="zh-CN"/>
        </w:rPr>
        <w:t xml:space="preserve"> and </w:t>
      </w:r>
      <w:r w:rsidR="004858E7">
        <w:rPr>
          <w:rFonts w:eastAsia="Times New Roman"/>
          <w:lang w:val="en-US" w:eastAsia="zh-CN"/>
        </w:rPr>
        <w:t>placebo</w:t>
      </w:r>
      <w:r w:rsidRPr="00D675F5">
        <w:rPr>
          <w:rFonts w:eastAsia="Times New Roman"/>
          <w:lang w:val="en-US" w:eastAsia="zh-CN"/>
        </w:rPr>
        <w:t xml:space="preserve"> groups.</w:t>
      </w:r>
    </w:p>
    <w:p w14:paraId="386BA43F" w14:textId="7BAFD4EB" w:rsidR="008A3252" w:rsidRPr="00D675F5" w:rsidRDefault="008A3252" w:rsidP="008A3252">
      <w:pPr>
        <w:rPr>
          <w:rFonts w:eastAsia="Times New Roman"/>
          <w:lang w:val="en-US" w:eastAsia="zh-CN"/>
        </w:rPr>
      </w:pPr>
      <w:r w:rsidRPr="00D675F5">
        <w:rPr>
          <w:rFonts w:eastAsia="Times New Roman"/>
          <w:lang w:val="en-US" w:eastAsia="zh-CN"/>
        </w:rPr>
        <w:t xml:space="preserve">The </w:t>
      </w:r>
      <w:r w:rsidRPr="00BE3788">
        <w:rPr>
          <w:rFonts w:eastAsia="Times New Roman"/>
          <w:lang w:val="en-US" w:eastAsia="zh-CN"/>
        </w:rPr>
        <w:t xml:space="preserve">most common protocol deviation in the </w:t>
      </w:r>
      <w:r w:rsidR="00227392">
        <w:rPr>
          <w:rFonts w:eastAsia="Times New Roman"/>
          <w:lang w:val="en-US" w:eastAsia="zh-CN"/>
        </w:rPr>
        <w:t>initial treatment period</w:t>
      </w:r>
      <w:r w:rsidRPr="00BE3788">
        <w:rPr>
          <w:rFonts w:eastAsia="Times New Roman"/>
          <w:lang w:val="en-US" w:eastAsia="zh-CN"/>
        </w:rPr>
        <w:t xml:space="preserve"> was </w:t>
      </w:r>
      <w:r w:rsidRPr="00D675F5">
        <w:rPr>
          <w:rFonts w:eastAsia="Times New Roman"/>
          <w:lang w:val="en-US" w:eastAsia="zh-CN"/>
        </w:rPr>
        <w:t xml:space="preserve">procedural non-compliance: </w:t>
      </w:r>
      <w:r w:rsidRPr="00D675F5">
        <w:t>7 (2.2%), 4 (2.5</w:t>
      </w:r>
      <w:r w:rsidRPr="00AF4D50">
        <w:t xml:space="preserve">%) </w:t>
      </w:r>
      <w:r w:rsidRPr="006E4137">
        <w:t>an</w:t>
      </w:r>
      <w:r w:rsidR="00AF4D50" w:rsidRPr="006E4137">
        <w:t xml:space="preserve">d </w:t>
      </w:r>
      <w:r w:rsidR="00AF4D50">
        <w:t>one</w:t>
      </w:r>
      <w:r w:rsidRPr="006E4137">
        <w:t xml:space="preserve"> </w:t>
      </w:r>
      <w:r w:rsidRPr="00AF4D50">
        <w:t xml:space="preserve">(1.2%) respectively for </w:t>
      </w:r>
      <w:proofErr w:type="spellStart"/>
      <w:r w:rsidR="008B40FD" w:rsidRPr="00AF4D50">
        <w:t>bimekizumab</w:t>
      </w:r>
      <w:proofErr w:type="spellEnd"/>
      <w:r w:rsidRPr="00AF4D50">
        <w:t xml:space="preserve">, </w:t>
      </w:r>
      <w:proofErr w:type="spellStart"/>
      <w:r w:rsidR="004858E7" w:rsidRPr="00AF4D50">
        <w:t>ustekinumab</w:t>
      </w:r>
      <w:proofErr w:type="spellEnd"/>
      <w:r w:rsidRPr="00AF4D50">
        <w:t xml:space="preserve"> and </w:t>
      </w:r>
      <w:r w:rsidR="004858E7" w:rsidRPr="00AF4D50">
        <w:t>placebo</w:t>
      </w:r>
      <w:r w:rsidRPr="00AF4D50">
        <w:t>.</w:t>
      </w:r>
      <w:r w:rsidRPr="006E4137">
        <w:t xml:space="preserve"> The most common protocol</w:t>
      </w:r>
      <w:r w:rsidRPr="00BE3788">
        <w:rPr>
          <w:rFonts w:eastAsia="Times New Roman"/>
          <w:lang w:val="en-US" w:eastAsia="zh-CN"/>
        </w:rPr>
        <w:t xml:space="preserve"> deviation for study </w:t>
      </w:r>
      <w:r w:rsidRPr="00D675F5">
        <w:rPr>
          <w:rFonts w:eastAsia="Times New Roman"/>
          <w:lang w:val="en-US" w:eastAsia="zh-CN"/>
        </w:rPr>
        <w:t xml:space="preserve">participants </w:t>
      </w:r>
      <w:r w:rsidRPr="00D675F5">
        <w:rPr>
          <w:rFonts w:eastAsia="Times New Roman"/>
          <w:lang w:val="en-US" w:eastAsia="zh-CN"/>
        </w:rPr>
        <w:lastRenderedPageBreak/>
        <w:t xml:space="preserve">excluded from </w:t>
      </w:r>
      <w:r w:rsidR="00227392">
        <w:rPr>
          <w:rFonts w:eastAsia="Times New Roman"/>
          <w:lang w:val="en-US" w:eastAsia="zh-CN"/>
        </w:rPr>
        <w:t>per protocol set</w:t>
      </w:r>
      <w:r w:rsidRPr="00D675F5">
        <w:rPr>
          <w:rFonts w:eastAsia="Times New Roman"/>
          <w:lang w:val="en-US" w:eastAsia="zh-CN"/>
        </w:rPr>
        <w:t xml:space="preserve"> in the </w:t>
      </w:r>
      <w:r w:rsidR="00227392">
        <w:rPr>
          <w:rFonts w:eastAsia="Times New Roman"/>
          <w:lang w:val="en-US" w:eastAsia="zh-CN"/>
        </w:rPr>
        <w:t>initial treatment period</w:t>
      </w:r>
      <w:r w:rsidRPr="00D675F5">
        <w:rPr>
          <w:rFonts w:eastAsia="Times New Roman"/>
          <w:lang w:val="en-US" w:eastAsia="zh-CN"/>
        </w:rPr>
        <w:t xml:space="preserve"> was also procedural noncompliance: </w:t>
      </w:r>
      <w:r w:rsidR="00227392">
        <w:t>six</w:t>
      </w:r>
      <w:r w:rsidRPr="00D675F5">
        <w:t xml:space="preserve"> (1.9%</w:t>
      </w:r>
      <w:proofErr w:type="gramStart"/>
      <w:r w:rsidRPr="00D675F5">
        <w:t>),</w:t>
      </w:r>
      <w:r w:rsidR="00227392">
        <w:t>four</w:t>
      </w:r>
      <w:proofErr w:type="gramEnd"/>
      <w:r w:rsidR="00227392">
        <w:t xml:space="preserve"> </w:t>
      </w:r>
      <w:r w:rsidRPr="00D675F5">
        <w:t>(2.5%) and</w:t>
      </w:r>
      <w:r w:rsidR="00227392">
        <w:t xml:space="preserve"> one </w:t>
      </w:r>
      <w:r w:rsidRPr="00D675F5">
        <w:t xml:space="preserve">(1.2%) respectively for </w:t>
      </w:r>
      <w:proofErr w:type="spellStart"/>
      <w:r w:rsidR="008B40FD">
        <w:t>bimekizumab</w:t>
      </w:r>
      <w:proofErr w:type="spellEnd"/>
      <w:r w:rsidRPr="00D675F5">
        <w:t xml:space="preserve">, </w:t>
      </w:r>
      <w:proofErr w:type="spellStart"/>
      <w:r w:rsidR="004858E7">
        <w:t>ustekinumab</w:t>
      </w:r>
      <w:proofErr w:type="spellEnd"/>
      <w:r w:rsidRPr="00D675F5">
        <w:t xml:space="preserve"> and </w:t>
      </w:r>
      <w:r w:rsidR="004858E7">
        <w:t>placebo</w:t>
      </w:r>
      <w:r w:rsidRPr="00D675F5">
        <w:t>.</w:t>
      </w:r>
    </w:p>
    <w:p w14:paraId="1488CC39" w14:textId="77777777" w:rsidR="008A3252" w:rsidRPr="00D675F5" w:rsidRDefault="008A3252" w:rsidP="008A3252">
      <w:pPr>
        <w:rPr>
          <w:lang w:eastAsia="ja-JP"/>
        </w:rPr>
      </w:pPr>
      <w:r w:rsidRPr="00D675F5">
        <w:rPr>
          <w:lang w:eastAsia="ja-JP"/>
        </w:rPr>
        <w:t>There were no important protocol deviations in the maintenance treatment period.</w:t>
      </w:r>
    </w:p>
    <w:p w14:paraId="44533BEA" w14:textId="62B86438" w:rsidR="008A3252" w:rsidRDefault="008A3252" w:rsidP="00227392">
      <w:pPr>
        <w:rPr>
          <w:lang w:eastAsia="ja-JP"/>
        </w:rPr>
      </w:pPr>
      <w:r>
        <w:rPr>
          <w:lang w:eastAsia="ja-JP"/>
        </w:rPr>
        <w:t>The clinical evaluator commented that t</w:t>
      </w:r>
      <w:r w:rsidRPr="0068638F">
        <w:rPr>
          <w:lang w:eastAsia="ja-JP"/>
        </w:rPr>
        <w:t xml:space="preserve">he incidence of important protocol deviations was low overall and similar in the </w:t>
      </w:r>
      <w:proofErr w:type="spellStart"/>
      <w:r w:rsidR="008B40FD">
        <w:rPr>
          <w:lang w:eastAsia="ja-JP"/>
        </w:rPr>
        <w:t>bimekizumab</w:t>
      </w:r>
      <w:proofErr w:type="spellEnd"/>
      <w:r w:rsidRPr="0068638F">
        <w:rPr>
          <w:lang w:eastAsia="ja-JP"/>
        </w:rPr>
        <w:t xml:space="preserve"> 320</w:t>
      </w:r>
      <w:r w:rsidR="00227392">
        <w:rPr>
          <w:lang w:eastAsia="ja-JP"/>
        </w:rPr>
        <w:t xml:space="preserve"> </w:t>
      </w:r>
      <w:r w:rsidRPr="0068638F">
        <w:rPr>
          <w:lang w:eastAsia="ja-JP"/>
        </w:rPr>
        <w:t xml:space="preserve">mg </w:t>
      </w:r>
      <w:r w:rsidR="00F23C97">
        <w:rPr>
          <w:lang w:eastAsia="ja-JP"/>
        </w:rPr>
        <w:t>every 4 weeks</w:t>
      </w:r>
      <w:r w:rsidRPr="0068638F">
        <w:rPr>
          <w:lang w:eastAsia="ja-JP"/>
        </w:rPr>
        <w:t xml:space="preserve"> (3.1 %), </w:t>
      </w:r>
      <w:proofErr w:type="spellStart"/>
      <w:r w:rsidR="004858E7">
        <w:rPr>
          <w:lang w:eastAsia="ja-JP"/>
        </w:rPr>
        <w:t>ustekinumab</w:t>
      </w:r>
      <w:proofErr w:type="spellEnd"/>
      <w:r w:rsidRPr="0068638F">
        <w:rPr>
          <w:lang w:eastAsia="ja-JP"/>
        </w:rPr>
        <w:t xml:space="preserve"> (3.1 %), and </w:t>
      </w:r>
      <w:r w:rsidR="004858E7">
        <w:rPr>
          <w:lang w:eastAsia="ja-JP"/>
        </w:rPr>
        <w:t>placebo</w:t>
      </w:r>
      <w:r w:rsidRPr="0068638F">
        <w:rPr>
          <w:lang w:eastAsia="ja-JP"/>
        </w:rPr>
        <w:t xml:space="preserve"> groups (2.4%)</w:t>
      </w:r>
      <w:r>
        <w:rPr>
          <w:lang w:eastAsia="ja-JP"/>
        </w:rPr>
        <w:t xml:space="preserve">. </w:t>
      </w:r>
      <w:r w:rsidRPr="0068638F">
        <w:rPr>
          <w:lang w:eastAsia="ja-JP"/>
        </w:rPr>
        <w:t xml:space="preserve">Overall, the most common important protocol deviation was procedural noncompliance, with an incidence of 2.2% in </w:t>
      </w:r>
      <w:proofErr w:type="spellStart"/>
      <w:r w:rsidR="008B40FD">
        <w:rPr>
          <w:lang w:eastAsia="ja-JP"/>
        </w:rPr>
        <w:t>bimekizumab</w:t>
      </w:r>
      <w:proofErr w:type="spellEnd"/>
      <w:r>
        <w:rPr>
          <w:lang w:eastAsia="ja-JP"/>
        </w:rPr>
        <w:t xml:space="preserve"> </w:t>
      </w:r>
      <w:r w:rsidRPr="00227392">
        <w:t>320</w:t>
      </w:r>
      <w:r w:rsidR="00227392">
        <w:t> </w:t>
      </w:r>
      <w:r w:rsidRPr="00227392">
        <w:t>mg</w:t>
      </w:r>
      <w:r w:rsidRPr="0068638F">
        <w:rPr>
          <w:lang w:eastAsia="ja-JP"/>
        </w:rPr>
        <w:t xml:space="preserve"> </w:t>
      </w:r>
      <w:r w:rsidR="00F23C97">
        <w:rPr>
          <w:lang w:eastAsia="ja-JP"/>
        </w:rPr>
        <w:t>every 4 weeks</w:t>
      </w:r>
      <w:r>
        <w:rPr>
          <w:lang w:eastAsia="ja-JP"/>
        </w:rPr>
        <w:t xml:space="preserve"> </w:t>
      </w:r>
      <w:r w:rsidRPr="0068638F">
        <w:rPr>
          <w:lang w:eastAsia="ja-JP"/>
        </w:rPr>
        <w:t>group,</w:t>
      </w:r>
      <w:r>
        <w:rPr>
          <w:lang w:eastAsia="ja-JP"/>
        </w:rPr>
        <w:t xml:space="preserve"> </w:t>
      </w:r>
      <w:r w:rsidRPr="0068638F">
        <w:rPr>
          <w:lang w:eastAsia="ja-JP"/>
        </w:rPr>
        <w:t xml:space="preserve">2.5% in the </w:t>
      </w:r>
      <w:proofErr w:type="spellStart"/>
      <w:r w:rsidR="004858E7">
        <w:rPr>
          <w:lang w:eastAsia="ja-JP"/>
        </w:rPr>
        <w:t>ustekinumab</w:t>
      </w:r>
      <w:proofErr w:type="spellEnd"/>
      <w:r w:rsidRPr="0068638F">
        <w:rPr>
          <w:lang w:eastAsia="ja-JP"/>
        </w:rPr>
        <w:t xml:space="preserve"> group, and 1.2% in the </w:t>
      </w:r>
      <w:r w:rsidR="004858E7">
        <w:rPr>
          <w:lang w:eastAsia="ja-JP"/>
        </w:rPr>
        <w:t>placebo</w:t>
      </w:r>
      <w:r w:rsidRPr="0068638F">
        <w:rPr>
          <w:lang w:eastAsia="ja-JP"/>
        </w:rPr>
        <w:t xml:space="preserve"> group</w:t>
      </w:r>
      <w:r>
        <w:rPr>
          <w:lang w:eastAsia="ja-JP"/>
        </w:rPr>
        <w:t xml:space="preserve">. </w:t>
      </w:r>
      <w:r w:rsidRPr="0068638F">
        <w:rPr>
          <w:lang w:eastAsia="ja-JP"/>
        </w:rPr>
        <w:t>The most common reason for procedural noncompliance was having a Week 16 visit outside of the ±</w:t>
      </w:r>
      <w:r>
        <w:rPr>
          <w:lang w:eastAsia="ja-JP"/>
        </w:rPr>
        <w:t xml:space="preserve"> </w:t>
      </w:r>
      <w:r w:rsidRPr="0068638F">
        <w:rPr>
          <w:lang w:eastAsia="ja-JP"/>
        </w:rPr>
        <w:t>7</w:t>
      </w:r>
      <w:r w:rsidR="00227392">
        <w:rPr>
          <w:lang w:eastAsia="ja-JP"/>
        </w:rPr>
        <w:t xml:space="preserve"> </w:t>
      </w:r>
      <w:r w:rsidRPr="0068638F">
        <w:rPr>
          <w:lang w:eastAsia="ja-JP"/>
        </w:rPr>
        <w:t>day</w:t>
      </w:r>
      <w:r w:rsidR="00227392">
        <w:rPr>
          <w:lang w:eastAsia="ja-JP"/>
        </w:rPr>
        <w:t>s</w:t>
      </w:r>
      <w:r w:rsidRPr="0068638F">
        <w:rPr>
          <w:lang w:eastAsia="ja-JP"/>
        </w:rPr>
        <w:t xml:space="preserve"> window.</w:t>
      </w:r>
    </w:p>
    <w:bookmarkEnd w:id="70"/>
    <w:bookmarkEnd w:id="71"/>
    <w:p w14:paraId="0CDAD8C3" w14:textId="089B3C47" w:rsidR="008A3252" w:rsidRDefault="008A3252" w:rsidP="008A3252">
      <w:pPr>
        <w:pStyle w:val="Heading6"/>
      </w:pPr>
      <w:r w:rsidRPr="008A3252">
        <w:t>Co-</w:t>
      </w:r>
      <w:r w:rsidR="00AF4D50">
        <w:t>p</w:t>
      </w:r>
      <w:r w:rsidRPr="008A3252">
        <w:t>rimary endpoint outcome</w:t>
      </w:r>
      <w:r w:rsidR="00AF4D50">
        <w:t>s</w:t>
      </w:r>
    </w:p>
    <w:p w14:paraId="7E1FE9B8" w14:textId="0310852C" w:rsidR="008A3252" w:rsidRPr="00635147" w:rsidRDefault="008A3252" w:rsidP="008A3252">
      <w:r w:rsidRPr="00C50AD3">
        <w:t xml:space="preserve">For the co-primary endpoint of PASI 90 </w:t>
      </w:r>
      <w:r w:rsidRPr="00635147">
        <w:t xml:space="preserve">response rate at Week 16, as per </w:t>
      </w:r>
      <w:r w:rsidR="00227392">
        <w:fldChar w:fldCharType="begin"/>
      </w:r>
      <w:r w:rsidR="00227392">
        <w:instrText xml:space="preserve"> REF _Ref129955259 \h </w:instrText>
      </w:r>
      <w:r w:rsidR="00227392">
        <w:fldChar w:fldCharType="separate"/>
      </w:r>
      <w:r w:rsidR="00B54079" w:rsidRPr="00227392">
        <w:t xml:space="preserve">Table </w:t>
      </w:r>
      <w:r w:rsidR="00B54079">
        <w:rPr>
          <w:noProof/>
        </w:rPr>
        <w:t>30</w:t>
      </w:r>
      <w:r w:rsidR="00227392">
        <w:fldChar w:fldCharType="end"/>
      </w:r>
      <w:r w:rsidRPr="00635147">
        <w:t>:</w:t>
      </w:r>
    </w:p>
    <w:p w14:paraId="1C2055C5" w14:textId="345A4094" w:rsidR="008A3252" w:rsidRDefault="008A3252" w:rsidP="008A3252">
      <w:pPr>
        <w:pStyle w:val="ListBullet"/>
        <w:rPr>
          <w:lang w:eastAsia="ja-JP"/>
        </w:rPr>
      </w:pPr>
      <w:r w:rsidRPr="00C83523">
        <w:rPr>
          <w:lang w:eastAsia="ja-JP"/>
        </w:rPr>
        <w:t xml:space="preserve">the </w:t>
      </w:r>
      <w:proofErr w:type="spellStart"/>
      <w:r w:rsidR="008B40FD">
        <w:rPr>
          <w:lang w:eastAsia="ja-JP"/>
        </w:rPr>
        <w:t>bimekizumab</w:t>
      </w:r>
      <w:proofErr w:type="spellEnd"/>
      <w:r w:rsidRPr="00C83523">
        <w:rPr>
          <w:lang w:eastAsia="ja-JP"/>
        </w:rPr>
        <w:t xml:space="preserve"> 320</w:t>
      </w:r>
      <w:r w:rsidR="00227392">
        <w:rPr>
          <w:lang w:eastAsia="ja-JP"/>
        </w:rPr>
        <w:t xml:space="preserve"> </w:t>
      </w:r>
      <w:r w:rsidRPr="00C83523">
        <w:rPr>
          <w:lang w:eastAsia="ja-JP"/>
        </w:rPr>
        <w:t xml:space="preserve">mg </w:t>
      </w:r>
      <w:r w:rsidR="00F23C97">
        <w:rPr>
          <w:lang w:eastAsia="ja-JP"/>
        </w:rPr>
        <w:t>every 4 weeks</w:t>
      </w:r>
      <w:r w:rsidRPr="00C83523">
        <w:rPr>
          <w:lang w:eastAsia="ja-JP"/>
        </w:rPr>
        <w:t xml:space="preserve"> group </w:t>
      </w:r>
      <w:r w:rsidRPr="00E440B6">
        <w:rPr>
          <w:lang w:eastAsia="ja-JP"/>
        </w:rPr>
        <w:t xml:space="preserve">was superior </w:t>
      </w:r>
      <w:r w:rsidRPr="00C83523">
        <w:rPr>
          <w:lang w:eastAsia="ja-JP"/>
        </w:rPr>
        <w:t xml:space="preserve">compared with the placebo group (85% </w:t>
      </w:r>
      <w:r>
        <w:rPr>
          <w:lang w:eastAsia="ja-JP"/>
        </w:rPr>
        <w:t>versus</w:t>
      </w:r>
      <w:r w:rsidRPr="00C83523">
        <w:rPr>
          <w:lang w:eastAsia="ja-JP"/>
        </w:rPr>
        <w:t xml:space="preserve"> 4.8%, respectively</w:t>
      </w:r>
      <w:proofErr w:type="gramStart"/>
      <w:r w:rsidRPr="00C83523">
        <w:rPr>
          <w:lang w:eastAsia="ja-JP"/>
        </w:rPr>
        <w:t>);</w:t>
      </w:r>
      <w:proofErr w:type="gramEnd"/>
    </w:p>
    <w:p w14:paraId="0A0AB374" w14:textId="7B798BB0" w:rsidR="008A3252" w:rsidRDefault="008A3252" w:rsidP="008A3252">
      <w:pPr>
        <w:pStyle w:val="ListBullet"/>
        <w:rPr>
          <w:lang w:eastAsia="ja-JP"/>
        </w:rPr>
      </w:pPr>
      <w:r w:rsidRPr="00C83523">
        <w:rPr>
          <w:lang w:eastAsia="ja-JP"/>
        </w:rPr>
        <w:t>the difference was statistically significant, with an odds ratio versus placebo of 99.869 (p</w:t>
      </w:r>
      <w:r>
        <w:rPr>
          <w:lang w:eastAsia="ja-JP"/>
        </w:rPr>
        <w:t xml:space="preserve"> </w:t>
      </w:r>
      <w:r w:rsidRPr="00C83523">
        <w:rPr>
          <w:lang w:eastAsia="ja-JP"/>
        </w:rPr>
        <w:t>&lt;</w:t>
      </w:r>
      <w:r>
        <w:rPr>
          <w:lang w:eastAsia="ja-JP"/>
        </w:rPr>
        <w:t xml:space="preserve"> </w:t>
      </w:r>
      <w:r w:rsidRPr="00C83523">
        <w:rPr>
          <w:lang w:eastAsia="ja-JP"/>
        </w:rPr>
        <w:t>0.001</w:t>
      </w:r>
      <w:proofErr w:type="gramStart"/>
      <w:r w:rsidRPr="00C83523">
        <w:rPr>
          <w:lang w:eastAsia="ja-JP"/>
        </w:rPr>
        <w:t>)</w:t>
      </w:r>
      <w:r>
        <w:rPr>
          <w:lang w:eastAsia="ja-JP"/>
        </w:rPr>
        <w:t>;</w:t>
      </w:r>
      <w:proofErr w:type="gramEnd"/>
    </w:p>
    <w:p w14:paraId="472987A5" w14:textId="0BC69FE2" w:rsidR="008A3252" w:rsidRPr="00C50AD3" w:rsidRDefault="008A3252" w:rsidP="008A3252">
      <w:pPr>
        <w:pStyle w:val="ListBullet"/>
        <w:rPr>
          <w:lang w:eastAsia="ja-JP"/>
        </w:rPr>
      </w:pPr>
      <w:r>
        <w:rPr>
          <w:lang w:eastAsia="ja-JP"/>
        </w:rPr>
        <w:t xml:space="preserve">the </w:t>
      </w:r>
      <w:proofErr w:type="spellStart"/>
      <w:r w:rsidR="008B40FD">
        <w:rPr>
          <w:lang w:eastAsia="ja-JP"/>
        </w:rPr>
        <w:t>bimekizumab</w:t>
      </w:r>
      <w:proofErr w:type="spellEnd"/>
      <w:r>
        <w:rPr>
          <w:lang w:eastAsia="ja-JP"/>
        </w:rPr>
        <w:t xml:space="preserve"> </w:t>
      </w:r>
      <w:r w:rsidRPr="00C50AD3">
        <w:rPr>
          <w:lang w:eastAsia="ja-JP"/>
        </w:rPr>
        <w:t>320</w:t>
      </w:r>
      <w:r>
        <w:rPr>
          <w:lang w:eastAsia="ja-JP"/>
        </w:rPr>
        <w:t xml:space="preserve"> </w:t>
      </w:r>
      <w:r w:rsidRPr="00C50AD3">
        <w:rPr>
          <w:lang w:eastAsia="ja-JP"/>
        </w:rPr>
        <w:t xml:space="preserve">mg </w:t>
      </w:r>
      <w:r w:rsidR="00F23C97">
        <w:rPr>
          <w:lang w:eastAsia="ja-JP"/>
        </w:rPr>
        <w:t>every 4 weeks</w:t>
      </w:r>
      <w:r w:rsidRPr="00C50AD3">
        <w:rPr>
          <w:lang w:eastAsia="ja-JP"/>
        </w:rPr>
        <w:t xml:space="preserve"> group PASI</w:t>
      </w:r>
      <w:r>
        <w:rPr>
          <w:lang w:eastAsia="ja-JP"/>
        </w:rPr>
        <w:t xml:space="preserve"> </w:t>
      </w:r>
      <w:r w:rsidRPr="00C50AD3">
        <w:rPr>
          <w:lang w:eastAsia="ja-JP"/>
        </w:rPr>
        <w:t xml:space="preserve">90 response rate was </w:t>
      </w:r>
      <w:r w:rsidRPr="00E440B6">
        <w:rPr>
          <w:lang w:eastAsia="ja-JP"/>
        </w:rPr>
        <w:t>also superior</w:t>
      </w:r>
      <w:r w:rsidRPr="00E440B6">
        <w:rPr>
          <w:b/>
          <w:bCs/>
          <w:lang w:eastAsia="ja-JP"/>
        </w:rPr>
        <w:t xml:space="preserve"> </w:t>
      </w:r>
      <w:r w:rsidRPr="00C50AD3">
        <w:rPr>
          <w:lang w:eastAsia="ja-JP"/>
        </w:rPr>
        <w:t xml:space="preserve">compared with the </w:t>
      </w:r>
      <w:proofErr w:type="spellStart"/>
      <w:r w:rsidR="004858E7">
        <w:rPr>
          <w:lang w:eastAsia="ja-JP"/>
        </w:rPr>
        <w:t>ustekinumab</w:t>
      </w:r>
      <w:proofErr w:type="spellEnd"/>
      <w:r w:rsidRPr="00C50AD3">
        <w:rPr>
          <w:lang w:eastAsia="ja-JP"/>
        </w:rPr>
        <w:t xml:space="preserve"> group at Week 16 (85.0% v</w:t>
      </w:r>
      <w:r>
        <w:rPr>
          <w:lang w:eastAsia="ja-JP"/>
        </w:rPr>
        <w:t>ersus</w:t>
      </w:r>
      <w:r w:rsidRPr="00C50AD3">
        <w:rPr>
          <w:lang w:eastAsia="ja-JP"/>
        </w:rPr>
        <w:t xml:space="preserve"> 49.7%, respectively)</w:t>
      </w:r>
      <w:r>
        <w:rPr>
          <w:lang w:eastAsia="ja-JP"/>
        </w:rPr>
        <w:t>,</w:t>
      </w:r>
      <w:r w:rsidRPr="00C50AD3">
        <w:rPr>
          <w:lang w:eastAsia="ja-JP"/>
        </w:rPr>
        <w:t xml:space="preserve"> with an odds ratio versus </w:t>
      </w:r>
      <w:proofErr w:type="spellStart"/>
      <w:r w:rsidR="004858E7">
        <w:rPr>
          <w:lang w:eastAsia="ja-JP"/>
        </w:rPr>
        <w:t>ustekinumab</w:t>
      </w:r>
      <w:proofErr w:type="spellEnd"/>
      <w:r>
        <w:rPr>
          <w:lang w:eastAsia="ja-JP"/>
        </w:rPr>
        <w:t xml:space="preserve"> </w:t>
      </w:r>
      <w:r w:rsidRPr="00C50AD3">
        <w:rPr>
          <w:lang w:eastAsia="ja-JP"/>
        </w:rPr>
        <w:t>of 6.056 (p</w:t>
      </w:r>
      <w:r>
        <w:rPr>
          <w:lang w:eastAsia="ja-JP"/>
        </w:rPr>
        <w:t xml:space="preserve"> </w:t>
      </w:r>
      <w:r w:rsidRPr="00C50AD3">
        <w:rPr>
          <w:lang w:eastAsia="ja-JP"/>
        </w:rPr>
        <w:t>&lt;</w:t>
      </w:r>
      <w:r>
        <w:rPr>
          <w:lang w:eastAsia="ja-JP"/>
        </w:rPr>
        <w:t xml:space="preserve"> </w:t>
      </w:r>
      <w:r w:rsidRPr="00C50AD3">
        <w:rPr>
          <w:lang w:eastAsia="ja-JP"/>
        </w:rPr>
        <w:t>0.001).</w:t>
      </w:r>
    </w:p>
    <w:p w14:paraId="7FF759EF" w14:textId="2D44D1E2" w:rsidR="008A3252" w:rsidRDefault="008A3252" w:rsidP="00227392">
      <w:pPr>
        <w:pStyle w:val="TableTitle"/>
      </w:pPr>
      <w:bookmarkStart w:id="107" w:name="_Ref129955259"/>
      <w:r w:rsidRPr="00227392">
        <w:t xml:space="preserve">Table </w:t>
      </w:r>
      <w:r w:rsidR="00172397">
        <w:fldChar w:fldCharType="begin"/>
      </w:r>
      <w:r w:rsidR="00172397">
        <w:instrText xml:space="preserve"> SEQ Table \* ARABIC </w:instrText>
      </w:r>
      <w:r w:rsidR="00172397">
        <w:fldChar w:fldCharType="separate"/>
      </w:r>
      <w:r w:rsidR="00B54079">
        <w:rPr>
          <w:noProof/>
        </w:rPr>
        <w:t>30</w:t>
      </w:r>
      <w:r w:rsidR="00172397">
        <w:rPr>
          <w:noProof/>
        </w:rPr>
        <w:fldChar w:fldCharType="end"/>
      </w:r>
      <w:bookmarkEnd w:id="107"/>
      <w:r w:rsidRPr="00227392">
        <w:t>:</w:t>
      </w:r>
      <w:r w:rsidR="00227392">
        <w:t xml:space="preserve"> Study PS009 </w:t>
      </w:r>
      <w:r w:rsidR="00227392" w:rsidRPr="00227392">
        <w:t>PASI90 response rates at Week 16</w:t>
      </w:r>
    </w:p>
    <w:tbl>
      <w:tblPr>
        <w:tblStyle w:val="TableTGAblack"/>
        <w:tblW w:w="5000" w:type="pct"/>
        <w:tblLook w:val="0000" w:firstRow="0" w:lastRow="0" w:firstColumn="0" w:lastColumn="0" w:noHBand="0" w:noVBand="0"/>
      </w:tblPr>
      <w:tblGrid>
        <w:gridCol w:w="2652"/>
        <w:gridCol w:w="1602"/>
        <w:gridCol w:w="2122"/>
        <w:gridCol w:w="2118"/>
      </w:tblGrid>
      <w:tr w:rsidR="008A3252" w14:paraId="1818ECD3" w14:textId="77777777" w:rsidTr="006D2B99">
        <w:trPr>
          <w:trHeight w:val="571"/>
        </w:trPr>
        <w:tc>
          <w:tcPr>
            <w:tcW w:w="1561" w:type="pct"/>
          </w:tcPr>
          <w:p w14:paraId="4387B836" w14:textId="708C65F9" w:rsidR="008A3252" w:rsidRDefault="008A3252" w:rsidP="009B153D">
            <w:pPr>
              <w:pStyle w:val="Style"/>
              <w:spacing w:before="0"/>
              <w:ind w:left="0" w:right="0"/>
              <w:textAlignment w:val="baseline"/>
            </w:pPr>
            <w:r>
              <w:rPr>
                <w:sz w:val="31"/>
                <w:szCs w:val="31"/>
              </w:rPr>
              <w:t xml:space="preserve"> </w:t>
            </w:r>
          </w:p>
        </w:tc>
        <w:tc>
          <w:tcPr>
            <w:tcW w:w="943" w:type="pct"/>
          </w:tcPr>
          <w:p w14:paraId="0F11E5BB" w14:textId="77777777" w:rsidR="008A3252" w:rsidRDefault="008A3252" w:rsidP="009B153D">
            <w:pPr>
              <w:pStyle w:val="Style"/>
              <w:ind w:left="19"/>
              <w:jc w:val="center"/>
              <w:textAlignment w:val="baseline"/>
            </w:pPr>
            <w:r>
              <w:rPr>
                <w:b/>
                <w:sz w:val="21"/>
                <w:szCs w:val="21"/>
              </w:rPr>
              <w:t xml:space="preserve">PBO </w:t>
            </w:r>
          </w:p>
          <w:p w14:paraId="48B2CD21" w14:textId="518D4CCE" w:rsidR="008A3252" w:rsidRDefault="001D2CFA" w:rsidP="009B153D">
            <w:pPr>
              <w:pStyle w:val="Style"/>
              <w:spacing w:before="0"/>
              <w:ind w:left="19" w:right="0"/>
              <w:jc w:val="center"/>
              <w:textAlignment w:val="baseline"/>
            </w:pPr>
            <w:r>
              <w:rPr>
                <w:b/>
                <w:sz w:val="21"/>
                <w:szCs w:val="21"/>
              </w:rPr>
              <w:t xml:space="preserve">N = </w:t>
            </w:r>
            <w:r w:rsidR="008A3252">
              <w:rPr>
                <w:b/>
                <w:sz w:val="21"/>
                <w:szCs w:val="21"/>
              </w:rPr>
              <w:t xml:space="preserve">83 </w:t>
            </w:r>
          </w:p>
        </w:tc>
        <w:tc>
          <w:tcPr>
            <w:tcW w:w="1249" w:type="pct"/>
          </w:tcPr>
          <w:p w14:paraId="494BDDDF" w14:textId="10ED2A09" w:rsidR="008A3252" w:rsidRDefault="008A3252" w:rsidP="009B153D">
            <w:pPr>
              <w:pStyle w:val="Style"/>
              <w:ind w:left="19"/>
              <w:jc w:val="center"/>
              <w:textAlignment w:val="baseline"/>
            </w:pPr>
            <w:r>
              <w:rPr>
                <w:b/>
                <w:sz w:val="21"/>
                <w:szCs w:val="21"/>
              </w:rPr>
              <w:t xml:space="preserve">BKZ </w:t>
            </w:r>
            <w:r w:rsidR="001D2CFA">
              <w:rPr>
                <w:b/>
                <w:sz w:val="21"/>
                <w:szCs w:val="21"/>
              </w:rPr>
              <w:t>320 mg</w:t>
            </w:r>
            <w:r>
              <w:rPr>
                <w:b/>
                <w:sz w:val="21"/>
                <w:szCs w:val="21"/>
              </w:rPr>
              <w:t xml:space="preserve"> </w:t>
            </w:r>
            <w:r w:rsidR="00F23C97">
              <w:rPr>
                <w:b/>
                <w:sz w:val="21"/>
                <w:szCs w:val="21"/>
              </w:rPr>
              <w:t>every 4 weeks</w:t>
            </w:r>
            <w:r>
              <w:rPr>
                <w:b/>
                <w:sz w:val="21"/>
                <w:szCs w:val="21"/>
              </w:rPr>
              <w:t xml:space="preserve"> </w:t>
            </w:r>
          </w:p>
          <w:p w14:paraId="0E7438D8" w14:textId="0314F1A8" w:rsidR="008A3252" w:rsidRDefault="001D2CFA" w:rsidP="009B153D">
            <w:pPr>
              <w:pStyle w:val="Style"/>
              <w:spacing w:before="0"/>
              <w:ind w:left="19" w:right="0"/>
              <w:jc w:val="center"/>
              <w:textAlignment w:val="baseline"/>
            </w:pPr>
            <w:r>
              <w:rPr>
                <w:b/>
                <w:sz w:val="21"/>
                <w:szCs w:val="21"/>
              </w:rPr>
              <w:t xml:space="preserve">N = </w:t>
            </w:r>
            <w:r w:rsidR="008A3252">
              <w:rPr>
                <w:b/>
                <w:sz w:val="21"/>
                <w:szCs w:val="21"/>
              </w:rPr>
              <w:t xml:space="preserve">321 </w:t>
            </w:r>
          </w:p>
        </w:tc>
        <w:tc>
          <w:tcPr>
            <w:tcW w:w="1247" w:type="pct"/>
          </w:tcPr>
          <w:p w14:paraId="5B7C2BE6" w14:textId="77777777" w:rsidR="008A3252" w:rsidRDefault="008A3252" w:rsidP="009B153D">
            <w:pPr>
              <w:pStyle w:val="Style"/>
              <w:ind w:left="34"/>
              <w:jc w:val="center"/>
              <w:textAlignment w:val="baseline"/>
            </w:pPr>
            <w:proofErr w:type="spellStart"/>
            <w:r>
              <w:rPr>
                <w:b/>
                <w:sz w:val="21"/>
                <w:szCs w:val="21"/>
              </w:rPr>
              <w:t>Uste</w:t>
            </w:r>
            <w:proofErr w:type="spellEnd"/>
            <w:r>
              <w:rPr>
                <w:b/>
                <w:sz w:val="21"/>
                <w:szCs w:val="21"/>
              </w:rPr>
              <w:t xml:space="preserve"> </w:t>
            </w:r>
          </w:p>
          <w:p w14:paraId="1BB55F62" w14:textId="44F46342" w:rsidR="008A3252" w:rsidRDefault="001D2CFA" w:rsidP="009B153D">
            <w:pPr>
              <w:pStyle w:val="Style"/>
              <w:spacing w:before="0"/>
              <w:ind w:left="34" w:right="0"/>
              <w:jc w:val="center"/>
              <w:textAlignment w:val="baseline"/>
            </w:pPr>
            <w:r>
              <w:rPr>
                <w:b/>
                <w:sz w:val="21"/>
                <w:szCs w:val="21"/>
              </w:rPr>
              <w:t xml:space="preserve">N = </w:t>
            </w:r>
            <w:r w:rsidR="008A3252">
              <w:rPr>
                <w:b/>
                <w:sz w:val="21"/>
                <w:szCs w:val="21"/>
              </w:rPr>
              <w:t xml:space="preserve">163 </w:t>
            </w:r>
          </w:p>
        </w:tc>
      </w:tr>
      <w:tr w:rsidR="008A3252" w14:paraId="4FBBB2CF" w14:textId="77777777" w:rsidTr="006D2B99">
        <w:trPr>
          <w:trHeight w:hRule="exact" w:val="379"/>
        </w:trPr>
        <w:tc>
          <w:tcPr>
            <w:tcW w:w="5000" w:type="pct"/>
            <w:gridSpan w:val="4"/>
          </w:tcPr>
          <w:p w14:paraId="5371CC69" w14:textId="7F5A5A23" w:rsidR="008A3252" w:rsidRDefault="008A3252" w:rsidP="008A3252">
            <w:pPr>
              <w:pStyle w:val="Style"/>
              <w:ind w:left="120"/>
              <w:textAlignment w:val="baseline"/>
            </w:pPr>
            <w:r>
              <w:rPr>
                <w:sz w:val="20"/>
                <w:szCs w:val="20"/>
              </w:rPr>
              <w:t>PASI 90 response rate</w:t>
            </w:r>
          </w:p>
        </w:tc>
      </w:tr>
      <w:tr w:rsidR="008A3252" w14:paraId="16848B25" w14:textId="77777777" w:rsidTr="006D2B99">
        <w:trPr>
          <w:trHeight w:hRule="exact" w:val="394"/>
        </w:trPr>
        <w:tc>
          <w:tcPr>
            <w:tcW w:w="1561" w:type="pct"/>
          </w:tcPr>
          <w:p w14:paraId="6EC780CB" w14:textId="77777777" w:rsidR="008A3252" w:rsidRDefault="008A3252" w:rsidP="009B153D">
            <w:pPr>
              <w:pStyle w:val="Style"/>
              <w:ind w:left="389"/>
              <w:textAlignment w:val="baseline"/>
            </w:pPr>
            <w:r>
              <w:rPr>
                <w:sz w:val="20"/>
                <w:szCs w:val="20"/>
              </w:rPr>
              <w:t xml:space="preserve">n (%) </w:t>
            </w:r>
          </w:p>
        </w:tc>
        <w:tc>
          <w:tcPr>
            <w:tcW w:w="943" w:type="pct"/>
          </w:tcPr>
          <w:p w14:paraId="76A4E487" w14:textId="77777777" w:rsidR="008A3252" w:rsidRDefault="008A3252" w:rsidP="009B153D">
            <w:pPr>
              <w:pStyle w:val="Style"/>
              <w:ind w:left="19"/>
              <w:jc w:val="center"/>
              <w:textAlignment w:val="baseline"/>
            </w:pPr>
            <w:r>
              <w:rPr>
                <w:sz w:val="20"/>
                <w:szCs w:val="20"/>
              </w:rPr>
              <w:t xml:space="preserve">4 (4.8) </w:t>
            </w:r>
          </w:p>
        </w:tc>
        <w:tc>
          <w:tcPr>
            <w:tcW w:w="1249" w:type="pct"/>
          </w:tcPr>
          <w:p w14:paraId="2EE007C1" w14:textId="77777777" w:rsidR="008A3252" w:rsidRDefault="008A3252" w:rsidP="009B153D">
            <w:pPr>
              <w:pStyle w:val="Style"/>
              <w:ind w:left="19"/>
              <w:jc w:val="center"/>
              <w:textAlignment w:val="baseline"/>
            </w:pPr>
            <w:r>
              <w:rPr>
                <w:sz w:val="20"/>
                <w:szCs w:val="20"/>
              </w:rPr>
              <w:t xml:space="preserve">273 (85.0) </w:t>
            </w:r>
          </w:p>
        </w:tc>
        <w:tc>
          <w:tcPr>
            <w:tcW w:w="1247" w:type="pct"/>
          </w:tcPr>
          <w:p w14:paraId="63964290" w14:textId="77777777" w:rsidR="008A3252" w:rsidRDefault="008A3252" w:rsidP="009B153D">
            <w:pPr>
              <w:pStyle w:val="Style"/>
              <w:ind w:left="34"/>
              <w:jc w:val="center"/>
              <w:textAlignment w:val="baseline"/>
            </w:pPr>
            <w:r>
              <w:rPr>
                <w:sz w:val="20"/>
                <w:szCs w:val="20"/>
              </w:rPr>
              <w:t xml:space="preserve">81 (49.7) </w:t>
            </w:r>
          </w:p>
        </w:tc>
      </w:tr>
      <w:tr w:rsidR="008A3252" w14:paraId="367B126B" w14:textId="77777777" w:rsidTr="006D2B99">
        <w:trPr>
          <w:trHeight w:hRule="exact" w:val="384"/>
        </w:trPr>
        <w:tc>
          <w:tcPr>
            <w:tcW w:w="1561" w:type="pct"/>
          </w:tcPr>
          <w:p w14:paraId="75DAD571" w14:textId="77777777" w:rsidR="008A3252" w:rsidRDefault="008A3252" w:rsidP="009B153D">
            <w:pPr>
              <w:pStyle w:val="Style"/>
              <w:ind w:left="389"/>
              <w:textAlignment w:val="baseline"/>
            </w:pPr>
            <w:r>
              <w:rPr>
                <w:sz w:val="20"/>
                <w:szCs w:val="20"/>
              </w:rPr>
              <w:t>n/</w:t>
            </w:r>
            <w:proofErr w:type="spellStart"/>
            <w:r>
              <w:rPr>
                <w:sz w:val="20"/>
                <w:szCs w:val="20"/>
              </w:rPr>
              <w:t>Nsub</w:t>
            </w:r>
            <w:proofErr w:type="spellEnd"/>
            <w:r>
              <w:rPr>
                <w:sz w:val="20"/>
                <w:szCs w:val="20"/>
              </w:rPr>
              <w:t xml:space="preserve"> (%) </w:t>
            </w:r>
          </w:p>
        </w:tc>
        <w:tc>
          <w:tcPr>
            <w:tcW w:w="943" w:type="pct"/>
          </w:tcPr>
          <w:p w14:paraId="673B496F" w14:textId="77777777" w:rsidR="008A3252" w:rsidRDefault="008A3252" w:rsidP="009B153D">
            <w:pPr>
              <w:pStyle w:val="Style"/>
              <w:ind w:left="19"/>
              <w:jc w:val="center"/>
              <w:textAlignment w:val="baseline"/>
            </w:pPr>
            <w:r>
              <w:rPr>
                <w:sz w:val="20"/>
                <w:szCs w:val="20"/>
              </w:rPr>
              <w:t xml:space="preserve">4/76 (5.3) </w:t>
            </w:r>
          </w:p>
        </w:tc>
        <w:tc>
          <w:tcPr>
            <w:tcW w:w="1249" w:type="pct"/>
          </w:tcPr>
          <w:p w14:paraId="687D0B0D" w14:textId="77777777" w:rsidR="008A3252" w:rsidRDefault="008A3252" w:rsidP="009B153D">
            <w:pPr>
              <w:pStyle w:val="Style"/>
              <w:ind w:left="19"/>
              <w:jc w:val="center"/>
              <w:textAlignment w:val="baseline"/>
            </w:pPr>
            <w:r>
              <w:rPr>
                <w:sz w:val="20"/>
                <w:szCs w:val="20"/>
              </w:rPr>
              <w:t xml:space="preserve">273/307 (88.9) </w:t>
            </w:r>
          </w:p>
        </w:tc>
        <w:tc>
          <w:tcPr>
            <w:tcW w:w="1247" w:type="pct"/>
          </w:tcPr>
          <w:p w14:paraId="201DE8DC" w14:textId="77777777" w:rsidR="008A3252" w:rsidRDefault="008A3252" w:rsidP="009B153D">
            <w:pPr>
              <w:pStyle w:val="Style"/>
              <w:ind w:left="34"/>
              <w:jc w:val="center"/>
              <w:textAlignment w:val="baseline"/>
            </w:pPr>
            <w:r>
              <w:rPr>
                <w:sz w:val="20"/>
                <w:szCs w:val="20"/>
              </w:rPr>
              <w:t xml:space="preserve">81/155 (52.3) </w:t>
            </w:r>
          </w:p>
        </w:tc>
      </w:tr>
      <w:tr w:rsidR="008A3252" w14:paraId="02A265B4" w14:textId="77777777" w:rsidTr="006D2B99">
        <w:trPr>
          <w:trHeight w:hRule="exact" w:val="394"/>
        </w:trPr>
        <w:tc>
          <w:tcPr>
            <w:tcW w:w="1561" w:type="pct"/>
          </w:tcPr>
          <w:p w14:paraId="2A7E6C30" w14:textId="4CC884EE" w:rsidR="008A3252" w:rsidRDefault="008A3252" w:rsidP="009B153D">
            <w:pPr>
              <w:pStyle w:val="Style"/>
              <w:ind w:left="120"/>
              <w:textAlignment w:val="baseline"/>
            </w:pPr>
            <w:r>
              <w:rPr>
                <w:sz w:val="20"/>
                <w:szCs w:val="20"/>
              </w:rPr>
              <w:t xml:space="preserve">Odds ratio </w:t>
            </w:r>
            <w:r w:rsidR="004858E7">
              <w:rPr>
                <w:sz w:val="20"/>
                <w:szCs w:val="20"/>
              </w:rPr>
              <w:t>versus</w:t>
            </w:r>
            <w:r>
              <w:rPr>
                <w:sz w:val="20"/>
                <w:szCs w:val="20"/>
              </w:rPr>
              <w:t xml:space="preserve"> PBO </w:t>
            </w:r>
            <w:r>
              <w:rPr>
                <w:w w:val="107"/>
                <w:sz w:val="12"/>
                <w:szCs w:val="12"/>
              </w:rPr>
              <w:t xml:space="preserve">a </w:t>
            </w:r>
          </w:p>
        </w:tc>
        <w:tc>
          <w:tcPr>
            <w:tcW w:w="943" w:type="pct"/>
          </w:tcPr>
          <w:p w14:paraId="4F0934B2" w14:textId="77777777" w:rsidR="008A3252" w:rsidRDefault="008A3252" w:rsidP="009B153D">
            <w:pPr>
              <w:pStyle w:val="Style"/>
              <w:ind w:left="19"/>
              <w:jc w:val="center"/>
              <w:textAlignment w:val="baseline"/>
            </w:pPr>
            <w:r>
              <w:rPr>
                <w:w w:val="110"/>
                <w:sz w:val="18"/>
                <w:szCs w:val="18"/>
              </w:rPr>
              <w:t xml:space="preserve">- </w:t>
            </w:r>
          </w:p>
        </w:tc>
        <w:tc>
          <w:tcPr>
            <w:tcW w:w="1249" w:type="pct"/>
          </w:tcPr>
          <w:p w14:paraId="2F37608A" w14:textId="77777777" w:rsidR="008A3252" w:rsidRDefault="008A3252" w:rsidP="009B153D">
            <w:pPr>
              <w:pStyle w:val="Style"/>
              <w:ind w:left="19"/>
              <w:jc w:val="center"/>
              <w:textAlignment w:val="baseline"/>
            </w:pPr>
            <w:r>
              <w:rPr>
                <w:sz w:val="20"/>
                <w:szCs w:val="20"/>
              </w:rPr>
              <w:t xml:space="preserve">99.869 </w:t>
            </w:r>
          </w:p>
        </w:tc>
        <w:tc>
          <w:tcPr>
            <w:tcW w:w="1247" w:type="pct"/>
          </w:tcPr>
          <w:p w14:paraId="7A7F59BB" w14:textId="77777777" w:rsidR="008A3252" w:rsidRDefault="008A3252" w:rsidP="009B153D">
            <w:pPr>
              <w:pStyle w:val="Style"/>
              <w:ind w:left="34"/>
              <w:jc w:val="center"/>
              <w:textAlignment w:val="baseline"/>
            </w:pPr>
            <w:r>
              <w:rPr>
                <w:w w:val="110"/>
                <w:sz w:val="18"/>
                <w:szCs w:val="18"/>
              </w:rPr>
              <w:t xml:space="preserve">- </w:t>
            </w:r>
          </w:p>
        </w:tc>
      </w:tr>
      <w:tr w:rsidR="008A3252" w14:paraId="7C25DEA5" w14:textId="77777777" w:rsidTr="006D2B99">
        <w:trPr>
          <w:trHeight w:hRule="exact" w:val="384"/>
        </w:trPr>
        <w:tc>
          <w:tcPr>
            <w:tcW w:w="1561" w:type="pct"/>
          </w:tcPr>
          <w:p w14:paraId="2B246D27" w14:textId="77777777" w:rsidR="008A3252" w:rsidRDefault="008A3252" w:rsidP="009B153D">
            <w:pPr>
              <w:pStyle w:val="Style"/>
              <w:ind w:left="389"/>
              <w:textAlignment w:val="baseline"/>
            </w:pPr>
            <w:r>
              <w:rPr>
                <w:sz w:val="20"/>
                <w:szCs w:val="20"/>
              </w:rPr>
              <w:t xml:space="preserve">95% CI for odds ratio </w:t>
            </w:r>
          </w:p>
        </w:tc>
        <w:tc>
          <w:tcPr>
            <w:tcW w:w="943" w:type="pct"/>
          </w:tcPr>
          <w:p w14:paraId="2F7C44F1" w14:textId="77777777" w:rsidR="008A3252" w:rsidRDefault="008A3252" w:rsidP="009B153D">
            <w:pPr>
              <w:pStyle w:val="Style"/>
              <w:ind w:left="19"/>
              <w:jc w:val="center"/>
              <w:textAlignment w:val="baseline"/>
            </w:pPr>
            <w:r>
              <w:rPr>
                <w:w w:val="110"/>
                <w:sz w:val="18"/>
                <w:szCs w:val="18"/>
              </w:rPr>
              <w:t xml:space="preserve">- </w:t>
            </w:r>
          </w:p>
        </w:tc>
        <w:tc>
          <w:tcPr>
            <w:tcW w:w="1249" w:type="pct"/>
          </w:tcPr>
          <w:p w14:paraId="4D6D9EE0" w14:textId="77777777" w:rsidR="008A3252" w:rsidRDefault="008A3252" w:rsidP="009B153D">
            <w:pPr>
              <w:pStyle w:val="Style"/>
              <w:ind w:left="19"/>
              <w:jc w:val="center"/>
              <w:textAlignment w:val="baseline"/>
            </w:pPr>
            <w:r>
              <w:rPr>
                <w:sz w:val="20"/>
                <w:szCs w:val="20"/>
              </w:rPr>
              <w:t xml:space="preserve">34.020, 293.175 </w:t>
            </w:r>
          </w:p>
        </w:tc>
        <w:tc>
          <w:tcPr>
            <w:tcW w:w="1247" w:type="pct"/>
          </w:tcPr>
          <w:p w14:paraId="0174E29A" w14:textId="77777777" w:rsidR="008A3252" w:rsidRDefault="008A3252" w:rsidP="009B153D">
            <w:pPr>
              <w:pStyle w:val="Style"/>
              <w:ind w:left="34"/>
              <w:jc w:val="center"/>
              <w:textAlignment w:val="baseline"/>
            </w:pPr>
            <w:r>
              <w:rPr>
                <w:w w:val="110"/>
                <w:sz w:val="18"/>
                <w:szCs w:val="18"/>
              </w:rPr>
              <w:t xml:space="preserve">- </w:t>
            </w:r>
          </w:p>
        </w:tc>
      </w:tr>
      <w:tr w:rsidR="008A3252" w14:paraId="49CDD9E1" w14:textId="77777777" w:rsidTr="006D2B99">
        <w:trPr>
          <w:trHeight w:hRule="exact" w:val="394"/>
        </w:trPr>
        <w:tc>
          <w:tcPr>
            <w:tcW w:w="1561" w:type="pct"/>
          </w:tcPr>
          <w:p w14:paraId="53DB62B1" w14:textId="77777777" w:rsidR="008A3252" w:rsidRDefault="008A3252" w:rsidP="009B153D">
            <w:pPr>
              <w:pStyle w:val="Style"/>
              <w:ind w:left="389"/>
              <w:textAlignment w:val="baseline"/>
            </w:pPr>
            <w:r>
              <w:rPr>
                <w:sz w:val="20"/>
                <w:szCs w:val="20"/>
              </w:rPr>
              <w:t xml:space="preserve">p-value </w:t>
            </w:r>
            <w:r>
              <w:rPr>
                <w:rFonts w:ascii="Arial" w:eastAsia="Arial" w:hAnsi="Arial" w:cs="Arial"/>
                <w:sz w:val="12"/>
                <w:szCs w:val="12"/>
              </w:rPr>
              <w:t xml:space="preserve">b </w:t>
            </w:r>
          </w:p>
        </w:tc>
        <w:tc>
          <w:tcPr>
            <w:tcW w:w="943" w:type="pct"/>
          </w:tcPr>
          <w:p w14:paraId="22660455" w14:textId="77777777" w:rsidR="008A3252" w:rsidRDefault="008A3252" w:rsidP="009B153D">
            <w:pPr>
              <w:pStyle w:val="Style"/>
              <w:ind w:left="19"/>
              <w:jc w:val="center"/>
              <w:textAlignment w:val="baseline"/>
            </w:pPr>
            <w:r>
              <w:rPr>
                <w:w w:val="110"/>
                <w:sz w:val="18"/>
                <w:szCs w:val="18"/>
              </w:rPr>
              <w:t xml:space="preserve">- </w:t>
            </w:r>
          </w:p>
        </w:tc>
        <w:tc>
          <w:tcPr>
            <w:tcW w:w="1249" w:type="pct"/>
          </w:tcPr>
          <w:p w14:paraId="3EC0F729" w14:textId="77777777" w:rsidR="008A3252" w:rsidRDefault="008A3252" w:rsidP="009B153D">
            <w:pPr>
              <w:pStyle w:val="Style"/>
              <w:ind w:left="19"/>
              <w:jc w:val="center"/>
              <w:textAlignment w:val="baseline"/>
            </w:pPr>
            <w:r>
              <w:rPr>
                <w:sz w:val="20"/>
                <w:szCs w:val="20"/>
              </w:rPr>
              <w:t xml:space="preserve">&lt;0.001 </w:t>
            </w:r>
          </w:p>
        </w:tc>
        <w:tc>
          <w:tcPr>
            <w:tcW w:w="1247" w:type="pct"/>
          </w:tcPr>
          <w:p w14:paraId="0BD6C846" w14:textId="77777777" w:rsidR="008A3252" w:rsidRDefault="008A3252" w:rsidP="009B153D">
            <w:pPr>
              <w:pStyle w:val="Style"/>
              <w:ind w:left="34"/>
              <w:jc w:val="center"/>
              <w:textAlignment w:val="baseline"/>
            </w:pPr>
            <w:r>
              <w:rPr>
                <w:w w:val="110"/>
                <w:sz w:val="18"/>
                <w:szCs w:val="18"/>
              </w:rPr>
              <w:t xml:space="preserve">- </w:t>
            </w:r>
          </w:p>
        </w:tc>
      </w:tr>
      <w:tr w:rsidR="008A3252" w14:paraId="3BA65D5A" w14:textId="77777777" w:rsidTr="006D2B99">
        <w:trPr>
          <w:trHeight w:hRule="exact" w:val="384"/>
        </w:trPr>
        <w:tc>
          <w:tcPr>
            <w:tcW w:w="1561" w:type="pct"/>
          </w:tcPr>
          <w:p w14:paraId="792C6C45" w14:textId="7EC3AD2D" w:rsidR="008A3252" w:rsidRDefault="008A3252" w:rsidP="009B153D">
            <w:pPr>
              <w:pStyle w:val="Style"/>
              <w:ind w:left="120"/>
              <w:textAlignment w:val="baseline"/>
            </w:pPr>
            <w:r>
              <w:rPr>
                <w:sz w:val="20"/>
                <w:szCs w:val="20"/>
              </w:rPr>
              <w:t xml:space="preserve">Odds ratio </w:t>
            </w:r>
            <w:r w:rsidR="004858E7">
              <w:rPr>
                <w:sz w:val="20"/>
                <w:szCs w:val="20"/>
              </w:rPr>
              <w:t>versus</w:t>
            </w:r>
            <w:r>
              <w:rPr>
                <w:sz w:val="20"/>
                <w:szCs w:val="20"/>
              </w:rPr>
              <w:t xml:space="preserve"> </w:t>
            </w:r>
            <w:proofErr w:type="spellStart"/>
            <w:r>
              <w:rPr>
                <w:sz w:val="20"/>
                <w:szCs w:val="20"/>
              </w:rPr>
              <w:t>Uste</w:t>
            </w:r>
            <w:proofErr w:type="spellEnd"/>
            <w:r>
              <w:rPr>
                <w:sz w:val="20"/>
                <w:szCs w:val="20"/>
              </w:rPr>
              <w:t xml:space="preserve"> </w:t>
            </w:r>
            <w:r>
              <w:rPr>
                <w:w w:val="107"/>
                <w:sz w:val="12"/>
                <w:szCs w:val="12"/>
              </w:rPr>
              <w:t xml:space="preserve">a </w:t>
            </w:r>
          </w:p>
        </w:tc>
        <w:tc>
          <w:tcPr>
            <w:tcW w:w="943" w:type="pct"/>
          </w:tcPr>
          <w:p w14:paraId="3842839C" w14:textId="77777777" w:rsidR="008A3252" w:rsidRDefault="008A3252" w:rsidP="009B153D">
            <w:pPr>
              <w:pStyle w:val="Style"/>
              <w:ind w:left="19"/>
              <w:jc w:val="center"/>
              <w:textAlignment w:val="baseline"/>
            </w:pPr>
            <w:r>
              <w:rPr>
                <w:w w:val="110"/>
                <w:sz w:val="18"/>
                <w:szCs w:val="18"/>
              </w:rPr>
              <w:t xml:space="preserve">- </w:t>
            </w:r>
          </w:p>
        </w:tc>
        <w:tc>
          <w:tcPr>
            <w:tcW w:w="1249" w:type="pct"/>
          </w:tcPr>
          <w:p w14:paraId="6ABFCAEA" w14:textId="77777777" w:rsidR="008A3252" w:rsidRDefault="008A3252" w:rsidP="009B153D">
            <w:pPr>
              <w:pStyle w:val="Style"/>
              <w:ind w:left="19"/>
              <w:jc w:val="center"/>
              <w:textAlignment w:val="baseline"/>
            </w:pPr>
            <w:r>
              <w:rPr>
                <w:sz w:val="20"/>
                <w:szCs w:val="20"/>
              </w:rPr>
              <w:t xml:space="preserve">6.056 </w:t>
            </w:r>
          </w:p>
        </w:tc>
        <w:tc>
          <w:tcPr>
            <w:tcW w:w="1247" w:type="pct"/>
          </w:tcPr>
          <w:p w14:paraId="5AD86BA4" w14:textId="77777777" w:rsidR="008A3252" w:rsidRDefault="008A3252" w:rsidP="009B153D">
            <w:pPr>
              <w:pStyle w:val="Style"/>
              <w:ind w:left="34"/>
              <w:jc w:val="center"/>
              <w:textAlignment w:val="baseline"/>
            </w:pPr>
            <w:r>
              <w:rPr>
                <w:w w:val="110"/>
                <w:sz w:val="18"/>
                <w:szCs w:val="18"/>
              </w:rPr>
              <w:t xml:space="preserve">- </w:t>
            </w:r>
          </w:p>
        </w:tc>
      </w:tr>
      <w:tr w:rsidR="008A3252" w14:paraId="2AB6C2D0" w14:textId="77777777" w:rsidTr="006D2B99">
        <w:trPr>
          <w:trHeight w:hRule="exact" w:val="384"/>
        </w:trPr>
        <w:tc>
          <w:tcPr>
            <w:tcW w:w="1561" w:type="pct"/>
          </w:tcPr>
          <w:p w14:paraId="78581950" w14:textId="77777777" w:rsidR="008A3252" w:rsidRDefault="008A3252" w:rsidP="009B153D">
            <w:pPr>
              <w:pStyle w:val="Style"/>
              <w:ind w:left="389"/>
              <w:textAlignment w:val="baseline"/>
            </w:pPr>
            <w:r>
              <w:rPr>
                <w:sz w:val="20"/>
                <w:szCs w:val="20"/>
              </w:rPr>
              <w:t xml:space="preserve">95% CI for odds ratio </w:t>
            </w:r>
          </w:p>
        </w:tc>
        <w:tc>
          <w:tcPr>
            <w:tcW w:w="943" w:type="pct"/>
          </w:tcPr>
          <w:p w14:paraId="66D0072C" w14:textId="77777777" w:rsidR="008A3252" w:rsidRDefault="008A3252" w:rsidP="009B153D">
            <w:pPr>
              <w:pStyle w:val="Style"/>
              <w:ind w:left="19"/>
              <w:jc w:val="center"/>
              <w:textAlignment w:val="baseline"/>
            </w:pPr>
            <w:r>
              <w:rPr>
                <w:w w:val="110"/>
                <w:sz w:val="18"/>
                <w:szCs w:val="18"/>
              </w:rPr>
              <w:t xml:space="preserve">- </w:t>
            </w:r>
          </w:p>
        </w:tc>
        <w:tc>
          <w:tcPr>
            <w:tcW w:w="1249" w:type="pct"/>
          </w:tcPr>
          <w:p w14:paraId="55B01F97" w14:textId="77777777" w:rsidR="008A3252" w:rsidRDefault="008A3252" w:rsidP="009B153D">
            <w:pPr>
              <w:pStyle w:val="Style"/>
              <w:ind w:left="19"/>
              <w:jc w:val="center"/>
              <w:textAlignment w:val="baseline"/>
            </w:pPr>
            <w:r>
              <w:rPr>
                <w:sz w:val="20"/>
                <w:szCs w:val="20"/>
              </w:rPr>
              <w:t xml:space="preserve">3.874, 9.466 </w:t>
            </w:r>
          </w:p>
        </w:tc>
        <w:tc>
          <w:tcPr>
            <w:tcW w:w="1247" w:type="pct"/>
          </w:tcPr>
          <w:p w14:paraId="60B8C051" w14:textId="77777777" w:rsidR="008A3252" w:rsidRDefault="008A3252" w:rsidP="009B153D">
            <w:pPr>
              <w:pStyle w:val="Style"/>
              <w:ind w:left="34"/>
              <w:jc w:val="center"/>
              <w:textAlignment w:val="baseline"/>
            </w:pPr>
            <w:r>
              <w:rPr>
                <w:w w:val="110"/>
                <w:sz w:val="18"/>
                <w:szCs w:val="18"/>
              </w:rPr>
              <w:t xml:space="preserve">- </w:t>
            </w:r>
          </w:p>
        </w:tc>
      </w:tr>
      <w:tr w:rsidR="008A3252" w14:paraId="714E7408" w14:textId="77777777" w:rsidTr="006D2B99">
        <w:trPr>
          <w:trHeight w:hRule="exact" w:val="384"/>
        </w:trPr>
        <w:tc>
          <w:tcPr>
            <w:tcW w:w="1561" w:type="pct"/>
          </w:tcPr>
          <w:p w14:paraId="405C61CE" w14:textId="77777777" w:rsidR="008A3252" w:rsidRDefault="008A3252" w:rsidP="009B153D">
            <w:pPr>
              <w:pStyle w:val="Style"/>
              <w:ind w:left="389"/>
              <w:textAlignment w:val="baseline"/>
            </w:pPr>
            <w:r>
              <w:rPr>
                <w:sz w:val="20"/>
                <w:szCs w:val="20"/>
              </w:rPr>
              <w:t xml:space="preserve">p-value </w:t>
            </w:r>
            <w:r>
              <w:rPr>
                <w:rFonts w:ascii="Arial" w:eastAsia="Arial" w:hAnsi="Arial" w:cs="Arial"/>
                <w:sz w:val="12"/>
                <w:szCs w:val="12"/>
              </w:rPr>
              <w:t xml:space="preserve">b </w:t>
            </w:r>
          </w:p>
        </w:tc>
        <w:tc>
          <w:tcPr>
            <w:tcW w:w="943" w:type="pct"/>
          </w:tcPr>
          <w:p w14:paraId="3320F72D" w14:textId="77777777" w:rsidR="008A3252" w:rsidRDefault="008A3252" w:rsidP="009B153D">
            <w:pPr>
              <w:pStyle w:val="Style"/>
              <w:ind w:left="19"/>
              <w:jc w:val="center"/>
              <w:textAlignment w:val="baseline"/>
            </w:pPr>
            <w:r>
              <w:rPr>
                <w:w w:val="110"/>
                <w:sz w:val="18"/>
                <w:szCs w:val="18"/>
              </w:rPr>
              <w:t xml:space="preserve">- </w:t>
            </w:r>
          </w:p>
        </w:tc>
        <w:tc>
          <w:tcPr>
            <w:tcW w:w="1249" w:type="pct"/>
          </w:tcPr>
          <w:p w14:paraId="12B73CF0" w14:textId="77777777" w:rsidR="008A3252" w:rsidRDefault="008A3252" w:rsidP="009B153D">
            <w:pPr>
              <w:pStyle w:val="Style"/>
              <w:ind w:left="19"/>
              <w:jc w:val="center"/>
              <w:textAlignment w:val="baseline"/>
            </w:pPr>
            <w:r>
              <w:rPr>
                <w:sz w:val="20"/>
                <w:szCs w:val="20"/>
              </w:rPr>
              <w:t xml:space="preserve">&lt;0.001 </w:t>
            </w:r>
          </w:p>
        </w:tc>
        <w:tc>
          <w:tcPr>
            <w:tcW w:w="1247" w:type="pct"/>
          </w:tcPr>
          <w:p w14:paraId="1AA97086" w14:textId="77777777" w:rsidR="008A3252" w:rsidRDefault="008A3252" w:rsidP="009B153D">
            <w:pPr>
              <w:pStyle w:val="Style"/>
              <w:ind w:left="34"/>
              <w:jc w:val="center"/>
              <w:textAlignment w:val="baseline"/>
            </w:pPr>
            <w:r>
              <w:rPr>
                <w:w w:val="110"/>
                <w:sz w:val="18"/>
                <w:szCs w:val="18"/>
              </w:rPr>
              <w:t xml:space="preserve">- </w:t>
            </w:r>
          </w:p>
        </w:tc>
      </w:tr>
      <w:tr w:rsidR="008A3252" w14:paraId="2BC84221" w14:textId="77777777" w:rsidTr="006D2B99">
        <w:trPr>
          <w:trHeight w:hRule="exact" w:val="394"/>
        </w:trPr>
        <w:tc>
          <w:tcPr>
            <w:tcW w:w="1561" w:type="pct"/>
          </w:tcPr>
          <w:p w14:paraId="69C64F50" w14:textId="77777777" w:rsidR="008A3252" w:rsidRDefault="008A3252" w:rsidP="009B153D">
            <w:pPr>
              <w:pStyle w:val="Style"/>
              <w:ind w:left="120"/>
              <w:textAlignment w:val="baseline"/>
            </w:pPr>
            <w:r>
              <w:rPr>
                <w:sz w:val="20"/>
                <w:szCs w:val="20"/>
              </w:rPr>
              <w:t xml:space="preserve">Risk difference </w:t>
            </w:r>
            <w:r>
              <w:rPr>
                <w:w w:val="107"/>
                <w:sz w:val="12"/>
                <w:szCs w:val="12"/>
              </w:rPr>
              <w:t xml:space="preserve">c, </w:t>
            </w:r>
            <w:r>
              <w:rPr>
                <w:sz w:val="12"/>
                <w:szCs w:val="12"/>
              </w:rPr>
              <w:t xml:space="preserve">d </w:t>
            </w:r>
          </w:p>
        </w:tc>
        <w:tc>
          <w:tcPr>
            <w:tcW w:w="943" w:type="pct"/>
          </w:tcPr>
          <w:p w14:paraId="77DDAC5E" w14:textId="77777777" w:rsidR="008A3252" w:rsidRDefault="008A3252" w:rsidP="009B153D">
            <w:pPr>
              <w:pStyle w:val="Style"/>
              <w:ind w:left="19"/>
              <w:jc w:val="center"/>
              <w:textAlignment w:val="baseline"/>
            </w:pPr>
            <w:r>
              <w:rPr>
                <w:sz w:val="20"/>
                <w:szCs w:val="20"/>
              </w:rPr>
              <w:t xml:space="preserve">79.9 </w:t>
            </w:r>
          </w:p>
        </w:tc>
        <w:tc>
          <w:tcPr>
            <w:tcW w:w="1249" w:type="pct"/>
          </w:tcPr>
          <w:p w14:paraId="0E2A791A" w14:textId="77777777" w:rsidR="008A3252" w:rsidRDefault="008A3252" w:rsidP="009B153D">
            <w:pPr>
              <w:pStyle w:val="Style"/>
              <w:ind w:left="19"/>
              <w:jc w:val="center"/>
              <w:textAlignment w:val="baseline"/>
            </w:pPr>
            <w:r>
              <w:rPr>
                <w:w w:val="110"/>
                <w:sz w:val="18"/>
                <w:szCs w:val="18"/>
              </w:rPr>
              <w:t xml:space="preserve">- </w:t>
            </w:r>
          </w:p>
        </w:tc>
        <w:tc>
          <w:tcPr>
            <w:tcW w:w="1247" w:type="pct"/>
          </w:tcPr>
          <w:p w14:paraId="0E74A41A" w14:textId="77777777" w:rsidR="008A3252" w:rsidRDefault="008A3252" w:rsidP="009B153D">
            <w:pPr>
              <w:pStyle w:val="Style"/>
              <w:ind w:left="34"/>
              <w:jc w:val="center"/>
              <w:textAlignment w:val="baseline"/>
            </w:pPr>
            <w:r>
              <w:rPr>
                <w:sz w:val="20"/>
                <w:szCs w:val="20"/>
              </w:rPr>
              <w:t xml:space="preserve">35.2 </w:t>
            </w:r>
          </w:p>
        </w:tc>
      </w:tr>
      <w:tr w:rsidR="008A3252" w14:paraId="641ED203" w14:textId="77777777" w:rsidTr="00227392">
        <w:trPr>
          <w:trHeight w:hRule="exact" w:val="581"/>
        </w:trPr>
        <w:tc>
          <w:tcPr>
            <w:tcW w:w="1561" w:type="pct"/>
          </w:tcPr>
          <w:p w14:paraId="3C9DA6CF" w14:textId="77777777" w:rsidR="008A3252" w:rsidRDefault="008A3252" w:rsidP="009B153D">
            <w:pPr>
              <w:pStyle w:val="Style"/>
              <w:ind w:left="389"/>
              <w:textAlignment w:val="baseline"/>
            </w:pPr>
            <w:r>
              <w:rPr>
                <w:sz w:val="20"/>
                <w:szCs w:val="20"/>
              </w:rPr>
              <w:t xml:space="preserve">95% CI for risk difference </w:t>
            </w:r>
          </w:p>
        </w:tc>
        <w:tc>
          <w:tcPr>
            <w:tcW w:w="943" w:type="pct"/>
          </w:tcPr>
          <w:p w14:paraId="07151D3B" w14:textId="77777777" w:rsidR="008A3252" w:rsidRDefault="008A3252" w:rsidP="009B153D">
            <w:pPr>
              <w:pStyle w:val="Style"/>
              <w:ind w:left="19"/>
              <w:jc w:val="center"/>
              <w:textAlignment w:val="baseline"/>
            </w:pPr>
            <w:r>
              <w:rPr>
                <w:sz w:val="20"/>
                <w:szCs w:val="20"/>
              </w:rPr>
              <w:t xml:space="preserve">74.0, 85.9 </w:t>
            </w:r>
          </w:p>
        </w:tc>
        <w:tc>
          <w:tcPr>
            <w:tcW w:w="1249" w:type="pct"/>
          </w:tcPr>
          <w:p w14:paraId="500F2597" w14:textId="77777777" w:rsidR="008A3252" w:rsidRDefault="008A3252" w:rsidP="009B153D">
            <w:pPr>
              <w:pStyle w:val="Style"/>
              <w:ind w:left="19"/>
              <w:jc w:val="center"/>
              <w:textAlignment w:val="baseline"/>
            </w:pPr>
            <w:r>
              <w:rPr>
                <w:w w:val="110"/>
                <w:sz w:val="18"/>
                <w:szCs w:val="18"/>
              </w:rPr>
              <w:t xml:space="preserve">- </w:t>
            </w:r>
          </w:p>
        </w:tc>
        <w:tc>
          <w:tcPr>
            <w:tcW w:w="1247" w:type="pct"/>
          </w:tcPr>
          <w:p w14:paraId="702204CB" w14:textId="77777777" w:rsidR="008A3252" w:rsidRDefault="008A3252" w:rsidP="009B153D">
            <w:pPr>
              <w:pStyle w:val="Style"/>
              <w:ind w:left="34"/>
              <w:jc w:val="center"/>
              <w:textAlignment w:val="baseline"/>
            </w:pPr>
            <w:r>
              <w:rPr>
                <w:sz w:val="20"/>
                <w:szCs w:val="20"/>
              </w:rPr>
              <w:t xml:space="preserve">27.0, 43.4 </w:t>
            </w:r>
          </w:p>
        </w:tc>
      </w:tr>
    </w:tbl>
    <w:p w14:paraId="51630F99" w14:textId="404E78B8" w:rsidR="00227392" w:rsidRDefault="00AF4D50" w:rsidP="00227392">
      <w:pPr>
        <w:pStyle w:val="TableDescription"/>
      </w:pPr>
      <w:r>
        <w:t xml:space="preserve">Abbreviations: </w:t>
      </w:r>
      <w:r w:rsidR="00227392">
        <w:t>BKZ</w:t>
      </w:r>
      <w:r w:rsidR="00FE31D9">
        <w:t xml:space="preserve"> </w:t>
      </w:r>
      <w:r w:rsidR="00227392">
        <w:t>=</w:t>
      </w:r>
      <w:r w:rsidR="00FE31D9">
        <w:t xml:space="preserve"> </w:t>
      </w:r>
      <w:proofErr w:type="spellStart"/>
      <w:r w:rsidR="00227392">
        <w:t>bimekizumab</w:t>
      </w:r>
      <w:proofErr w:type="spellEnd"/>
      <w:r w:rsidR="00227392">
        <w:t>; CI</w:t>
      </w:r>
      <w:r w:rsidR="00FE31D9">
        <w:t xml:space="preserve"> </w:t>
      </w:r>
      <w:r w:rsidR="00227392">
        <w:t>=</w:t>
      </w:r>
      <w:r w:rsidR="00FE31D9">
        <w:t xml:space="preserve"> </w:t>
      </w:r>
      <w:r w:rsidR="00227392">
        <w:t>confidence interval; CMH</w:t>
      </w:r>
      <w:r w:rsidR="00FE31D9">
        <w:t xml:space="preserve"> </w:t>
      </w:r>
      <w:r w:rsidR="00227392">
        <w:t>=</w:t>
      </w:r>
      <w:r w:rsidR="00FE31D9">
        <w:t xml:space="preserve"> </w:t>
      </w:r>
      <w:r w:rsidR="00227392">
        <w:t>Cochran-Mantel-Haenszel; NRI</w:t>
      </w:r>
      <w:r w:rsidR="00FE31D9">
        <w:t xml:space="preserve"> </w:t>
      </w:r>
      <w:r w:rsidR="00227392">
        <w:t>=</w:t>
      </w:r>
      <w:r w:rsidR="00FE31D9">
        <w:t xml:space="preserve"> </w:t>
      </w:r>
      <w:proofErr w:type="spellStart"/>
      <w:r w:rsidR="00227392">
        <w:t>nonresponder</w:t>
      </w:r>
      <w:proofErr w:type="spellEnd"/>
      <w:r w:rsidR="00227392">
        <w:t xml:space="preserve"> imputation;</w:t>
      </w:r>
      <w:r w:rsidR="003A55D7">
        <w:t xml:space="preserve"> </w:t>
      </w:r>
      <w:r w:rsidR="00227392">
        <w:t>PASI</w:t>
      </w:r>
      <w:r w:rsidR="00FE31D9">
        <w:t xml:space="preserve"> </w:t>
      </w:r>
      <w:r w:rsidR="00227392">
        <w:t>=</w:t>
      </w:r>
      <w:r w:rsidR="00FE31D9">
        <w:t xml:space="preserve"> </w:t>
      </w:r>
      <w:r w:rsidR="00227392">
        <w:t>Psoriasis Area and Severity Index; PBO</w:t>
      </w:r>
      <w:r w:rsidR="00FE31D9">
        <w:t xml:space="preserve"> </w:t>
      </w:r>
      <w:r w:rsidR="00227392">
        <w:t>=</w:t>
      </w:r>
      <w:r w:rsidR="00FE31D9">
        <w:t xml:space="preserve"> </w:t>
      </w:r>
      <w:r w:rsidR="00227392">
        <w:t>placebo; Q4W</w:t>
      </w:r>
      <w:r w:rsidR="00FE31D9">
        <w:t xml:space="preserve"> </w:t>
      </w:r>
      <w:r w:rsidR="00227392">
        <w:t>=</w:t>
      </w:r>
      <w:r w:rsidR="00FE31D9">
        <w:t xml:space="preserve"> </w:t>
      </w:r>
      <w:r w:rsidR="00227392">
        <w:t>every 4 weeks; RS</w:t>
      </w:r>
      <w:r w:rsidR="00FE31D9">
        <w:t xml:space="preserve"> </w:t>
      </w:r>
      <w:r w:rsidR="00227392">
        <w:t>=</w:t>
      </w:r>
      <w:r w:rsidR="00FE31D9">
        <w:t xml:space="preserve"> </w:t>
      </w:r>
      <w:r w:rsidR="00227392">
        <w:t>Randomi</w:t>
      </w:r>
      <w:r w:rsidR="00FE31D9">
        <w:t>s</w:t>
      </w:r>
      <w:r w:rsidR="00227392">
        <w:t>ed Set;</w:t>
      </w:r>
      <w:r w:rsidR="003A55D7">
        <w:t xml:space="preserve"> </w:t>
      </w:r>
      <w:proofErr w:type="spellStart"/>
      <w:r w:rsidR="00227392">
        <w:t>Uste</w:t>
      </w:r>
      <w:proofErr w:type="spellEnd"/>
      <w:r w:rsidR="00FE31D9">
        <w:t xml:space="preserve"> </w:t>
      </w:r>
      <w:r w:rsidR="00227392">
        <w:t>=</w:t>
      </w:r>
      <w:r w:rsidR="00FE31D9">
        <w:t xml:space="preserve"> </w:t>
      </w:r>
      <w:proofErr w:type="spellStart"/>
      <w:r w:rsidR="00227392">
        <w:t>ustekinumab</w:t>
      </w:r>
      <w:proofErr w:type="spellEnd"/>
    </w:p>
    <w:p w14:paraId="605A48F5" w14:textId="77777777" w:rsidR="00227392" w:rsidRDefault="00227392" w:rsidP="00227392">
      <w:pPr>
        <w:pStyle w:val="TableDescription"/>
      </w:pPr>
      <w:r>
        <w:t xml:space="preserve">Note: Study participants with missing data at a given week were counted as </w:t>
      </w:r>
      <w:proofErr w:type="spellStart"/>
      <w:r>
        <w:t>nonresponders</w:t>
      </w:r>
      <w:proofErr w:type="spellEnd"/>
      <w:r>
        <w:t>.</w:t>
      </w:r>
    </w:p>
    <w:p w14:paraId="5DBE6675" w14:textId="33A28509" w:rsidR="00227392" w:rsidRDefault="00227392" w:rsidP="00227392">
      <w:pPr>
        <w:pStyle w:val="TableDescription"/>
      </w:pPr>
      <w:r>
        <w:t xml:space="preserve">Note: </w:t>
      </w:r>
      <w:proofErr w:type="spellStart"/>
      <w:r>
        <w:t>Nsub</w:t>
      </w:r>
      <w:proofErr w:type="spellEnd"/>
      <w:r>
        <w:t xml:space="preserve"> represented the number of study participants with a non-missing measurement for PASI at the given</w:t>
      </w:r>
      <w:r w:rsidR="003A55D7">
        <w:t xml:space="preserve"> </w:t>
      </w:r>
      <w:r>
        <w:t>week, and percentages were calculated accordingly.</w:t>
      </w:r>
    </w:p>
    <w:p w14:paraId="40E2C175" w14:textId="4C017E91" w:rsidR="00227392" w:rsidRDefault="00227392" w:rsidP="00227392">
      <w:pPr>
        <w:pStyle w:val="TableDescription"/>
      </w:pPr>
      <w:proofErr w:type="spellStart"/>
      <w:proofErr w:type="gramStart"/>
      <w:r>
        <w:t>a</w:t>
      </w:r>
      <w:proofErr w:type="spellEnd"/>
      <w:proofErr w:type="gramEnd"/>
      <w:r>
        <w:t xml:space="preserve"> Odds ratio was calculated using stratified CMH test with region and prior biologic exposure as stratification</w:t>
      </w:r>
      <w:r w:rsidR="003A55D7">
        <w:t xml:space="preserve"> </w:t>
      </w:r>
      <w:r>
        <w:t>variables.</w:t>
      </w:r>
    </w:p>
    <w:p w14:paraId="56248722" w14:textId="77777777" w:rsidR="00227392" w:rsidRDefault="00227392" w:rsidP="00227392">
      <w:pPr>
        <w:pStyle w:val="TableDescription"/>
      </w:pPr>
      <w:r>
        <w:lastRenderedPageBreak/>
        <w:t>b p-values for the comparison of treatment groups were based on the CMH test from the general association.</w:t>
      </w:r>
    </w:p>
    <w:p w14:paraId="52611731" w14:textId="77777777" w:rsidR="00227392" w:rsidRDefault="00227392" w:rsidP="00227392">
      <w:pPr>
        <w:pStyle w:val="TableDescription"/>
      </w:pPr>
      <w:r>
        <w:t>c Risk difference: BKZ-PBO or BKZ-</w:t>
      </w:r>
      <w:proofErr w:type="spellStart"/>
      <w:r>
        <w:t>Uste</w:t>
      </w:r>
      <w:proofErr w:type="spellEnd"/>
      <w:r>
        <w:t xml:space="preserve"> were calculated based on stratified CMH.</w:t>
      </w:r>
    </w:p>
    <w:p w14:paraId="62986104" w14:textId="2C83ADEC" w:rsidR="00227392" w:rsidRDefault="00227392" w:rsidP="00227392">
      <w:pPr>
        <w:pStyle w:val="TableDescription"/>
      </w:pPr>
      <w:r>
        <w:t xml:space="preserve">d </w:t>
      </w:r>
      <w:proofErr w:type="gramStart"/>
      <w:r>
        <w:t>The</w:t>
      </w:r>
      <w:proofErr w:type="gramEnd"/>
      <w:r>
        <w:t xml:space="preserve"> evaluation of noninferiority was tested at a 1-sided alpha level of 0.025 and based on a 1-sided 97.5% CI and</w:t>
      </w:r>
      <w:r w:rsidR="00FE31D9">
        <w:t xml:space="preserve"> </w:t>
      </w:r>
      <w:r>
        <w:t>a noninferiority margin of 10%.</w:t>
      </w:r>
    </w:p>
    <w:p w14:paraId="5F6947C2" w14:textId="4B00D078" w:rsidR="008A3252" w:rsidRPr="00160803" w:rsidRDefault="008A3252" w:rsidP="008A3252">
      <w:r w:rsidRPr="005938A3">
        <w:t xml:space="preserve">For the co-primary endpoint of </w:t>
      </w:r>
      <w:r w:rsidR="00FE31D9">
        <w:t>IGA</w:t>
      </w:r>
      <w:r w:rsidRPr="008A3252">
        <w:rPr>
          <w:lang w:eastAsia="ja-JP"/>
        </w:rPr>
        <w:t xml:space="preserve"> 0/1 </w:t>
      </w:r>
      <w:r w:rsidRPr="008A3252">
        <w:t>response</w:t>
      </w:r>
      <w:r w:rsidRPr="00ED1906">
        <w:t xml:space="preserve"> rate at Week 16, as per </w:t>
      </w:r>
      <w:r w:rsidR="00FE31D9">
        <w:fldChar w:fldCharType="begin"/>
      </w:r>
      <w:r w:rsidR="00FE31D9">
        <w:instrText xml:space="preserve"> REF _Ref129956645 \h </w:instrText>
      </w:r>
      <w:r w:rsidR="00FE31D9">
        <w:fldChar w:fldCharType="separate"/>
      </w:r>
      <w:r w:rsidR="00B54079" w:rsidRPr="00FE31D9">
        <w:t xml:space="preserve">Table </w:t>
      </w:r>
      <w:r w:rsidR="00B54079">
        <w:rPr>
          <w:noProof/>
        </w:rPr>
        <w:t>31</w:t>
      </w:r>
      <w:r w:rsidR="00FE31D9">
        <w:fldChar w:fldCharType="end"/>
      </w:r>
      <w:r w:rsidRPr="00160803">
        <w:t>:</w:t>
      </w:r>
    </w:p>
    <w:p w14:paraId="49A575DC" w14:textId="0CA64345" w:rsidR="008A3252" w:rsidRDefault="008A3252" w:rsidP="008A3252">
      <w:pPr>
        <w:pStyle w:val="ListBullet"/>
        <w:rPr>
          <w:lang w:eastAsia="ja-JP"/>
        </w:rPr>
      </w:pPr>
      <w:r w:rsidRPr="000A0059">
        <w:rPr>
          <w:lang w:eastAsia="ja-JP"/>
        </w:rPr>
        <w:t xml:space="preserve">the </w:t>
      </w:r>
      <w:proofErr w:type="spellStart"/>
      <w:r w:rsidR="008B40FD">
        <w:rPr>
          <w:lang w:eastAsia="ja-JP"/>
        </w:rPr>
        <w:t>bimekizumab</w:t>
      </w:r>
      <w:proofErr w:type="spellEnd"/>
      <w:r w:rsidRPr="000A0059">
        <w:rPr>
          <w:lang w:eastAsia="ja-JP"/>
        </w:rPr>
        <w:t xml:space="preserve"> 320</w:t>
      </w:r>
      <w:r w:rsidR="00FE31D9">
        <w:rPr>
          <w:lang w:eastAsia="ja-JP"/>
        </w:rPr>
        <w:t xml:space="preserve"> </w:t>
      </w:r>
      <w:r w:rsidRPr="000A0059">
        <w:rPr>
          <w:lang w:eastAsia="ja-JP"/>
        </w:rPr>
        <w:t xml:space="preserve">mg </w:t>
      </w:r>
      <w:r w:rsidR="00F23C97">
        <w:rPr>
          <w:lang w:eastAsia="ja-JP"/>
        </w:rPr>
        <w:t>every 4 weeks</w:t>
      </w:r>
      <w:r w:rsidRPr="000A0059">
        <w:rPr>
          <w:lang w:eastAsia="ja-JP"/>
        </w:rPr>
        <w:t xml:space="preserve"> group was </w:t>
      </w:r>
      <w:r w:rsidRPr="00ED1906">
        <w:rPr>
          <w:lang w:eastAsia="ja-JP"/>
        </w:rPr>
        <w:t>superior compared with the placebo group (84.1 % v</w:t>
      </w:r>
      <w:r>
        <w:rPr>
          <w:lang w:eastAsia="ja-JP"/>
        </w:rPr>
        <w:t>ersus</w:t>
      </w:r>
      <w:r w:rsidRPr="00ED1906">
        <w:rPr>
          <w:lang w:eastAsia="ja-JP"/>
        </w:rPr>
        <w:t xml:space="preserve"> 4.8%, respectively</w:t>
      </w:r>
      <w:proofErr w:type="gramStart"/>
      <w:r w:rsidRPr="00ED1906">
        <w:rPr>
          <w:lang w:eastAsia="ja-JP"/>
        </w:rPr>
        <w:t>);</w:t>
      </w:r>
      <w:proofErr w:type="gramEnd"/>
    </w:p>
    <w:p w14:paraId="765B0CE4" w14:textId="2BDDBE0C" w:rsidR="008A3252" w:rsidRDefault="008A3252" w:rsidP="008A3252">
      <w:pPr>
        <w:pStyle w:val="ListBullet"/>
        <w:rPr>
          <w:lang w:eastAsia="ja-JP"/>
        </w:rPr>
      </w:pPr>
      <w:r w:rsidRPr="00ED1906">
        <w:rPr>
          <w:lang w:eastAsia="ja-JP"/>
        </w:rPr>
        <w:t>the difference was statistically significant, with an odds ratio versus placebo of 118.762 (p</w:t>
      </w:r>
      <w:r>
        <w:rPr>
          <w:lang w:eastAsia="ja-JP"/>
        </w:rPr>
        <w:t xml:space="preserve"> </w:t>
      </w:r>
      <w:r w:rsidRPr="00ED1906">
        <w:rPr>
          <w:lang w:eastAsia="ja-JP"/>
        </w:rPr>
        <w:t>&lt;</w:t>
      </w:r>
      <w:r>
        <w:rPr>
          <w:lang w:eastAsia="ja-JP"/>
        </w:rPr>
        <w:t xml:space="preserve"> </w:t>
      </w:r>
      <w:r w:rsidRPr="00ED1906">
        <w:rPr>
          <w:lang w:eastAsia="ja-JP"/>
        </w:rPr>
        <w:t>0.001</w:t>
      </w:r>
      <w:proofErr w:type="gramStart"/>
      <w:r w:rsidRPr="00ED1906">
        <w:rPr>
          <w:lang w:eastAsia="ja-JP"/>
        </w:rPr>
        <w:t>);</w:t>
      </w:r>
      <w:proofErr w:type="gramEnd"/>
    </w:p>
    <w:p w14:paraId="00A40046" w14:textId="3D7A649A" w:rsidR="008A3252" w:rsidRDefault="008A3252" w:rsidP="008A3252">
      <w:pPr>
        <w:pStyle w:val="ListBullet"/>
        <w:rPr>
          <w:lang w:eastAsia="ja-JP"/>
        </w:rPr>
      </w:pPr>
      <w:r w:rsidRPr="00ED1906">
        <w:rPr>
          <w:lang w:eastAsia="ja-JP"/>
        </w:rPr>
        <w:t xml:space="preserve">the </w:t>
      </w:r>
      <w:proofErr w:type="spellStart"/>
      <w:r w:rsidR="008B40FD">
        <w:rPr>
          <w:lang w:eastAsia="ja-JP"/>
        </w:rPr>
        <w:t>bimekizumab</w:t>
      </w:r>
      <w:proofErr w:type="spellEnd"/>
      <w:r w:rsidRPr="00ED1906">
        <w:rPr>
          <w:lang w:eastAsia="ja-JP"/>
        </w:rPr>
        <w:t xml:space="preserve"> </w:t>
      </w:r>
      <w:r w:rsidR="001D2CFA">
        <w:rPr>
          <w:lang w:eastAsia="ja-JP"/>
        </w:rPr>
        <w:t>320 mg</w:t>
      </w:r>
      <w:r w:rsidRPr="00ED1906">
        <w:rPr>
          <w:lang w:eastAsia="ja-JP"/>
        </w:rPr>
        <w:t xml:space="preserve"> </w:t>
      </w:r>
      <w:r w:rsidR="00F23C97">
        <w:rPr>
          <w:lang w:eastAsia="ja-JP"/>
        </w:rPr>
        <w:t>every 4 weeks</w:t>
      </w:r>
      <w:r w:rsidRPr="00ED1906">
        <w:rPr>
          <w:lang w:eastAsia="ja-JP"/>
        </w:rPr>
        <w:t xml:space="preserve"> group was also superior </w:t>
      </w:r>
      <w:r w:rsidRPr="004E6D73">
        <w:rPr>
          <w:lang w:eastAsia="ja-JP"/>
        </w:rPr>
        <w:t xml:space="preserve">compared with the </w:t>
      </w:r>
      <w:proofErr w:type="spellStart"/>
      <w:r w:rsidR="004858E7">
        <w:rPr>
          <w:lang w:eastAsia="ja-JP"/>
        </w:rPr>
        <w:t>ustekinumab</w:t>
      </w:r>
      <w:proofErr w:type="spellEnd"/>
      <w:r w:rsidRPr="004E6D73">
        <w:rPr>
          <w:lang w:eastAsia="ja-JP"/>
        </w:rPr>
        <w:t xml:space="preserve"> </w:t>
      </w:r>
      <w:r>
        <w:rPr>
          <w:lang w:eastAsia="ja-JP"/>
        </w:rPr>
        <w:t>g</w:t>
      </w:r>
      <w:r w:rsidRPr="00ED1906">
        <w:rPr>
          <w:lang w:eastAsia="ja-JP"/>
        </w:rPr>
        <w:t>roup (84.1 % v</w:t>
      </w:r>
      <w:r>
        <w:rPr>
          <w:lang w:eastAsia="ja-JP"/>
        </w:rPr>
        <w:t>ersu</w:t>
      </w:r>
      <w:r w:rsidRPr="00ED1906">
        <w:rPr>
          <w:lang w:eastAsia="ja-JP"/>
        </w:rPr>
        <w:t xml:space="preserve">s 53.4%, respectively), with an </w:t>
      </w:r>
      <w:r w:rsidRPr="00160803">
        <w:rPr>
          <w:lang w:eastAsia="ja-JP"/>
        </w:rPr>
        <w:t xml:space="preserve">odds ratio versus </w:t>
      </w:r>
      <w:proofErr w:type="spellStart"/>
      <w:r w:rsidR="004858E7">
        <w:rPr>
          <w:lang w:eastAsia="ja-JP"/>
        </w:rPr>
        <w:t>ustekinumab</w:t>
      </w:r>
      <w:proofErr w:type="spellEnd"/>
      <w:r w:rsidRPr="00160803">
        <w:rPr>
          <w:lang w:eastAsia="ja-JP"/>
        </w:rPr>
        <w:t xml:space="preserve"> of 4.809 (p</w:t>
      </w:r>
      <w:r w:rsidR="00FE31D9">
        <w:rPr>
          <w:lang w:eastAsia="ja-JP"/>
        </w:rPr>
        <w:t xml:space="preserve"> </w:t>
      </w:r>
      <w:r w:rsidRPr="00160803">
        <w:rPr>
          <w:lang w:eastAsia="ja-JP"/>
        </w:rPr>
        <w:t>&lt;</w:t>
      </w:r>
      <w:r w:rsidR="00FE31D9">
        <w:rPr>
          <w:lang w:eastAsia="ja-JP"/>
        </w:rPr>
        <w:t xml:space="preserve"> </w:t>
      </w:r>
      <w:r w:rsidRPr="00160803">
        <w:rPr>
          <w:lang w:eastAsia="ja-JP"/>
        </w:rPr>
        <w:t>0.001).</w:t>
      </w:r>
    </w:p>
    <w:p w14:paraId="24906070" w14:textId="0E9873D4" w:rsidR="008A3252" w:rsidRPr="00FE31D9" w:rsidRDefault="008A3252" w:rsidP="00FE31D9">
      <w:pPr>
        <w:pStyle w:val="TableTitle"/>
      </w:pPr>
      <w:bookmarkStart w:id="108" w:name="_Ref129956645"/>
      <w:r w:rsidRPr="00FE31D9">
        <w:t xml:space="preserve">Table </w:t>
      </w:r>
      <w:r w:rsidR="00172397">
        <w:fldChar w:fldCharType="begin"/>
      </w:r>
      <w:r w:rsidR="00172397">
        <w:instrText xml:space="preserve"> SEQ Table \* ARABIC </w:instrText>
      </w:r>
      <w:r w:rsidR="00172397">
        <w:fldChar w:fldCharType="separate"/>
      </w:r>
      <w:r w:rsidR="00B54079">
        <w:rPr>
          <w:noProof/>
        </w:rPr>
        <w:t>31</w:t>
      </w:r>
      <w:r w:rsidR="00172397">
        <w:rPr>
          <w:noProof/>
        </w:rPr>
        <w:fldChar w:fldCharType="end"/>
      </w:r>
      <w:bookmarkEnd w:id="108"/>
      <w:r w:rsidRPr="00FE31D9">
        <w:t>:</w:t>
      </w:r>
      <w:r w:rsidR="00FE31D9" w:rsidRPr="00FE31D9">
        <w:t xml:space="preserve"> Study PS0009 IGA 0/1 response rates at Week 16</w:t>
      </w:r>
    </w:p>
    <w:tbl>
      <w:tblPr>
        <w:tblStyle w:val="TableTGAblack"/>
        <w:tblW w:w="5000" w:type="pct"/>
        <w:tblLook w:val="0000" w:firstRow="0" w:lastRow="0" w:firstColumn="0" w:lastColumn="0" w:noHBand="0" w:noVBand="0"/>
      </w:tblPr>
      <w:tblGrid>
        <w:gridCol w:w="2652"/>
        <w:gridCol w:w="1602"/>
        <w:gridCol w:w="2122"/>
        <w:gridCol w:w="2118"/>
      </w:tblGrid>
      <w:tr w:rsidR="006D2B99" w14:paraId="2AD85916" w14:textId="77777777" w:rsidTr="006D2B99">
        <w:trPr>
          <w:trHeight w:val="696"/>
        </w:trPr>
        <w:tc>
          <w:tcPr>
            <w:tcW w:w="1561" w:type="pct"/>
          </w:tcPr>
          <w:p w14:paraId="6DF2F18B" w14:textId="5E46D4D9" w:rsidR="006D2B99" w:rsidRDefault="006D2B99" w:rsidP="009B153D">
            <w:pPr>
              <w:pStyle w:val="Style"/>
              <w:spacing w:before="0"/>
              <w:ind w:left="0" w:right="0"/>
              <w:textAlignment w:val="baseline"/>
            </w:pPr>
            <w:r>
              <w:rPr>
                <w:sz w:val="31"/>
                <w:szCs w:val="31"/>
              </w:rPr>
              <w:t xml:space="preserve"> </w:t>
            </w:r>
          </w:p>
        </w:tc>
        <w:tc>
          <w:tcPr>
            <w:tcW w:w="943" w:type="pct"/>
          </w:tcPr>
          <w:p w14:paraId="2482A3DA" w14:textId="77777777" w:rsidR="006D2B99" w:rsidRDefault="006D2B99" w:rsidP="009B153D">
            <w:pPr>
              <w:pStyle w:val="Style"/>
              <w:ind w:left="14"/>
              <w:jc w:val="center"/>
              <w:textAlignment w:val="baseline"/>
            </w:pPr>
            <w:r>
              <w:rPr>
                <w:b/>
                <w:sz w:val="21"/>
                <w:szCs w:val="21"/>
              </w:rPr>
              <w:t xml:space="preserve">PBO </w:t>
            </w:r>
          </w:p>
          <w:p w14:paraId="1C29453A" w14:textId="404D4969" w:rsidR="006D2B99" w:rsidRDefault="001D2CFA" w:rsidP="009B153D">
            <w:pPr>
              <w:pStyle w:val="Style"/>
              <w:spacing w:before="0"/>
              <w:ind w:left="14" w:right="0"/>
              <w:jc w:val="center"/>
              <w:textAlignment w:val="baseline"/>
            </w:pPr>
            <w:r>
              <w:rPr>
                <w:b/>
                <w:sz w:val="21"/>
                <w:szCs w:val="21"/>
              </w:rPr>
              <w:t xml:space="preserve">N = </w:t>
            </w:r>
            <w:r w:rsidR="006D2B99">
              <w:rPr>
                <w:b/>
                <w:sz w:val="21"/>
                <w:szCs w:val="21"/>
              </w:rPr>
              <w:t xml:space="preserve">83 </w:t>
            </w:r>
          </w:p>
        </w:tc>
        <w:tc>
          <w:tcPr>
            <w:tcW w:w="1249" w:type="pct"/>
          </w:tcPr>
          <w:p w14:paraId="684B7788" w14:textId="0907D10F" w:rsidR="006D2B99" w:rsidRDefault="006D2B99" w:rsidP="009B153D">
            <w:pPr>
              <w:pStyle w:val="Style"/>
              <w:ind w:left="19"/>
              <w:jc w:val="center"/>
              <w:textAlignment w:val="baseline"/>
            </w:pPr>
            <w:r>
              <w:rPr>
                <w:b/>
                <w:sz w:val="21"/>
                <w:szCs w:val="21"/>
              </w:rPr>
              <w:t xml:space="preserve">BKZ </w:t>
            </w:r>
            <w:r w:rsidR="001D2CFA">
              <w:rPr>
                <w:b/>
                <w:sz w:val="21"/>
                <w:szCs w:val="21"/>
              </w:rPr>
              <w:t>320 mg</w:t>
            </w:r>
            <w:r>
              <w:rPr>
                <w:b/>
                <w:sz w:val="21"/>
                <w:szCs w:val="21"/>
              </w:rPr>
              <w:t xml:space="preserve"> </w:t>
            </w:r>
            <w:r w:rsidR="00F23C97">
              <w:rPr>
                <w:b/>
                <w:sz w:val="21"/>
                <w:szCs w:val="21"/>
              </w:rPr>
              <w:t>every 4 weeks</w:t>
            </w:r>
            <w:r>
              <w:rPr>
                <w:b/>
                <w:sz w:val="21"/>
                <w:szCs w:val="21"/>
              </w:rPr>
              <w:t xml:space="preserve"> </w:t>
            </w:r>
          </w:p>
          <w:p w14:paraId="765192EA" w14:textId="325AA8D8" w:rsidR="006D2B99" w:rsidRDefault="001D2CFA" w:rsidP="009B153D">
            <w:pPr>
              <w:pStyle w:val="Style"/>
              <w:spacing w:before="0"/>
              <w:ind w:left="19" w:right="0"/>
              <w:jc w:val="center"/>
              <w:textAlignment w:val="baseline"/>
            </w:pPr>
            <w:r>
              <w:rPr>
                <w:b/>
                <w:sz w:val="21"/>
                <w:szCs w:val="21"/>
              </w:rPr>
              <w:t xml:space="preserve">N = </w:t>
            </w:r>
            <w:r w:rsidR="006D2B99">
              <w:rPr>
                <w:b/>
                <w:sz w:val="21"/>
                <w:szCs w:val="21"/>
              </w:rPr>
              <w:t xml:space="preserve">321 </w:t>
            </w:r>
          </w:p>
        </w:tc>
        <w:tc>
          <w:tcPr>
            <w:tcW w:w="1247" w:type="pct"/>
          </w:tcPr>
          <w:p w14:paraId="7F2F5518" w14:textId="77777777" w:rsidR="006D2B99" w:rsidRDefault="006D2B99" w:rsidP="009B153D">
            <w:pPr>
              <w:pStyle w:val="Style"/>
              <w:ind w:left="34"/>
              <w:jc w:val="center"/>
              <w:textAlignment w:val="baseline"/>
            </w:pPr>
            <w:proofErr w:type="spellStart"/>
            <w:r>
              <w:rPr>
                <w:b/>
                <w:sz w:val="21"/>
                <w:szCs w:val="21"/>
              </w:rPr>
              <w:t>Uste</w:t>
            </w:r>
            <w:proofErr w:type="spellEnd"/>
            <w:r>
              <w:rPr>
                <w:b/>
                <w:sz w:val="21"/>
                <w:szCs w:val="21"/>
              </w:rPr>
              <w:t xml:space="preserve"> </w:t>
            </w:r>
          </w:p>
          <w:p w14:paraId="327E1AD6" w14:textId="7F98ED8A" w:rsidR="006D2B99" w:rsidRDefault="001D2CFA" w:rsidP="009B153D">
            <w:pPr>
              <w:pStyle w:val="Style"/>
              <w:spacing w:before="0"/>
              <w:ind w:left="34" w:right="0"/>
              <w:jc w:val="center"/>
              <w:textAlignment w:val="baseline"/>
            </w:pPr>
            <w:r>
              <w:rPr>
                <w:b/>
                <w:sz w:val="21"/>
                <w:szCs w:val="21"/>
              </w:rPr>
              <w:t xml:space="preserve">N = </w:t>
            </w:r>
            <w:r w:rsidR="006D2B99">
              <w:rPr>
                <w:b/>
                <w:sz w:val="21"/>
                <w:szCs w:val="21"/>
              </w:rPr>
              <w:t xml:space="preserve">163 </w:t>
            </w:r>
          </w:p>
        </w:tc>
      </w:tr>
      <w:tr w:rsidR="006D2B99" w14:paraId="33A53F95" w14:textId="77777777" w:rsidTr="006D2B99">
        <w:trPr>
          <w:trHeight w:hRule="exact" w:val="389"/>
        </w:trPr>
        <w:tc>
          <w:tcPr>
            <w:tcW w:w="5000" w:type="pct"/>
            <w:gridSpan w:val="4"/>
          </w:tcPr>
          <w:p w14:paraId="0BF791E9" w14:textId="6921D575" w:rsidR="006D2B99" w:rsidRDefault="006D2B99" w:rsidP="006D2B99">
            <w:pPr>
              <w:pStyle w:val="Style"/>
              <w:ind w:left="120"/>
              <w:textAlignment w:val="baseline"/>
            </w:pPr>
            <w:r>
              <w:rPr>
                <w:sz w:val="20"/>
                <w:szCs w:val="20"/>
              </w:rPr>
              <w:t xml:space="preserve">IGA 0/1 </w:t>
            </w:r>
            <w:r>
              <w:rPr>
                <w:sz w:val="23"/>
                <w:szCs w:val="23"/>
              </w:rPr>
              <w:t>response rate</w:t>
            </w:r>
          </w:p>
        </w:tc>
      </w:tr>
      <w:tr w:rsidR="008A3252" w14:paraId="711B051C" w14:textId="77777777" w:rsidTr="006D2B99">
        <w:trPr>
          <w:trHeight w:hRule="exact" w:val="394"/>
        </w:trPr>
        <w:tc>
          <w:tcPr>
            <w:tcW w:w="1561" w:type="pct"/>
          </w:tcPr>
          <w:p w14:paraId="658509D9" w14:textId="77777777" w:rsidR="008A3252" w:rsidRDefault="008A3252" w:rsidP="009B153D">
            <w:pPr>
              <w:pStyle w:val="Style"/>
              <w:ind w:left="389"/>
              <w:textAlignment w:val="baseline"/>
            </w:pPr>
            <w:r>
              <w:rPr>
                <w:sz w:val="23"/>
                <w:szCs w:val="23"/>
              </w:rPr>
              <w:t xml:space="preserve">n </w:t>
            </w:r>
            <w:r>
              <w:rPr>
                <w:sz w:val="20"/>
                <w:szCs w:val="20"/>
              </w:rPr>
              <w:t xml:space="preserve">(%) </w:t>
            </w:r>
          </w:p>
        </w:tc>
        <w:tc>
          <w:tcPr>
            <w:tcW w:w="943" w:type="pct"/>
          </w:tcPr>
          <w:p w14:paraId="3BD7B80D" w14:textId="77777777" w:rsidR="008A3252" w:rsidRDefault="008A3252" w:rsidP="009B153D">
            <w:pPr>
              <w:pStyle w:val="Style"/>
              <w:ind w:left="14"/>
              <w:jc w:val="center"/>
              <w:textAlignment w:val="baseline"/>
            </w:pPr>
            <w:r>
              <w:rPr>
                <w:sz w:val="20"/>
                <w:szCs w:val="20"/>
              </w:rPr>
              <w:t xml:space="preserve">4 (4.8) </w:t>
            </w:r>
          </w:p>
        </w:tc>
        <w:tc>
          <w:tcPr>
            <w:tcW w:w="1249" w:type="pct"/>
          </w:tcPr>
          <w:p w14:paraId="5DBCABFA" w14:textId="77777777" w:rsidR="008A3252" w:rsidRDefault="008A3252" w:rsidP="009B153D">
            <w:pPr>
              <w:pStyle w:val="Style"/>
              <w:ind w:left="19"/>
              <w:jc w:val="center"/>
              <w:textAlignment w:val="baseline"/>
            </w:pPr>
            <w:r>
              <w:rPr>
                <w:sz w:val="20"/>
                <w:szCs w:val="20"/>
              </w:rPr>
              <w:t xml:space="preserve">270 (84.1) </w:t>
            </w:r>
          </w:p>
        </w:tc>
        <w:tc>
          <w:tcPr>
            <w:tcW w:w="1247" w:type="pct"/>
          </w:tcPr>
          <w:p w14:paraId="2A1E8D2F" w14:textId="77777777" w:rsidR="008A3252" w:rsidRDefault="008A3252" w:rsidP="009B153D">
            <w:pPr>
              <w:pStyle w:val="Style"/>
              <w:ind w:left="34"/>
              <w:jc w:val="center"/>
              <w:textAlignment w:val="baseline"/>
            </w:pPr>
            <w:r>
              <w:rPr>
                <w:sz w:val="20"/>
                <w:szCs w:val="20"/>
              </w:rPr>
              <w:t xml:space="preserve">87 (53.4) </w:t>
            </w:r>
          </w:p>
        </w:tc>
      </w:tr>
      <w:tr w:rsidR="008A3252" w14:paraId="23940C8D" w14:textId="77777777" w:rsidTr="006D2B99">
        <w:trPr>
          <w:trHeight w:hRule="exact" w:val="384"/>
        </w:trPr>
        <w:tc>
          <w:tcPr>
            <w:tcW w:w="1561" w:type="pct"/>
          </w:tcPr>
          <w:p w14:paraId="349FF67D" w14:textId="77777777" w:rsidR="008A3252" w:rsidRDefault="008A3252" w:rsidP="009B153D">
            <w:pPr>
              <w:pStyle w:val="Style"/>
              <w:ind w:left="389"/>
              <w:textAlignment w:val="baseline"/>
            </w:pPr>
            <w:r>
              <w:rPr>
                <w:sz w:val="23"/>
                <w:szCs w:val="23"/>
              </w:rPr>
              <w:t>n/</w:t>
            </w:r>
            <w:proofErr w:type="spellStart"/>
            <w:r>
              <w:rPr>
                <w:sz w:val="23"/>
                <w:szCs w:val="23"/>
              </w:rPr>
              <w:t>Nsub</w:t>
            </w:r>
            <w:proofErr w:type="spellEnd"/>
            <w:r>
              <w:rPr>
                <w:sz w:val="23"/>
                <w:szCs w:val="23"/>
              </w:rPr>
              <w:t xml:space="preserve"> </w:t>
            </w:r>
            <w:r>
              <w:rPr>
                <w:sz w:val="20"/>
                <w:szCs w:val="20"/>
              </w:rPr>
              <w:t xml:space="preserve">(%) </w:t>
            </w:r>
          </w:p>
        </w:tc>
        <w:tc>
          <w:tcPr>
            <w:tcW w:w="943" w:type="pct"/>
          </w:tcPr>
          <w:p w14:paraId="77BFE1DD" w14:textId="77777777" w:rsidR="008A3252" w:rsidRDefault="008A3252" w:rsidP="009B153D">
            <w:pPr>
              <w:pStyle w:val="Style"/>
              <w:ind w:left="14"/>
              <w:jc w:val="center"/>
              <w:textAlignment w:val="baseline"/>
            </w:pPr>
            <w:r>
              <w:rPr>
                <w:sz w:val="20"/>
                <w:szCs w:val="20"/>
              </w:rPr>
              <w:t xml:space="preserve">4/76 (5.3) </w:t>
            </w:r>
          </w:p>
        </w:tc>
        <w:tc>
          <w:tcPr>
            <w:tcW w:w="1249" w:type="pct"/>
          </w:tcPr>
          <w:p w14:paraId="1748CDEE" w14:textId="77777777" w:rsidR="008A3252" w:rsidRDefault="008A3252" w:rsidP="009B153D">
            <w:pPr>
              <w:pStyle w:val="Style"/>
              <w:ind w:left="19"/>
              <w:jc w:val="center"/>
              <w:textAlignment w:val="baseline"/>
            </w:pPr>
            <w:r>
              <w:rPr>
                <w:sz w:val="20"/>
                <w:szCs w:val="20"/>
              </w:rPr>
              <w:t xml:space="preserve">270/307 (87.9) </w:t>
            </w:r>
          </w:p>
        </w:tc>
        <w:tc>
          <w:tcPr>
            <w:tcW w:w="1247" w:type="pct"/>
          </w:tcPr>
          <w:p w14:paraId="5F10D3A3" w14:textId="77777777" w:rsidR="008A3252" w:rsidRDefault="008A3252" w:rsidP="009B153D">
            <w:pPr>
              <w:pStyle w:val="Style"/>
              <w:ind w:left="34"/>
              <w:jc w:val="center"/>
              <w:textAlignment w:val="baseline"/>
            </w:pPr>
            <w:r>
              <w:rPr>
                <w:sz w:val="20"/>
                <w:szCs w:val="20"/>
              </w:rPr>
              <w:t xml:space="preserve">87/156 (55.8) </w:t>
            </w:r>
          </w:p>
        </w:tc>
      </w:tr>
      <w:tr w:rsidR="008A3252" w14:paraId="69AC772F" w14:textId="77777777" w:rsidTr="006D2B99">
        <w:trPr>
          <w:trHeight w:hRule="exact" w:val="394"/>
        </w:trPr>
        <w:tc>
          <w:tcPr>
            <w:tcW w:w="1561" w:type="pct"/>
          </w:tcPr>
          <w:p w14:paraId="01B24C20" w14:textId="6EAA6751" w:rsidR="008A3252" w:rsidRDefault="008A3252" w:rsidP="009B153D">
            <w:pPr>
              <w:pStyle w:val="Style"/>
              <w:ind w:left="120"/>
              <w:textAlignment w:val="baseline"/>
            </w:pPr>
            <w:r>
              <w:rPr>
                <w:sz w:val="23"/>
                <w:szCs w:val="23"/>
              </w:rPr>
              <w:t xml:space="preserve">Odds ratio </w:t>
            </w:r>
            <w:r w:rsidR="004858E7">
              <w:rPr>
                <w:sz w:val="23"/>
                <w:szCs w:val="23"/>
              </w:rPr>
              <w:t>versus</w:t>
            </w:r>
            <w:r>
              <w:rPr>
                <w:sz w:val="23"/>
                <w:szCs w:val="23"/>
              </w:rPr>
              <w:t xml:space="preserve"> PBO </w:t>
            </w:r>
            <w:r>
              <w:rPr>
                <w:w w:val="107"/>
                <w:sz w:val="12"/>
                <w:szCs w:val="12"/>
              </w:rPr>
              <w:t xml:space="preserve">a </w:t>
            </w:r>
          </w:p>
        </w:tc>
        <w:tc>
          <w:tcPr>
            <w:tcW w:w="943" w:type="pct"/>
          </w:tcPr>
          <w:p w14:paraId="301F255E" w14:textId="77777777" w:rsidR="008A3252" w:rsidRDefault="008A3252" w:rsidP="009B153D">
            <w:pPr>
              <w:pStyle w:val="Style"/>
              <w:ind w:left="14"/>
              <w:jc w:val="center"/>
              <w:textAlignment w:val="baseline"/>
            </w:pPr>
            <w:r>
              <w:rPr>
                <w:w w:val="110"/>
                <w:sz w:val="18"/>
                <w:szCs w:val="18"/>
              </w:rPr>
              <w:t xml:space="preserve">- </w:t>
            </w:r>
          </w:p>
        </w:tc>
        <w:tc>
          <w:tcPr>
            <w:tcW w:w="1249" w:type="pct"/>
          </w:tcPr>
          <w:p w14:paraId="35E95467" w14:textId="77777777" w:rsidR="008A3252" w:rsidRDefault="008A3252" w:rsidP="009B153D">
            <w:pPr>
              <w:pStyle w:val="Style"/>
              <w:ind w:left="19"/>
              <w:jc w:val="center"/>
              <w:textAlignment w:val="baseline"/>
            </w:pPr>
            <w:r>
              <w:rPr>
                <w:sz w:val="20"/>
                <w:szCs w:val="20"/>
              </w:rPr>
              <w:t xml:space="preserve">118.762 </w:t>
            </w:r>
          </w:p>
        </w:tc>
        <w:tc>
          <w:tcPr>
            <w:tcW w:w="1247" w:type="pct"/>
          </w:tcPr>
          <w:p w14:paraId="5357C850" w14:textId="77777777" w:rsidR="008A3252" w:rsidRDefault="008A3252" w:rsidP="009B153D">
            <w:pPr>
              <w:pStyle w:val="Style"/>
              <w:ind w:left="34"/>
              <w:jc w:val="center"/>
              <w:textAlignment w:val="baseline"/>
            </w:pPr>
            <w:r>
              <w:rPr>
                <w:w w:val="110"/>
                <w:sz w:val="18"/>
                <w:szCs w:val="18"/>
              </w:rPr>
              <w:t xml:space="preserve">- </w:t>
            </w:r>
          </w:p>
        </w:tc>
      </w:tr>
      <w:tr w:rsidR="008A3252" w14:paraId="261F095F" w14:textId="77777777" w:rsidTr="006D2B99">
        <w:trPr>
          <w:trHeight w:hRule="exact" w:val="384"/>
        </w:trPr>
        <w:tc>
          <w:tcPr>
            <w:tcW w:w="1561" w:type="pct"/>
          </w:tcPr>
          <w:p w14:paraId="186522EA" w14:textId="77777777" w:rsidR="008A3252" w:rsidRDefault="008A3252" w:rsidP="009B153D">
            <w:pPr>
              <w:pStyle w:val="Style"/>
              <w:ind w:left="389"/>
              <w:textAlignment w:val="baseline"/>
            </w:pPr>
            <w:r>
              <w:rPr>
                <w:sz w:val="20"/>
                <w:szCs w:val="20"/>
              </w:rPr>
              <w:t xml:space="preserve">95% CI </w:t>
            </w:r>
            <w:r>
              <w:rPr>
                <w:sz w:val="23"/>
                <w:szCs w:val="23"/>
              </w:rPr>
              <w:t xml:space="preserve">for odds ratio </w:t>
            </w:r>
          </w:p>
        </w:tc>
        <w:tc>
          <w:tcPr>
            <w:tcW w:w="943" w:type="pct"/>
          </w:tcPr>
          <w:p w14:paraId="7AF92081" w14:textId="77777777" w:rsidR="008A3252" w:rsidRDefault="008A3252" w:rsidP="009B153D">
            <w:pPr>
              <w:pStyle w:val="Style"/>
              <w:ind w:left="14"/>
              <w:jc w:val="center"/>
              <w:textAlignment w:val="baseline"/>
            </w:pPr>
            <w:r>
              <w:rPr>
                <w:w w:val="110"/>
                <w:sz w:val="18"/>
                <w:szCs w:val="18"/>
              </w:rPr>
              <w:t xml:space="preserve">- </w:t>
            </w:r>
          </w:p>
        </w:tc>
        <w:tc>
          <w:tcPr>
            <w:tcW w:w="1249" w:type="pct"/>
          </w:tcPr>
          <w:p w14:paraId="4260E93A" w14:textId="77777777" w:rsidR="008A3252" w:rsidRDefault="008A3252" w:rsidP="009B153D">
            <w:pPr>
              <w:pStyle w:val="Style"/>
              <w:ind w:left="19"/>
              <w:jc w:val="center"/>
              <w:textAlignment w:val="baseline"/>
            </w:pPr>
            <w:r>
              <w:rPr>
                <w:sz w:val="20"/>
                <w:szCs w:val="20"/>
              </w:rPr>
              <w:t xml:space="preserve">36.701, 384.307 </w:t>
            </w:r>
          </w:p>
        </w:tc>
        <w:tc>
          <w:tcPr>
            <w:tcW w:w="1247" w:type="pct"/>
          </w:tcPr>
          <w:p w14:paraId="1AE0335C" w14:textId="77777777" w:rsidR="008A3252" w:rsidRDefault="008A3252" w:rsidP="009B153D">
            <w:pPr>
              <w:pStyle w:val="Style"/>
              <w:ind w:left="34"/>
              <w:jc w:val="center"/>
              <w:textAlignment w:val="baseline"/>
            </w:pPr>
            <w:r>
              <w:rPr>
                <w:w w:val="110"/>
                <w:sz w:val="18"/>
                <w:szCs w:val="18"/>
              </w:rPr>
              <w:t xml:space="preserve">- </w:t>
            </w:r>
          </w:p>
        </w:tc>
      </w:tr>
      <w:tr w:rsidR="008A3252" w14:paraId="206CA41C" w14:textId="77777777" w:rsidTr="006D2B99">
        <w:trPr>
          <w:trHeight w:hRule="exact" w:val="394"/>
        </w:trPr>
        <w:tc>
          <w:tcPr>
            <w:tcW w:w="1561" w:type="pct"/>
          </w:tcPr>
          <w:p w14:paraId="0FB736CA" w14:textId="77777777" w:rsidR="008A3252" w:rsidRDefault="008A3252" w:rsidP="009B153D">
            <w:pPr>
              <w:pStyle w:val="Style"/>
              <w:ind w:left="389"/>
              <w:textAlignment w:val="baseline"/>
            </w:pPr>
            <w:r>
              <w:rPr>
                <w:sz w:val="23"/>
                <w:szCs w:val="23"/>
              </w:rPr>
              <w:t xml:space="preserve">p-value </w:t>
            </w:r>
            <w:r>
              <w:rPr>
                <w:rFonts w:ascii="Arial" w:eastAsia="Arial" w:hAnsi="Arial" w:cs="Arial"/>
                <w:sz w:val="12"/>
                <w:szCs w:val="12"/>
              </w:rPr>
              <w:t xml:space="preserve">b </w:t>
            </w:r>
          </w:p>
        </w:tc>
        <w:tc>
          <w:tcPr>
            <w:tcW w:w="943" w:type="pct"/>
          </w:tcPr>
          <w:p w14:paraId="02BD9C7B" w14:textId="77777777" w:rsidR="008A3252" w:rsidRDefault="008A3252" w:rsidP="009B153D">
            <w:pPr>
              <w:pStyle w:val="Style"/>
              <w:ind w:left="14"/>
              <w:jc w:val="center"/>
              <w:textAlignment w:val="baseline"/>
            </w:pPr>
            <w:r>
              <w:rPr>
                <w:w w:val="110"/>
                <w:sz w:val="18"/>
                <w:szCs w:val="18"/>
              </w:rPr>
              <w:t xml:space="preserve">- </w:t>
            </w:r>
          </w:p>
        </w:tc>
        <w:tc>
          <w:tcPr>
            <w:tcW w:w="1249" w:type="pct"/>
          </w:tcPr>
          <w:p w14:paraId="3F28DDE5" w14:textId="77777777" w:rsidR="008A3252" w:rsidRDefault="008A3252" w:rsidP="009B153D">
            <w:pPr>
              <w:pStyle w:val="Style"/>
              <w:ind w:left="19"/>
              <w:jc w:val="center"/>
              <w:textAlignment w:val="baseline"/>
            </w:pPr>
            <w:r>
              <w:rPr>
                <w:sz w:val="20"/>
                <w:szCs w:val="20"/>
              </w:rPr>
              <w:t xml:space="preserve">&lt;0.001 </w:t>
            </w:r>
          </w:p>
        </w:tc>
        <w:tc>
          <w:tcPr>
            <w:tcW w:w="1247" w:type="pct"/>
          </w:tcPr>
          <w:p w14:paraId="1DD5716A" w14:textId="77777777" w:rsidR="008A3252" w:rsidRDefault="008A3252" w:rsidP="009B153D">
            <w:pPr>
              <w:pStyle w:val="Style"/>
              <w:ind w:left="34"/>
              <w:jc w:val="center"/>
              <w:textAlignment w:val="baseline"/>
            </w:pPr>
            <w:r>
              <w:rPr>
                <w:w w:val="110"/>
                <w:sz w:val="18"/>
                <w:szCs w:val="18"/>
              </w:rPr>
              <w:t xml:space="preserve">- </w:t>
            </w:r>
          </w:p>
        </w:tc>
      </w:tr>
      <w:tr w:rsidR="008A3252" w14:paraId="2E584C32" w14:textId="77777777" w:rsidTr="006D2B99">
        <w:trPr>
          <w:trHeight w:hRule="exact" w:val="384"/>
        </w:trPr>
        <w:tc>
          <w:tcPr>
            <w:tcW w:w="1561" w:type="pct"/>
          </w:tcPr>
          <w:p w14:paraId="02E08D48" w14:textId="34D95BA7" w:rsidR="008A3252" w:rsidRDefault="008A3252" w:rsidP="009B153D">
            <w:pPr>
              <w:pStyle w:val="Style"/>
              <w:ind w:left="120"/>
              <w:textAlignment w:val="baseline"/>
            </w:pPr>
            <w:r>
              <w:rPr>
                <w:sz w:val="23"/>
                <w:szCs w:val="23"/>
              </w:rPr>
              <w:t xml:space="preserve">Odds ratio </w:t>
            </w:r>
            <w:r w:rsidR="004858E7">
              <w:rPr>
                <w:sz w:val="23"/>
                <w:szCs w:val="23"/>
              </w:rPr>
              <w:t>versus</w:t>
            </w:r>
            <w:r>
              <w:rPr>
                <w:sz w:val="23"/>
                <w:szCs w:val="23"/>
              </w:rPr>
              <w:t xml:space="preserve"> U </w:t>
            </w:r>
            <w:proofErr w:type="spellStart"/>
            <w:r>
              <w:rPr>
                <w:sz w:val="23"/>
                <w:szCs w:val="23"/>
              </w:rPr>
              <w:t>ste</w:t>
            </w:r>
            <w:proofErr w:type="spellEnd"/>
            <w:r>
              <w:rPr>
                <w:sz w:val="23"/>
                <w:szCs w:val="23"/>
              </w:rPr>
              <w:t xml:space="preserve"> </w:t>
            </w:r>
            <w:r>
              <w:rPr>
                <w:w w:val="107"/>
                <w:sz w:val="12"/>
                <w:szCs w:val="12"/>
              </w:rPr>
              <w:t xml:space="preserve">a </w:t>
            </w:r>
          </w:p>
        </w:tc>
        <w:tc>
          <w:tcPr>
            <w:tcW w:w="943" w:type="pct"/>
          </w:tcPr>
          <w:p w14:paraId="7B98C517" w14:textId="77777777" w:rsidR="008A3252" w:rsidRDefault="008A3252" w:rsidP="009B153D">
            <w:pPr>
              <w:pStyle w:val="Style"/>
              <w:ind w:left="14"/>
              <w:jc w:val="center"/>
              <w:textAlignment w:val="baseline"/>
            </w:pPr>
            <w:r>
              <w:rPr>
                <w:w w:val="110"/>
                <w:sz w:val="18"/>
                <w:szCs w:val="18"/>
              </w:rPr>
              <w:t xml:space="preserve">- </w:t>
            </w:r>
          </w:p>
        </w:tc>
        <w:tc>
          <w:tcPr>
            <w:tcW w:w="1249" w:type="pct"/>
          </w:tcPr>
          <w:p w14:paraId="2ECDFD91" w14:textId="77777777" w:rsidR="008A3252" w:rsidRDefault="008A3252" w:rsidP="009B153D">
            <w:pPr>
              <w:pStyle w:val="Style"/>
              <w:ind w:left="19"/>
              <w:jc w:val="center"/>
              <w:textAlignment w:val="baseline"/>
            </w:pPr>
            <w:r>
              <w:rPr>
                <w:sz w:val="20"/>
                <w:szCs w:val="20"/>
              </w:rPr>
              <w:t xml:space="preserve">4.809 </w:t>
            </w:r>
          </w:p>
        </w:tc>
        <w:tc>
          <w:tcPr>
            <w:tcW w:w="1247" w:type="pct"/>
          </w:tcPr>
          <w:p w14:paraId="2F8577F9" w14:textId="77777777" w:rsidR="008A3252" w:rsidRDefault="008A3252" w:rsidP="009B153D">
            <w:pPr>
              <w:pStyle w:val="Style"/>
              <w:ind w:left="34"/>
              <w:jc w:val="center"/>
              <w:textAlignment w:val="baseline"/>
            </w:pPr>
            <w:r>
              <w:rPr>
                <w:w w:val="110"/>
                <w:sz w:val="18"/>
                <w:szCs w:val="18"/>
              </w:rPr>
              <w:t xml:space="preserve">- </w:t>
            </w:r>
          </w:p>
        </w:tc>
      </w:tr>
      <w:tr w:rsidR="008A3252" w14:paraId="176BFEB6" w14:textId="77777777" w:rsidTr="006D2B99">
        <w:trPr>
          <w:trHeight w:hRule="exact" w:val="384"/>
        </w:trPr>
        <w:tc>
          <w:tcPr>
            <w:tcW w:w="1561" w:type="pct"/>
          </w:tcPr>
          <w:p w14:paraId="0C6FF19C" w14:textId="77777777" w:rsidR="008A3252" w:rsidRDefault="008A3252" w:rsidP="009B153D">
            <w:pPr>
              <w:pStyle w:val="Style"/>
              <w:ind w:left="389"/>
              <w:textAlignment w:val="baseline"/>
            </w:pPr>
            <w:r>
              <w:rPr>
                <w:sz w:val="20"/>
                <w:szCs w:val="20"/>
              </w:rPr>
              <w:t xml:space="preserve">95% CI </w:t>
            </w:r>
            <w:r>
              <w:rPr>
                <w:sz w:val="23"/>
                <w:szCs w:val="23"/>
              </w:rPr>
              <w:t xml:space="preserve">for odds ratio </w:t>
            </w:r>
          </w:p>
        </w:tc>
        <w:tc>
          <w:tcPr>
            <w:tcW w:w="943" w:type="pct"/>
          </w:tcPr>
          <w:p w14:paraId="3D94A02D" w14:textId="77777777" w:rsidR="008A3252" w:rsidRDefault="008A3252" w:rsidP="009B153D">
            <w:pPr>
              <w:pStyle w:val="Style"/>
              <w:ind w:left="14"/>
              <w:jc w:val="center"/>
              <w:textAlignment w:val="baseline"/>
            </w:pPr>
            <w:r>
              <w:rPr>
                <w:w w:val="110"/>
                <w:sz w:val="18"/>
                <w:szCs w:val="18"/>
              </w:rPr>
              <w:t xml:space="preserve">- </w:t>
            </w:r>
          </w:p>
        </w:tc>
        <w:tc>
          <w:tcPr>
            <w:tcW w:w="1249" w:type="pct"/>
          </w:tcPr>
          <w:p w14:paraId="09D1A229" w14:textId="77777777" w:rsidR="008A3252" w:rsidRDefault="008A3252" w:rsidP="009B153D">
            <w:pPr>
              <w:pStyle w:val="Style"/>
              <w:ind w:left="19"/>
              <w:jc w:val="center"/>
              <w:textAlignment w:val="baseline"/>
            </w:pPr>
            <w:r>
              <w:rPr>
                <w:sz w:val="20"/>
                <w:szCs w:val="20"/>
              </w:rPr>
              <w:t xml:space="preserve">3.096, 7.470 </w:t>
            </w:r>
          </w:p>
        </w:tc>
        <w:tc>
          <w:tcPr>
            <w:tcW w:w="1247" w:type="pct"/>
          </w:tcPr>
          <w:p w14:paraId="4A46C121" w14:textId="77777777" w:rsidR="008A3252" w:rsidRDefault="008A3252" w:rsidP="009B153D">
            <w:pPr>
              <w:pStyle w:val="Style"/>
              <w:ind w:left="34"/>
              <w:jc w:val="center"/>
              <w:textAlignment w:val="baseline"/>
            </w:pPr>
            <w:r>
              <w:rPr>
                <w:w w:val="110"/>
                <w:sz w:val="18"/>
                <w:szCs w:val="18"/>
              </w:rPr>
              <w:t xml:space="preserve">- </w:t>
            </w:r>
          </w:p>
        </w:tc>
      </w:tr>
      <w:tr w:rsidR="008A3252" w14:paraId="73FA81F3" w14:textId="77777777" w:rsidTr="006D2B99">
        <w:trPr>
          <w:trHeight w:hRule="exact" w:val="394"/>
        </w:trPr>
        <w:tc>
          <w:tcPr>
            <w:tcW w:w="1561" w:type="pct"/>
          </w:tcPr>
          <w:p w14:paraId="251738ED" w14:textId="77777777" w:rsidR="008A3252" w:rsidRDefault="008A3252" w:rsidP="009B153D">
            <w:pPr>
              <w:pStyle w:val="Style"/>
              <w:ind w:left="389"/>
              <w:textAlignment w:val="baseline"/>
            </w:pPr>
            <w:r>
              <w:rPr>
                <w:sz w:val="23"/>
                <w:szCs w:val="23"/>
              </w:rPr>
              <w:t xml:space="preserve">p-value </w:t>
            </w:r>
            <w:r>
              <w:rPr>
                <w:rFonts w:ascii="Arial" w:eastAsia="Arial" w:hAnsi="Arial" w:cs="Arial"/>
                <w:sz w:val="12"/>
                <w:szCs w:val="12"/>
              </w:rPr>
              <w:t xml:space="preserve">b </w:t>
            </w:r>
          </w:p>
        </w:tc>
        <w:tc>
          <w:tcPr>
            <w:tcW w:w="943" w:type="pct"/>
          </w:tcPr>
          <w:p w14:paraId="06EFA768" w14:textId="77777777" w:rsidR="008A3252" w:rsidRDefault="008A3252" w:rsidP="009B153D">
            <w:pPr>
              <w:pStyle w:val="Style"/>
              <w:ind w:left="14"/>
              <w:jc w:val="center"/>
              <w:textAlignment w:val="baseline"/>
            </w:pPr>
            <w:r>
              <w:rPr>
                <w:w w:val="110"/>
                <w:sz w:val="18"/>
                <w:szCs w:val="18"/>
              </w:rPr>
              <w:t xml:space="preserve">- </w:t>
            </w:r>
          </w:p>
        </w:tc>
        <w:tc>
          <w:tcPr>
            <w:tcW w:w="1249" w:type="pct"/>
          </w:tcPr>
          <w:p w14:paraId="32F5E2F3" w14:textId="77777777" w:rsidR="008A3252" w:rsidRDefault="008A3252" w:rsidP="009B153D">
            <w:pPr>
              <w:pStyle w:val="Style"/>
              <w:ind w:left="19"/>
              <w:jc w:val="center"/>
              <w:textAlignment w:val="baseline"/>
            </w:pPr>
            <w:r>
              <w:rPr>
                <w:sz w:val="20"/>
                <w:szCs w:val="20"/>
              </w:rPr>
              <w:t xml:space="preserve">&lt;0.001 </w:t>
            </w:r>
          </w:p>
        </w:tc>
        <w:tc>
          <w:tcPr>
            <w:tcW w:w="1247" w:type="pct"/>
          </w:tcPr>
          <w:p w14:paraId="1E105786" w14:textId="77777777" w:rsidR="008A3252" w:rsidRDefault="008A3252" w:rsidP="009B153D">
            <w:pPr>
              <w:pStyle w:val="Style"/>
              <w:ind w:left="34"/>
              <w:jc w:val="center"/>
              <w:textAlignment w:val="baseline"/>
            </w:pPr>
            <w:r>
              <w:rPr>
                <w:w w:val="110"/>
                <w:sz w:val="18"/>
                <w:szCs w:val="18"/>
              </w:rPr>
              <w:t xml:space="preserve">- </w:t>
            </w:r>
          </w:p>
        </w:tc>
      </w:tr>
      <w:tr w:rsidR="008A3252" w14:paraId="57EB45AD" w14:textId="77777777" w:rsidTr="006D2B99">
        <w:trPr>
          <w:trHeight w:hRule="exact" w:val="384"/>
        </w:trPr>
        <w:tc>
          <w:tcPr>
            <w:tcW w:w="1561" w:type="pct"/>
          </w:tcPr>
          <w:p w14:paraId="6C58320C" w14:textId="77777777" w:rsidR="008A3252" w:rsidRDefault="008A3252" w:rsidP="009B153D">
            <w:pPr>
              <w:pStyle w:val="Style"/>
              <w:ind w:left="120"/>
              <w:textAlignment w:val="baseline"/>
            </w:pPr>
            <w:r>
              <w:rPr>
                <w:sz w:val="23"/>
                <w:szCs w:val="23"/>
              </w:rPr>
              <w:t xml:space="preserve">Risk difference </w:t>
            </w:r>
            <w:r>
              <w:rPr>
                <w:rFonts w:ascii="Arial" w:eastAsia="Arial" w:hAnsi="Arial" w:cs="Arial"/>
                <w:sz w:val="11"/>
                <w:szCs w:val="11"/>
              </w:rPr>
              <w:t xml:space="preserve">c </w:t>
            </w:r>
          </w:p>
        </w:tc>
        <w:tc>
          <w:tcPr>
            <w:tcW w:w="943" w:type="pct"/>
          </w:tcPr>
          <w:p w14:paraId="0E84F06C" w14:textId="77777777" w:rsidR="008A3252" w:rsidRDefault="008A3252" w:rsidP="009B153D">
            <w:pPr>
              <w:pStyle w:val="Style"/>
              <w:ind w:left="14"/>
              <w:jc w:val="center"/>
              <w:textAlignment w:val="baseline"/>
            </w:pPr>
            <w:r>
              <w:rPr>
                <w:sz w:val="20"/>
                <w:szCs w:val="20"/>
              </w:rPr>
              <w:t xml:space="preserve">78.9 </w:t>
            </w:r>
          </w:p>
        </w:tc>
        <w:tc>
          <w:tcPr>
            <w:tcW w:w="1249" w:type="pct"/>
          </w:tcPr>
          <w:p w14:paraId="1D080EAB" w14:textId="77777777" w:rsidR="008A3252" w:rsidRDefault="008A3252" w:rsidP="009B153D">
            <w:pPr>
              <w:pStyle w:val="Style"/>
              <w:ind w:left="19"/>
              <w:jc w:val="center"/>
              <w:textAlignment w:val="baseline"/>
            </w:pPr>
            <w:r>
              <w:rPr>
                <w:w w:val="110"/>
                <w:sz w:val="18"/>
                <w:szCs w:val="18"/>
              </w:rPr>
              <w:t xml:space="preserve">- </w:t>
            </w:r>
          </w:p>
        </w:tc>
        <w:tc>
          <w:tcPr>
            <w:tcW w:w="1247" w:type="pct"/>
          </w:tcPr>
          <w:p w14:paraId="592768C5" w14:textId="77777777" w:rsidR="008A3252" w:rsidRDefault="008A3252" w:rsidP="009B153D">
            <w:pPr>
              <w:pStyle w:val="Style"/>
              <w:ind w:left="34"/>
              <w:jc w:val="center"/>
              <w:textAlignment w:val="baseline"/>
            </w:pPr>
            <w:r>
              <w:rPr>
                <w:sz w:val="20"/>
                <w:szCs w:val="20"/>
              </w:rPr>
              <w:t xml:space="preserve">30.4 </w:t>
            </w:r>
          </w:p>
        </w:tc>
      </w:tr>
      <w:tr w:rsidR="008A3252" w14:paraId="535AB040" w14:textId="77777777" w:rsidTr="006D2B99">
        <w:trPr>
          <w:trHeight w:hRule="exact" w:val="666"/>
        </w:trPr>
        <w:tc>
          <w:tcPr>
            <w:tcW w:w="1561" w:type="pct"/>
          </w:tcPr>
          <w:p w14:paraId="77DCDE34" w14:textId="77777777" w:rsidR="008A3252" w:rsidRDefault="008A3252" w:rsidP="009B153D">
            <w:pPr>
              <w:pStyle w:val="Style"/>
              <w:ind w:left="389"/>
              <w:textAlignment w:val="baseline"/>
            </w:pPr>
            <w:r>
              <w:rPr>
                <w:sz w:val="20"/>
                <w:szCs w:val="20"/>
              </w:rPr>
              <w:t xml:space="preserve">95% CI </w:t>
            </w:r>
            <w:r>
              <w:rPr>
                <w:sz w:val="23"/>
                <w:szCs w:val="23"/>
              </w:rPr>
              <w:t xml:space="preserve">for risk difference </w:t>
            </w:r>
          </w:p>
        </w:tc>
        <w:tc>
          <w:tcPr>
            <w:tcW w:w="943" w:type="pct"/>
          </w:tcPr>
          <w:p w14:paraId="6F45615B" w14:textId="77777777" w:rsidR="008A3252" w:rsidRDefault="008A3252" w:rsidP="009B153D">
            <w:pPr>
              <w:pStyle w:val="Style"/>
              <w:ind w:left="14"/>
              <w:jc w:val="center"/>
              <w:textAlignment w:val="baseline"/>
            </w:pPr>
            <w:r>
              <w:rPr>
                <w:sz w:val="20"/>
                <w:szCs w:val="20"/>
              </w:rPr>
              <w:t xml:space="preserve">72.9, 84.8 </w:t>
            </w:r>
          </w:p>
        </w:tc>
        <w:tc>
          <w:tcPr>
            <w:tcW w:w="1249" w:type="pct"/>
          </w:tcPr>
          <w:p w14:paraId="53B4D2A0" w14:textId="77777777" w:rsidR="008A3252" w:rsidRDefault="008A3252" w:rsidP="009B153D">
            <w:pPr>
              <w:pStyle w:val="Style"/>
              <w:ind w:left="19"/>
              <w:jc w:val="center"/>
              <w:textAlignment w:val="baseline"/>
            </w:pPr>
            <w:r>
              <w:rPr>
                <w:w w:val="110"/>
                <w:sz w:val="18"/>
                <w:szCs w:val="18"/>
              </w:rPr>
              <w:t xml:space="preserve">- </w:t>
            </w:r>
          </w:p>
        </w:tc>
        <w:tc>
          <w:tcPr>
            <w:tcW w:w="1247" w:type="pct"/>
          </w:tcPr>
          <w:p w14:paraId="5B01139F" w14:textId="77777777" w:rsidR="008A3252" w:rsidRDefault="008A3252" w:rsidP="009B153D">
            <w:pPr>
              <w:pStyle w:val="Style"/>
              <w:ind w:left="34"/>
              <w:jc w:val="center"/>
              <w:textAlignment w:val="baseline"/>
            </w:pPr>
            <w:r>
              <w:rPr>
                <w:sz w:val="20"/>
                <w:szCs w:val="20"/>
              </w:rPr>
              <w:t xml:space="preserve">22.2, 38.7 </w:t>
            </w:r>
          </w:p>
        </w:tc>
      </w:tr>
    </w:tbl>
    <w:p w14:paraId="7A025F14" w14:textId="5B4B5EE0" w:rsidR="00FE31D9" w:rsidRDefault="00A944B3" w:rsidP="00FE31D9">
      <w:pPr>
        <w:pStyle w:val="TableDescription"/>
      </w:pPr>
      <w:r>
        <w:t>Abbreviations</w:t>
      </w:r>
      <w:r w:rsidR="00AF4D50">
        <w:t xml:space="preserve">: </w:t>
      </w:r>
      <w:r w:rsidR="00FE31D9">
        <w:t xml:space="preserve">BKZ = </w:t>
      </w:r>
      <w:proofErr w:type="spellStart"/>
      <w:r w:rsidR="00FE31D9">
        <w:t>bimekizumab</w:t>
      </w:r>
      <w:proofErr w:type="spellEnd"/>
      <w:r w:rsidR="00FE31D9">
        <w:t xml:space="preserve">; CI = confidence interval; CMH = Cochran-Mantel-Haenszel; IGA = Investigator’s Global Assessment; NRI = </w:t>
      </w:r>
      <w:proofErr w:type="spellStart"/>
      <w:r w:rsidR="00FE31D9">
        <w:t>nonresponder</w:t>
      </w:r>
      <w:proofErr w:type="spellEnd"/>
      <w:r w:rsidR="00FE31D9">
        <w:t xml:space="preserve"> imputation; PBO = placebo; Q4W = every 4 weeks; RS = Randomised Set; </w:t>
      </w:r>
      <w:proofErr w:type="spellStart"/>
      <w:r w:rsidR="00FE31D9">
        <w:t>Uste</w:t>
      </w:r>
      <w:proofErr w:type="spellEnd"/>
      <w:r w:rsidR="00FE31D9">
        <w:t xml:space="preserve"> = </w:t>
      </w:r>
      <w:proofErr w:type="spellStart"/>
      <w:r w:rsidR="00FE31D9">
        <w:t>ustekinumab</w:t>
      </w:r>
      <w:proofErr w:type="spellEnd"/>
    </w:p>
    <w:p w14:paraId="48068265" w14:textId="77777777" w:rsidR="00FE31D9" w:rsidRDefault="00FE31D9" w:rsidP="00FE31D9">
      <w:pPr>
        <w:pStyle w:val="TableDescription"/>
      </w:pPr>
      <w:r>
        <w:t xml:space="preserve">Note: Study participants with missing data at a given week were counted as </w:t>
      </w:r>
      <w:proofErr w:type="spellStart"/>
      <w:r>
        <w:t>nonresponders</w:t>
      </w:r>
      <w:proofErr w:type="spellEnd"/>
      <w:r>
        <w:t>.</w:t>
      </w:r>
    </w:p>
    <w:p w14:paraId="728AEAF1" w14:textId="793D452C" w:rsidR="00FE31D9" w:rsidRDefault="00FE31D9" w:rsidP="00FE31D9">
      <w:pPr>
        <w:pStyle w:val="TableDescription"/>
      </w:pPr>
      <w:r>
        <w:t xml:space="preserve">Note: </w:t>
      </w:r>
      <w:proofErr w:type="spellStart"/>
      <w:r>
        <w:t>Nsub</w:t>
      </w:r>
      <w:proofErr w:type="spellEnd"/>
      <w:r>
        <w:t xml:space="preserve"> represents the number of study participants with a </w:t>
      </w:r>
      <w:proofErr w:type="spellStart"/>
      <w:r>
        <w:t>nonmissing</w:t>
      </w:r>
      <w:proofErr w:type="spellEnd"/>
      <w:r>
        <w:t xml:space="preserve"> measurement for IGA at the given week, and percentages were calculated accordingly.</w:t>
      </w:r>
    </w:p>
    <w:p w14:paraId="571AE3C7" w14:textId="4024FB53" w:rsidR="00FE31D9" w:rsidRDefault="00FE31D9" w:rsidP="00FE31D9">
      <w:pPr>
        <w:pStyle w:val="TableDescription"/>
      </w:pPr>
      <w:r>
        <w:t>Note: The evaluation of noninferiority was tested at a 1-sided alpha level of 0.025 and based on a 1-sided 97.5% CI and a noninferiority margin of 10%.</w:t>
      </w:r>
    </w:p>
    <w:p w14:paraId="6ACD7583" w14:textId="286E25A7" w:rsidR="00FE31D9" w:rsidRDefault="00FE31D9" w:rsidP="00FE31D9">
      <w:pPr>
        <w:pStyle w:val="TableDescription"/>
      </w:pPr>
      <w:r>
        <w:t xml:space="preserve">Note: IGA 0/1 response is defined as Clear (0) or almost clear (1) with at least a </w:t>
      </w:r>
      <w:proofErr w:type="gramStart"/>
      <w:r>
        <w:t>2 category</w:t>
      </w:r>
      <w:proofErr w:type="gramEnd"/>
      <w:r>
        <w:t xml:space="preserve"> improvement from Baseline.</w:t>
      </w:r>
    </w:p>
    <w:p w14:paraId="67220CD6" w14:textId="77777777" w:rsidR="00FE31D9" w:rsidRDefault="00FE31D9" w:rsidP="00FE31D9">
      <w:pPr>
        <w:pStyle w:val="TableDescription"/>
      </w:pPr>
      <w:proofErr w:type="spellStart"/>
      <w:proofErr w:type="gramStart"/>
      <w:r>
        <w:t>a</w:t>
      </w:r>
      <w:proofErr w:type="spellEnd"/>
      <w:proofErr w:type="gramEnd"/>
      <w:r>
        <w:t xml:space="preserve"> Odds ratio calculated using stratified CMH test with region and prior biologic exposure as stratification variables.</w:t>
      </w:r>
    </w:p>
    <w:p w14:paraId="20535D76" w14:textId="77777777" w:rsidR="00FE31D9" w:rsidRDefault="00FE31D9" w:rsidP="00FE31D9">
      <w:pPr>
        <w:pStyle w:val="TableDescription"/>
      </w:pPr>
      <w:r>
        <w:t>b P-values for the comparison of treatment groups were based on the CMH test from the general association.</w:t>
      </w:r>
    </w:p>
    <w:p w14:paraId="46822577" w14:textId="39354B0A" w:rsidR="00FE31D9" w:rsidRDefault="00FE31D9" w:rsidP="00FE31D9">
      <w:pPr>
        <w:pStyle w:val="TableDescription"/>
      </w:pPr>
      <w:r>
        <w:t>c Risk difference: BKZ-PBO or BKZ-</w:t>
      </w:r>
      <w:proofErr w:type="spellStart"/>
      <w:r>
        <w:t>Uste</w:t>
      </w:r>
      <w:proofErr w:type="spellEnd"/>
      <w:r>
        <w:t xml:space="preserve"> were calculated using stratified CMH</w:t>
      </w:r>
    </w:p>
    <w:p w14:paraId="6EA2B3DC" w14:textId="4BD50734" w:rsidR="006D2B99" w:rsidRDefault="006D2B99" w:rsidP="006D2B99">
      <w:pPr>
        <w:pStyle w:val="Heading6"/>
      </w:pPr>
      <w:r>
        <w:lastRenderedPageBreak/>
        <w:t>Secondary endpoints outcome</w:t>
      </w:r>
    </w:p>
    <w:p w14:paraId="72DB0364" w14:textId="4646575D" w:rsidR="006D2B99" w:rsidRDefault="006D2B99" w:rsidP="006D2B99">
      <w:r>
        <w:t xml:space="preserve">For the </w:t>
      </w:r>
      <w:proofErr w:type="spellStart"/>
      <w:r>
        <w:t>PASl</w:t>
      </w:r>
      <w:proofErr w:type="spellEnd"/>
      <w:r>
        <w:t xml:space="preserve"> 100 response rate at Week 16:</w:t>
      </w:r>
    </w:p>
    <w:p w14:paraId="2F25F2A8" w14:textId="5CCF39B8" w:rsidR="006D2B99" w:rsidRDefault="006D2B99" w:rsidP="006D2B99">
      <w:pPr>
        <w:pStyle w:val="ListBullet"/>
      </w:pPr>
      <w:r>
        <w:t xml:space="preserve">the </w:t>
      </w:r>
      <w:proofErr w:type="spellStart"/>
      <w:r w:rsidR="008B40FD">
        <w:t>bimekizumab</w:t>
      </w:r>
      <w:proofErr w:type="spellEnd"/>
      <w:r>
        <w:t xml:space="preserve"> 320</w:t>
      </w:r>
      <w:r w:rsidR="00FE31D9">
        <w:t xml:space="preserve"> </w:t>
      </w:r>
      <w:r>
        <w:t xml:space="preserve">mg </w:t>
      </w:r>
      <w:r w:rsidR="00F23C97">
        <w:t>every 4 weeks</w:t>
      </w:r>
      <w:r>
        <w:t xml:space="preserve"> group had a higher PASI 100 response rate compared with the placebo group (58.6% </w:t>
      </w:r>
      <w:r w:rsidR="004858E7">
        <w:t>versus</w:t>
      </w:r>
      <w:r>
        <w:t xml:space="preserve"> 0%, respectively; p</w:t>
      </w:r>
      <w:r w:rsidR="00FE31D9">
        <w:t xml:space="preserve"> </w:t>
      </w:r>
      <w:r>
        <w:t>&lt;</w:t>
      </w:r>
      <w:r w:rsidR="00FE31D9">
        <w:t xml:space="preserve"> </w:t>
      </w:r>
      <w:r>
        <w:t>0.001</w:t>
      </w:r>
      <w:proofErr w:type="gramStart"/>
      <w:r>
        <w:t>);</w:t>
      </w:r>
      <w:proofErr w:type="gramEnd"/>
    </w:p>
    <w:p w14:paraId="6AEC222D" w14:textId="5C50A09D" w:rsidR="006D2B99" w:rsidRDefault="006D2B99" w:rsidP="006D2B99">
      <w:pPr>
        <w:pStyle w:val="ListBullet"/>
      </w:pPr>
      <w:r>
        <w:t xml:space="preserve">the </w:t>
      </w:r>
      <w:proofErr w:type="spellStart"/>
      <w:r w:rsidR="008B40FD">
        <w:t>bimekizumab</w:t>
      </w:r>
      <w:proofErr w:type="spellEnd"/>
      <w:r>
        <w:t xml:space="preserve"> 320</w:t>
      </w:r>
      <w:r w:rsidR="00FE31D9">
        <w:t xml:space="preserve"> </w:t>
      </w:r>
      <w:r>
        <w:t xml:space="preserve">mg </w:t>
      </w:r>
      <w:r w:rsidR="00F23C97">
        <w:t>every 4 weeks</w:t>
      </w:r>
      <w:r>
        <w:t xml:space="preserve"> group also had a higher PASI 100 response rate compared with the </w:t>
      </w:r>
      <w:proofErr w:type="spellStart"/>
      <w:r w:rsidR="004858E7">
        <w:t>ustekinumab</w:t>
      </w:r>
      <w:proofErr w:type="spellEnd"/>
      <w:r>
        <w:t xml:space="preserve"> group (58.6% </w:t>
      </w:r>
      <w:r w:rsidR="004858E7">
        <w:t>versus</w:t>
      </w:r>
      <w:r>
        <w:t xml:space="preserve"> 20.9%, respectively: nominal p</w:t>
      </w:r>
      <w:r w:rsidR="00FE31D9">
        <w:t xml:space="preserve"> </w:t>
      </w:r>
      <w:r>
        <w:t>&lt;</w:t>
      </w:r>
      <w:r w:rsidR="00FE31D9">
        <w:t xml:space="preserve"> </w:t>
      </w:r>
      <w:r>
        <w:t>0.001;)</w:t>
      </w:r>
    </w:p>
    <w:p w14:paraId="7FE81B52" w14:textId="00C6EDB3" w:rsidR="006D2B99" w:rsidRDefault="006D2B99" w:rsidP="006D2B99">
      <w:r>
        <w:t xml:space="preserve">For the </w:t>
      </w:r>
      <w:proofErr w:type="spellStart"/>
      <w:r>
        <w:t>PASl</w:t>
      </w:r>
      <w:proofErr w:type="spellEnd"/>
      <w:r>
        <w:t xml:space="preserve"> 75 response rate at Week 4:</w:t>
      </w:r>
    </w:p>
    <w:p w14:paraId="7B2555B9" w14:textId="4371918E" w:rsidR="006D2B99" w:rsidRDefault="006D2B99" w:rsidP="006D2B99">
      <w:pPr>
        <w:pStyle w:val="ListBullet"/>
      </w:pPr>
      <w:r>
        <w:t xml:space="preserve">the </w:t>
      </w:r>
      <w:proofErr w:type="spellStart"/>
      <w:r>
        <w:t>bimekizumab</w:t>
      </w:r>
      <w:proofErr w:type="spellEnd"/>
      <w:r>
        <w:t xml:space="preserve"> 320</w:t>
      </w:r>
      <w:r w:rsidR="00FE31D9">
        <w:t xml:space="preserve"> </w:t>
      </w:r>
      <w:r>
        <w:t xml:space="preserve">mg </w:t>
      </w:r>
      <w:r w:rsidR="00F23C97">
        <w:t>every 4 weeks</w:t>
      </w:r>
      <w:r>
        <w:t xml:space="preserve"> group had a higher PASI</w:t>
      </w:r>
      <w:r w:rsidR="00FE31D9">
        <w:t xml:space="preserve"> </w:t>
      </w:r>
      <w:r>
        <w:t xml:space="preserve">75 response rate compared with the placebo and </w:t>
      </w:r>
      <w:proofErr w:type="spellStart"/>
      <w:r w:rsidR="004858E7">
        <w:t>ustekinumab</w:t>
      </w:r>
      <w:proofErr w:type="spellEnd"/>
      <w:r>
        <w:t xml:space="preserve"> groups after only a single dose of </w:t>
      </w:r>
      <w:proofErr w:type="spellStart"/>
      <w:r w:rsidR="008B40FD">
        <w:t>bimekizumab</w:t>
      </w:r>
      <w:proofErr w:type="spellEnd"/>
      <w:r>
        <w:t xml:space="preserve"> (76.9% </w:t>
      </w:r>
      <w:proofErr w:type="spellStart"/>
      <w:r w:rsidR="008B40FD">
        <w:t>bimekizumab</w:t>
      </w:r>
      <w:proofErr w:type="spellEnd"/>
      <w:r>
        <w:t xml:space="preserve"> </w:t>
      </w:r>
      <w:r w:rsidR="004858E7">
        <w:t>versus</w:t>
      </w:r>
      <w:r>
        <w:t xml:space="preserve"> 2.4% placebo and 76.9% </w:t>
      </w:r>
      <w:proofErr w:type="spellStart"/>
      <w:r w:rsidR="008B40FD">
        <w:t>bimekizumab</w:t>
      </w:r>
      <w:proofErr w:type="spellEnd"/>
      <w:r>
        <w:t xml:space="preserve"> </w:t>
      </w:r>
      <w:r w:rsidR="004858E7">
        <w:t>versus</w:t>
      </w:r>
      <w:r>
        <w:t xml:space="preserve"> 15.3% </w:t>
      </w:r>
      <w:proofErr w:type="spellStart"/>
      <w:r w:rsidR="004858E7">
        <w:t>ustekinumab</w:t>
      </w:r>
      <w:proofErr w:type="spellEnd"/>
      <w:r>
        <w:t>; p</w:t>
      </w:r>
      <w:r w:rsidR="00FE31D9">
        <w:t xml:space="preserve"> </w:t>
      </w:r>
      <w:r>
        <w:t>&lt;</w:t>
      </w:r>
      <w:r w:rsidR="00FE31D9">
        <w:t xml:space="preserve"> </w:t>
      </w:r>
      <w:r>
        <w:t>0.001 for both comparisons), differences that were statistically significant</w:t>
      </w:r>
    </w:p>
    <w:p w14:paraId="62569F5A" w14:textId="0A46CCD4" w:rsidR="006D2B99" w:rsidRDefault="006D2B99" w:rsidP="006D2B99">
      <w:r>
        <w:t xml:space="preserve">For the </w:t>
      </w:r>
      <w:proofErr w:type="spellStart"/>
      <w:r>
        <w:t>PASl</w:t>
      </w:r>
      <w:proofErr w:type="spellEnd"/>
      <w:r>
        <w:t xml:space="preserve"> 90 response rate at Week 12 and Week 52:</w:t>
      </w:r>
    </w:p>
    <w:p w14:paraId="2B547AF9" w14:textId="68423EDE" w:rsidR="006D2B99" w:rsidRDefault="006D2B99" w:rsidP="006D2B99">
      <w:pPr>
        <w:pStyle w:val="ListBullet"/>
      </w:pPr>
      <w:r>
        <w:t xml:space="preserve">the </w:t>
      </w:r>
      <w:proofErr w:type="spellStart"/>
      <w:r w:rsidR="008B40FD">
        <w:t>bimekizumab</w:t>
      </w:r>
      <w:proofErr w:type="spellEnd"/>
      <w:r>
        <w:t xml:space="preserve"> 320</w:t>
      </w:r>
      <w:r w:rsidR="00FE31D9">
        <w:t xml:space="preserve"> </w:t>
      </w:r>
      <w:r>
        <w:t xml:space="preserve">mg </w:t>
      </w:r>
      <w:r w:rsidR="00F23C97">
        <w:t>every 4 weeks</w:t>
      </w:r>
      <w:r>
        <w:t xml:space="preserve"> group had a higher PASI 90 response rate at Week 12 compared with the placebo and </w:t>
      </w:r>
      <w:proofErr w:type="spellStart"/>
      <w:r w:rsidR="004858E7">
        <w:t>ustekinumab</w:t>
      </w:r>
      <w:proofErr w:type="spellEnd"/>
      <w:r>
        <w:t xml:space="preserve"> groups (85% </w:t>
      </w:r>
      <w:proofErr w:type="spellStart"/>
      <w:r w:rsidR="008B40FD">
        <w:t>bimekizumab</w:t>
      </w:r>
      <w:proofErr w:type="spellEnd"/>
      <w:r>
        <w:t xml:space="preserve"> </w:t>
      </w:r>
      <w:r w:rsidR="004858E7">
        <w:t>versus</w:t>
      </w:r>
      <w:r>
        <w:t xml:space="preserve"> 2.4% placebo and 85% </w:t>
      </w:r>
      <w:proofErr w:type="spellStart"/>
      <w:r w:rsidR="008B40FD">
        <w:t>bimekizumab</w:t>
      </w:r>
      <w:proofErr w:type="spellEnd"/>
      <w:r>
        <w:t xml:space="preserve"> </w:t>
      </w:r>
      <w:r w:rsidR="004858E7">
        <w:t>versus</w:t>
      </w:r>
      <w:r>
        <w:t xml:space="preserve"> 43.6% </w:t>
      </w:r>
      <w:proofErr w:type="spellStart"/>
      <w:r w:rsidR="004858E7">
        <w:t>ustekinumab</w:t>
      </w:r>
      <w:proofErr w:type="spellEnd"/>
      <w:r>
        <w:t>; p</w:t>
      </w:r>
      <w:r w:rsidR="00FE31D9">
        <w:t xml:space="preserve"> </w:t>
      </w:r>
      <w:r>
        <w:t>&lt;</w:t>
      </w:r>
      <w:r w:rsidR="00FE31D9">
        <w:t xml:space="preserve"> </w:t>
      </w:r>
      <w:r>
        <w:t>0.001 for both comparisons</w:t>
      </w:r>
      <w:proofErr w:type="gramStart"/>
      <w:r>
        <w:t>);</w:t>
      </w:r>
      <w:proofErr w:type="gramEnd"/>
    </w:p>
    <w:p w14:paraId="538C73FA" w14:textId="1C0CE4B7" w:rsidR="006D2B99" w:rsidRDefault="006D2B99" w:rsidP="006D2B99">
      <w:pPr>
        <w:pStyle w:val="ListBullet"/>
      </w:pPr>
      <w:r>
        <w:t xml:space="preserve">the </w:t>
      </w:r>
      <w:proofErr w:type="spellStart"/>
      <w:r w:rsidR="008B40FD">
        <w:t>bimekizumab</w:t>
      </w:r>
      <w:proofErr w:type="spellEnd"/>
      <w:r>
        <w:t xml:space="preserve"> 320</w:t>
      </w:r>
      <w:r w:rsidR="00FE31D9">
        <w:t xml:space="preserve"> </w:t>
      </w:r>
      <w:r>
        <w:t xml:space="preserve">mg </w:t>
      </w:r>
      <w:r w:rsidR="00F23C97">
        <w:t>every 4 weeks</w:t>
      </w:r>
      <w:r>
        <w:t xml:space="preserve"> group sustained the PASI 90 response rate from Week 16 to Week 52, which was higher compared with the </w:t>
      </w:r>
      <w:proofErr w:type="spellStart"/>
      <w:r w:rsidR="004858E7">
        <w:t>ustekinumab</w:t>
      </w:r>
      <w:proofErr w:type="spellEnd"/>
      <w:r>
        <w:t xml:space="preserve"> group at Week 52 (81.6% </w:t>
      </w:r>
      <w:r w:rsidR="004858E7">
        <w:t>versus</w:t>
      </w:r>
      <w:r>
        <w:t xml:space="preserve"> 55.8%, respectively; p</w:t>
      </w:r>
      <w:r w:rsidR="00FE31D9">
        <w:t xml:space="preserve"> </w:t>
      </w:r>
      <w:r>
        <w:t>&lt;</w:t>
      </w:r>
      <w:r w:rsidR="00FE31D9">
        <w:t xml:space="preserve"> </w:t>
      </w:r>
      <w:r>
        <w:t>0.001).</w:t>
      </w:r>
    </w:p>
    <w:p w14:paraId="0C0A399B" w14:textId="20BA3568" w:rsidR="006D2B99" w:rsidRDefault="006D2B99" w:rsidP="006D2B99">
      <w:r>
        <w:t>For the IGA 0/1 response rate at Week 16:</w:t>
      </w:r>
    </w:p>
    <w:p w14:paraId="4760AF45" w14:textId="5D4F84F6" w:rsidR="006D2B99" w:rsidRDefault="006D2B99" w:rsidP="006D2B99">
      <w:pPr>
        <w:pStyle w:val="ListBullet"/>
      </w:pPr>
      <w:r>
        <w:t xml:space="preserve">the </w:t>
      </w:r>
      <w:proofErr w:type="spellStart"/>
      <w:r w:rsidR="008B40FD">
        <w:t>bimekizumab</w:t>
      </w:r>
      <w:proofErr w:type="spellEnd"/>
      <w:r>
        <w:t xml:space="preserve"> 320</w:t>
      </w:r>
      <w:r w:rsidR="00FE31D9">
        <w:t xml:space="preserve"> </w:t>
      </w:r>
      <w:r>
        <w:t xml:space="preserve">mg </w:t>
      </w:r>
      <w:r w:rsidR="00F23C97">
        <w:t>every 4 weeks</w:t>
      </w:r>
      <w:r>
        <w:t xml:space="preserve"> group had a higher IGA </w:t>
      </w:r>
      <w:r w:rsidR="00FE31D9">
        <w:t>0</w:t>
      </w:r>
      <w:r>
        <w:t xml:space="preserve">/1 response rate compared with the placebo group at Week 16 (58.6% </w:t>
      </w:r>
      <w:r w:rsidR="004858E7">
        <w:t>versus</w:t>
      </w:r>
      <w:r>
        <w:t xml:space="preserve"> 0% respectively; p&lt;0.001</w:t>
      </w:r>
      <w:proofErr w:type="gramStart"/>
      <w:r>
        <w:t>);</w:t>
      </w:r>
      <w:proofErr w:type="gramEnd"/>
    </w:p>
    <w:p w14:paraId="2EC1CE57" w14:textId="71B86740" w:rsidR="006D2B99" w:rsidRDefault="006D2B99" w:rsidP="006D2B99">
      <w:pPr>
        <w:pStyle w:val="ListBullet"/>
      </w:pPr>
      <w:r>
        <w:t xml:space="preserve">the </w:t>
      </w:r>
      <w:proofErr w:type="spellStart"/>
      <w:r w:rsidR="008B40FD">
        <w:t>bimekizumab</w:t>
      </w:r>
      <w:proofErr w:type="spellEnd"/>
      <w:r>
        <w:t xml:space="preserve"> </w:t>
      </w:r>
      <w:r w:rsidR="001D2CFA">
        <w:t>320 mg</w:t>
      </w:r>
      <w:r>
        <w:t xml:space="preserve"> </w:t>
      </w:r>
      <w:r w:rsidR="00F23C97">
        <w:t>every 4 weeks</w:t>
      </w:r>
      <w:r>
        <w:t xml:space="preserve"> group also had a higher IGA </w:t>
      </w:r>
      <w:r w:rsidR="00FE31D9">
        <w:t>0</w:t>
      </w:r>
      <w:r>
        <w:t xml:space="preserve">/1 response rate compared with the </w:t>
      </w:r>
      <w:proofErr w:type="spellStart"/>
      <w:r w:rsidR="004858E7">
        <w:t>ustekinumab</w:t>
      </w:r>
      <w:proofErr w:type="spellEnd"/>
      <w:r>
        <w:t xml:space="preserve"> group at Week 16 (58.6% </w:t>
      </w:r>
      <w:r w:rsidR="004858E7">
        <w:t>versus</w:t>
      </w:r>
      <w:r>
        <w:t xml:space="preserve"> 22.1 %, respectively: nominal p&lt;0.001).</w:t>
      </w:r>
    </w:p>
    <w:p w14:paraId="47054CC5" w14:textId="26A29CDC" w:rsidR="006D2B99" w:rsidRDefault="006D2B99" w:rsidP="006D2B99">
      <w:r>
        <w:t>For the IGA 0/1 response rates at Week 12 and Week 52:</w:t>
      </w:r>
    </w:p>
    <w:p w14:paraId="139CA49E" w14:textId="13ADAC99" w:rsidR="006D2B99" w:rsidRDefault="006D2B99" w:rsidP="006D2B99">
      <w:pPr>
        <w:pStyle w:val="ListBullet"/>
      </w:pPr>
      <w:r>
        <w:t xml:space="preserve">the </w:t>
      </w:r>
      <w:proofErr w:type="spellStart"/>
      <w:r w:rsidR="008B40FD">
        <w:t>bimekizumab</w:t>
      </w:r>
      <w:proofErr w:type="spellEnd"/>
      <w:r>
        <w:t xml:space="preserve"> </w:t>
      </w:r>
      <w:r w:rsidR="001D2CFA">
        <w:t>320 mg</w:t>
      </w:r>
      <w:r>
        <w:t xml:space="preserve"> </w:t>
      </w:r>
      <w:r w:rsidR="00F23C97">
        <w:t>every 4 weeks</w:t>
      </w:r>
      <w:r>
        <w:t xml:space="preserve"> group had a higher IGA 0/1 response rate at Week 12 compared with the placebo and </w:t>
      </w:r>
      <w:proofErr w:type="spellStart"/>
      <w:r w:rsidR="004858E7">
        <w:t>ustekinumab</w:t>
      </w:r>
      <w:proofErr w:type="spellEnd"/>
      <w:r>
        <w:t xml:space="preserve"> groups (81.9% </w:t>
      </w:r>
      <w:proofErr w:type="spellStart"/>
      <w:r w:rsidR="008B40FD">
        <w:t>bimekizumab</w:t>
      </w:r>
      <w:proofErr w:type="spellEnd"/>
      <w:r>
        <w:t xml:space="preserve"> </w:t>
      </w:r>
      <w:r w:rsidR="004858E7">
        <w:t>versus</w:t>
      </w:r>
      <w:r>
        <w:t xml:space="preserve"> 4.8% and 81.9% </w:t>
      </w:r>
      <w:proofErr w:type="spellStart"/>
      <w:r w:rsidR="008B40FD">
        <w:t>bimekizumab</w:t>
      </w:r>
      <w:proofErr w:type="spellEnd"/>
      <w:r>
        <w:t xml:space="preserve"> </w:t>
      </w:r>
      <w:r w:rsidR="004858E7">
        <w:t>versus</w:t>
      </w:r>
      <w:r>
        <w:t xml:space="preserve"> 52.1 % </w:t>
      </w:r>
      <w:proofErr w:type="spellStart"/>
      <w:r w:rsidR="004858E7">
        <w:t>ustekinumab</w:t>
      </w:r>
      <w:proofErr w:type="spellEnd"/>
      <w:r>
        <w:t>; p</w:t>
      </w:r>
      <w:r w:rsidR="00FE31D9">
        <w:t xml:space="preserve"> </w:t>
      </w:r>
      <w:r>
        <w:t>&lt;</w:t>
      </w:r>
      <w:r w:rsidR="00FE31D9">
        <w:t xml:space="preserve"> </w:t>
      </w:r>
      <w:r>
        <w:t>0.001 for both comparisons</w:t>
      </w:r>
      <w:proofErr w:type="gramStart"/>
      <w:r>
        <w:t>);</w:t>
      </w:r>
      <w:proofErr w:type="gramEnd"/>
    </w:p>
    <w:p w14:paraId="687C67E1" w14:textId="40CB73C9" w:rsidR="006D2B99" w:rsidRDefault="006D2B99" w:rsidP="006D2B99">
      <w:pPr>
        <w:pStyle w:val="ListBullet"/>
      </w:pPr>
      <w:r>
        <w:t xml:space="preserve">the </w:t>
      </w:r>
      <w:proofErr w:type="spellStart"/>
      <w:r w:rsidR="008B40FD">
        <w:t>bimekizumab</w:t>
      </w:r>
      <w:proofErr w:type="spellEnd"/>
      <w:r>
        <w:t xml:space="preserve"> </w:t>
      </w:r>
      <w:r w:rsidR="001D2CFA">
        <w:t>320 mg</w:t>
      </w:r>
      <w:r>
        <w:t xml:space="preserve"> </w:t>
      </w:r>
      <w:r w:rsidR="00F23C97">
        <w:t>every 4 weeks</w:t>
      </w:r>
      <w:r>
        <w:t xml:space="preserve"> group had a sustained IGA 0/1 response rate from Week 16 to Week 52, which was higher compared with the </w:t>
      </w:r>
      <w:proofErr w:type="spellStart"/>
      <w:r w:rsidR="004858E7">
        <w:t>ustekinumab</w:t>
      </w:r>
      <w:proofErr w:type="spellEnd"/>
      <w:r>
        <w:t xml:space="preserve"> group at Week 52 (77.9% </w:t>
      </w:r>
      <w:r w:rsidR="004858E7">
        <w:t>versus</w:t>
      </w:r>
      <w:r>
        <w:t xml:space="preserve"> 60.7%, respectively; p</w:t>
      </w:r>
      <w:r w:rsidR="00FE31D9">
        <w:t xml:space="preserve"> </w:t>
      </w:r>
      <w:r>
        <w:t>&lt;</w:t>
      </w:r>
      <w:r w:rsidR="00FE31D9">
        <w:t xml:space="preserve"> </w:t>
      </w:r>
      <w:r>
        <w:t>0.001)</w:t>
      </w:r>
    </w:p>
    <w:p w14:paraId="7E108F61" w14:textId="03B31D15" w:rsidR="006D2B99" w:rsidRDefault="006D2B99" w:rsidP="006D2B99">
      <w:r>
        <w:t xml:space="preserve">For </w:t>
      </w:r>
      <w:r w:rsidR="00FE31D9">
        <w:t>s</w:t>
      </w:r>
      <w:r>
        <w:t xml:space="preserve">calp IGA 0/1 response at Week 16 for study participants with scalp psoriasis at Baseline </w:t>
      </w:r>
      <w:r w:rsidR="00AF4D50">
        <w:t>(</w:t>
      </w:r>
      <w:r w:rsidR="00FE31D9">
        <w:t xml:space="preserve">a </w:t>
      </w:r>
      <w:r>
        <w:t xml:space="preserve">scalp IGA 0/1 response was defined as </w:t>
      </w:r>
      <w:r w:rsidR="00FE31D9">
        <w:t>c</w:t>
      </w:r>
      <w:r>
        <w:t xml:space="preserve">lear (0) or </w:t>
      </w:r>
      <w:r w:rsidR="00FE31D9">
        <w:t>a</w:t>
      </w:r>
      <w:r>
        <w:t xml:space="preserve">lmost </w:t>
      </w:r>
      <w:r w:rsidR="00FE31D9">
        <w:t>c</w:t>
      </w:r>
      <w:r>
        <w:t xml:space="preserve">lear (1) with at least a </w:t>
      </w:r>
      <w:proofErr w:type="gramStart"/>
      <w:r w:rsidR="00FE31D9">
        <w:t xml:space="preserve">two </w:t>
      </w:r>
      <w:r>
        <w:t>category</w:t>
      </w:r>
      <w:proofErr w:type="gramEnd"/>
      <w:r>
        <w:t xml:space="preserve"> improvement from Baseline. Only study participants with a Baseline score of </w:t>
      </w:r>
      <w:r w:rsidR="00FE31D9">
        <w:t>greater than two</w:t>
      </w:r>
      <w:r>
        <w:t xml:space="preserve"> was included in the responder analysis</w:t>
      </w:r>
      <w:r w:rsidR="00AF4D50">
        <w:t>)</w:t>
      </w:r>
      <w:r>
        <w:t>.</w:t>
      </w:r>
    </w:p>
    <w:p w14:paraId="1B4F45D5" w14:textId="1075F1B8" w:rsidR="006D2B99" w:rsidRDefault="006D2B99" w:rsidP="006D2B99">
      <w:pPr>
        <w:pStyle w:val="ListBullet"/>
      </w:pPr>
      <w:r>
        <w:t xml:space="preserve">the </w:t>
      </w:r>
      <w:proofErr w:type="spellStart"/>
      <w:r w:rsidR="008B40FD">
        <w:t>bimekizumab</w:t>
      </w:r>
      <w:proofErr w:type="spellEnd"/>
      <w:r>
        <w:t xml:space="preserve"> 320</w:t>
      </w:r>
      <w:r w:rsidR="00FE31D9">
        <w:t xml:space="preserve"> </w:t>
      </w:r>
      <w:r>
        <w:t xml:space="preserve">mg </w:t>
      </w:r>
      <w:r w:rsidR="00F23C97">
        <w:t>every 4 weeks</w:t>
      </w:r>
      <w:r>
        <w:t xml:space="preserve"> group had a higher scalp IGA 0/1 response rate at Week 16 compared with the placebo and </w:t>
      </w:r>
      <w:proofErr w:type="spellStart"/>
      <w:r w:rsidR="004858E7">
        <w:t>ustekinumab</w:t>
      </w:r>
      <w:proofErr w:type="spellEnd"/>
      <w:r>
        <w:t xml:space="preserve"> groups (84.2% </w:t>
      </w:r>
      <w:proofErr w:type="spellStart"/>
      <w:r w:rsidR="008B40FD">
        <w:t>bimekizumab</w:t>
      </w:r>
      <w:proofErr w:type="spellEnd"/>
      <w:r>
        <w:t xml:space="preserve"> </w:t>
      </w:r>
      <w:r w:rsidR="004858E7">
        <w:t>versus</w:t>
      </w:r>
      <w:r>
        <w:t xml:space="preserve"> 15.3% placebo and 84.2% </w:t>
      </w:r>
      <w:proofErr w:type="spellStart"/>
      <w:r w:rsidR="008B40FD">
        <w:t>bimekizumab</w:t>
      </w:r>
      <w:proofErr w:type="spellEnd"/>
      <w:r>
        <w:t xml:space="preserve"> </w:t>
      </w:r>
      <w:r w:rsidR="004858E7">
        <w:t>versus</w:t>
      </w:r>
      <w:r>
        <w:t xml:space="preserve"> 70.5% </w:t>
      </w:r>
      <w:proofErr w:type="spellStart"/>
      <w:r w:rsidR="004858E7">
        <w:t>ustekinumab</w:t>
      </w:r>
      <w:proofErr w:type="spellEnd"/>
      <w:r>
        <w:t>; p</w:t>
      </w:r>
      <w:r w:rsidR="00FE31D9">
        <w:t xml:space="preserve"> </w:t>
      </w:r>
      <w:r>
        <w:t>&lt;</w:t>
      </w:r>
      <w:r w:rsidR="00FE31D9">
        <w:t xml:space="preserve"> </w:t>
      </w:r>
      <w:r>
        <w:t>0.001 and nominal p</w:t>
      </w:r>
      <w:r w:rsidR="00FE31D9">
        <w:t xml:space="preserve"> </w:t>
      </w:r>
      <w:r>
        <w:t>&lt;</w:t>
      </w:r>
      <w:r w:rsidR="00FE31D9">
        <w:t xml:space="preserve"> </w:t>
      </w:r>
      <w:r>
        <w:t>0.001, respectively), a difference that was statistically significant compared with placebo.</w:t>
      </w:r>
    </w:p>
    <w:p w14:paraId="4B36C848" w14:textId="77777777" w:rsidR="006D2B99" w:rsidRDefault="006D2B99" w:rsidP="006D2B99"/>
    <w:p w14:paraId="0FAE4C13" w14:textId="37AFD150" w:rsidR="006D2B99" w:rsidRDefault="006D2B99" w:rsidP="006D2B99">
      <w:r>
        <w:lastRenderedPageBreak/>
        <w:t>For PSD at Week 16:</w:t>
      </w:r>
    </w:p>
    <w:p w14:paraId="6A6DCE31" w14:textId="395CAEBE" w:rsidR="006D2B99" w:rsidRDefault="006D2B99" w:rsidP="00FA1650">
      <w:pPr>
        <w:pStyle w:val="ListBullet"/>
      </w:pPr>
      <w:r>
        <w:t xml:space="preserve">the </w:t>
      </w:r>
      <w:proofErr w:type="spellStart"/>
      <w:r>
        <w:t>bimekizumab</w:t>
      </w:r>
      <w:proofErr w:type="spellEnd"/>
      <w:r>
        <w:t xml:space="preserve"> 320</w:t>
      </w:r>
      <w:r w:rsidR="00FE31D9">
        <w:t xml:space="preserve"> </w:t>
      </w:r>
      <w:r>
        <w:t xml:space="preserve">mg </w:t>
      </w:r>
      <w:r w:rsidR="00F23C97">
        <w:t>every 4 weeks</w:t>
      </w:r>
      <w:r>
        <w:t xml:space="preserve"> group had higher PSD response rates based on pain, itch, and scaling item scores compared with the placebo group, differences that were statistically significant (77.3% </w:t>
      </w:r>
      <w:r w:rsidR="004858E7">
        <w:t>versus</w:t>
      </w:r>
      <w:r>
        <w:t xml:space="preserve"> 16.7%, 76.6% </w:t>
      </w:r>
      <w:r w:rsidR="004858E7">
        <w:t>versus</w:t>
      </w:r>
      <w:r>
        <w:t xml:space="preserve"> 13.1 %, and 78.5% </w:t>
      </w:r>
      <w:r w:rsidR="004858E7">
        <w:t>versus</w:t>
      </w:r>
      <w:r>
        <w:t xml:space="preserve"> 12.7% respectively; p</w:t>
      </w:r>
      <w:r w:rsidR="00FE31D9">
        <w:t xml:space="preserve"> </w:t>
      </w:r>
      <w:r>
        <w:t>&lt;</w:t>
      </w:r>
      <w:r w:rsidR="00FE31D9">
        <w:t xml:space="preserve"> </w:t>
      </w:r>
      <w:r>
        <w:t>0.001 for all comparisons</w:t>
      </w:r>
      <w:proofErr w:type="gramStart"/>
      <w:r>
        <w:t>);</w:t>
      </w:r>
      <w:proofErr w:type="gramEnd"/>
    </w:p>
    <w:p w14:paraId="47F39C96" w14:textId="5FE128D7" w:rsidR="006D2B99" w:rsidRDefault="00FA1650" w:rsidP="00FA1650">
      <w:pPr>
        <w:pStyle w:val="ListBullet"/>
      </w:pPr>
      <w:r>
        <w:t>t</w:t>
      </w:r>
      <w:r w:rsidR="006D2B99">
        <w:t xml:space="preserve">he </w:t>
      </w:r>
      <w:proofErr w:type="spellStart"/>
      <w:r w:rsidR="008B40FD">
        <w:t>bimekizumab</w:t>
      </w:r>
      <w:proofErr w:type="spellEnd"/>
      <w:r w:rsidR="006D2B99">
        <w:t xml:space="preserve"> 320</w:t>
      </w:r>
      <w:r w:rsidR="00FE31D9">
        <w:t xml:space="preserve"> </w:t>
      </w:r>
      <w:r w:rsidR="006D2B99">
        <w:t xml:space="preserve">mg </w:t>
      </w:r>
      <w:r w:rsidR="00F23C97">
        <w:t>every 4 weeks</w:t>
      </w:r>
      <w:r w:rsidR="006D2B99">
        <w:t xml:space="preserve"> group had higher PSD response rates based on pain, itch, and scaling item scores compared with the </w:t>
      </w:r>
      <w:proofErr w:type="spellStart"/>
      <w:r w:rsidR="004858E7">
        <w:t>ustekinumab</w:t>
      </w:r>
      <w:proofErr w:type="spellEnd"/>
      <w:r w:rsidR="006D2B99">
        <w:t xml:space="preserve"> group (77.3% </w:t>
      </w:r>
      <w:r w:rsidR="004858E7">
        <w:t>versus</w:t>
      </w:r>
      <w:r w:rsidR="006D2B99">
        <w:t xml:space="preserve"> 68.2%. </w:t>
      </w:r>
      <w:r>
        <w:t>n</w:t>
      </w:r>
      <w:r w:rsidR="006D2B99">
        <w:t>ominal p</w:t>
      </w:r>
      <w:r w:rsidR="00FE31D9">
        <w:t xml:space="preserve"> </w:t>
      </w:r>
      <w:r w:rsidR="006D2B99">
        <w:t>=</w:t>
      </w:r>
      <w:r w:rsidR="00FE31D9">
        <w:t xml:space="preserve"> </w:t>
      </w:r>
      <w:r w:rsidR="006D2B99">
        <w:t xml:space="preserve">0.053; 76.6% </w:t>
      </w:r>
      <w:r w:rsidR="004858E7">
        <w:t>versus</w:t>
      </w:r>
      <w:r w:rsidR="006D2B99">
        <w:t xml:space="preserve"> 65.8%; nominal p</w:t>
      </w:r>
      <w:r w:rsidR="00FE31D9">
        <w:t xml:space="preserve"> </w:t>
      </w:r>
      <w:r w:rsidR="006D2B99">
        <w:t>=</w:t>
      </w:r>
      <w:r w:rsidR="00FE31D9">
        <w:t xml:space="preserve"> </w:t>
      </w:r>
      <w:r w:rsidR="006D2B99">
        <w:t xml:space="preserve">0.035, and 78.5% </w:t>
      </w:r>
      <w:r w:rsidR="004858E7">
        <w:t>versus</w:t>
      </w:r>
      <w:r w:rsidR="006D2B99">
        <w:t xml:space="preserve"> 59.5%</w:t>
      </w:r>
      <w:r>
        <w:t xml:space="preserve">, </w:t>
      </w:r>
      <w:r w:rsidR="006D2B99">
        <w:t>nominal p</w:t>
      </w:r>
      <w:r w:rsidR="00FE31D9">
        <w:t xml:space="preserve"> </w:t>
      </w:r>
      <w:r w:rsidR="006D2B99">
        <w:t>&lt;</w:t>
      </w:r>
      <w:r w:rsidR="00FE31D9">
        <w:t xml:space="preserve"> </w:t>
      </w:r>
      <w:r w:rsidR="006D2B99">
        <w:t>0.001, respectively).</w:t>
      </w:r>
    </w:p>
    <w:p w14:paraId="67CB0A72" w14:textId="3BEC25B6" w:rsidR="006D2B99" w:rsidRDefault="006D2B99" w:rsidP="00FA1650">
      <w:pPr>
        <w:pStyle w:val="Heading6"/>
      </w:pPr>
      <w:r>
        <w:t>Subgroup analyses</w:t>
      </w:r>
    </w:p>
    <w:p w14:paraId="735C9D17" w14:textId="05DCC9B9" w:rsidR="006D2B99" w:rsidRDefault="006D2B99" w:rsidP="006D2B99">
      <w:r>
        <w:t>Subgroup analyses were conducted for PASI 90 response, IGA 0/1 response, and PASI 100 response rates across the following subgroups:</w:t>
      </w:r>
    </w:p>
    <w:p w14:paraId="430367DA" w14:textId="3303D483" w:rsidR="006D2B99" w:rsidRDefault="006D2B99" w:rsidP="00FA1650">
      <w:pPr>
        <w:pStyle w:val="ListBullet"/>
      </w:pPr>
      <w:r>
        <w:t>age (</w:t>
      </w:r>
      <w:r w:rsidR="00FE31D9">
        <w:t xml:space="preserve">younger than </w:t>
      </w:r>
      <w:r>
        <w:t xml:space="preserve">40 years, 40 </w:t>
      </w:r>
      <w:r w:rsidR="00FE31D9">
        <w:t xml:space="preserve">to younger than </w:t>
      </w:r>
      <w:r>
        <w:t xml:space="preserve">65 years, </w:t>
      </w:r>
      <w:r w:rsidR="00FE31D9">
        <w:t xml:space="preserve">greater or equal to </w:t>
      </w:r>
      <w:r>
        <w:t>65 years</w:t>
      </w:r>
      <w:proofErr w:type="gramStart"/>
      <w:r>
        <w:t>);</w:t>
      </w:r>
      <w:proofErr w:type="gramEnd"/>
    </w:p>
    <w:p w14:paraId="74B3F0A2" w14:textId="269D3548" w:rsidR="006D2B99" w:rsidRDefault="006D2B99" w:rsidP="00FA1650">
      <w:pPr>
        <w:pStyle w:val="ListBullet"/>
      </w:pPr>
      <w:r>
        <w:t>gender (male, female</w:t>
      </w:r>
      <w:proofErr w:type="gramStart"/>
      <w:r>
        <w:t>);</w:t>
      </w:r>
      <w:proofErr w:type="gramEnd"/>
    </w:p>
    <w:p w14:paraId="362359E8" w14:textId="64D27134" w:rsidR="006D2B99" w:rsidRDefault="006D2B99" w:rsidP="00FA1650">
      <w:pPr>
        <w:pStyle w:val="ListBullet"/>
      </w:pPr>
      <w:r>
        <w:t>duration of disease (</w:t>
      </w:r>
      <w:r w:rsidR="00FE31D9">
        <w:t xml:space="preserve">less than </w:t>
      </w:r>
      <w:r>
        <w:t xml:space="preserve">median </w:t>
      </w:r>
      <w:r w:rsidR="00AF4D50">
        <w:t>(</w:t>
      </w:r>
      <w:r>
        <w:t>14.66</w:t>
      </w:r>
      <w:r w:rsidR="00AF4D50">
        <w:t>)</w:t>
      </w:r>
      <w:r>
        <w:t xml:space="preserve"> years, </w:t>
      </w:r>
      <w:r w:rsidR="00FE31D9">
        <w:t>greater or equal to</w:t>
      </w:r>
      <w:r>
        <w:t xml:space="preserve"> median </w:t>
      </w:r>
      <w:r w:rsidR="00AF4D50">
        <w:t>(</w:t>
      </w:r>
      <w:r>
        <w:t>14.66</w:t>
      </w:r>
      <w:r w:rsidR="00AF4D50">
        <w:t>)</w:t>
      </w:r>
      <w:r>
        <w:t xml:space="preserve"> years</w:t>
      </w:r>
      <w:proofErr w:type="gramStart"/>
      <w:r>
        <w:t>);</w:t>
      </w:r>
      <w:proofErr w:type="gramEnd"/>
    </w:p>
    <w:p w14:paraId="053CF838" w14:textId="3692AEF5" w:rsidR="006D2B99" w:rsidRDefault="006D2B99" w:rsidP="00FA1650">
      <w:pPr>
        <w:pStyle w:val="ListBullet"/>
      </w:pPr>
      <w:r>
        <w:t>geographic region (North America, Western Europe, Eastern/Central Europe, Asia/Australia</w:t>
      </w:r>
      <w:proofErr w:type="gramStart"/>
      <w:r>
        <w:t>);</w:t>
      </w:r>
      <w:proofErr w:type="gramEnd"/>
    </w:p>
    <w:p w14:paraId="0F0B3525" w14:textId="5B5EE694" w:rsidR="006D2B99" w:rsidRDefault="006D2B99" w:rsidP="00FA1650">
      <w:pPr>
        <w:pStyle w:val="ListBullet"/>
      </w:pPr>
      <w:r>
        <w:t>body weight (</w:t>
      </w:r>
      <w:r w:rsidR="00FE31D9">
        <w:t xml:space="preserve">less than </w:t>
      </w:r>
      <w:r>
        <w:t xml:space="preserve">100kg, </w:t>
      </w:r>
      <w:r w:rsidR="00FE31D9">
        <w:t xml:space="preserve">greater or equal to </w:t>
      </w:r>
      <w:r>
        <w:t>100kg), BMI (</w:t>
      </w:r>
      <w:r w:rsidR="00FE31D9">
        <w:t xml:space="preserve">less than </w:t>
      </w:r>
      <w:r>
        <w:t>25</w:t>
      </w:r>
      <w:r w:rsidR="00FE31D9">
        <w:t xml:space="preserve"> </w:t>
      </w:r>
      <w:r>
        <w:t>kg/m</w:t>
      </w:r>
      <w:r w:rsidRPr="00FE31D9">
        <w:rPr>
          <w:vertAlign w:val="superscript"/>
        </w:rPr>
        <w:t>2</w:t>
      </w:r>
      <w:r>
        <w:t xml:space="preserve">, </w:t>
      </w:r>
      <w:r w:rsidR="00FE31D9">
        <w:t xml:space="preserve">greater than </w:t>
      </w:r>
      <w:r>
        <w:t>25 kg/m</w:t>
      </w:r>
      <w:r w:rsidRPr="00FE31D9">
        <w:rPr>
          <w:vertAlign w:val="superscript"/>
        </w:rPr>
        <w:t>2</w:t>
      </w:r>
      <w:r>
        <w:t xml:space="preserve"> to </w:t>
      </w:r>
      <w:r w:rsidR="00FE31D9">
        <w:t xml:space="preserve">less than </w:t>
      </w:r>
      <w:r>
        <w:t>30</w:t>
      </w:r>
      <w:r w:rsidR="00FE31D9">
        <w:t xml:space="preserve"> </w:t>
      </w:r>
      <w:r>
        <w:t>kg/m</w:t>
      </w:r>
      <w:r w:rsidRPr="00FE31D9">
        <w:rPr>
          <w:vertAlign w:val="superscript"/>
        </w:rPr>
        <w:t>2</w:t>
      </w:r>
      <w:r>
        <w:t xml:space="preserve">, </w:t>
      </w:r>
      <w:r w:rsidR="00FE31D9">
        <w:t>greater than</w:t>
      </w:r>
      <w:r w:rsidR="00FA1650">
        <w:t xml:space="preserve"> </w:t>
      </w:r>
      <w:r>
        <w:t>30kg/m</w:t>
      </w:r>
      <w:r w:rsidRPr="00FA1650">
        <w:rPr>
          <w:vertAlign w:val="superscript"/>
        </w:rPr>
        <w:t>2</w:t>
      </w:r>
      <w:proofErr w:type="gramStart"/>
      <w:r>
        <w:t>);</w:t>
      </w:r>
      <w:proofErr w:type="gramEnd"/>
    </w:p>
    <w:p w14:paraId="3C0273C8" w14:textId="62C0A44A" w:rsidR="006D2B99" w:rsidRDefault="006D2B99" w:rsidP="00FA1650">
      <w:pPr>
        <w:pStyle w:val="ListBullet"/>
      </w:pPr>
      <w:r>
        <w:t>prior systemic phototherapy or chemo phototherapy (yes, no</w:t>
      </w:r>
      <w:proofErr w:type="gramStart"/>
      <w:r>
        <w:t>);</w:t>
      </w:r>
      <w:proofErr w:type="gramEnd"/>
    </w:p>
    <w:p w14:paraId="452080FE" w14:textId="53E7D91E" w:rsidR="006D2B99" w:rsidRDefault="006D2B99" w:rsidP="00FA1650">
      <w:pPr>
        <w:pStyle w:val="ListBullet"/>
      </w:pPr>
      <w:r>
        <w:t>prior systemic therapy (yes, no</w:t>
      </w:r>
      <w:proofErr w:type="gramStart"/>
      <w:r>
        <w:t>);</w:t>
      </w:r>
      <w:proofErr w:type="gramEnd"/>
    </w:p>
    <w:p w14:paraId="0B01791A" w14:textId="77A7931D" w:rsidR="006D2B99" w:rsidRDefault="006D2B99" w:rsidP="00FA1650">
      <w:pPr>
        <w:pStyle w:val="ListBullet"/>
      </w:pPr>
      <w:r>
        <w:t>prior biologic therapy (yes, no</w:t>
      </w:r>
      <w:proofErr w:type="gramStart"/>
      <w:r>
        <w:t>);</w:t>
      </w:r>
      <w:proofErr w:type="gramEnd"/>
    </w:p>
    <w:p w14:paraId="528F9257" w14:textId="2F2BFF68" w:rsidR="006D2B99" w:rsidRDefault="006D2B99" w:rsidP="00FA1650">
      <w:pPr>
        <w:pStyle w:val="ListBullet"/>
      </w:pPr>
      <w:r>
        <w:t>baseline PASI score (</w:t>
      </w:r>
      <w:r w:rsidR="00FE31D9">
        <w:t xml:space="preserve">less than </w:t>
      </w:r>
      <w:r>
        <w:t xml:space="preserve">20, </w:t>
      </w:r>
      <w:r w:rsidR="00FE31D9">
        <w:t xml:space="preserve">greater or equal to </w:t>
      </w:r>
      <w:r>
        <w:t>20</w:t>
      </w:r>
      <w:proofErr w:type="gramStart"/>
      <w:r>
        <w:t>);</w:t>
      </w:r>
      <w:proofErr w:type="gramEnd"/>
    </w:p>
    <w:p w14:paraId="68EE00C6" w14:textId="350A7732" w:rsidR="006D2B99" w:rsidRDefault="006D2B99" w:rsidP="00FA1650">
      <w:pPr>
        <w:pStyle w:val="ListBullet"/>
      </w:pPr>
      <w:r>
        <w:t>antidrug antibody positivity (confirmatory assay: negative or positive).</w:t>
      </w:r>
    </w:p>
    <w:p w14:paraId="65F5DD2C" w14:textId="73792727" w:rsidR="006D2B99" w:rsidRDefault="006D2B99" w:rsidP="006D2B99">
      <w:r>
        <w:t xml:space="preserve">All subgroups demonstrated a difference favouring treatment with </w:t>
      </w:r>
      <w:proofErr w:type="spellStart"/>
      <w:r w:rsidR="008B40FD">
        <w:t>bimekizumab</w:t>
      </w:r>
      <w:proofErr w:type="spellEnd"/>
      <w:r>
        <w:t xml:space="preserve"> for </w:t>
      </w:r>
      <w:r w:rsidR="005960C5">
        <w:t>PASI</w:t>
      </w:r>
      <w:r w:rsidR="00FE31D9">
        <w:t> </w:t>
      </w:r>
      <w:r w:rsidR="005960C5">
        <w:t>90</w:t>
      </w:r>
      <w:r>
        <w:t xml:space="preserve"> and IGA 0/1 response rates in the </w:t>
      </w:r>
      <w:proofErr w:type="spellStart"/>
      <w:r w:rsidR="008B40FD">
        <w:t>bimekizumab</w:t>
      </w:r>
      <w:proofErr w:type="spellEnd"/>
      <w:r>
        <w:t xml:space="preserve"> groups compared with the placebo and </w:t>
      </w:r>
      <w:proofErr w:type="spellStart"/>
      <w:r w:rsidR="004858E7">
        <w:t>ustekinumab</w:t>
      </w:r>
      <w:proofErr w:type="spellEnd"/>
      <w:r>
        <w:t xml:space="preserve"> groups at Week 16 and the </w:t>
      </w:r>
      <w:proofErr w:type="spellStart"/>
      <w:r w:rsidR="004858E7">
        <w:t>ustekinumab</w:t>
      </w:r>
      <w:proofErr w:type="spellEnd"/>
      <w:r>
        <w:t xml:space="preserve"> group at Week 52.</w:t>
      </w:r>
    </w:p>
    <w:p w14:paraId="169982F7" w14:textId="784DCE93" w:rsidR="006D2B99" w:rsidRDefault="00FA1650" w:rsidP="006D2B99">
      <w:r>
        <w:t xml:space="preserve">The </w:t>
      </w:r>
      <w:r w:rsidR="00AF4D50">
        <w:rPr>
          <w:bCs/>
        </w:rPr>
        <w:t xml:space="preserve">TGA’s clinical evaluation </w:t>
      </w:r>
      <w:r w:rsidR="00AF4D50">
        <w:t>noted</w:t>
      </w:r>
      <w:r>
        <w:t xml:space="preserve"> that t</w:t>
      </w:r>
      <w:r w:rsidR="006D2B99">
        <w:t>he co-primary endpoint was relevant for patients with moderate to severe psoriasis and consistent with adopted guidelines.</w:t>
      </w:r>
      <w:r>
        <w:t xml:space="preserve"> </w:t>
      </w:r>
      <w:r w:rsidR="006D2B99">
        <w:t xml:space="preserve">Treatment with </w:t>
      </w:r>
      <w:proofErr w:type="spellStart"/>
      <w:r w:rsidR="006D2B99">
        <w:t>bimekizumab</w:t>
      </w:r>
      <w:proofErr w:type="spellEnd"/>
      <w:r w:rsidR="006D2B99">
        <w:t xml:space="preserve"> resulted in a statistically and clinically significant reduction in the disease burden of psoriasis as measured by PASI and IGA versus patients treated with placebo and </w:t>
      </w:r>
      <w:proofErr w:type="spellStart"/>
      <w:r w:rsidR="006D2B99">
        <w:t>ustekinumab</w:t>
      </w:r>
      <w:proofErr w:type="spellEnd"/>
      <w:r w:rsidR="006D2B99">
        <w:t>.</w:t>
      </w:r>
      <w:r>
        <w:t xml:space="preserve"> </w:t>
      </w:r>
      <w:r w:rsidR="006D2B99">
        <w:t>The reduction was evident four weeks after treatment and was sustained through the study</w:t>
      </w:r>
    </w:p>
    <w:p w14:paraId="722229A4" w14:textId="2D51F3FB" w:rsidR="006D2B99" w:rsidRDefault="006D2B99" w:rsidP="006D2B99">
      <w:r>
        <w:t>Importantly</w:t>
      </w:r>
      <w:r w:rsidR="00AF4D50">
        <w:t>,</w:t>
      </w:r>
      <w:r>
        <w:t xml:space="preserve"> </w:t>
      </w:r>
      <w:proofErr w:type="spellStart"/>
      <w:r>
        <w:t>ustekinumab</w:t>
      </w:r>
      <w:proofErr w:type="spellEnd"/>
      <w:r>
        <w:t xml:space="preserve"> is approved in Australia for the treatment of moderate to severe plaque psoriasis and an appropriate dose regimen was used in this study</w:t>
      </w:r>
    </w:p>
    <w:p w14:paraId="430BFA3B" w14:textId="2A2EE15B" w:rsidR="006D2B99" w:rsidRDefault="006D2B99" w:rsidP="006D2B99">
      <w:r>
        <w:t xml:space="preserve">The </w:t>
      </w:r>
      <w:r w:rsidR="0074381F">
        <w:t>D</w:t>
      </w:r>
      <w:r>
        <w:t xml:space="preserve">elegate contends that the </w:t>
      </w:r>
      <w:proofErr w:type="spellStart"/>
      <w:r w:rsidR="004858E7">
        <w:t>ustekinumab</w:t>
      </w:r>
      <w:proofErr w:type="spellEnd"/>
      <w:r>
        <w:t xml:space="preserve"> dose used in the trial was suboptimal for the purpose of determining </w:t>
      </w:r>
      <w:proofErr w:type="spellStart"/>
      <w:r w:rsidR="008B40FD">
        <w:t>bimekizumab</w:t>
      </w:r>
      <w:proofErr w:type="spellEnd"/>
      <w:r>
        <w:t xml:space="preserve"> superiority over </w:t>
      </w:r>
      <w:proofErr w:type="spellStart"/>
      <w:r w:rsidR="004858E7">
        <w:t>ustekinumab</w:t>
      </w:r>
      <w:proofErr w:type="spellEnd"/>
      <w:r w:rsidR="0074381F">
        <w:t>.</w:t>
      </w:r>
    </w:p>
    <w:p w14:paraId="2F7CF61C" w14:textId="53358216" w:rsidR="0074381F" w:rsidRDefault="0074381F" w:rsidP="0074381F">
      <w:pPr>
        <w:pStyle w:val="Heading5"/>
      </w:pPr>
      <w:bookmarkStart w:id="109" w:name="_Ref132625178"/>
      <w:r>
        <w:t>Study PS0013</w:t>
      </w:r>
      <w:bookmarkEnd w:id="109"/>
    </w:p>
    <w:p w14:paraId="0B59C150" w14:textId="17913345" w:rsidR="0074381F" w:rsidRPr="00932875" w:rsidRDefault="0074381F" w:rsidP="0074381F">
      <w:r w:rsidRPr="0074381F">
        <w:t xml:space="preserve">Study PS0013 </w:t>
      </w:r>
      <w:r>
        <w:t>is a</w:t>
      </w:r>
      <w:r w:rsidRPr="0074381F">
        <w:t xml:space="preserve"> Phase III, </w:t>
      </w:r>
      <w:r w:rsidR="001D2CFA">
        <w:t>randomised</w:t>
      </w:r>
      <w:r w:rsidRPr="0074381F">
        <w:t xml:space="preserve">, double-blind, placebo-controlled multicentre study to evaluate the efficacy and safety of </w:t>
      </w:r>
      <w:proofErr w:type="spellStart"/>
      <w:r w:rsidRPr="0074381F">
        <w:t>bimekizumab</w:t>
      </w:r>
      <w:proofErr w:type="spellEnd"/>
      <w:r w:rsidRPr="0074381F">
        <w:t xml:space="preserve"> in adults with moderate to severe chronic plaque psoriasis</w:t>
      </w:r>
      <w:r>
        <w:t>.</w:t>
      </w:r>
    </w:p>
    <w:p w14:paraId="0D59BE7B" w14:textId="2A8068C6" w:rsidR="0074381F" w:rsidRPr="00062429" w:rsidRDefault="0074381F" w:rsidP="0074381F">
      <w:pPr>
        <w:rPr>
          <w:b/>
        </w:rPr>
      </w:pPr>
      <w:r w:rsidRPr="00062429">
        <w:rPr>
          <w:rFonts w:asciiTheme="minorHAnsi" w:hAnsiTheme="minorHAnsi"/>
        </w:rPr>
        <w:t xml:space="preserve">The study design, as depicted schematically below, consisted of </w:t>
      </w:r>
      <w:r w:rsidR="000B730C">
        <w:rPr>
          <w:rFonts w:asciiTheme="minorHAnsi" w:hAnsiTheme="minorHAnsi"/>
        </w:rPr>
        <w:t>four</w:t>
      </w:r>
      <w:r w:rsidRPr="00062429">
        <w:rPr>
          <w:rFonts w:asciiTheme="minorHAnsi" w:hAnsiTheme="minorHAnsi"/>
        </w:rPr>
        <w:t xml:space="preserve"> periods:</w:t>
      </w:r>
    </w:p>
    <w:p w14:paraId="46ED32CD" w14:textId="581E20AB" w:rsidR="0074381F" w:rsidRPr="00062429" w:rsidRDefault="00BE4AC5" w:rsidP="0074381F">
      <w:pPr>
        <w:pStyle w:val="ListBullet"/>
      </w:pPr>
      <w:r>
        <w:lastRenderedPageBreak/>
        <w:t>s</w:t>
      </w:r>
      <w:r w:rsidR="0074381F" w:rsidRPr="00062429">
        <w:t xml:space="preserve">creening </w:t>
      </w:r>
      <w:r>
        <w:t>p</w:t>
      </w:r>
      <w:r w:rsidR="0074381F" w:rsidRPr="00062429">
        <w:t>eriod (2 to 5 weeks</w:t>
      </w:r>
      <w:proofErr w:type="gramStart"/>
      <w:r w:rsidR="0074381F" w:rsidRPr="00062429">
        <w:t>);</w:t>
      </w:r>
      <w:proofErr w:type="gramEnd"/>
    </w:p>
    <w:p w14:paraId="14C2AC34" w14:textId="708BCBE7" w:rsidR="0074381F" w:rsidRPr="00062429" w:rsidRDefault="00BE4AC5" w:rsidP="0074381F">
      <w:pPr>
        <w:pStyle w:val="ListBullet"/>
      </w:pPr>
      <w:r>
        <w:t>p</w:t>
      </w:r>
      <w:r w:rsidR="0074381F" w:rsidRPr="00062429">
        <w:t>lacebo</w:t>
      </w:r>
      <w:r>
        <w:t xml:space="preserve"> </w:t>
      </w:r>
      <w:r w:rsidR="0074381F" w:rsidRPr="00062429">
        <w:t xml:space="preserve">controlled </w:t>
      </w:r>
      <w:r>
        <w:t>i</w:t>
      </w:r>
      <w:r w:rsidR="0074381F" w:rsidRPr="00062429">
        <w:t xml:space="preserve">nitial </w:t>
      </w:r>
      <w:r>
        <w:t>t</w:t>
      </w:r>
      <w:r w:rsidR="0074381F" w:rsidRPr="00062429">
        <w:t xml:space="preserve">reatment </w:t>
      </w:r>
      <w:r>
        <w:t>p</w:t>
      </w:r>
      <w:r w:rsidR="0074381F" w:rsidRPr="00062429">
        <w:t>eriod</w:t>
      </w:r>
      <w:r w:rsidR="0074381F">
        <w:t xml:space="preserve"> (</w:t>
      </w:r>
      <w:r w:rsidR="0074381F" w:rsidRPr="00062429">
        <w:t>16 weeks</w:t>
      </w:r>
      <w:proofErr w:type="gramStart"/>
      <w:r w:rsidR="0074381F" w:rsidRPr="00062429">
        <w:t>);</w:t>
      </w:r>
      <w:proofErr w:type="gramEnd"/>
    </w:p>
    <w:p w14:paraId="0B55168B" w14:textId="5710219B" w:rsidR="0074381F" w:rsidRPr="00062429" w:rsidRDefault="00BE4AC5" w:rsidP="0074381F">
      <w:pPr>
        <w:pStyle w:val="ListBullet"/>
      </w:pPr>
      <w:r>
        <w:t>p</w:t>
      </w:r>
      <w:r w:rsidR="0074381F" w:rsidRPr="00062429">
        <w:t>lacebo</w:t>
      </w:r>
      <w:r>
        <w:t xml:space="preserve"> </w:t>
      </w:r>
      <w:r w:rsidR="0074381F" w:rsidRPr="00062429">
        <w:t xml:space="preserve">controlled </w:t>
      </w:r>
      <w:r>
        <w:t>r</w:t>
      </w:r>
      <w:r w:rsidR="0074381F" w:rsidRPr="00062429">
        <w:t>andomi</w:t>
      </w:r>
      <w:r>
        <w:t>s</w:t>
      </w:r>
      <w:r w:rsidR="0074381F" w:rsidRPr="00062429">
        <w:t>ed</w:t>
      </w:r>
      <w:r>
        <w:t xml:space="preserve"> w</w:t>
      </w:r>
      <w:r w:rsidR="0074381F" w:rsidRPr="00062429">
        <w:t xml:space="preserve">ithdrawal </w:t>
      </w:r>
      <w:r>
        <w:t>p</w:t>
      </w:r>
      <w:r w:rsidR="0074381F" w:rsidRPr="00062429">
        <w:t>eriod (40 weeks</w:t>
      </w:r>
      <w:proofErr w:type="gramStart"/>
      <w:r w:rsidR="0074381F" w:rsidRPr="00062429">
        <w:t>);</w:t>
      </w:r>
      <w:proofErr w:type="gramEnd"/>
    </w:p>
    <w:p w14:paraId="5A4E8931" w14:textId="69C061D6" w:rsidR="0074381F" w:rsidRPr="00062429" w:rsidRDefault="00BE4AC5" w:rsidP="0074381F">
      <w:pPr>
        <w:pStyle w:val="ListBullet"/>
      </w:pPr>
      <w:r>
        <w:t>s</w:t>
      </w:r>
      <w:r w:rsidR="0074381F" w:rsidRPr="00062429">
        <w:t xml:space="preserve">afety </w:t>
      </w:r>
      <w:r>
        <w:t>f</w:t>
      </w:r>
      <w:r w:rsidR="0074381F" w:rsidRPr="00062429">
        <w:t>ollow</w:t>
      </w:r>
      <w:r>
        <w:t xml:space="preserve"> u</w:t>
      </w:r>
      <w:r w:rsidR="0074381F" w:rsidRPr="00062429">
        <w:t xml:space="preserve">p </w:t>
      </w:r>
      <w:r>
        <w:t>p</w:t>
      </w:r>
      <w:r w:rsidR="0074381F" w:rsidRPr="00062429">
        <w:t xml:space="preserve">eriod (20 weeks after the final dose of </w:t>
      </w:r>
      <w:r w:rsidR="00697067">
        <w:t>IMP</w:t>
      </w:r>
      <w:r w:rsidR="0074381F" w:rsidRPr="00062429">
        <w:t>).</w:t>
      </w:r>
    </w:p>
    <w:p w14:paraId="201FA115" w14:textId="5D95197F" w:rsidR="008A3252" w:rsidRDefault="0074381F" w:rsidP="00D24520">
      <w:pPr>
        <w:pStyle w:val="FigureTitle"/>
      </w:pPr>
      <w:r w:rsidRPr="00D24520">
        <w:t xml:space="preserve">Figure </w:t>
      </w:r>
      <w:r w:rsidR="00172397">
        <w:fldChar w:fldCharType="begin"/>
      </w:r>
      <w:r w:rsidR="00172397">
        <w:instrText xml:space="preserve"> SEQ Figure \* ARABIC </w:instrText>
      </w:r>
      <w:r w:rsidR="00172397">
        <w:fldChar w:fldCharType="separate"/>
      </w:r>
      <w:r w:rsidR="00B54079">
        <w:rPr>
          <w:noProof/>
        </w:rPr>
        <w:t>18</w:t>
      </w:r>
      <w:r w:rsidR="00172397">
        <w:rPr>
          <w:noProof/>
        </w:rPr>
        <w:fldChar w:fldCharType="end"/>
      </w:r>
      <w:r>
        <w:t>:</w:t>
      </w:r>
      <w:r w:rsidR="00D24520">
        <w:t xml:space="preserve"> Study PS0013 </w:t>
      </w:r>
      <w:r w:rsidR="00AF4D50">
        <w:t>D</w:t>
      </w:r>
      <w:r w:rsidR="00D24520">
        <w:t>esign schema</w:t>
      </w:r>
    </w:p>
    <w:p w14:paraId="44C4DF1F" w14:textId="6EF282DE" w:rsidR="0074381F" w:rsidRDefault="0074381F" w:rsidP="0074381F">
      <w:r w:rsidRPr="0074381F">
        <w:rPr>
          <w:noProof/>
          <w:lang w:val="en-GB" w:eastAsia="en-GB"/>
        </w:rPr>
        <w:drawing>
          <wp:inline distT="0" distB="0" distL="0" distR="0" wp14:anchorId="453DA99D" wp14:editId="7BCDE33F">
            <wp:extent cx="5400040" cy="2762885"/>
            <wp:effectExtent l="0" t="0" r="0" b="0"/>
            <wp:docPr id="14" name="Picture 14" descr="Study PS0013 design schema&#10;Study PS0013 is a Phase III, randomised, double-blind, placebo-controlled multicentre study to evaluate the efficacy and safety of bimekizumab in adults with moderate to severe chronic plaque psoriasis.&#10;&#10;Study design consists of four periods, screening, initial treatment period (16 weeks), randomised withdrawal period (40 weeks), safety follow up period (20 weeks post final d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tudy PS0013 design schema&#10;Study PS0013 is a Phase III, randomised, double-blind, placebo-controlled multicentre study to evaluate the efficacy and safety of bimekizumab in adults with moderate to severe chronic plaque psoriasis.&#10;&#10;Study design consists of four periods, screening, initial treatment period (16 weeks), randomised withdrawal period (40 weeks), safety follow up period (20 weeks post final dose)."/>
                    <pic:cNvPicPr/>
                  </pic:nvPicPr>
                  <pic:blipFill>
                    <a:blip r:embed="rId38"/>
                    <a:stretch>
                      <a:fillRect/>
                    </a:stretch>
                  </pic:blipFill>
                  <pic:spPr>
                    <a:xfrm>
                      <a:off x="0" y="0"/>
                      <a:ext cx="5400040" cy="2762885"/>
                    </a:xfrm>
                    <a:prstGeom prst="rect">
                      <a:avLst/>
                    </a:prstGeom>
                  </pic:spPr>
                </pic:pic>
              </a:graphicData>
            </a:graphic>
          </wp:inline>
        </w:drawing>
      </w:r>
    </w:p>
    <w:p w14:paraId="0B38FDDD" w14:textId="19744A31" w:rsidR="0074381F" w:rsidRPr="00C54041" w:rsidRDefault="00AF4D50" w:rsidP="006E4137">
      <w:pPr>
        <w:pStyle w:val="FigureDescription"/>
        <w:rPr>
          <w:lang w:eastAsia="ja-JP"/>
        </w:rPr>
      </w:pPr>
      <w:r>
        <w:rPr>
          <w:lang w:eastAsia="ja-JP"/>
        </w:rPr>
        <w:t xml:space="preserve">Abbreviations: </w:t>
      </w:r>
      <w:r w:rsidR="0074381F" w:rsidRPr="00C54041">
        <w:rPr>
          <w:lang w:eastAsia="ja-JP"/>
        </w:rPr>
        <w:t>IGA</w:t>
      </w:r>
      <w:r w:rsidR="00D24520">
        <w:rPr>
          <w:lang w:eastAsia="ja-JP"/>
        </w:rPr>
        <w:t xml:space="preserve"> </w:t>
      </w:r>
      <w:r w:rsidR="0074381F" w:rsidRPr="00C54041">
        <w:rPr>
          <w:lang w:eastAsia="ja-JP"/>
        </w:rPr>
        <w:t>=</w:t>
      </w:r>
      <w:r w:rsidR="00D24520">
        <w:rPr>
          <w:lang w:eastAsia="ja-JP"/>
        </w:rPr>
        <w:t xml:space="preserve"> </w:t>
      </w:r>
      <w:r w:rsidR="0074381F" w:rsidRPr="00C54041">
        <w:rPr>
          <w:lang w:eastAsia="ja-JP"/>
        </w:rPr>
        <w:t>Investigator’s Global Assessment; PASI</w:t>
      </w:r>
      <w:r w:rsidR="00D24520">
        <w:rPr>
          <w:lang w:eastAsia="ja-JP"/>
        </w:rPr>
        <w:t xml:space="preserve"> </w:t>
      </w:r>
      <w:r w:rsidR="0074381F" w:rsidRPr="00C54041">
        <w:rPr>
          <w:lang w:eastAsia="ja-JP"/>
        </w:rPr>
        <w:t>=</w:t>
      </w:r>
      <w:r w:rsidR="00D24520">
        <w:rPr>
          <w:lang w:eastAsia="ja-JP"/>
        </w:rPr>
        <w:t xml:space="preserve"> </w:t>
      </w:r>
      <w:r w:rsidR="0074381F" w:rsidRPr="00C54041">
        <w:rPr>
          <w:lang w:eastAsia="ja-JP"/>
        </w:rPr>
        <w:t>Psoriasis Area and Severity Index; PASI</w:t>
      </w:r>
      <w:r>
        <w:rPr>
          <w:lang w:eastAsia="ja-JP"/>
        </w:rPr>
        <w:t> </w:t>
      </w:r>
      <w:r w:rsidR="0074381F" w:rsidRPr="00C54041">
        <w:rPr>
          <w:lang w:eastAsia="ja-JP"/>
        </w:rPr>
        <w:t>75</w:t>
      </w:r>
      <w:r>
        <w:rPr>
          <w:lang w:eastAsia="ja-JP"/>
        </w:rPr>
        <w:t> </w:t>
      </w:r>
      <w:r w:rsidR="0074381F" w:rsidRPr="00C54041">
        <w:rPr>
          <w:lang w:eastAsia="ja-JP"/>
        </w:rPr>
        <w:t>=</w:t>
      </w:r>
      <w:r w:rsidR="00D24520">
        <w:rPr>
          <w:lang w:eastAsia="ja-JP"/>
        </w:rPr>
        <w:t xml:space="preserve"> </w:t>
      </w:r>
      <w:r w:rsidR="0074381F" w:rsidRPr="00C54041">
        <w:rPr>
          <w:lang w:eastAsia="ja-JP"/>
        </w:rPr>
        <w:t>at least 75% improvement from Baseline in the PASI score; PASI</w:t>
      </w:r>
      <w:r w:rsidR="0074381F">
        <w:rPr>
          <w:lang w:eastAsia="ja-JP"/>
        </w:rPr>
        <w:t xml:space="preserve"> </w:t>
      </w:r>
      <w:r w:rsidR="0074381F" w:rsidRPr="00C54041">
        <w:rPr>
          <w:lang w:eastAsia="ja-JP"/>
        </w:rPr>
        <w:t>90</w:t>
      </w:r>
      <w:r w:rsidR="00D24520">
        <w:rPr>
          <w:lang w:eastAsia="ja-JP"/>
        </w:rPr>
        <w:t xml:space="preserve"> </w:t>
      </w:r>
      <w:r w:rsidR="0074381F" w:rsidRPr="00C54041">
        <w:rPr>
          <w:lang w:eastAsia="ja-JP"/>
        </w:rPr>
        <w:t>=</w:t>
      </w:r>
      <w:r w:rsidR="00D24520">
        <w:rPr>
          <w:lang w:eastAsia="ja-JP"/>
        </w:rPr>
        <w:t xml:space="preserve"> </w:t>
      </w:r>
      <w:r w:rsidR="0074381F" w:rsidRPr="00C54041">
        <w:rPr>
          <w:lang w:eastAsia="ja-JP"/>
        </w:rPr>
        <w:t xml:space="preserve">at least 90% improvement from Baseline in the PASI score; </w:t>
      </w:r>
      <w:r w:rsidR="00D24520">
        <w:rPr>
          <w:lang w:eastAsia="ja-JP"/>
        </w:rPr>
        <w:t xml:space="preserve">Q4W = </w:t>
      </w:r>
      <w:r w:rsidR="0074381F" w:rsidRPr="00C54041">
        <w:rPr>
          <w:lang w:eastAsia="ja-JP"/>
        </w:rPr>
        <w:t>every 4 weeks;</w:t>
      </w:r>
      <w:r w:rsidR="0074381F">
        <w:rPr>
          <w:lang w:eastAsia="ja-JP"/>
        </w:rPr>
        <w:t xml:space="preserve"> </w:t>
      </w:r>
      <w:r w:rsidR="00D24520">
        <w:rPr>
          <w:lang w:eastAsia="ja-JP"/>
        </w:rPr>
        <w:t xml:space="preserve">Q8W </w:t>
      </w:r>
      <w:r w:rsidR="0074381F" w:rsidRPr="00C54041">
        <w:rPr>
          <w:lang w:eastAsia="ja-JP"/>
        </w:rPr>
        <w:t>=</w:t>
      </w:r>
      <w:r w:rsidR="00D24520">
        <w:rPr>
          <w:lang w:eastAsia="ja-JP"/>
        </w:rPr>
        <w:t xml:space="preserve"> </w:t>
      </w:r>
      <w:r w:rsidR="0074381F" w:rsidRPr="00C54041">
        <w:rPr>
          <w:lang w:eastAsia="ja-JP"/>
        </w:rPr>
        <w:t>every 8 weeks; SFU</w:t>
      </w:r>
      <w:r w:rsidR="00D24520">
        <w:rPr>
          <w:lang w:eastAsia="ja-JP"/>
        </w:rPr>
        <w:t xml:space="preserve"> </w:t>
      </w:r>
      <w:r w:rsidR="0074381F" w:rsidRPr="00C54041">
        <w:rPr>
          <w:lang w:eastAsia="ja-JP"/>
        </w:rPr>
        <w:t>=</w:t>
      </w:r>
      <w:r w:rsidR="00D24520">
        <w:rPr>
          <w:lang w:eastAsia="ja-JP"/>
        </w:rPr>
        <w:t xml:space="preserve"> s</w:t>
      </w:r>
      <w:r w:rsidR="0074381F" w:rsidRPr="00C54041">
        <w:rPr>
          <w:lang w:eastAsia="ja-JP"/>
        </w:rPr>
        <w:t xml:space="preserve">afety </w:t>
      </w:r>
      <w:r w:rsidR="00D24520">
        <w:rPr>
          <w:lang w:eastAsia="ja-JP"/>
        </w:rPr>
        <w:t>f</w:t>
      </w:r>
      <w:r w:rsidR="0074381F" w:rsidRPr="00C54041">
        <w:rPr>
          <w:lang w:eastAsia="ja-JP"/>
        </w:rPr>
        <w:t>ollow</w:t>
      </w:r>
      <w:r w:rsidR="00D24520">
        <w:rPr>
          <w:lang w:eastAsia="ja-JP"/>
        </w:rPr>
        <w:t xml:space="preserve"> u</w:t>
      </w:r>
      <w:r w:rsidR="0074381F" w:rsidRPr="00C54041">
        <w:rPr>
          <w:lang w:eastAsia="ja-JP"/>
        </w:rPr>
        <w:t>p</w:t>
      </w:r>
    </w:p>
    <w:p w14:paraId="14E2F1D9" w14:textId="77777777" w:rsidR="0074381F" w:rsidRDefault="0074381F" w:rsidP="0074381F">
      <w:r>
        <w:t>Elaborating on the above study design:</w:t>
      </w:r>
    </w:p>
    <w:p w14:paraId="6164DF15" w14:textId="5196721D" w:rsidR="0074381F" w:rsidRDefault="0074381F" w:rsidP="0074381F">
      <w:pPr>
        <w:pStyle w:val="ListBullet"/>
      </w:pPr>
      <w:r>
        <w:t xml:space="preserve">Study participants who did not achieve a PASI 90 response at Week 16 of the </w:t>
      </w:r>
      <w:r w:rsidR="001D2CFA">
        <w:t>initial treatment period</w:t>
      </w:r>
      <w:r>
        <w:t xml:space="preserve"> were allocated to the </w:t>
      </w:r>
      <w:proofErr w:type="gramStart"/>
      <w:r>
        <w:t>12</w:t>
      </w:r>
      <w:r w:rsidR="00D24520">
        <w:t xml:space="preserve"> </w:t>
      </w:r>
      <w:r>
        <w:t>week</w:t>
      </w:r>
      <w:proofErr w:type="gramEnd"/>
      <w:r>
        <w:t xml:space="preserve"> open label escape treatment arm;</w:t>
      </w:r>
    </w:p>
    <w:p w14:paraId="75CF0CE1" w14:textId="1D4EF452" w:rsidR="0074381F" w:rsidRDefault="0074381F" w:rsidP="0074381F">
      <w:pPr>
        <w:pStyle w:val="ListBullet"/>
      </w:pPr>
      <w:r>
        <w:t xml:space="preserve">All study participants who relapsed (defined as not achieving a PASI 75 response) at Week 20 or later during the </w:t>
      </w:r>
      <w:r w:rsidR="001D2CFA">
        <w:t>randomised</w:t>
      </w:r>
      <w:r>
        <w:t>-</w:t>
      </w:r>
      <w:r w:rsidR="00D24520">
        <w:t>w</w:t>
      </w:r>
      <w:r>
        <w:t xml:space="preserve">ithdrawal </w:t>
      </w:r>
      <w:r w:rsidR="00D24520">
        <w:t>p</w:t>
      </w:r>
      <w:r>
        <w:t xml:space="preserve">eriod (up to Week 56), consisting of </w:t>
      </w:r>
      <w:proofErr w:type="spellStart"/>
      <w:r w:rsidR="008B40FD">
        <w:t>bimekizumab</w:t>
      </w:r>
      <w:proofErr w:type="spellEnd"/>
      <w:r>
        <w:t xml:space="preserve"> 320</w:t>
      </w:r>
      <w:r w:rsidR="00D24520">
        <w:t xml:space="preserve"> </w:t>
      </w:r>
      <w:r>
        <w:t xml:space="preserve">mg </w:t>
      </w:r>
      <w:r w:rsidR="00F23C97">
        <w:t>every 4 weeks</w:t>
      </w:r>
      <w:r>
        <w:t xml:space="preserve"> (n</w:t>
      </w:r>
      <w:r w:rsidR="00D24520">
        <w:t xml:space="preserve"> </w:t>
      </w:r>
      <w:r>
        <w:t>=</w:t>
      </w:r>
      <w:r w:rsidR="00D24520">
        <w:t xml:space="preserve"> </w:t>
      </w:r>
      <w:r>
        <w:t xml:space="preserve">80), </w:t>
      </w:r>
      <w:proofErr w:type="spellStart"/>
      <w:r w:rsidR="008B40FD">
        <w:t>bimekizumab</w:t>
      </w:r>
      <w:proofErr w:type="spellEnd"/>
      <w:r>
        <w:t xml:space="preserve"> 320</w:t>
      </w:r>
      <w:r w:rsidR="00D24520">
        <w:t xml:space="preserve"> </w:t>
      </w:r>
      <w:r>
        <w:t xml:space="preserve">mg </w:t>
      </w:r>
      <w:r w:rsidR="00F23C97">
        <w:t>every 8 weeks</w:t>
      </w:r>
      <w:r>
        <w:t xml:space="preserve"> (n</w:t>
      </w:r>
      <w:r w:rsidR="00D24520">
        <w:t xml:space="preserve"> </w:t>
      </w:r>
      <w:r>
        <w:t>=</w:t>
      </w:r>
      <w:r w:rsidR="00D24520">
        <w:t xml:space="preserve"> </w:t>
      </w:r>
      <w:r>
        <w:t xml:space="preserve">80) and </w:t>
      </w:r>
      <w:r w:rsidR="004858E7">
        <w:t>placebo</w:t>
      </w:r>
      <w:r>
        <w:t xml:space="preserve"> </w:t>
      </w:r>
      <w:r w:rsidR="00F23C97">
        <w:t>every 4 weeks</w:t>
      </w:r>
      <w:r>
        <w:t xml:space="preserve"> (n</w:t>
      </w:r>
      <w:r w:rsidR="00D24520">
        <w:t xml:space="preserve"> </w:t>
      </w:r>
      <w:r>
        <w:t>=</w:t>
      </w:r>
      <w:r w:rsidR="00D24520">
        <w:t xml:space="preserve"> </w:t>
      </w:r>
      <w:r>
        <w:t xml:space="preserve">80) were allocated to the </w:t>
      </w:r>
      <w:proofErr w:type="gramStart"/>
      <w:r>
        <w:t>12</w:t>
      </w:r>
      <w:r w:rsidR="00AF4D50">
        <w:t> </w:t>
      </w:r>
      <w:r>
        <w:t>week</w:t>
      </w:r>
      <w:proofErr w:type="gramEnd"/>
      <w:r>
        <w:t xml:space="preserve"> open</w:t>
      </w:r>
      <w:r w:rsidR="00D24520">
        <w:t xml:space="preserve"> </w:t>
      </w:r>
      <w:r>
        <w:t>label escape treatment arm;</w:t>
      </w:r>
    </w:p>
    <w:p w14:paraId="39F393F8" w14:textId="0313840C" w:rsidR="0074381F" w:rsidRDefault="0074381F" w:rsidP="0074381F">
      <w:pPr>
        <w:pStyle w:val="ListBullet"/>
      </w:pPr>
      <w:r>
        <w:t>Study participants who achieved a minimum PASI 50 response at Week 12 of the open</w:t>
      </w:r>
      <w:r w:rsidR="00D24520">
        <w:t xml:space="preserve"> </w:t>
      </w:r>
      <w:r>
        <w:t xml:space="preserve">label escape treatment arm were allowed to enrol in PS0014 </w:t>
      </w:r>
      <w:r w:rsidR="00D24520">
        <w:t>(</w:t>
      </w:r>
      <w:r>
        <w:t>open</w:t>
      </w:r>
      <w:r w:rsidR="00D24520">
        <w:t xml:space="preserve"> </w:t>
      </w:r>
      <w:r>
        <w:t xml:space="preserve">label study to assess the </w:t>
      </w:r>
      <w:proofErr w:type="gramStart"/>
      <w:r>
        <w:t>long</w:t>
      </w:r>
      <w:r w:rsidR="00D24520">
        <w:t xml:space="preserve"> </w:t>
      </w:r>
      <w:r>
        <w:t>term</w:t>
      </w:r>
      <w:proofErr w:type="gramEnd"/>
      <w:r>
        <w:t xml:space="preserve"> safety, tolerability, and efficacy of </w:t>
      </w:r>
      <w:proofErr w:type="spellStart"/>
      <w:r>
        <w:t>bimekizumab</w:t>
      </w:r>
      <w:proofErr w:type="spellEnd"/>
      <w:r>
        <w:t xml:space="preserve"> in eligible adult study participants with moderate to severe plaque </w:t>
      </w:r>
      <w:r w:rsidR="008B40FD">
        <w:t>psoriasis</w:t>
      </w:r>
      <w:r>
        <w:t xml:space="preserve"> who complete one of the Phase III feeder studies (Studies PS0008, PS0009, or PS0013)</w:t>
      </w:r>
      <w:r w:rsidR="00D24520">
        <w:t>)</w:t>
      </w:r>
      <w:r>
        <w:t>.</w:t>
      </w:r>
    </w:p>
    <w:p w14:paraId="50807400" w14:textId="5A48C01E" w:rsidR="0074381F" w:rsidRDefault="0074381F" w:rsidP="0074381F">
      <w:pPr>
        <w:pStyle w:val="ListBullet"/>
      </w:pPr>
      <w:r>
        <w:t>After completing the study, eligible participants were allowed to enrol in the open</w:t>
      </w:r>
      <w:r w:rsidR="00D24520">
        <w:t xml:space="preserve"> </w:t>
      </w:r>
      <w:r>
        <w:t xml:space="preserve">label </w:t>
      </w:r>
      <w:r w:rsidR="00D24520">
        <w:t>S</w:t>
      </w:r>
      <w:r>
        <w:t>tudy PS0014. Study participants who enrolled into Study PS00 14 did not have the Study PS0013 safety follow up visit.</w:t>
      </w:r>
    </w:p>
    <w:p w14:paraId="68937BDA" w14:textId="1C0426B1" w:rsidR="0074381F" w:rsidRDefault="0074381F" w:rsidP="0074381F">
      <w:r>
        <w:t xml:space="preserve">The Delegate commented that the treatment profile in the extension Study PS0014 was a mixture of </w:t>
      </w:r>
      <w:proofErr w:type="spellStart"/>
      <w:r w:rsidR="008B40FD">
        <w:t>bimekizumab</w:t>
      </w:r>
      <w:proofErr w:type="spellEnd"/>
      <w:r>
        <w:t xml:space="preserve"> 320</w:t>
      </w:r>
      <w:r w:rsidR="00D24520">
        <w:t xml:space="preserve"> </w:t>
      </w:r>
      <w:r>
        <w:t xml:space="preserve">mg </w:t>
      </w:r>
      <w:r w:rsidR="00F23C97">
        <w:t>every 4 weeks</w:t>
      </w:r>
      <w:r>
        <w:t xml:space="preserve"> </w:t>
      </w:r>
      <w:r w:rsidR="00D24520">
        <w:t>and</w:t>
      </w:r>
      <w:r>
        <w:t xml:space="preserve"> </w:t>
      </w:r>
      <w:r w:rsidR="00F23C97">
        <w:t>every 8 weeks</w:t>
      </w:r>
      <w:r>
        <w:t xml:space="preserve">. Stratification in </w:t>
      </w:r>
      <w:r w:rsidR="00D24520">
        <w:t>S</w:t>
      </w:r>
      <w:r>
        <w:t>tudy</w:t>
      </w:r>
      <w:r w:rsidR="00D24520">
        <w:t> </w:t>
      </w:r>
      <w:r>
        <w:t>PS0014 regarding PASI</w:t>
      </w:r>
      <w:r w:rsidR="00D24520">
        <w:t xml:space="preserve"> score</w:t>
      </w:r>
      <w:r>
        <w:t xml:space="preserve"> at entry from Study PS0013 was as above that is </w:t>
      </w:r>
      <w:r w:rsidR="00D24520">
        <w:t>greater than</w:t>
      </w:r>
      <w:r>
        <w:t xml:space="preserve"> 50</w:t>
      </w:r>
      <w:r w:rsidR="00D24520">
        <w:t xml:space="preserve"> score</w:t>
      </w:r>
      <w:r>
        <w:t xml:space="preserve"> (that is 50, 75, 90).</w:t>
      </w:r>
    </w:p>
    <w:p w14:paraId="0D8CABB6" w14:textId="4D726CE1" w:rsidR="0074381F" w:rsidRDefault="0074381F" w:rsidP="0074381F">
      <w:r>
        <w:t xml:space="preserve">The primary objective is </w:t>
      </w:r>
      <w:r w:rsidR="00B75D2D">
        <w:t>t</w:t>
      </w:r>
      <w:r>
        <w:t xml:space="preserve">o evaluate the efficacy and safety of </w:t>
      </w:r>
      <w:proofErr w:type="spellStart"/>
      <w:r>
        <w:t>bimekizumab</w:t>
      </w:r>
      <w:proofErr w:type="spellEnd"/>
      <w:r>
        <w:t xml:space="preserve"> in adults with moderate to severe plaque psoriasis.</w:t>
      </w:r>
    </w:p>
    <w:p w14:paraId="6AB39EBA" w14:textId="78FFC24E" w:rsidR="0074381F" w:rsidRDefault="00AF4D50" w:rsidP="0074381F">
      <w:r>
        <w:lastRenderedPageBreak/>
        <w:t>The m</w:t>
      </w:r>
      <w:r w:rsidR="0074381F" w:rsidRPr="001D2CFA">
        <w:t xml:space="preserve">ain </w:t>
      </w:r>
      <w:r w:rsidR="008572D2" w:rsidRPr="001D2CFA">
        <w:t>i</w:t>
      </w:r>
      <w:r w:rsidR="0074381F" w:rsidRPr="001D2CFA">
        <w:t>nclusion criteria</w:t>
      </w:r>
      <w:r w:rsidR="00B75D2D" w:rsidRPr="001D2CFA">
        <w:t xml:space="preserve"> </w:t>
      </w:r>
      <w:r w:rsidR="001D2CFA" w:rsidRPr="001D2CFA">
        <w:t>include</w:t>
      </w:r>
      <w:r w:rsidR="00B75D2D" w:rsidRPr="001D2CFA">
        <w:t xml:space="preserve"> s</w:t>
      </w:r>
      <w:r w:rsidR="0074381F" w:rsidRPr="001D2CFA">
        <w:t xml:space="preserve">tudy participants must have been adults with a diagnosis of moderate to severe chronic plaque </w:t>
      </w:r>
      <w:r w:rsidR="008B40FD" w:rsidRPr="001D2CFA">
        <w:t>psoriasis</w:t>
      </w:r>
      <w:r w:rsidR="0074381F" w:rsidRPr="001D2CFA">
        <w:t xml:space="preserve"> (Baseline PASI </w:t>
      </w:r>
      <w:r w:rsidR="001D2CFA">
        <w:t xml:space="preserve">greater than </w:t>
      </w:r>
      <w:r w:rsidR="0074381F" w:rsidRPr="001D2CFA">
        <w:t>12 and BSA affected by</w:t>
      </w:r>
      <w:r w:rsidR="0074381F">
        <w:t xml:space="preserve"> </w:t>
      </w:r>
      <w:r w:rsidR="008B40FD">
        <w:t>psoriasis</w:t>
      </w:r>
      <w:r w:rsidR="0074381F">
        <w:t xml:space="preserve"> 10% and IGA score </w:t>
      </w:r>
      <w:r w:rsidR="001D2CFA">
        <w:t xml:space="preserve">greater than </w:t>
      </w:r>
      <w:r w:rsidR="0074381F">
        <w:t>3</w:t>
      </w:r>
      <w:r w:rsidR="001D2CFA">
        <w:t xml:space="preserve">, </w:t>
      </w:r>
      <w:r w:rsidR="0074381F">
        <w:t xml:space="preserve">on a 5-point scale) who were candidates for systemic </w:t>
      </w:r>
      <w:r w:rsidR="008B40FD">
        <w:t>psoriasis</w:t>
      </w:r>
      <w:r w:rsidR="0074381F">
        <w:t xml:space="preserve"> therapy and/or phototherapy.</w:t>
      </w:r>
    </w:p>
    <w:p w14:paraId="36E1B6A2" w14:textId="06CE2659" w:rsidR="0074381F" w:rsidRDefault="00AF4D50" w:rsidP="0074381F">
      <w:r>
        <w:t>The e</w:t>
      </w:r>
      <w:r w:rsidR="0074381F">
        <w:t xml:space="preserve">xclusion </w:t>
      </w:r>
      <w:r w:rsidR="001D2CFA">
        <w:t>c</w:t>
      </w:r>
      <w:r w:rsidR="0074381F">
        <w:t>riteria</w:t>
      </w:r>
      <w:r w:rsidR="00B75D2D">
        <w:t xml:space="preserve"> </w:t>
      </w:r>
      <w:r w:rsidR="0074381F">
        <w:t xml:space="preserve">were essentially </w:t>
      </w:r>
      <w:proofErr w:type="gramStart"/>
      <w:r w:rsidR="0074381F">
        <w:t>similar to</w:t>
      </w:r>
      <w:proofErr w:type="gramEnd"/>
      <w:r w:rsidR="0074381F">
        <w:t xml:space="preserve"> those for the other pivotal studies discussed above </w:t>
      </w:r>
      <w:r w:rsidR="00B75D2D">
        <w:t xml:space="preserve">(Studies </w:t>
      </w:r>
      <w:r w:rsidR="0074381F">
        <w:t>PS0008 &amp; PS0009</w:t>
      </w:r>
      <w:r w:rsidR="00B75D2D">
        <w:t>).</w:t>
      </w:r>
    </w:p>
    <w:p w14:paraId="5CE47B91" w14:textId="65736956" w:rsidR="0074381F" w:rsidRDefault="00B75D2D" w:rsidP="0074381F">
      <w:r>
        <w:t xml:space="preserve">The </w:t>
      </w:r>
      <w:r w:rsidR="00AF4D50">
        <w:rPr>
          <w:bCs/>
        </w:rPr>
        <w:t xml:space="preserve">TGA’s clinical evaluation </w:t>
      </w:r>
      <w:r w:rsidR="00AF4D50">
        <w:t>noted</w:t>
      </w:r>
      <w:r>
        <w:t xml:space="preserve"> that t</w:t>
      </w:r>
      <w:r w:rsidR="0074381F">
        <w:t xml:space="preserve">he requirement of a PASI </w:t>
      </w:r>
      <w:r w:rsidR="001D2CFA">
        <w:t xml:space="preserve">greater or equal to </w:t>
      </w:r>
      <w:r w:rsidR="0074381F">
        <w:t xml:space="preserve">12, IGA </w:t>
      </w:r>
      <w:r w:rsidR="001D2CFA">
        <w:t>greater or equal to</w:t>
      </w:r>
      <w:r w:rsidR="0074381F">
        <w:t xml:space="preserve"> 3 and a total BSA </w:t>
      </w:r>
      <w:r w:rsidR="001D2CFA">
        <w:t>greater or equal to</w:t>
      </w:r>
      <w:r w:rsidR="0074381F">
        <w:t xml:space="preserve"> 10% reflects published guidelines as adopted by the TGA.</w:t>
      </w:r>
      <w:r w:rsidR="001D2CFA">
        <w:fldChar w:fldCharType="begin"/>
      </w:r>
      <w:r w:rsidR="001D2CFA">
        <w:instrText xml:space="preserve"> NOTEREF _Ref129858909 \f \h </w:instrText>
      </w:r>
      <w:r w:rsidR="001D2CFA">
        <w:fldChar w:fldCharType="separate"/>
      </w:r>
      <w:r w:rsidR="00B54079" w:rsidRPr="00B54079">
        <w:rPr>
          <w:rStyle w:val="FootnoteReference"/>
        </w:rPr>
        <w:t>30</w:t>
      </w:r>
      <w:r w:rsidR="001D2CFA">
        <w:fldChar w:fldCharType="end"/>
      </w:r>
    </w:p>
    <w:p w14:paraId="7BC211C9" w14:textId="77777777" w:rsidR="0074381F" w:rsidRDefault="0074381F" w:rsidP="00B75D2D">
      <w:pPr>
        <w:pStyle w:val="Heading6"/>
      </w:pPr>
      <w:r>
        <w:t>Study treatments</w:t>
      </w:r>
    </w:p>
    <w:p w14:paraId="0103DB5C" w14:textId="6AE633AA" w:rsidR="0074381F" w:rsidRDefault="0074381F" w:rsidP="0074381F">
      <w:r>
        <w:t xml:space="preserve">For the </w:t>
      </w:r>
      <w:r w:rsidR="00B75D2D">
        <w:t>double blinded i</w:t>
      </w:r>
      <w:r>
        <w:t xml:space="preserve">nitial </w:t>
      </w:r>
      <w:r w:rsidR="00B75D2D">
        <w:t>t</w:t>
      </w:r>
      <w:r>
        <w:t xml:space="preserve">reatment </w:t>
      </w:r>
      <w:r w:rsidR="00B75D2D">
        <w:t>p</w:t>
      </w:r>
      <w:r>
        <w:t>eriod:</w:t>
      </w:r>
    </w:p>
    <w:p w14:paraId="0C02F725" w14:textId="77AB3853" w:rsidR="0074381F" w:rsidRDefault="0074381F" w:rsidP="00B75D2D">
      <w:pPr>
        <w:pStyle w:val="ListBullet"/>
      </w:pPr>
      <w:r>
        <w:t xml:space="preserve">Study participants </w:t>
      </w:r>
      <w:r w:rsidR="001D2CFA">
        <w:t>randomised</w:t>
      </w:r>
      <w:r>
        <w:t xml:space="preserve"> to receive </w:t>
      </w:r>
      <w:proofErr w:type="spellStart"/>
      <w:r w:rsidR="008B40FD">
        <w:t>bimekizumab</w:t>
      </w:r>
      <w:proofErr w:type="spellEnd"/>
      <w:r>
        <w:t xml:space="preserve"> 320</w:t>
      </w:r>
      <w:r w:rsidR="001D2CFA">
        <w:t xml:space="preserve"> </w:t>
      </w:r>
      <w:r>
        <w:t xml:space="preserve">mg </w:t>
      </w:r>
      <w:r w:rsidR="00F23C97">
        <w:t>every 4 weeks</w:t>
      </w:r>
      <w:r>
        <w:t xml:space="preserve">, received </w:t>
      </w:r>
      <w:r w:rsidR="001D2CFA">
        <w:t>two</w:t>
      </w:r>
      <w:r>
        <w:t xml:space="preserve"> </w:t>
      </w:r>
      <w:proofErr w:type="spellStart"/>
      <w:r w:rsidR="008B40FD">
        <w:t>bimekizumab</w:t>
      </w:r>
      <w:proofErr w:type="spellEnd"/>
      <w:r>
        <w:t xml:space="preserve"> 160</w:t>
      </w:r>
      <w:r w:rsidR="001D2CFA">
        <w:t xml:space="preserve"> </w:t>
      </w:r>
      <w:r>
        <w:t xml:space="preserve">mg injections </w:t>
      </w:r>
      <w:r w:rsidR="001D2CFA">
        <w:t>subcutaneously</w:t>
      </w:r>
      <w:r>
        <w:t xml:space="preserve"> </w:t>
      </w:r>
      <w:r w:rsidR="00F23C97">
        <w:t>every 4 weeks</w:t>
      </w:r>
      <w:r>
        <w:t>.</w:t>
      </w:r>
    </w:p>
    <w:p w14:paraId="68D00C0C" w14:textId="4E5966A9" w:rsidR="0074381F" w:rsidRDefault="0074381F" w:rsidP="00B75D2D">
      <w:pPr>
        <w:pStyle w:val="ListBullet"/>
      </w:pPr>
      <w:r>
        <w:t xml:space="preserve">Study participants </w:t>
      </w:r>
      <w:r w:rsidR="001D2CFA">
        <w:t>randomised</w:t>
      </w:r>
      <w:r>
        <w:t xml:space="preserve"> to receive </w:t>
      </w:r>
      <w:r w:rsidR="004858E7">
        <w:t>placebo</w:t>
      </w:r>
      <w:r>
        <w:t xml:space="preserve">, received </w:t>
      </w:r>
      <w:r w:rsidR="001D2CFA">
        <w:t>two</w:t>
      </w:r>
      <w:r>
        <w:t xml:space="preserve"> </w:t>
      </w:r>
      <w:r w:rsidR="004858E7">
        <w:t>placebo</w:t>
      </w:r>
      <w:r>
        <w:t xml:space="preserve"> injections SC </w:t>
      </w:r>
      <w:r w:rsidR="00F23C97">
        <w:t>every 4 weeks</w:t>
      </w:r>
      <w:r>
        <w:t>.</w:t>
      </w:r>
    </w:p>
    <w:p w14:paraId="106B2A40" w14:textId="37043E5E" w:rsidR="0074381F" w:rsidRDefault="0074381F" w:rsidP="00B75D2D">
      <w:pPr>
        <w:pStyle w:val="ListBullet"/>
        <w:numPr>
          <w:ilvl w:val="0"/>
          <w:numId w:val="0"/>
        </w:numPr>
      </w:pPr>
      <w:r>
        <w:t xml:space="preserve">For </w:t>
      </w:r>
      <w:r w:rsidR="00B75D2D">
        <w:t>r</w:t>
      </w:r>
      <w:r>
        <w:t>andomi</w:t>
      </w:r>
      <w:r w:rsidR="00B75D2D">
        <w:t>s</w:t>
      </w:r>
      <w:r>
        <w:t>ed</w:t>
      </w:r>
      <w:r w:rsidR="001D2CFA">
        <w:t xml:space="preserve"> </w:t>
      </w:r>
      <w:r w:rsidR="00B75D2D">
        <w:t>w</w:t>
      </w:r>
      <w:r>
        <w:t xml:space="preserve">ithdrawal </w:t>
      </w:r>
      <w:r w:rsidR="00B75D2D">
        <w:t>p</w:t>
      </w:r>
      <w:r>
        <w:t>eriod:</w:t>
      </w:r>
    </w:p>
    <w:p w14:paraId="7A409B09" w14:textId="1740C72D" w:rsidR="0074381F" w:rsidRDefault="0074381F" w:rsidP="00B75D2D">
      <w:pPr>
        <w:pStyle w:val="ListBullet"/>
      </w:pPr>
      <w:r>
        <w:t>Study participants (N</w:t>
      </w:r>
      <w:r w:rsidR="001D2CFA">
        <w:t xml:space="preserve"> </w:t>
      </w:r>
      <w:r>
        <w:t>=</w:t>
      </w:r>
      <w:r w:rsidR="001D2CFA">
        <w:t xml:space="preserve"> </w:t>
      </w:r>
      <w:r>
        <w:t>80) who were re-randomi</w:t>
      </w:r>
      <w:r w:rsidR="001D2CFA">
        <w:t>s</w:t>
      </w:r>
      <w:r>
        <w:t xml:space="preserve">ed to receive </w:t>
      </w:r>
      <w:r w:rsidR="001D2CFA">
        <w:t>320 mg</w:t>
      </w:r>
      <w:r>
        <w:t xml:space="preserve"> </w:t>
      </w:r>
      <w:r w:rsidR="00F23C97">
        <w:t>every 4 weeks</w:t>
      </w:r>
      <w:r>
        <w:t xml:space="preserve"> received </w:t>
      </w:r>
      <w:r w:rsidR="001D2CFA">
        <w:t>two</w:t>
      </w:r>
      <w:r>
        <w:t xml:space="preserve"> </w:t>
      </w:r>
      <w:proofErr w:type="spellStart"/>
      <w:r w:rsidR="008B40FD">
        <w:t>bimekizumab</w:t>
      </w:r>
      <w:proofErr w:type="spellEnd"/>
      <w:r>
        <w:t xml:space="preserve"> </w:t>
      </w:r>
      <w:r w:rsidR="001D2CFA">
        <w:t>160 mg</w:t>
      </w:r>
      <w:r>
        <w:t xml:space="preserve"> injections </w:t>
      </w:r>
      <w:r w:rsidR="001D2CFA">
        <w:t>subcutaneously</w:t>
      </w:r>
      <w:r>
        <w:t xml:space="preserve"> </w:t>
      </w:r>
      <w:r w:rsidR="00F23C97">
        <w:t xml:space="preserve">every 4 </w:t>
      </w:r>
      <w:proofErr w:type="gramStart"/>
      <w:r w:rsidR="00F23C97">
        <w:t>weeks</w:t>
      </w:r>
      <w:r>
        <w:t>;</w:t>
      </w:r>
      <w:proofErr w:type="gramEnd"/>
    </w:p>
    <w:p w14:paraId="1B88948B" w14:textId="750178EB" w:rsidR="0074381F" w:rsidRDefault="0074381F" w:rsidP="00B75D2D">
      <w:pPr>
        <w:pStyle w:val="ListBullet"/>
      </w:pPr>
      <w:r>
        <w:t>Study participants (</w:t>
      </w:r>
      <w:r w:rsidR="001D2CFA">
        <w:t xml:space="preserve">N = </w:t>
      </w:r>
      <w:r>
        <w:t>80) re-</w:t>
      </w:r>
      <w:r w:rsidR="001D2CFA">
        <w:t>randomised</w:t>
      </w:r>
      <w:r>
        <w:t xml:space="preserve"> to receive </w:t>
      </w:r>
      <w:proofErr w:type="spellStart"/>
      <w:r w:rsidR="008B40FD">
        <w:t>bimekizumab</w:t>
      </w:r>
      <w:proofErr w:type="spellEnd"/>
      <w:r>
        <w:t xml:space="preserve"> </w:t>
      </w:r>
      <w:r w:rsidR="001D2CFA">
        <w:t>320 mg</w:t>
      </w:r>
      <w:r>
        <w:t xml:space="preserve"> </w:t>
      </w:r>
      <w:r w:rsidR="00F23C97">
        <w:t>every 8 weeks</w:t>
      </w:r>
      <w:r>
        <w:t xml:space="preserve"> alternated between receiving </w:t>
      </w:r>
      <w:proofErr w:type="spellStart"/>
      <w:r w:rsidR="008B40FD">
        <w:t>bimekizumab</w:t>
      </w:r>
      <w:proofErr w:type="spellEnd"/>
      <w:r>
        <w:t xml:space="preserve"> (</w:t>
      </w:r>
      <w:r w:rsidR="001D2CFA">
        <w:t>two</w:t>
      </w:r>
      <w:r>
        <w:t xml:space="preserve"> </w:t>
      </w:r>
      <w:proofErr w:type="spellStart"/>
      <w:r w:rsidR="008B40FD">
        <w:t>bimekizumab</w:t>
      </w:r>
      <w:proofErr w:type="spellEnd"/>
      <w:r>
        <w:t xml:space="preserve"> </w:t>
      </w:r>
      <w:r w:rsidR="001D2CFA">
        <w:t>160 mg</w:t>
      </w:r>
      <w:r>
        <w:t xml:space="preserve"> injections </w:t>
      </w:r>
      <w:r w:rsidR="001D2CFA">
        <w:t>subcutaneously</w:t>
      </w:r>
      <w:r>
        <w:t xml:space="preserve">) followed 4 weeks later by </w:t>
      </w:r>
      <w:r w:rsidR="004858E7">
        <w:t>placebo</w:t>
      </w:r>
      <w:r>
        <w:t xml:space="preserve"> (</w:t>
      </w:r>
      <w:r w:rsidR="001D2CFA">
        <w:t>two</w:t>
      </w:r>
      <w:r>
        <w:t xml:space="preserve"> </w:t>
      </w:r>
      <w:r w:rsidR="004858E7">
        <w:t>placebo</w:t>
      </w:r>
      <w:r>
        <w:t xml:space="preserve"> injections </w:t>
      </w:r>
      <w:r w:rsidR="001D2CFA">
        <w:t>subcutaneously</w:t>
      </w:r>
      <w:proofErr w:type="gramStart"/>
      <w:r>
        <w:t>);</w:t>
      </w:r>
      <w:proofErr w:type="gramEnd"/>
    </w:p>
    <w:p w14:paraId="61B75E1A" w14:textId="72AAA39D" w:rsidR="0074381F" w:rsidRDefault="0074381F" w:rsidP="00B75D2D">
      <w:pPr>
        <w:pStyle w:val="ListBullet"/>
      </w:pPr>
      <w:r>
        <w:t>Study participants (</w:t>
      </w:r>
      <w:r w:rsidR="001D2CFA">
        <w:t xml:space="preserve">N = </w:t>
      </w:r>
      <w:r>
        <w:t>80) re-</w:t>
      </w:r>
      <w:r w:rsidR="001D2CFA">
        <w:t>randomised</w:t>
      </w:r>
      <w:r>
        <w:t xml:space="preserve"> to receive </w:t>
      </w:r>
      <w:r w:rsidR="004858E7">
        <w:t>placebo</w:t>
      </w:r>
      <w:r>
        <w:t xml:space="preserve"> received </w:t>
      </w:r>
      <w:r w:rsidR="001D2CFA">
        <w:t>two</w:t>
      </w:r>
      <w:r>
        <w:t xml:space="preserve"> </w:t>
      </w:r>
      <w:r w:rsidR="004858E7">
        <w:t>placebo</w:t>
      </w:r>
      <w:r>
        <w:t xml:space="preserve"> injections </w:t>
      </w:r>
      <w:r w:rsidR="00F23C97">
        <w:t xml:space="preserve">every 4 </w:t>
      </w:r>
      <w:proofErr w:type="gramStart"/>
      <w:r w:rsidR="00F23C97">
        <w:t>weeks</w:t>
      </w:r>
      <w:r>
        <w:t>;</w:t>
      </w:r>
      <w:proofErr w:type="gramEnd"/>
    </w:p>
    <w:p w14:paraId="52A201D5" w14:textId="33A04265" w:rsidR="0074381F" w:rsidRDefault="00B75D2D" w:rsidP="00B75D2D">
      <w:pPr>
        <w:pStyle w:val="ListBullet"/>
      </w:pPr>
      <w:r>
        <w:t>S</w:t>
      </w:r>
      <w:r w:rsidR="0074381F">
        <w:t xml:space="preserve">tudy participants in the </w:t>
      </w:r>
      <w:r w:rsidR="004858E7">
        <w:t>placebo</w:t>
      </w:r>
      <w:r w:rsidR="0074381F">
        <w:t xml:space="preserve"> treatment arm in the </w:t>
      </w:r>
      <w:r w:rsidR="001D2CFA">
        <w:t>i</w:t>
      </w:r>
      <w:r w:rsidR="0074381F">
        <w:t xml:space="preserve">nitial </w:t>
      </w:r>
      <w:r w:rsidR="001D2CFA">
        <w:t>t</w:t>
      </w:r>
      <w:r w:rsidR="0074381F">
        <w:t xml:space="preserve">reatment </w:t>
      </w:r>
      <w:r w:rsidR="001D2CFA">
        <w:t>p</w:t>
      </w:r>
      <w:r w:rsidR="0074381F">
        <w:t xml:space="preserve">eriod who achieved </w:t>
      </w:r>
      <w:r w:rsidR="005960C5">
        <w:t>PASI 90</w:t>
      </w:r>
      <w:r w:rsidR="0074381F">
        <w:t xml:space="preserve"> at Week 16 and </w:t>
      </w:r>
      <w:r w:rsidR="001D2CFA">
        <w:t xml:space="preserve">greater than </w:t>
      </w:r>
      <w:r w:rsidR="0074381F">
        <w:t>PASI</w:t>
      </w:r>
      <w:r w:rsidR="001D2CFA">
        <w:t xml:space="preserve"> </w:t>
      </w:r>
      <w:r w:rsidR="0074381F">
        <w:t xml:space="preserve">75 at Week 20 or later, continued to receive </w:t>
      </w:r>
      <w:r w:rsidR="004858E7">
        <w:t>placebo</w:t>
      </w:r>
      <w:r w:rsidR="0074381F">
        <w:t xml:space="preserve"> </w:t>
      </w:r>
      <w:r w:rsidR="00F23C97">
        <w:t>every 4 weeks</w:t>
      </w:r>
      <w:r w:rsidR="0074381F">
        <w:t xml:space="preserve"> at Week 16 and later </w:t>
      </w:r>
      <w:proofErr w:type="gramStart"/>
      <w:r w:rsidR="0074381F">
        <w:t>visits;</w:t>
      </w:r>
      <w:proofErr w:type="gramEnd"/>
    </w:p>
    <w:p w14:paraId="2C2D21EB" w14:textId="793ED5E8" w:rsidR="0074381F" w:rsidRDefault="0074381F" w:rsidP="00B75D2D">
      <w:pPr>
        <w:pStyle w:val="ListBullet"/>
      </w:pPr>
      <w:r>
        <w:t xml:space="preserve">Study participants who did not achieve a PASI 90 response at Week 16 and all study participants who relapsed at Week 20 or later during the </w:t>
      </w:r>
      <w:r w:rsidR="001D2CFA">
        <w:t>r</w:t>
      </w:r>
      <w:r>
        <w:t>andomized</w:t>
      </w:r>
      <w:r w:rsidR="001D2CFA">
        <w:t xml:space="preserve"> w</w:t>
      </w:r>
      <w:r>
        <w:t xml:space="preserve">ithdrawal </w:t>
      </w:r>
      <w:r w:rsidR="001D2CFA">
        <w:t>p</w:t>
      </w:r>
      <w:r>
        <w:t>eriod (up to Week 56) received open</w:t>
      </w:r>
      <w:r w:rsidR="001D2CFA">
        <w:t xml:space="preserve"> </w:t>
      </w:r>
      <w:r>
        <w:t xml:space="preserve">label </w:t>
      </w:r>
      <w:proofErr w:type="spellStart"/>
      <w:r w:rsidR="008B40FD">
        <w:t>bimekizumab</w:t>
      </w:r>
      <w:proofErr w:type="spellEnd"/>
      <w:r>
        <w:t xml:space="preserve"> </w:t>
      </w:r>
      <w:r w:rsidR="001D2CFA">
        <w:t>320 mg</w:t>
      </w:r>
      <w:r>
        <w:t xml:space="preserve"> </w:t>
      </w:r>
      <w:r w:rsidR="00F23C97">
        <w:t>every 4 weeks</w:t>
      </w:r>
      <w:r>
        <w:t xml:space="preserve"> for 12 weeks (escape treatment).</w:t>
      </w:r>
    </w:p>
    <w:p w14:paraId="3CC165E2" w14:textId="0D2AE30D" w:rsidR="0074381F" w:rsidRDefault="00B75D2D" w:rsidP="0074381F">
      <w:r>
        <w:t>The Delegate commented that t</w:t>
      </w:r>
      <w:r w:rsidR="0074381F">
        <w:t xml:space="preserve">he above </w:t>
      </w:r>
      <w:r>
        <w:t>d</w:t>
      </w:r>
      <w:r w:rsidR="0074381F">
        <w:t>esign has two placebo arms</w:t>
      </w:r>
      <w:r>
        <w:t>.</w:t>
      </w:r>
    </w:p>
    <w:p w14:paraId="7E257704" w14:textId="11F4E78E" w:rsidR="00B75D2D" w:rsidRDefault="00B75D2D" w:rsidP="00B75D2D">
      <w:pPr>
        <w:pStyle w:val="Heading6"/>
      </w:pPr>
      <w:r>
        <w:t>Endpoint</w:t>
      </w:r>
      <w:r w:rsidR="00AF4D50">
        <w:t>s</w:t>
      </w:r>
    </w:p>
    <w:p w14:paraId="1750F274" w14:textId="32AD8B38" w:rsidR="0074381F" w:rsidRDefault="00AF4D50" w:rsidP="0074381F">
      <w:r>
        <w:t>The c</w:t>
      </w:r>
      <w:r w:rsidR="0074381F">
        <w:t>o-</w:t>
      </w:r>
      <w:r w:rsidR="001D2CFA">
        <w:t>p</w:t>
      </w:r>
      <w:r w:rsidR="0074381F">
        <w:t>rimary</w:t>
      </w:r>
      <w:r w:rsidR="00B75D2D">
        <w:t xml:space="preserve"> endpoints include:</w:t>
      </w:r>
    </w:p>
    <w:p w14:paraId="10E1282E" w14:textId="53224C74" w:rsidR="0074381F" w:rsidRDefault="0074381F" w:rsidP="00B75D2D">
      <w:pPr>
        <w:pStyle w:val="ListBullet"/>
      </w:pPr>
      <w:r>
        <w:t>PASI 90 response at Week 16.</w:t>
      </w:r>
    </w:p>
    <w:p w14:paraId="2C71AA5A" w14:textId="139B81B3" w:rsidR="0074381F" w:rsidRDefault="0074381F" w:rsidP="00B75D2D">
      <w:pPr>
        <w:pStyle w:val="ListBullet"/>
      </w:pPr>
      <w:r>
        <w:t>The IGA 0/1 response at Week 16.</w:t>
      </w:r>
    </w:p>
    <w:p w14:paraId="1FA118B0" w14:textId="46C2BED5" w:rsidR="0074381F" w:rsidRDefault="00AF4D50" w:rsidP="0074381F">
      <w:r>
        <w:t>The s</w:t>
      </w:r>
      <w:r w:rsidR="0074381F">
        <w:t>econdary</w:t>
      </w:r>
      <w:r w:rsidR="00B75D2D">
        <w:t xml:space="preserve"> endpoints include:</w:t>
      </w:r>
    </w:p>
    <w:p w14:paraId="023CD130" w14:textId="1EAD18CF" w:rsidR="0074381F" w:rsidRDefault="0074381F" w:rsidP="00B75D2D">
      <w:pPr>
        <w:pStyle w:val="ListBullet"/>
      </w:pPr>
      <w:r>
        <w:t xml:space="preserve">PASI 100 response at Week </w:t>
      </w:r>
      <w:proofErr w:type="gramStart"/>
      <w:r>
        <w:t>16;</w:t>
      </w:r>
      <w:proofErr w:type="gramEnd"/>
    </w:p>
    <w:p w14:paraId="7231C938" w14:textId="37A3B6EB" w:rsidR="0074381F" w:rsidRDefault="0074381F" w:rsidP="00B75D2D">
      <w:pPr>
        <w:pStyle w:val="ListBullet"/>
      </w:pPr>
      <w:r>
        <w:t xml:space="preserve">IGA 0/1 response at Week </w:t>
      </w:r>
      <w:proofErr w:type="gramStart"/>
      <w:r>
        <w:t>16;</w:t>
      </w:r>
      <w:proofErr w:type="gramEnd"/>
    </w:p>
    <w:p w14:paraId="7B015EAE" w14:textId="4AAF06C6" w:rsidR="0074381F" w:rsidRDefault="0074381F" w:rsidP="00B75D2D">
      <w:pPr>
        <w:pStyle w:val="ListBullet"/>
      </w:pPr>
      <w:r>
        <w:t xml:space="preserve">PASI 75 response at Week </w:t>
      </w:r>
      <w:proofErr w:type="gramStart"/>
      <w:r>
        <w:t>4;</w:t>
      </w:r>
      <w:proofErr w:type="gramEnd"/>
    </w:p>
    <w:p w14:paraId="7E9A3B5C" w14:textId="719D82F4" w:rsidR="0074381F" w:rsidRDefault="0074381F" w:rsidP="00B75D2D">
      <w:pPr>
        <w:pStyle w:val="ListBullet"/>
      </w:pPr>
      <w:r>
        <w:t xml:space="preserve">PSD responses for pain, itch, and scaling at Week </w:t>
      </w:r>
      <w:proofErr w:type="gramStart"/>
      <w:r>
        <w:t>16;</w:t>
      </w:r>
      <w:proofErr w:type="gramEnd"/>
    </w:p>
    <w:p w14:paraId="7DE425E3" w14:textId="63702865" w:rsidR="0074381F" w:rsidRDefault="0074381F" w:rsidP="00B75D2D">
      <w:pPr>
        <w:pStyle w:val="ListBullet"/>
      </w:pPr>
      <w:r>
        <w:lastRenderedPageBreak/>
        <w:t>Scalp IGA 0/1 response</w:t>
      </w:r>
      <w:r w:rsidR="001D2CFA">
        <w:t xml:space="preserve"> (clear [0] or almost clear [ 1] with at least a </w:t>
      </w:r>
      <w:proofErr w:type="gramStart"/>
      <w:r w:rsidR="001D2CFA">
        <w:t>two category</w:t>
      </w:r>
      <w:proofErr w:type="gramEnd"/>
      <w:r w:rsidR="001D2CFA">
        <w:t xml:space="preserve"> improvement from Baseline)</w:t>
      </w:r>
      <w:r>
        <w:t xml:space="preserve"> at Week 16 for study participants with scalp </w:t>
      </w:r>
      <w:r w:rsidR="008B40FD">
        <w:t>psoriasis</w:t>
      </w:r>
      <w:r>
        <w:t xml:space="preserve"> at Baseline;</w:t>
      </w:r>
    </w:p>
    <w:p w14:paraId="348E8434" w14:textId="60CA8B0D" w:rsidR="0074381F" w:rsidRDefault="0074381F" w:rsidP="00B75D2D">
      <w:pPr>
        <w:pStyle w:val="ListBullet"/>
      </w:pPr>
      <w:r>
        <w:t>PASI 90 response at Week 56, among Week 16 PASI 90 responders.</w:t>
      </w:r>
    </w:p>
    <w:p w14:paraId="79824DCB" w14:textId="3D60E9C3" w:rsidR="0074381F" w:rsidRDefault="0074381F" w:rsidP="0074381F">
      <w:r>
        <w:t>Other</w:t>
      </w:r>
      <w:r w:rsidR="00B75D2D">
        <w:t xml:space="preserve"> endpoints include:</w:t>
      </w:r>
    </w:p>
    <w:p w14:paraId="16EF512C" w14:textId="4926A330" w:rsidR="0074381F" w:rsidRDefault="0074381F" w:rsidP="00B75D2D">
      <w:pPr>
        <w:pStyle w:val="ListBullet"/>
      </w:pPr>
      <w:r>
        <w:t>PASI 90 in the escape treatment period</w:t>
      </w:r>
    </w:p>
    <w:p w14:paraId="6D04E366" w14:textId="253E7476" w:rsidR="0074381F" w:rsidRDefault="0074381F" w:rsidP="0074381F">
      <w:pPr>
        <w:pStyle w:val="ListBullet"/>
      </w:pPr>
      <w:r>
        <w:t>Time to relapse following withdrawal of treatment.</w:t>
      </w:r>
    </w:p>
    <w:p w14:paraId="6F94C0DB" w14:textId="0EA44012" w:rsidR="0074381F" w:rsidRDefault="00B75D2D" w:rsidP="00B75D2D">
      <w:pPr>
        <w:pStyle w:val="Heading6"/>
      </w:pPr>
      <w:r>
        <w:t>Study</w:t>
      </w:r>
      <w:r w:rsidR="0074381F">
        <w:t xml:space="preserve"> flow chart</w:t>
      </w:r>
    </w:p>
    <w:p w14:paraId="710469C3" w14:textId="3396F823" w:rsidR="0074381F" w:rsidRDefault="0074381F" w:rsidP="0074381F">
      <w:r>
        <w:t xml:space="preserve">A total of 576 study participants signed the </w:t>
      </w:r>
      <w:r w:rsidR="00AF4D50">
        <w:t xml:space="preserve">informed consent form </w:t>
      </w:r>
      <w:r>
        <w:t>and were screened for the study.</w:t>
      </w:r>
    </w:p>
    <w:p w14:paraId="515A5846" w14:textId="7124B4B6" w:rsidR="0074381F" w:rsidRDefault="0074381F" w:rsidP="00B75D2D">
      <w:pPr>
        <w:pStyle w:val="ListBullet"/>
      </w:pPr>
      <w:r>
        <w:t xml:space="preserve">141 of the 576 study participants were rated screen </w:t>
      </w:r>
      <w:proofErr w:type="gramStart"/>
      <w:r>
        <w:t>failures;</w:t>
      </w:r>
      <w:proofErr w:type="gramEnd"/>
    </w:p>
    <w:p w14:paraId="11F947C7" w14:textId="5FF2820D" w:rsidR="0074381F" w:rsidRDefault="0074381F" w:rsidP="00B75D2D">
      <w:pPr>
        <w:pStyle w:val="ListBullet"/>
      </w:pPr>
      <w:r>
        <w:t>the most common reason for being a screen failure was ineligibility (129 study participants).</w:t>
      </w:r>
    </w:p>
    <w:p w14:paraId="234368AC" w14:textId="4B72603E" w:rsidR="0074381F" w:rsidRDefault="0074381F" w:rsidP="0074381F">
      <w:r>
        <w:t xml:space="preserve">A total of 435 study participants were </w:t>
      </w:r>
      <w:r w:rsidR="001D2CFA">
        <w:t>randomised</w:t>
      </w:r>
      <w:r>
        <w:t xml:space="preserve"> into the study.</w:t>
      </w:r>
    </w:p>
    <w:p w14:paraId="6C135DFB" w14:textId="75740FDA" w:rsidR="0074381F" w:rsidRDefault="001D2CFA" w:rsidP="00B75D2D">
      <w:pPr>
        <w:pStyle w:val="ListBullet"/>
      </w:pPr>
      <w:r>
        <w:t xml:space="preserve">N = </w:t>
      </w:r>
      <w:r w:rsidR="0074381F">
        <w:t xml:space="preserve">349 for </w:t>
      </w:r>
      <w:proofErr w:type="spellStart"/>
      <w:r w:rsidR="008B40FD">
        <w:t>bimekizumab</w:t>
      </w:r>
      <w:proofErr w:type="spellEnd"/>
      <w:r w:rsidR="0074381F">
        <w:t xml:space="preserve"> </w:t>
      </w:r>
      <w:r>
        <w:t>320 mg</w:t>
      </w:r>
      <w:r w:rsidR="0074381F">
        <w:t xml:space="preserve"> </w:t>
      </w:r>
      <w:r w:rsidR="00F23C97">
        <w:t>every 4 weeks</w:t>
      </w:r>
      <w:r w:rsidR="0074381F">
        <w:t xml:space="preserve"> </w:t>
      </w:r>
      <w:proofErr w:type="gramStart"/>
      <w:r w:rsidR="0074381F">
        <w:t>group;</w:t>
      </w:r>
      <w:proofErr w:type="gramEnd"/>
    </w:p>
    <w:p w14:paraId="080EA822" w14:textId="009103F4" w:rsidR="0074381F" w:rsidRDefault="001D2CFA" w:rsidP="0074381F">
      <w:pPr>
        <w:pStyle w:val="ListBullet"/>
      </w:pPr>
      <w:r>
        <w:t xml:space="preserve">N = </w:t>
      </w:r>
      <w:r w:rsidR="0074381F">
        <w:t xml:space="preserve">86 for </w:t>
      </w:r>
      <w:r w:rsidR="004858E7">
        <w:t>placebo</w:t>
      </w:r>
      <w:r w:rsidR="0074381F">
        <w:t xml:space="preserve"> group.</w:t>
      </w:r>
    </w:p>
    <w:p w14:paraId="1451C68B" w14:textId="602937C8" w:rsidR="0074381F" w:rsidRDefault="0074381F" w:rsidP="0074381F">
      <w:r>
        <w:t xml:space="preserve">Overall, the percentage of study participants who completed the </w:t>
      </w:r>
      <w:r w:rsidR="001D2CFA">
        <w:t>i</w:t>
      </w:r>
      <w:r>
        <w:t xml:space="preserve">nitial </w:t>
      </w:r>
      <w:r w:rsidR="001D2CFA">
        <w:t>t</w:t>
      </w:r>
      <w:r>
        <w:t xml:space="preserve">reatment </w:t>
      </w:r>
      <w:r w:rsidR="001D2CFA">
        <w:t>p</w:t>
      </w:r>
      <w:r>
        <w:t>eriod</w:t>
      </w:r>
      <w:r w:rsidR="001D2CFA">
        <w:t xml:space="preserve"> </w:t>
      </w:r>
      <w:r>
        <w:t xml:space="preserve">was high and similar in the </w:t>
      </w:r>
      <w:proofErr w:type="spellStart"/>
      <w:r w:rsidR="008B40FD">
        <w:t>bimekizumab</w:t>
      </w:r>
      <w:proofErr w:type="spellEnd"/>
      <w:r>
        <w:t xml:space="preserve"> </w:t>
      </w:r>
      <w:r w:rsidR="001D2CFA">
        <w:t>320 mg</w:t>
      </w:r>
      <w:r>
        <w:t xml:space="preserve"> </w:t>
      </w:r>
      <w:r w:rsidR="00F23C97">
        <w:t>every 4 weeks</w:t>
      </w:r>
      <w:r>
        <w:t xml:space="preserve"> (340 out of 349 =</w:t>
      </w:r>
      <w:r w:rsidR="001D2CFA">
        <w:t xml:space="preserve"> </w:t>
      </w:r>
      <w:r>
        <w:t xml:space="preserve">97.4%) and </w:t>
      </w:r>
      <w:r w:rsidR="004858E7">
        <w:t>placebo</w:t>
      </w:r>
      <w:r>
        <w:t xml:space="preserve"> (82 out of 86 = 95.3%) groups.</w:t>
      </w:r>
    </w:p>
    <w:p w14:paraId="7C6B1308" w14:textId="74AACFA2" w:rsidR="0074381F" w:rsidRDefault="0074381F" w:rsidP="0074381F">
      <w:r>
        <w:t xml:space="preserve">The frequency of study discontinuation during the </w:t>
      </w:r>
      <w:r w:rsidR="001D2CFA">
        <w:t>initial treatment period</w:t>
      </w:r>
      <w:r>
        <w:t xml:space="preserve"> was low and similar between the treatment groups [</w:t>
      </w:r>
      <w:proofErr w:type="spellStart"/>
      <w:r w:rsidR="008B40FD">
        <w:t>bimekizumab</w:t>
      </w:r>
      <w:proofErr w:type="spellEnd"/>
      <w:r>
        <w:t xml:space="preserve">=9, </w:t>
      </w:r>
      <w:r w:rsidR="004858E7">
        <w:t>placebo</w:t>
      </w:r>
      <w:r>
        <w:t>= 4].</w:t>
      </w:r>
    </w:p>
    <w:p w14:paraId="760C88AC" w14:textId="0DD6E84E" w:rsidR="0074381F" w:rsidRDefault="0074381F" w:rsidP="0074381F">
      <w:r>
        <w:t xml:space="preserve">A total of eligible 312 study participants from </w:t>
      </w:r>
      <w:r w:rsidR="001D2CFA">
        <w:t>initial treatment period</w:t>
      </w:r>
      <w:r>
        <w:t xml:space="preserve"> (</w:t>
      </w:r>
      <w:r w:rsidR="00B63EAE">
        <w:t>also known as</w:t>
      </w:r>
      <w:r>
        <w:t xml:space="preserve"> Week 16 </w:t>
      </w:r>
      <w:r w:rsidR="001D2CFA">
        <w:t>r</w:t>
      </w:r>
      <w:r>
        <w:t xml:space="preserve">esponder </w:t>
      </w:r>
      <w:r w:rsidR="001D2CFA">
        <w:t>s</w:t>
      </w:r>
      <w:r>
        <w:t>et</w:t>
      </w:r>
      <w:r w:rsidR="00B63EAE">
        <w:t>,</w:t>
      </w:r>
      <w:r>
        <w:t xml:space="preserve"> comprising 317 eligible </w:t>
      </w:r>
      <w:proofErr w:type="spellStart"/>
      <w:r w:rsidR="008B40FD">
        <w:t>bimekizumab</w:t>
      </w:r>
      <w:proofErr w:type="spellEnd"/>
      <w:r>
        <w:t xml:space="preserve"> group minus 6 incorrect escapers from the group into the </w:t>
      </w:r>
      <w:r w:rsidR="001D2CFA">
        <w:t>e</w:t>
      </w:r>
      <w:r>
        <w:t xml:space="preserve">scape </w:t>
      </w:r>
      <w:r w:rsidR="001D2CFA">
        <w:t>t</w:t>
      </w:r>
      <w:r>
        <w:t xml:space="preserve">reatment </w:t>
      </w:r>
      <w:r w:rsidR="001D2CFA">
        <w:t>p</w:t>
      </w:r>
      <w:r>
        <w:t xml:space="preserve">eriod = 311, plus one </w:t>
      </w:r>
      <w:r w:rsidR="004858E7">
        <w:t>placebo</w:t>
      </w:r>
      <w:r>
        <w:t xml:space="preserve"> group) were randomised into the </w:t>
      </w:r>
      <w:r w:rsidR="001D2CFA">
        <w:t>r</w:t>
      </w:r>
      <w:r>
        <w:t>andomi</w:t>
      </w:r>
      <w:r w:rsidR="00B63EAE">
        <w:t>s</w:t>
      </w:r>
      <w:r>
        <w:t>ed</w:t>
      </w:r>
      <w:r w:rsidR="001D2CFA">
        <w:t xml:space="preserve"> w</w:t>
      </w:r>
      <w:r>
        <w:t xml:space="preserve">ithdrawal </w:t>
      </w:r>
      <w:r w:rsidR="001D2CFA">
        <w:t>p</w:t>
      </w:r>
      <w:r>
        <w:t>eriod.</w:t>
      </w:r>
    </w:p>
    <w:p w14:paraId="59E41356" w14:textId="2E73790B" w:rsidR="0074381F" w:rsidRDefault="0074381F" w:rsidP="0074381F">
      <w:r>
        <w:t xml:space="preserve">For the 311 </w:t>
      </w:r>
      <w:proofErr w:type="spellStart"/>
      <w:r w:rsidR="008B40FD">
        <w:t>bimekizumab</w:t>
      </w:r>
      <w:proofErr w:type="spellEnd"/>
      <w:r>
        <w:t xml:space="preserve"> group, randomisation was in a</w:t>
      </w:r>
      <w:r w:rsidR="00AF4D50">
        <w:t xml:space="preserve"> </w:t>
      </w:r>
      <w:r>
        <w:t>1:1:1 ratio as follows:</w:t>
      </w:r>
    </w:p>
    <w:p w14:paraId="1DC6B6F7" w14:textId="7FE64D19" w:rsidR="0074381F" w:rsidRDefault="0074381F" w:rsidP="00B75D2D">
      <w:pPr>
        <w:pStyle w:val="ListBullet"/>
      </w:pPr>
      <w:r>
        <w:t xml:space="preserve">106 study participants in the </w:t>
      </w:r>
      <w:proofErr w:type="spellStart"/>
      <w:r>
        <w:t>bimekizumab</w:t>
      </w:r>
      <w:proofErr w:type="spellEnd"/>
      <w:r>
        <w:t xml:space="preserve"> </w:t>
      </w:r>
      <w:r w:rsidR="001D2CFA">
        <w:t>320 mg</w:t>
      </w:r>
      <w:r>
        <w:t xml:space="preserve"> </w:t>
      </w:r>
      <w:r w:rsidR="00F23C97">
        <w:t>every 4 weeks</w:t>
      </w:r>
      <w:r>
        <w:t>/</w:t>
      </w:r>
      <w:r w:rsidR="00F23C97">
        <w:t>every 4 weeks</w:t>
      </w:r>
      <w:r>
        <w:t xml:space="preserve"> </w:t>
      </w:r>
      <w:proofErr w:type="gramStart"/>
      <w:r>
        <w:t>group;</w:t>
      </w:r>
      <w:proofErr w:type="gramEnd"/>
    </w:p>
    <w:p w14:paraId="6B65EAB5" w14:textId="51D0DEAA" w:rsidR="0074381F" w:rsidRDefault="0074381F" w:rsidP="00B75D2D">
      <w:pPr>
        <w:pStyle w:val="ListBullet"/>
      </w:pPr>
      <w:r>
        <w:t xml:space="preserve">100 study participants in the </w:t>
      </w:r>
      <w:proofErr w:type="spellStart"/>
      <w:r>
        <w:t>bimekizumab</w:t>
      </w:r>
      <w:proofErr w:type="spellEnd"/>
      <w:r>
        <w:t xml:space="preserve"> </w:t>
      </w:r>
      <w:r w:rsidR="001D2CFA">
        <w:t>320 mg</w:t>
      </w:r>
      <w:r>
        <w:t xml:space="preserve"> </w:t>
      </w:r>
      <w:r w:rsidR="00F23C97">
        <w:t>every 4 weeks</w:t>
      </w:r>
      <w:r>
        <w:t>/</w:t>
      </w:r>
      <w:r w:rsidR="00F23C97">
        <w:t>every 8 weeks</w:t>
      </w:r>
      <w:r>
        <w:t xml:space="preserve"> </w:t>
      </w:r>
      <w:proofErr w:type="gramStart"/>
      <w:r>
        <w:t>group;</w:t>
      </w:r>
      <w:proofErr w:type="gramEnd"/>
      <w:r>
        <w:t xml:space="preserve"> </w:t>
      </w:r>
    </w:p>
    <w:p w14:paraId="3FEA1ECF" w14:textId="3A40A006" w:rsidR="0074381F" w:rsidRDefault="0074381F" w:rsidP="00B75D2D">
      <w:pPr>
        <w:pStyle w:val="ListBullet"/>
      </w:pPr>
      <w:r>
        <w:t xml:space="preserve">105 study participants in the </w:t>
      </w:r>
      <w:proofErr w:type="spellStart"/>
      <w:r>
        <w:t>bimekizumab</w:t>
      </w:r>
      <w:proofErr w:type="spellEnd"/>
      <w:r>
        <w:t xml:space="preserve"> </w:t>
      </w:r>
      <w:r w:rsidR="001D2CFA">
        <w:t>320 mg</w:t>
      </w:r>
      <w:r>
        <w:t xml:space="preserve"> </w:t>
      </w:r>
      <w:r w:rsidR="00F23C97">
        <w:t>every 4 weeks</w:t>
      </w:r>
      <w:r>
        <w:t>/placebo group.</w:t>
      </w:r>
    </w:p>
    <w:p w14:paraId="13ACCB2F" w14:textId="710AE88F" w:rsidR="0074381F" w:rsidRDefault="0074381F" w:rsidP="0074381F">
      <w:r>
        <w:t xml:space="preserve">For the </w:t>
      </w:r>
      <w:r w:rsidR="00B75D2D">
        <w:t>placebo</w:t>
      </w:r>
      <w:r>
        <w:t xml:space="preserve"> group:</w:t>
      </w:r>
    </w:p>
    <w:p w14:paraId="66FB97B3" w14:textId="6C4CAAB1" w:rsidR="0074381F" w:rsidRDefault="0074381F" w:rsidP="00B75D2D">
      <w:pPr>
        <w:pStyle w:val="ListBullet"/>
      </w:pPr>
      <w:r>
        <w:t xml:space="preserve">the only one eligible study participant responder with </w:t>
      </w:r>
      <w:r w:rsidR="001D2CFA">
        <w:t xml:space="preserve">greater than </w:t>
      </w:r>
      <w:r>
        <w:t xml:space="preserve">PASI 90 at Week 16 post </w:t>
      </w:r>
      <w:r w:rsidR="001D2CFA">
        <w:t>initial treatment period</w:t>
      </w:r>
      <w:r>
        <w:t xml:space="preserve">, randomised to the </w:t>
      </w:r>
      <w:r w:rsidR="004858E7">
        <w:t>placebo</w:t>
      </w:r>
      <w:r>
        <w:t xml:space="preserve"> group, entered, and completed the </w:t>
      </w:r>
      <w:r w:rsidR="001D2CFA">
        <w:t>randomised withdrawal period</w:t>
      </w:r>
      <w:r>
        <w:t xml:space="preserve">, as </w:t>
      </w:r>
      <w:r w:rsidR="004858E7">
        <w:t>placebo</w:t>
      </w:r>
      <w:r>
        <w:t>/</w:t>
      </w:r>
      <w:r w:rsidR="004858E7">
        <w:t>placebo</w:t>
      </w:r>
      <w:r>
        <w:t xml:space="preserve"> treatment group</w:t>
      </w:r>
    </w:p>
    <w:p w14:paraId="1C8F2598" w14:textId="3584E35F" w:rsidR="0074381F" w:rsidRDefault="0074381F" w:rsidP="0074381F">
      <w:r>
        <w:t xml:space="preserve">Overall, the percentage of study participants who completed the </w:t>
      </w:r>
      <w:r w:rsidR="001D2CFA">
        <w:t>randomised withdrawal period</w:t>
      </w:r>
      <w:r>
        <w:t xml:space="preserve"> was higher in the </w:t>
      </w:r>
      <w:proofErr w:type="spellStart"/>
      <w:r w:rsidR="008B40FD">
        <w:t>bimekizumab</w:t>
      </w:r>
      <w:proofErr w:type="spellEnd"/>
      <w:r>
        <w:t xml:space="preserve"> </w:t>
      </w:r>
      <w:r w:rsidR="001D2CFA">
        <w:t>320 mg</w:t>
      </w:r>
      <w:r>
        <w:t xml:space="preserve"> </w:t>
      </w:r>
      <w:r w:rsidR="00F23C97">
        <w:t>every 4 weeks</w:t>
      </w:r>
      <w:r>
        <w:t>/</w:t>
      </w:r>
      <w:r w:rsidR="00F23C97">
        <w:t>every 4 weeks</w:t>
      </w:r>
      <w:r>
        <w:t xml:space="preserve"> group (94</w:t>
      </w:r>
      <w:r w:rsidR="00AF4D50">
        <w:t> </w:t>
      </w:r>
      <w:r>
        <w:t xml:space="preserve">out of 106 = 88.7%) and the </w:t>
      </w:r>
      <w:proofErr w:type="spellStart"/>
      <w:r w:rsidR="008B40FD">
        <w:t>bimekizumab</w:t>
      </w:r>
      <w:proofErr w:type="spellEnd"/>
      <w:r>
        <w:t xml:space="preserve"> </w:t>
      </w:r>
      <w:r w:rsidR="001D2CFA">
        <w:t>320 mg</w:t>
      </w:r>
      <w:r>
        <w:t xml:space="preserve"> </w:t>
      </w:r>
      <w:r w:rsidR="00F23C97">
        <w:t>every 4 weeks</w:t>
      </w:r>
      <w:r>
        <w:t>/</w:t>
      </w:r>
      <w:r w:rsidR="00F23C97">
        <w:t>every 8 weeks</w:t>
      </w:r>
      <w:r>
        <w:t xml:space="preserve"> group (93 out of 100 = 93.0%) compared with the </w:t>
      </w:r>
      <w:proofErr w:type="spellStart"/>
      <w:r w:rsidR="008B40FD">
        <w:t>bimekizumab</w:t>
      </w:r>
      <w:proofErr w:type="spellEnd"/>
      <w:r>
        <w:t xml:space="preserve"> </w:t>
      </w:r>
      <w:r w:rsidR="001D2CFA">
        <w:t>320 mg</w:t>
      </w:r>
      <w:r>
        <w:t xml:space="preserve"> </w:t>
      </w:r>
      <w:r w:rsidR="00F23C97">
        <w:t>every 4</w:t>
      </w:r>
      <w:r w:rsidR="00AF4D50">
        <w:t> </w:t>
      </w:r>
      <w:r w:rsidR="00F23C97">
        <w:t>weeks</w:t>
      </w:r>
      <w:r>
        <w:t>/</w:t>
      </w:r>
      <w:r w:rsidR="004858E7">
        <w:t>placebo</w:t>
      </w:r>
      <w:r>
        <w:t xml:space="preserve"> group (33 out of 105 = 31.4%).</w:t>
      </w:r>
    </w:p>
    <w:p w14:paraId="173383BB" w14:textId="670DFECA" w:rsidR="0074381F" w:rsidRDefault="0074381F" w:rsidP="0074381F">
      <w:r>
        <w:t xml:space="preserve">The percentage of study participants who received escape treatment was lower in the </w:t>
      </w:r>
      <w:proofErr w:type="spellStart"/>
      <w:r w:rsidR="008B40FD">
        <w:t>bimekizumab</w:t>
      </w:r>
      <w:proofErr w:type="spellEnd"/>
      <w:r>
        <w:t xml:space="preserve"> </w:t>
      </w:r>
      <w:r w:rsidR="001D2CFA">
        <w:t>320 mg</w:t>
      </w:r>
      <w:r>
        <w:t xml:space="preserve"> </w:t>
      </w:r>
      <w:r w:rsidR="00F23C97">
        <w:t>every 4 weeks</w:t>
      </w:r>
      <w:r>
        <w:t>/</w:t>
      </w:r>
      <w:r w:rsidR="00F23C97">
        <w:t>every 4 weeks</w:t>
      </w:r>
      <w:r>
        <w:t xml:space="preserve"> group (7 out of 106 = 6.6%) and the </w:t>
      </w:r>
      <w:proofErr w:type="spellStart"/>
      <w:r w:rsidR="008B40FD">
        <w:lastRenderedPageBreak/>
        <w:t>bimekizumab</w:t>
      </w:r>
      <w:proofErr w:type="spellEnd"/>
      <w:r>
        <w:t xml:space="preserve"> </w:t>
      </w:r>
      <w:r w:rsidR="001D2CFA">
        <w:t>320 mg</w:t>
      </w:r>
      <w:r>
        <w:t xml:space="preserve"> </w:t>
      </w:r>
      <w:r w:rsidR="00F23C97">
        <w:t>every 4 weeks</w:t>
      </w:r>
      <w:r>
        <w:t>/</w:t>
      </w:r>
      <w:r w:rsidR="00F23C97">
        <w:t>every 8 weeks</w:t>
      </w:r>
      <w:r>
        <w:t xml:space="preserve"> group (4 out of 100 = 4%) compared with the </w:t>
      </w:r>
      <w:proofErr w:type="spellStart"/>
      <w:r w:rsidR="008B40FD">
        <w:t>bimekizumab</w:t>
      </w:r>
      <w:proofErr w:type="spellEnd"/>
      <w:r>
        <w:t xml:space="preserve"> </w:t>
      </w:r>
      <w:r w:rsidR="001D2CFA">
        <w:t>320 mg</w:t>
      </w:r>
      <w:r>
        <w:t xml:space="preserve"> </w:t>
      </w:r>
      <w:r w:rsidR="00F23C97">
        <w:t>every 4 weeks</w:t>
      </w:r>
      <w:r>
        <w:t xml:space="preserve">/placebo group </w:t>
      </w:r>
      <w:proofErr w:type="gramStart"/>
      <w:r>
        <w:t>( 67</w:t>
      </w:r>
      <w:proofErr w:type="gramEnd"/>
      <w:r>
        <w:t xml:space="preserve"> out of 105 = 63.8%).</w:t>
      </w:r>
    </w:p>
    <w:p w14:paraId="5EC5A0C1" w14:textId="01D57296" w:rsidR="00B75D2D" w:rsidRDefault="00B75D2D" w:rsidP="001D2CFA">
      <w:pPr>
        <w:pStyle w:val="FigureTitle"/>
      </w:pPr>
      <w:r w:rsidRPr="001D2CFA">
        <w:t xml:space="preserve">Figure </w:t>
      </w:r>
      <w:r w:rsidR="00172397">
        <w:fldChar w:fldCharType="begin"/>
      </w:r>
      <w:r w:rsidR="00172397">
        <w:instrText xml:space="preserve"> SEQ Figure \* ARABIC </w:instrText>
      </w:r>
      <w:r w:rsidR="00172397">
        <w:fldChar w:fldCharType="separate"/>
      </w:r>
      <w:r w:rsidR="00B54079">
        <w:rPr>
          <w:noProof/>
        </w:rPr>
        <w:t>19</w:t>
      </w:r>
      <w:r w:rsidR="00172397">
        <w:rPr>
          <w:noProof/>
        </w:rPr>
        <w:fldChar w:fldCharType="end"/>
      </w:r>
      <w:r>
        <w:t>:</w:t>
      </w:r>
      <w:r w:rsidR="001D2CFA">
        <w:t xml:space="preserve"> Study PS0013 </w:t>
      </w:r>
      <w:r w:rsidR="00AF4D50">
        <w:t>P</w:t>
      </w:r>
      <w:r w:rsidR="001D2CFA">
        <w:t>articipant flow</w:t>
      </w:r>
    </w:p>
    <w:p w14:paraId="5AB61F65" w14:textId="2A744816" w:rsidR="00B75D2D" w:rsidRDefault="00B75D2D" w:rsidP="00B75D2D">
      <w:r w:rsidRPr="00B75D2D">
        <w:rPr>
          <w:noProof/>
          <w:lang w:val="en-GB" w:eastAsia="en-GB"/>
        </w:rPr>
        <w:drawing>
          <wp:inline distT="0" distB="0" distL="0" distR="0" wp14:anchorId="413CB5A1" wp14:editId="4A716377">
            <wp:extent cx="5043335" cy="4311650"/>
            <wp:effectExtent l="0" t="0" r="5080" b="0"/>
            <wp:docPr id="15" name="Picture 15" descr="Study PS0013 participant flow&#10;A total of 576 study participants signed the informed consent form and were screened for the study.&#10;141 of the 576 study participants were rated screen failures;&#10;• the most common reason for being a screen failure was ineligibility (129 study participants).&#10;A total of 435 study participants were randomised into the study.&#10;N = 349 for bimekizumab 320 mg every 4 weeks group;&#10;N = 86 for placebo group.&#10;For the 311 bimekizumab group, randomisation was in a 1:1:1 ratio as follows:&#10;106 study participants in the bimekizumab 320 mg every 4 weeks/every 4 weeks group;&#10;100 study participants in the bimekizumab 320 mg every 4 weeks/every 8 weeks group; &#10;105 study participants in the bimekizumab 320 mg every 4 weeks/placebo group.&#10;For the placebo group:&#10;the only one eligible study participant responder with greater than PASI 90 at Week 16 post initial treatment period, randomised to the placebo group, entered, and completed the randomised withdrawal period, as placebo/placebo treatment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tudy PS0013 participant flow&#10;A total of 576 study participants signed the informed consent form and were screened for the study.&#10;141 of the 576 study participants were rated screen failures;&#10;• the most common reason for being a screen failure was ineligibility (129 study participants).&#10;A total of 435 study participants were randomised into the study.&#10;N = 349 for bimekizumab 320 mg every 4 weeks group;&#10;N = 86 for placebo group.&#10;For the 311 bimekizumab group, randomisation was in a 1:1:1 ratio as follows:&#10;106 study participants in the bimekizumab 320 mg every 4 weeks/every 4 weeks group;&#10;100 study participants in the bimekizumab 320 mg every 4 weeks/every 8 weeks group; &#10;105 study participants in the bimekizumab 320 mg every 4 weeks/placebo group.&#10;For the placebo group:&#10;the only one eligible study participant responder with greater than PASI 90 at Week 16 post initial treatment period, randomised to the placebo group, entered, and completed the randomised withdrawal period, as placebo/placebo treatment group"/>
                    <pic:cNvPicPr/>
                  </pic:nvPicPr>
                  <pic:blipFill rotWithShape="1">
                    <a:blip r:embed="rId39"/>
                    <a:srcRect l="1704"/>
                    <a:stretch/>
                  </pic:blipFill>
                  <pic:spPr bwMode="auto">
                    <a:xfrm>
                      <a:off x="0" y="0"/>
                      <a:ext cx="5043595" cy="4311872"/>
                    </a:xfrm>
                    <a:prstGeom prst="rect">
                      <a:avLst/>
                    </a:prstGeom>
                    <a:ln>
                      <a:noFill/>
                    </a:ln>
                    <a:extLst>
                      <a:ext uri="{53640926-AAD7-44D8-BBD7-CCE9431645EC}">
                        <a14:shadowObscured xmlns:a14="http://schemas.microsoft.com/office/drawing/2010/main"/>
                      </a:ext>
                    </a:extLst>
                  </pic:spPr>
                </pic:pic>
              </a:graphicData>
            </a:graphic>
          </wp:inline>
        </w:drawing>
      </w:r>
    </w:p>
    <w:p w14:paraId="74A7FC8C" w14:textId="6F2ED4E0" w:rsidR="00B75D2D" w:rsidRDefault="00AF4D50" w:rsidP="006E4137">
      <w:pPr>
        <w:pStyle w:val="FigureDescription"/>
      </w:pPr>
      <w:r>
        <w:t xml:space="preserve">Abbreviations: </w:t>
      </w:r>
      <w:r w:rsidR="00B75D2D" w:rsidRPr="002D4ABE">
        <w:t>BKZ</w:t>
      </w:r>
      <w:r w:rsidR="001D2CFA">
        <w:t xml:space="preserve"> </w:t>
      </w:r>
      <w:r w:rsidR="00B75D2D" w:rsidRPr="002D4ABE">
        <w:t>=</w:t>
      </w:r>
      <w:r w:rsidR="001D2CFA">
        <w:t xml:space="preserve"> </w:t>
      </w:r>
      <w:proofErr w:type="spellStart"/>
      <w:r w:rsidR="00B75D2D" w:rsidRPr="002D4ABE">
        <w:t>bimekizumab</w:t>
      </w:r>
      <w:proofErr w:type="spellEnd"/>
      <w:r w:rsidR="00B75D2D" w:rsidRPr="002D4ABE">
        <w:t>; ESS</w:t>
      </w:r>
      <w:r w:rsidR="001D2CFA">
        <w:t xml:space="preserve"> </w:t>
      </w:r>
      <w:r w:rsidR="00B75D2D" w:rsidRPr="002D4ABE">
        <w:t>=</w:t>
      </w:r>
      <w:r w:rsidR="001D2CFA">
        <w:t xml:space="preserve"> </w:t>
      </w:r>
      <w:r w:rsidR="00B75D2D" w:rsidRPr="002D4ABE">
        <w:t>Escape Study Participant Set; PASI</w:t>
      </w:r>
      <w:r w:rsidR="001D2CFA">
        <w:t xml:space="preserve"> </w:t>
      </w:r>
      <w:r w:rsidR="00B75D2D" w:rsidRPr="002D4ABE">
        <w:t>=</w:t>
      </w:r>
      <w:r w:rsidR="001D2CFA">
        <w:t xml:space="preserve"> </w:t>
      </w:r>
      <w:r w:rsidR="00B75D2D" w:rsidRPr="002D4ABE">
        <w:t>Psoriasis Area and Severity Index; PBO</w:t>
      </w:r>
      <w:r w:rsidR="001D2CFA">
        <w:t xml:space="preserve"> </w:t>
      </w:r>
      <w:r w:rsidR="00B75D2D" w:rsidRPr="002D4ABE">
        <w:t>=</w:t>
      </w:r>
      <w:r w:rsidR="001D2CFA">
        <w:t xml:space="preserve"> </w:t>
      </w:r>
      <w:r w:rsidR="00B75D2D" w:rsidRPr="002D4ABE">
        <w:t>placebo</w:t>
      </w:r>
      <w:r w:rsidR="00B75D2D">
        <w:t xml:space="preserve">; </w:t>
      </w:r>
      <w:r w:rsidR="001D2CFA">
        <w:t xml:space="preserve">Q4W </w:t>
      </w:r>
      <w:r w:rsidR="00B75D2D" w:rsidRPr="002D4ABE">
        <w:t>=</w:t>
      </w:r>
      <w:r w:rsidR="001D2CFA">
        <w:t xml:space="preserve"> </w:t>
      </w:r>
      <w:r w:rsidR="00B75D2D" w:rsidRPr="002D4ABE">
        <w:t xml:space="preserve">every 4 weeks; </w:t>
      </w:r>
      <w:r w:rsidR="001D2CFA">
        <w:t xml:space="preserve">Q8W </w:t>
      </w:r>
      <w:r w:rsidR="00B75D2D" w:rsidRPr="002D4ABE">
        <w:t>=</w:t>
      </w:r>
      <w:r w:rsidR="001D2CFA">
        <w:t xml:space="preserve"> </w:t>
      </w:r>
      <w:r w:rsidR="00B75D2D" w:rsidRPr="002D4ABE">
        <w:t>every 8 weeks; RS</w:t>
      </w:r>
      <w:r w:rsidR="001D2CFA">
        <w:t xml:space="preserve"> </w:t>
      </w:r>
      <w:r w:rsidR="00B75D2D" w:rsidRPr="002D4ABE">
        <w:t>=</w:t>
      </w:r>
      <w:r w:rsidR="001D2CFA">
        <w:t xml:space="preserve"> r</w:t>
      </w:r>
      <w:r w:rsidR="00B75D2D" w:rsidRPr="002D4ABE">
        <w:t>andomi</w:t>
      </w:r>
      <w:r w:rsidR="001D2CFA">
        <w:t>s</w:t>
      </w:r>
      <w:r w:rsidR="00B75D2D" w:rsidRPr="002D4ABE">
        <w:t xml:space="preserve">ed </w:t>
      </w:r>
      <w:r w:rsidR="001D2CFA">
        <w:t>s</w:t>
      </w:r>
      <w:r w:rsidR="00B75D2D" w:rsidRPr="002D4ABE">
        <w:t>et;</w:t>
      </w:r>
      <w:r w:rsidR="00B75D2D">
        <w:t xml:space="preserve"> </w:t>
      </w:r>
      <w:r w:rsidR="00B75D2D" w:rsidRPr="00451B0D">
        <w:t>RWP</w:t>
      </w:r>
      <w:r w:rsidR="001D2CFA">
        <w:t xml:space="preserve"> </w:t>
      </w:r>
      <w:r w:rsidR="00B75D2D" w:rsidRPr="00451B0D">
        <w:t>=</w:t>
      </w:r>
      <w:r w:rsidR="001D2CFA">
        <w:t xml:space="preserve"> r</w:t>
      </w:r>
      <w:r w:rsidR="00B75D2D" w:rsidRPr="00451B0D">
        <w:t>andomi</w:t>
      </w:r>
      <w:r w:rsidR="001D2CFA">
        <w:t>s</w:t>
      </w:r>
      <w:r w:rsidR="00B75D2D" w:rsidRPr="00451B0D">
        <w:t>ed</w:t>
      </w:r>
      <w:r w:rsidR="001D2CFA">
        <w:t xml:space="preserve"> w</w:t>
      </w:r>
      <w:r w:rsidR="00B75D2D" w:rsidRPr="00451B0D">
        <w:t xml:space="preserve">ithdrawal </w:t>
      </w:r>
      <w:r w:rsidR="001D2CFA">
        <w:t>p</w:t>
      </w:r>
      <w:r w:rsidR="00B75D2D" w:rsidRPr="00451B0D">
        <w:t>eriod; WK16ResS</w:t>
      </w:r>
      <w:r w:rsidR="001D2CFA">
        <w:t xml:space="preserve"> </w:t>
      </w:r>
      <w:r w:rsidR="00B75D2D" w:rsidRPr="00451B0D">
        <w:t>=</w:t>
      </w:r>
      <w:r w:rsidR="001D2CFA">
        <w:t xml:space="preserve"> </w:t>
      </w:r>
      <w:r w:rsidR="00B75D2D" w:rsidRPr="00451B0D">
        <w:t xml:space="preserve">Week 16 </w:t>
      </w:r>
      <w:r w:rsidR="001D2CFA">
        <w:t>r</w:t>
      </w:r>
      <w:r w:rsidR="00B75D2D" w:rsidRPr="00451B0D">
        <w:t xml:space="preserve">esponder </w:t>
      </w:r>
      <w:r w:rsidR="001D2CFA">
        <w:t>s</w:t>
      </w:r>
      <w:r w:rsidR="00B75D2D" w:rsidRPr="00451B0D">
        <w:t>et</w:t>
      </w:r>
    </w:p>
    <w:p w14:paraId="18757AD3" w14:textId="18A49C36" w:rsidR="00B75D2D" w:rsidRPr="00361166" w:rsidRDefault="00B75D2D" w:rsidP="00B75D2D">
      <w:r>
        <w:t>The Delegate commented that the</w:t>
      </w:r>
      <w:r w:rsidRPr="00361166">
        <w:rPr>
          <w:lang w:eastAsia="ja-JP"/>
        </w:rPr>
        <w:t xml:space="preserve"> higher percentage of </w:t>
      </w:r>
      <w:proofErr w:type="spellStart"/>
      <w:r w:rsidR="008B40FD">
        <w:rPr>
          <w:lang w:eastAsia="ja-JP"/>
        </w:rPr>
        <w:t>bimekizumab</w:t>
      </w:r>
      <w:proofErr w:type="spellEnd"/>
      <w:r w:rsidRPr="00361166">
        <w:rPr>
          <w:lang w:eastAsia="ja-JP"/>
        </w:rPr>
        <w:t xml:space="preserve"> </w:t>
      </w:r>
      <w:r w:rsidR="001D2CFA">
        <w:rPr>
          <w:lang w:eastAsia="ja-JP"/>
        </w:rPr>
        <w:t>320 mg</w:t>
      </w:r>
      <w:r w:rsidRPr="00361166">
        <w:rPr>
          <w:lang w:eastAsia="ja-JP"/>
        </w:rPr>
        <w:t xml:space="preserve"> </w:t>
      </w:r>
      <w:r w:rsidR="00F23C97">
        <w:rPr>
          <w:lang w:eastAsia="ja-JP"/>
        </w:rPr>
        <w:t>every 4 weeks</w:t>
      </w:r>
      <w:r w:rsidRPr="00361166">
        <w:rPr>
          <w:lang w:eastAsia="ja-JP"/>
        </w:rPr>
        <w:t>/placebo study</w:t>
      </w:r>
      <w:r>
        <w:rPr>
          <w:lang w:eastAsia="ja-JP"/>
        </w:rPr>
        <w:t xml:space="preserve"> </w:t>
      </w:r>
      <w:r w:rsidRPr="00361166">
        <w:rPr>
          <w:lang w:eastAsia="ja-JP"/>
        </w:rPr>
        <w:t xml:space="preserve">participants entered the </w:t>
      </w:r>
      <w:r w:rsidR="001D2CFA">
        <w:rPr>
          <w:lang w:eastAsia="ja-JP"/>
        </w:rPr>
        <w:t xml:space="preserve">escape treatment period </w:t>
      </w:r>
      <w:r w:rsidRPr="00361166">
        <w:rPr>
          <w:lang w:eastAsia="ja-JP"/>
        </w:rPr>
        <w:t xml:space="preserve">from the </w:t>
      </w:r>
      <w:r w:rsidR="001D2CFA">
        <w:t>r</w:t>
      </w:r>
      <w:r w:rsidR="001D2CFA" w:rsidRPr="00451B0D">
        <w:t>andomi</w:t>
      </w:r>
      <w:r w:rsidR="001D2CFA">
        <w:t>s</w:t>
      </w:r>
      <w:r w:rsidR="001D2CFA" w:rsidRPr="00451B0D">
        <w:t>ed</w:t>
      </w:r>
      <w:r w:rsidR="001D2CFA">
        <w:t xml:space="preserve"> w</w:t>
      </w:r>
      <w:r w:rsidR="001D2CFA" w:rsidRPr="00451B0D">
        <w:t xml:space="preserve">ithdrawal </w:t>
      </w:r>
      <w:r w:rsidR="001D2CFA">
        <w:t>p</w:t>
      </w:r>
      <w:r w:rsidR="001D2CFA" w:rsidRPr="00451B0D">
        <w:t>eriod</w:t>
      </w:r>
      <w:r w:rsidR="001D2CFA" w:rsidRPr="00361166">
        <w:rPr>
          <w:lang w:eastAsia="ja-JP"/>
        </w:rPr>
        <w:t xml:space="preserve"> </w:t>
      </w:r>
      <w:r w:rsidRPr="00361166">
        <w:rPr>
          <w:lang w:eastAsia="ja-JP"/>
        </w:rPr>
        <w:t xml:space="preserve">compared to either the </w:t>
      </w:r>
      <w:proofErr w:type="spellStart"/>
      <w:r w:rsidR="008B40FD">
        <w:rPr>
          <w:lang w:eastAsia="ja-JP"/>
        </w:rPr>
        <w:t>bimekizumab</w:t>
      </w:r>
      <w:proofErr w:type="spellEnd"/>
      <w:r w:rsidRPr="00361166">
        <w:rPr>
          <w:lang w:eastAsia="ja-JP"/>
        </w:rPr>
        <w:t xml:space="preserve"> </w:t>
      </w:r>
      <w:r w:rsidR="001D2CFA">
        <w:rPr>
          <w:lang w:eastAsia="ja-JP"/>
        </w:rPr>
        <w:t>320 mg</w:t>
      </w:r>
      <w:r w:rsidRPr="00361166">
        <w:rPr>
          <w:lang w:eastAsia="ja-JP"/>
        </w:rPr>
        <w:t xml:space="preserve"> </w:t>
      </w:r>
      <w:r w:rsidR="00F23C97">
        <w:rPr>
          <w:lang w:eastAsia="ja-JP"/>
        </w:rPr>
        <w:t>every 4 weeks</w:t>
      </w:r>
      <w:r w:rsidRPr="00361166">
        <w:rPr>
          <w:lang w:eastAsia="ja-JP"/>
        </w:rPr>
        <w:t>/</w:t>
      </w:r>
      <w:r w:rsidR="00F23C97">
        <w:rPr>
          <w:lang w:eastAsia="ja-JP"/>
        </w:rPr>
        <w:t>every 4 weeks</w:t>
      </w:r>
      <w:r w:rsidRPr="00361166">
        <w:rPr>
          <w:lang w:eastAsia="ja-JP"/>
        </w:rPr>
        <w:t xml:space="preserve"> group or </w:t>
      </w:r>
      <w:proofErr w:type="spellStart"/>
      <w:r w:rsidR="008B40FD">
        <w:rPr>
          <w:lang w:eastAsia="ja-JP"/>
        </w:rPr>
        <w:t>bimekizumab</w:t>
      </w:r>
      <w:proofErr w:type="spellEnd"/>
      <w:r w:rsidRPr="00361166">
        <w:rPr>
          <w:lang w:eastAsia="ja-JP"/>
        </w:rPr>
        <w:t xml:space="preserve"> </w:t>
      </w:r>
      <w:r w:rsidR="001D2CFA">
        <w:rPr>
          <w:lang w:eastAsia="ja-JP"/>
        </w:rPr>
        <w:t>320 mg</w:t>
      </w:r>
      <w:r w:rsidRPr="00361166">
        <w:rPr>
          <w:lang w:eastAsia="ja-JP"/>
        </w:rPr>
        <w:t xml:space="preserve"> </w:t>
      </w:r>
      <w:r w:rsidR="00F23C97">
        <w:rPr>
          <w:lang w:eastAsia="ja-JP"/>
        </w:rPr>
        <w:t>every 4 weeks</w:t>
      </w:r>
      <w:r w:rsidRPr="00361166">
        <w:rPr>
          <w:lang w:eastAsia="ja-JP"/>
        </w:rPr>
        <w:t>/</w:t>
      </w:r>
      <w:r w:rsidR="00F23C97">
        <w:rPr>
          <w:lang w:eastAsia="ja-JP"/>
        </w:rPr>
        <w:t>every 8 weeks</w:t>
      </w:r>
      <w:r w:rsidRPr="00361166">
        <w:rPr>
          <w:lang w:eastAsia="ja-JP"/>
        </w:rPr>
        <w:t xml:space="preserve"> group</w:t>
      </w:r>
      <w:r w:rsidR="001D2CFA">
        <w:rPr>
          <w:lang w:eastAsia="ja-JP"/>
        </w:rPr>
        <w:t>.</w:t>
      </w:r>
    </w:p>
    <w:p w14:paraId="050DA780" w14:textId="35E1CF05" w:rsidR="00B75D2D" w:rsidRPr="00445E38" w:rsidRDefault="00B75D2D" w:rsidP="00B75D2D">
      <w:pPr>
        <w:rPr>
          <w:lang w:eastAsia="ja-JP"/>
        </w:rPr>
      </w:pPr>
      <w:r>
        <w:rPr>
          <w:lang w:eastAsia="ja-JP"/>
        </w:rPr>
        <w:t>The Delegated noted that</w:t>
      </w:r>
      <w:r w:rsidRPr="00445E38">
        <w:rPr>
          <w:lang w:eastAsia="ja-JP"/>
        </w:rPr>
        <w:t xml:space="preserve"> slightly more percentage of </w:t>
      </w:r>
      <w:proofErr w:type="spellStart"/>
      <w:r w:rsidR="008B40FD">
        <w:rPr>
          <w:lang w:eastAsia="ja-JP"/>
        </w:rPr>
        <w:t>bimekizumab</w:t>
      </w:r>
      <w:proofErr w:type="spellEnd"/>
      <w:r w:rsidRPr="00445E38">
        <w:rPr>
          <w:lang w:eastAsia="ja-JP"/>
        </w:rPr>
        <w:t xml:space="preserve"> </w:t>
      </w:r>
      <w:r w:rsidR="001D2CFA">
        <w:rPr>
          <w:lang w:eastAsia="ja-JP"/>
        </w:rPr>
        <w:t>320 mg</w:t>
      </w:r>
      <w:r w:rsidRPr="00445E38">
        <w:rPr>
          <w:lang w:eastAsia="ja-JP"/>
        </w:rPr>
        <w:t xml:space="preserve"> </w:t>
      </w:r>
      <w:r w:rsidR="00F23C97">
        <w:rPr>
          <w:lang w:eastAsia="ja-JP"/>
        </w:rPr>
        <w:t>every 4 weeks</w:t>
      </w:r>
      <w:r w:rsidRPr="00445E38">
        <w:rPr>
          <w:lang w:eastAsia="ja-JP"/>
        </w:rPr>
        <w:t>/</w:t>
      </w:r>
      <w:r w:rsidR="00F23C97">
        <w:rPr>
          <w:lang w:eastAsia="ja-JP"/>
        </w:rPr>
        <w:t>every 4 weeks</w:t>
      </w:r>
      <w:r w:rsidRPr="00445E38">
        <w:rPr>
          <w:lang w:eastAsia="ja-JP"/>
        </w:rPr>
        <w:t xml:space="preserve"> group (6.6%) compared to the </w:t>
      </w:r>
      <w:proofErr w:type="spellStart"/>
      <w:r w:rsidR="008B40FD">
        <w:rPr>
          <w:lang w:eastAsia="ja-JP"/>
        </w:rPr>
        <w:t>bimekizumab</w:t>
      </w:r>
      <w:proofErr w:type="spellEnd"/>
      <w:r w:rsidRPr="00445E38">
        <w:rPr>
          <w:lang w:eastAsia="ja-JP"/>
        </w:rPr>
        <w:t xml:space="preserve"> </w:t>
      </w:r>
      <w:r w:rsidR="001D2CFA">
        <w:rPr>
          <w:lang w:eastAsia="ja-JP"/>
        </w:rPr>
        <w:t>320 mg</w:t>
      </w:r>
      <w:r w:rsidRPr="00445E38">
        <w:rPr>
          <w:lang w:eastAsia="ja-JP"/>
        </w:rPr>
        <w:t xml:space="preserve"> </w:t>
      </w:r>
      <w:r w:rsidR="00F23C97">
        <w:rPr>
          <w:lang w:eastAsia="ja-JP"/>
        </w:rPr>
        <w:t>every 4 weeks</w:t>
      </w:r>
      <w:r w:rsidRPr="00445E38">
        <w:rPr>
          <w:lang w:eastAsia="ja-JP"/>
        </w:rPr>
        <w:t>/</w:t>
      </w:r>
      <w:r w:rsidR="00F23C97">
        <w:rPr>
          <w:lang w:eastAsia="ja-JP"/>
        </w:rPr>
        <w:t>every 8 weeks</w:t>
      </w:r>
      <w:r w:rsidRPr="00445E38">
        <w:rPr>
          <w:lang w:eastAsia="ja-JP"/>
        </w:rPr>
        <w:t xml:space="preserve"> group (4%), entered the </w:t>
      </w:r>
      <w:r w:rsidR="00C23315">
        <w:rPr>
          <w:lang w:eastAsia="ja-JP"/>
        </w:rPr>
        <w:t>escape treatment period</w:t>
      </w:r>
      <w:r w:rsidR="00D25E1D">
        <w:rPr>
          <w:lang w:eastAsia="ja-JP"/>
        </w:rPr>
        <w:t xml:space="preserve"> and </w:t>
      </w:r>
      <w:r>
        <w:rPr>
          <w:lang w:eastAsia="ja-JP"/>
        </w:rPr>
        <w:t xml:space="preserve">questioned if </w:t>
      </w:r>
      <w:r w:rsidRPr="00445E38">
        <w:rPr>
          <w:lang w:eastAsia="ja-JP"/>
        </w:rPr>
        <w:t xml:space="preserve">that indicate that </w:t>
      </w:r>
      <w:proofErr w:type="spellStart"/>
      <w:r w:rsidR="008B40FD">
        <w:rPr>
          <w:lang w:eastAsia="ja-JP"/>
        </w:rPr>
        <w:t>bimekizumab</w:t>
      </w:r>
      <w:proofErr w:type="spellEnd"/>
      <w:r w:rsidRPr="00445E38">
        <w:rPr>
          <w:lang w:eastAsia="ja-JP"/>
        </w:rPr>
        <w:t xml:space="preserve"> </w:t>
      </w:r>
      <w:r w:rsidR="001D2CFA">
        <w:rPr>
          <w:lang w:eastAsia="ja-JP"/>
        </w:rPr>
        <w:t>320 mg</w:t>
      </w:r>
      <w:r w:rsidRPr="00445E38">
        <w:rPr>
          <w:lang w:eastAsia="ja-JP"/>
        </w:rPr>
        <w:t xml:space="preserve"> </w:t>
      </w:r>
      <w:r w:rsidR="00F23C97">
        <w:rPr>
          <w:lang w:eastAsia="ja-JP"/>
        </w:rPr>
        <w:t>every 8 weeks</w:t>
      </w:r>
      <w:r>
        <w:rPr>
          <w:lang w:eastAsia="ja-JP"/>
        </w:rPr>
        <w:t xml:space="preserve"> dosing </w:t>
      </w:r>
      <w:r w:rsidRPr="00445E38">
        <w:rPr>
          <w:lang w:eastAsia="ja-JP"/>
        </w:rPr>
        <w:t xml:space="preserve">is more effective than </w:t>
      </w:r>
      <w:proofErr w:type="spellStart"/>
      <w:r w:rsidR="008B40FD">
        <w:rPr>
          <w:lang w:eastAsia="ja-JP"/>
        </w:rPr>
        <w:t>bimekizumab</w:t>
      </w:r>
      <w:proofErr w:type="spellEnd"/>
      <w:r w:rsidRPr="00445E38">
        <w:rPr>
          <w:lang w:eastAsia="ja-JP"/>
        </w:rPr>
        <w:t xml:space="preserve"> </w:t>
      </w:r>
      <w:r w:rsidR="001D2CFA">
        <w:rPr>
          <w:lang w:eastAsia="ja-JP"/>
        </w:rPr>
        <w:t>320 mg</w:t>
      </w:r>
      <w:r w:rsidRPr="00445E38">
        <w:rPr>
          <w:lang w:eastAsia="ja-JP"/>
        </w:rPr>
        <w:t xml:space="preserve"> </w:t>
      </w:r>
      <w:r w:rsidR="00F23C97">
        <w:rPr>
          <w:lang w:eastAsia="ja-JP"/>
        </w:rPr>
        <w:t>every 4 weeks</w:t>
      </w:r>
      <w:r>
        <w:rPr>
          <w:lang w:eastAsia="ja-JP"/>
        </w:rPr>
        <w:t xml:space="preserve"> dosing</w:t>
      </w:r>
      <w:r w:rsidR="00D25E1D">
        <w:rPr>
          <w:lang w:eastAsia="ja-JP"/>
        </w:rPr>
        <w:t>.</w:t>
      </w:r>
    </w:p>
    <w:p w14:paraId="054DE391" w14:textId="76A12D2F" w:rsidR="00B63EAE" w:rsidRDefault="00B63EAE" w:rsidP="00B63EAE">
      <w:r>
        <w:t xml:space="preserve">The most frequently reported primary reason for study discontinuation in all study participants during the </w:t>
      </w:r>
      <w:r w:rsidR="00C23315">
        <w:t>i</w:t>
      </w:r>
      <w:r>
        <w:t xml:space="preserve">nitial </w:t>
      </w:r>
      <w:r w:rsidR="00C23315">
        <w:t>t</w:t>
      </w:r>
      <w:r>
        <w:t xml:space="preserve">reatment </w:t>
      </w:r>
      <w:r w:rsidR="00C23315">
        <w:t>p</w:t>
      </w:r>
      <w:r>
        <w:t xml:space="preserve">eriod was due to an </w:t>
      </w:r>
      <w:r w:rsidR="00AF4D50">
        <w:t xml:space="preserve">adverse event </w:t>
      </w:r>
      <w:r>
        <w:t>(1.1%).</w:t>
      </w:r>
    </w:p>
    <w:p w14:paraId="181FF749" w14:textId="50CCE899" w:rsidR="00B63EAE" w:rsidRDefault="00B63EAE" w:rsidP="00B63EAE">
      <w:r>
        <w:t xml:space="preserve">The frequency of study discontinuation during the </w:t>
      </w:r>
      <w:r w:rsidR="00C23315">
        <w:t>r</w:t>
      </w:r>
      <w:r w:rsidR="00C23315" w:rsidRPr="00451B0D">
        <w:t>andomi</w:t>
      </w:r>
      <w:r w:rsidR="00C23315">
        <w:t>s</w:t>
      </w:r>
      <w:r w:rsidR="00C23315" w:rsidRPr="00451B0D">
        <w:t>ed</w:t>
      </w:r>
      <w:r w:rsidR="00C23315">
        <w:t xml:space="preserve"> w</w:t>
      </w:r>
      <w:r w:rsidR="00C23315" w:rsidRPr="00451B0D">
        <w:t xml:space="preserve">ithdrawal </w:t>
      </w:r>
      <w:r w:rsidR="00C23315">
        <w:t>p</w:t>
      </w:r>
      <w:r w:rsidR="00C23315" w:rsidRPr="00451B0D">
        <w:t>eriod</w:t>
      </w:r>
      <w:r w:rsidR="00C23315">
        <w:t xml:space="preserve"> </w:t>
      </w:r>
      <w:r>
        <w:t>was low and similar across the treatment groups.</w:t>
      </w:r>
    </w:p>
    <w:p w14:paraId="4CB65D09" w14:textId="2C95520C" w:rsidR="00B63EAE" w:rsidRDefault="00B63EAE" w:rsidP="00B63EAE">
      <w:r>
        <w:t xml:space="preserve">The most frequently reported primary reasons for study discontinuation in all study participants during the </w:t>
      </w:r>
      <w:r w:rsidR="00C23315">
        <w:t>r</w:t>
      </w:r>
      <w:r w:rsidR="00C23315" w:rsidRPr="00451B0D">
        <w:t>andomi</w:t>
      </w:r>
      <w:r w:rsidR="00C23315">
        <w:t>s</w:t>
      </w:r>
      <w:r w:rsidR="00C23315" w:rsidRPr="00451B0D">
        <w:t>ed</w:t>
      </w:r>
      <w:r w:rsidR="00C23315">
        <w:t xml:space="preserve"> w</w:t>
      </w:r>
      <w:r w:rsidR="00C23315" w:rsidRPr="00451B0D">
        <w:t xml:space="preserve">ithdrawal </w:t>
      </w:r>
      <w:r w:rsidR="00C23315">
        <w:t>p</w:t>
      </w:r>
      <w:r w:rsidR="00C23315" w:rsidRPr="00451B0D">
        <w:t>eriod</w:t>
      </w:r>
      <w:r w:rsidR="00C23315">
        <w:t xml:space="preserve"> </w:t>
      </w:r>
      <w:r>
        <w:t>were due to an AE and lost to follow up (1.6% each).</w:t>
      </w:r>
    </w:p>
    <w:p w14:paraId="4BFCABD6" w14:textId="7FB1B2EA" w:rsidR="00B63EAE" w:rsidRDefault="00B63EAE" w:rsidP="00B63EAE">
      <w:r>
        <w:t xml:space="preserve">A total of 182 study participants started the </w:t>
      </w:r>
      <w:r w:rsidR="00C23315">
        <w:t>e</w:t>
      </w:r>
      <w:r>
        <w:t xml:space="preserve">scape </w:t>
      </w:r>
      <w:r w:rsidR="00C23315">
        <w:t>t</w:t>
      </w:r>
      <w:r>
        <w:t xml:space="preserve">reatment </w:t>
      </w:r>
      <w:r w:rsidR="00C23315">
        <w:t>p</w:t>
      </w:r>
      <w:r>
        <w:t>eriod.</w:t>
      </w:r>
    </w:p>
    <w:p w14:paraId="6C00BE6E" w14:textId="60B7AA1D" w:rsidR="00B63EAE" w:rsidRDefault="00B63EAE" w:rsidP="00B63EAE">
      <w:r>
        <w:lastRenderedPageBreak/>
        <w:t xml:space="preserve">The percentage of study participants who completed the </w:t>
      </w:r>
      <w:r w:rsidR="00C23315">
        <w:t xml:space="preserve">escape treatment period </w:t>
      </w:r>
      <w:r>
        <w:t>was high and similar across treatment groups (range: 94% to 100%).</w:t>
      </w:r>
    </w:p>
    <w:p w14:paraId="6ED3052C" w14:textId="179B7241" w:rsidR="00B63EAE" w:rsidRDefault="00B63EAE" w:rsidP="00B63EAE">
      <w:r>
        <w:t xml:space="preserve">Three study participants (1.6%) in the </w:t>
      </w:r>
      <w:r w:rsidR="00C23315">
        <w:t xml:space="preserve">escape treatment period </w:t>
      </w:r>
      <w:r>
        <w:t>were ongoing in the study as of the clinical cut</w:t>
      </w:r>
      <w:r w:rsidR="00A944B3">
        <w:t>-</w:t>
      </w:r>
      <w:r>
        <w:t xml:space="preserve">off date; all ongoing study participants were in the </w:t>
      </w:r>
      <w:proofErr w:type="spellStart"/>
      <w:r w:rsidR="008B40FD">
        <w:t>bimekizumab</w:t>
      </w:r>
      <w:proofErr w:type="spellEnd"/>
      <w:r>
        <w:t xml:space="preserve"> </w:t>
      </w:r>
      <w:r w:rsidR="001D2CFA">
        <w:t>320</w:t>
      </w:r>
      <w:r w:rsidR="00C23315">
        <w:t> </w:t>
      </w:r>
      <w:r w:rsidR="001D2CFA">
        <w:t>mg</w:t>
      </w:r>
      <w:r>
        <w:t xml:space="preserve"> </w:t>
      </w:r>
      <w:r w:rsidR="00F23C97">
        <w:t>every 4 weeks</w:t>
      </w:r>
      <w:r>
        <w:t>/</w:t>
      </w:r>
      <w:r w:rsidR="004858E7">
        <w:t>placebo</w:t>
      </w:r>
      <w:r>
        <w:t xml:space="preserve"> group (relapse during the </w:t>
      </w:r>
      <w:r w:rsidR="00C23315">
        <w:t>r</w:t>
      </w:r>
      <w:r w:rsidR="00C23315" w:rsidRPr="00451B0D">
        <w:t>andomi</w:t>
      </w:r>
      <w:r w:rsidR="00C23315">
        <w:t>s</w:t>
      </w:r>
      <w:r w:rsidR="00C23315" w:rsidRPr="00451B0D">
        <w:t>ed</w:t>
      </w:r>
      <w:r w:rsidR="00C23315">
        <w:t xml:space="preserve"> w</w:t>
      </w:r>
      <w:r w:rsidR="00C23315" w:rsidRPr="00451B0D">
        <w:t xml:space="preserve">ithdrawal </w:t>
      </w:r>
      <w:r w:rsidR="00C23315">
        <w:t>p</w:t>
      </w:r>
      <w:r w:rsidR="00C23315" w:rsidRPr="00451B0D">
        <w:t>eriod</w:t>
      </w:r>
      <w:r>
        <w:t>).</w:t>
      </w:r>
    </w:p>
    <w:p w14:paraId="637E240B" w14:textId="66130105" w:rsidR="00B63EAE" w:rsidRDefault="00B63EAE" w:rsidP="00B63EAE">
      <w:r>
        <w:t xml:space="preserve">The frequency of study discontinuation during the </w:t>
      </w:r>
      <w:r w:rsidR="00C23315">
        <w:t xml:space="preserve">escape treatment period </w:t>
      </w:r>
      <w:r>
        <w:t>was low and similar across the treatment groups.</w:t>
      </w:r>
    </w:p>
    <w:p w14:paraId="099FB4A8" w14:textId="204F5D76" w:rsidR="00B75D2D" w:rsidRDefault="00B63EAE" w:rsidP="00B63EAE">
      <w:r>
        <w:t xml:space="preserve">The primary reasons for study discontinuations during the </w:t>
      </w:r>
      <w:r w:rsidR="00C23315">
        <w:t xml:space="preserve">escape treatment period </w:t>
      </w:r>
      <w:r>
        <w:t xml:space="preserve">were </w:t>
      </w:r>
      <w:r w:rsidR="00A944B3">
        <w:t xml:space="preserve">due to adverse events </w:t>
      </w:r>
      <w:r>
        <w:t>and consent withdrawn (0.5% each).</w:t>
      </w:r>
    </w:p>
    <w:p w14:paraId="7B7510F1" w14:textId="6C2C19F3" w:rsidR="00B63EAE" w:rsidRPr="00B63EAE" w:rsidRDefault="00B63EAE" w:rsidP="00C23315">
      <w:pPr>
        <w:pStyle w:val="TableTitle"/>
      </w:pPr>
      <w:r>
        <w:t xml:space="preserve">Table </w:t>
      </w:r>
      <w:r w:rsidR="00172397">
        <w:fldChar w:fldCharType="begin"/>
      </w:r>
      <w:r w:rsidR="00172397">
        <w:instrText xml:space="preserve"> SEQ Table \*</w:instrText>
      </w:r>
      <w:r w:rsidR="00172397">
        <w:instrText xml:space="preserve"> ARABIC </w:instrText>
      </w:r>
      <w:r w:rsidR="00172397">
        <w:fldChar w:fldCharType="separate"/>
      </w:r>
      <w:r w:rsidR="00B54079">
        <w:rPr>
          <w:noProof/>
        </w:rPr>
        <w:t>32</w:t>
      </w:r>
      <w:r w:rsidR="00172397">
        <w:rPr>
          <w:noProof/>
        </w:rPr>
        <w:fldChar w:fldCharType="end"/>
      </w:r>
      <w:r>
        <w:t>:</w:t>
      </w:r>
      <w:r w:rsidRPr="00B63EAE">
        <w:t xml:space="preserve"> Disposition by treatment sequence while on </w:t>
      </w:r>
      <w:proofErr w:type="spellStart"/>
      <w:r w:rsidR="008B40FD">
        <w:t>bimekizumab</w:t>
      </w:r>
      <w:proofErr w:type="spellEnd"/>
      <w:r w:rsidRPr="00B63EAE">
        <w:t xml:space="preserve">, </w:t>
      </w:r>
      <w:r w:rsidR="00C23315">
        <w:t xml:space="preserve">placebo </w:t>
      </w:r>
      <w:r w:rsidRPr="00B63EAE">
        <w:t xml:space="preserve">or </w:t>
      </w:r>
      <w:proofErr w:type="spellStart"/>
      <w:r w:rsidR="008B40FD">
        <w:t>bimekizumab</w:t>
      </w:r>
      <w:proofErr w:type="spellEnd"/>
      <w:r w:rsidRPr="00B63EAE">
        <w:t>/</w:t>
      </w:r>
      <w:r w:rsidR="004858E7">
        <w:t>placebo</w:t>
      </w:r>
      <w:r w:rsidRPr="00B63EAE">
        <w:t xml:space="preserve"> before entry into the </w:t>
      </w:r>
      <w:r w:rsidR="00C23315">
        <w:t>e</w:t>
      </w:r>
      <w:r w:rsidRPr="00B63EAE">
        <w:t xml:space="preserve">scape </w:t>
      </w:r>
      <w:r w:rsidR="00C23315">
        <w:t>t</w:t>
      </w:r>
      <w:r w:rsidRPr="00B63EAE">
        <w:t xml:space="preserve">reatment </w:t>
      </w:r>
      <w:r w:rsidR="00C23315">
        <w:t>p</w:t>
      </w:r>
      <w:r w:rsidRPr="00B63EAE">
        <w:t>eriod</w:t>
      </w:r>
      <w:r w:rsidR="00C23315">
        <w:t>, d</w:t>
      </w:r>
      <w:r w:rsidRPr="00B63EAE">
        <w:t xml:space="preserve">iscontinuation reasons post entry into the </w:t>
      </w:r>
      <w:r w:rsidR="00C23315">
        <w:t>e</w:t>
      </w:r>
      <w:r w:rsidR="00C23315" w:rsidRPr="00B63EAE">
        <w:t xml:space="preserve">scape </w:t>
      </w:r>
      <w:r w:rsidR="00C23315">
        <w:t>t</w:t>
      </w:r>
      <w:r w:rsidR="00C23315" w:rsidRPr="00B63EAE">
        <w:t xml:space="preserve">reatment </w:t>
      </w:r>
      <w:r w:rsidR="00C23315">
        <w:t>p</w:t>
      </w:r>
      <w:r w:rsidR="00C23315" w:rsidRPr="00B63EAE">
        <w:t>eriod</w:t>
      </w:r>
    </w:p>
    <w:tbl>
      <w:tblPr>
        <w:tblW w:w="5000" w:type="pct"/>
        <w:jc w:val="center"/>
        <w:tblCellMar>
          <w:left w:w="0" w:type="dxa"/>
          <w:right w:w="0" w:type="dxa"/>
        </w:tblCellMar>
        <w:tblLook w:val="0000" w:firstRow="0" w:lastRow="0" w:firstColumn="0" w:lastColumn="0" w:noHBand="0" w:noVBand="0"/>
      </w:tblPr>
      <w:tblGrid>
        <w:gridCol w:w="1957"/>
        <w:gridCol w:w="728"/>
        <w:gridCol w:w="935"/>
        <w:gridCol w:w="1159"/>
        <w:gridCol w:w="1295"/>
        <w:gridCol w:w="1195"/>
        <w:gridCol w:w="1219"/>
      </w:tblGrid>
      <w:tr w:rsidR="00B63EAE" w:rsidRPr="00AF4D50" w14:paraId="6DF9DE60" w14:textId="77777777" w:rsidTr="00AF4D50">
        <w:trPr>
          <w:trHeight w:val="1051"/>
          <w:jc w:val="center"/>
        </w:trPr>
        <w:tc>
          <w:tcPr>
            <w:tcW w:w="1153" w:type="pct"/>
            <w:vMerge w:val="restart"/>
            <w:tcBorders>
              <w:top w:val="single" w:sz="6" w:space="0" w:color="auto"/>
              <w:left w:val="single" w:sz="6" w:space="0" w:color="auto"/>
              <w:bottom w:val="nil"/>
              <w:right w:val="single" w:sz="6" w:space="0" w:color="auto"/>
            </w:tcBorders>
            <w:vAlign w:val="center"/>
          </w:tcPr>
          <w:p w14:paraId="56E28EE2" w14:textId="287EC05E" w:rsidR="00B63EAE" w:rsidRPr="006E4137" w:rsidRDefault="00B63EAE" w:rsidP="009B153D">
            <w:pPr>
              <w:pStyle w:val="Style"/>
              <w:ind w:left="130"/>
              <w:textAlignment w:val="baseline"/>
              <w:rPr>
                <w:rFonts w:asciiTheme="minorHAnsi" w:hAnsiTheme="minorHAnsi"/>
              </w:rPr>
            </w:pPr>
            <w:r w:rsidRPr="006E4137">
              <w:rPr>
                <w:rFonts w:asciiTheme="minorHAnsi" w:hAnsiTheme="minorHAnsi"/>
                <w:b/>
                <w:sz w:val="21"/>
                <w:szCs w:val="21"/>
              </w:rPr>
              <w:t xml:space="preserve">Disposition </w:t>
            </w:r>
          </w:p>
        </w:tc>
        <w:tc>
          <w:tcPr>
            <w:tcW w:w="980" w:type="pct"/>
            <w:gridSpan w:val="2"/>
            <w:tcBorders>
              <w:top w:val="single" w:sz="6" w:space="0" w:color="auto"/>
              <w:left w:val="single" w:sz="6" w:space="0" w:color="auto"/>
              <w:bottom w:val="single" w:sz="6" w:space="0" w:color="auto"/>
              <w:right w:val="single" w:sz="6" w:space="0" w:color="auto"/>
            </w:tcBorders>
            <w:vAlign w:val="center"/>
          </w:tcPr>
          <w:p w14:paraId="3F274D14" w14:textId="0A272E62" w:rsidR="00B63EAE" w:rsidRPr="006E4137" w:rsidRDefault="005960C5" w:rsidP="009B153D">
            <w:pPr>
              <w:pStyle w:val="Style"/>
              <w:ind w:left="24"/>
              <w:jc w:val="center"/>
              <w:textAlignment w:val="baseline"/>
              <w:rPr>
                <w:rFonts w:asciiTheme="minorHAnsi" w:hAnsiTheme="minorHAnsi"/>
              </w:rPr>
            </w:pPr>
            <w:r w:rsidRPr="006E4137">
              <w:rPr>
                <w:rFonts w:asciiTheme="minorHAnsi" w:hAnsiTheme="minorHAnsi"/>
                <w:b/>
                <w:sz w:val="21"/>
                <w:szCs w:val="21"/>
              </w:rPr>
              <w:t>PASI 90</w:t>
            </w:r>
            <w:r w:rsidR="00B63EAE" w:rsidRPr="006E4137">
              <w:rPr>
                <w:rFonts w:asciiTheme="minorHAnsi" w:hAnsiTheme="minorHAnsi"/>
                <w:b/>
                <w:sz w:val="21"/>
                <w:szCs w:val="21"/>
              </w:rPr>
              <w:t xml:space="preserve"> Nonresponse at </w:t>
            </w:r>
          </w:p>
          <w:p w14:paraId="4C904FD0" w14:textId="61C4C3A4" w:rsidR="00B63EAE" w:rsidRPr="006E4137" w:rsidRDefault="00B63EAE" w:rsidP="009B153D">
            <w:pPr>
              <w:pStyle w:val="Style"/>
              <w:ind w:left="24"/>
              <w:jc w:val="center"/>
              <w:textAlignment w:val="baseline"/>
              <w:rPr>
                <w:rFonts w:asciiTheme="minorHAnsi" w:hAnsiTheme="minorHAnsi"/>
              </w:rPr>
            </w:pPr>
            <w:r w:rsidRPr="006E4137">
              <w:rPr>
                <w:rFonts w:asciiTheme="minorHAnsi" w:hAnsiTheme="minorHAnsi"/>
                <w:b/>
                <w:sz w:val="21"/>
                <w:szCs w:val="21"/>
              </w:rPr>
              <w:t xml:space="preserve">Week 16 </w:t>
            </w:r>
          </w:p>
        </w:tc>
        <w:tc>
          <w:tcPr>
            <w:tcW w:w="2150" w:type="pct"/>
            <w:gridSpan w:val="3"/>
            <w:tcBorders>
              <w:top w:val="single" w:sz="6" w:space="0" w:color="auto"/>
              <w:left w:val="single" w:sz="6" w:space="0" w:color="auto"/>
              <w:bottom w:val="single" w:sz="6" w:space="0" w:color="auto"/>
              <w:right w:val="single" w:sz="6" w:space="0" w:color="auto"/>
            </w:tcBorders>
            <w:vAlign w:val="center"/>
          </w:tcPr>
          <w:p w14:paraId="63555A97" w14:textId="52240F92" w:rsidR="00B63EAE" w:rsidRPr="006E4137" w:rsidRDefault="00B63EAE" w:rsidP="009B153D">
            <w:pPr>
              <w:pStyle w:val="Style"/>
              <w:ind w:left="19"/>
              <w:jc w:val="center"/>
              <w:textAlignment w:val="baseline"/>
              <w:rPr>
                <w:rFonts w:asciiTheme="minorHAnsi" w:hAnsiTheme="minorHAnsi"/>
              </w:rPr>
            </w:pPr>
            <w:r w:rsidRPr="006E4137">
              <w:rPr>
                <w:rFonts w:asciiTheme="minorHAnsi" w:hAnsiTheme="minorHAnsi"/>
                <w:b/>
                <w:sz w:val="21"/>
                <w:szCs w:val="21"/>
              </w:rPr>
              <w:t xml:space="preserve">Relapse during the </w:t>
            </w:r>
            <w:proofErr w:type="spellStart"/>
            <w:r w:rsidRPr="006E4137">
              <w:rPr>
                <w:rFonts w:asciiTheme="minorHAnsi" w:hAnsiTheme="minorHAnsi"/>
                <w:b/>
                <w:sz w:val="21"/>
                <w:szCs w:val="21"/>
              </w:rPr>
              <w:t>Randomi</w:t>
            </w:r>
            <w:r w:rsidR="00AF4D50">
              <w:rPr>
                <w:rFonts w:asciiTheme="minorHAnsi" w:hAnsiTheme="minorHAnsi"/>
                <w:b/>
                <w:sz w:val="21"/>
                <w:szCs w:val="21"/>
              </w:rPr>
              <w:t>s</w:t>
            </w:r>
            <w:r w:rsidRPr="006E4137">
              <w:rPr>
                <w:rFonts w:asciiTheme="minorHAnsi" w:hAnsiTheme="minorHAnsi"/>
                <w:b/>
                <w:sz w:val="21"/>
                <w:szCs w:val="21"/>
              </w:rPr>
              <w:t>ed</w:t>
            </w:r>
            <w:proofErr w:type="spellEnd"/>
            <w:r w:rsidRPr="006E4137">
              <w:rPr>
                <w:rFonts w:asciiTheme="minorHAnsi" w:hAnsiTheme="minorHAnsi"/>
                <w:b/>
                <w:sz w:val="21"/>
                <w:szCs w:val="21"/>
              </w:rPr>
              <w:t xml:space="preserve">-Withdrawal Period </w:t>
            </w:r>
          </w:p>
          <w:p w14:paraId="5752C4FD" w14:textId="3EA14C97" w:rsidR="00B63EAE" w:rsidRPr="006E4137" w:rsidRDefault="00B63EAE" w:rsidP="009B153D">
            <w:pPr>
              <w:pStyle w:val="Style"/>
              <w:ind w:left="19"/>
              <w:jc w:val="center"/>
              <w:textAlignment w:val="baseline"/>
              <w:rPr>
                <w:rFonts w:asciiTheme="minorHAnsi" w:hAnsiTheme="minorHAnsi"/>
              </w:rPr>
            </w:pPr>
            <w:r w:rsidRPr="006E4137">
              <w:rPr>
                <w:rFonts w:asciiTheme="minorHAnsi" w:hAnsiTheme="minorHAnsi"/>
                <w:b/>
                <w:sz w:val="21"/>
                <w:szCs w:val="21"/>
              </w:rPr>
              <w:t>(</w:t>
            </w:r>
            <w:proofErr w:type="gramStart"/>
            <w:r w:rsidRPr="006E4137">
              <w:rPr>
                <w:rFonts w:asciiTheme="minorHAnsi" w:hAnsiTheme="minorHAnsi"/>
                <w:b/>
                <w:sz w:val="21"/>
                <w:szCs w:val="21"/>
              </w:rPr>
              <w:t>after</w:t>
            </w:r>
            <w:proofErr w:type="gramEnd"/>
            <w:r w:rsidRPr="006E4137">
              <w:rPr>
                <w:rFonts w:asciiTheme="minorHAnsi" w:hAnsiTheme="minorHAnsi"/>
                <w:b/>
                <w:sz w:val="21"/>
                <w:szCs w:val="21"/>
              </w:rPr>
              <w:t xml:space="preserve"> achieving </w:t>
            </w:r>
            <w:r w:rsidR="005960C5" w:rsidRPr="006E4137">
              <w:rPr>
                <w:rFonts w:asciiTheme="minorHAnsi" w:hAnsiTheme="minorHAnsi"/>
                <w:b/>
                <w:sz w:val="21"/>
                <w:szCs w:val="21"/>
              </w:rPr>
              <w:t>PASI 90</w:t>
            </w:r>
            <w:r w:rsidRPr="006E4137">
              <w:rPr>
                <w:rFonts w:asciiTheme="minorHAnsi" w:hAnsiTheme="minorHAnsi"/>
                <w:b/>
                <w:sz w:val="21"/>
                <w:szCs w:val="21"/>
              </w:rPr>
              <w:t xml:space="preserve"> response at Week 16) </w:t>
            </w:r>
          </w:p>
        </w:tc>
        <w:tc>
          <w:tcPr>
            <w:tcW w:w="718" w:type="pct"/>
            <w:vMerge w:val="restart"/>
            <w:tcBorders>
              <w:top w:val="single" w:sz="6" w:space="0" w:color="auto"/>
              <w:left w:val="single" w:sz="6" w:space="0" w:color="auto"/>
              <w:bottom w:val="nil"/>
              <w:right w:val="single" w:sz="6" w:space="0" w:color="auto"/>
            </w:tcBorders>
            <w:vAlign w:val="center"/>
          </w:tcPr>
          <w:p w14:paraId="1CDB2020" w14:textId="687C0327" w:rsidR="00B63EAE" w:rsidRPr="006E4137" w:rsidRDefault="00B63EAE" w:rsidP="00B63EAE">
            <w:pPr>
              <w:pStyle w:val="Style"/>
              <w:textAlignment w:val="baseline"/>
              <w:rPr>
                <w:rFonts w:asciiTheme="minorHAnsi" w:hAnsiTheme="minorHAnsi"/>
              </w:rPr>
            </w:pPr>
            <w:r w:rsidRPr="006E4137">
              <w:rPr>
                <w:rFonts w:asciiTheme="minorHAnsi" w:hAnsiTheme="minorHAnsi"/>
                <w:b/>
                <w:sz w:val="21"/>
                <w:szCs w:val="21"/>
              </w:rPr>
              <w:t xml:space="preserve">All study </w:t>
            </w:r>
          </w:p>
          <w:p w14:paraId="1D6C2147" w14:textId="77777777" w:rsidR="00B63EAE" w:rsidRPr="006E4137" w:rsidRDefault="00B63EAE" w:rsidP="009B153D">
            <w:pPr>
              <w:pStyle w:val="Style"/>
              <w:ind w:left="24"/>
              <w:jc w:val="center"/>
              <w:textAlignment w:val="baseline"/>
              <w:rPr>
                <w:rFonts w:asciiTheme="minorHAnsi" w:hAnsiTheme="minorHAnsi"/>
              </w:rPr>
            </w:pPr>
            <w:r w:rsidRPr="006E4137">
              <w:rPr>
                <w:rFonts w:asciiTheme="minorHAnsi" w:hAnsiTheme="minorHAnsi"/>
                <w:b/>
                <w:sz w:val="21"/>
                <w:szCs w:val="21"/>
              </w:rPr>
              <w:t xml:space="preserve">participants </w:t>
            </w:r>
          </w:p>
          <w:p w14:paraId="5845565E" w14:textId="152CB663" w:rsidR="00B63EAE" w:rsidRPr="006E4137" w:rsidRDefault="001D2CFA" w:rsidP="009B153D">
            <w:pPr>
              <w:pStyle w:val="Style"/>
              <w:ind w:left="24"/>
              <w:jc w:val="center"/>
              <w:textAlignment w:val="baseline"/>
              <w:rPr>
                <w:rFonts w:asciiTheme="minorHAnsi" w:hAnsiTheme="minorHAnsi"/>
              </w:rPr>
            </w:pPr>
            <w:r w:rsidRPr="006E4137">
              <w:rPr>
                <w:rFonts w:asciiTheme="minorHAnsi" w:hAnsiTheme="minorHAnsi"/>
                <w:b/>
                <w:sz w:val="21"/>
                <w:szCs w:val="21"/>
              </w:rPr>
              <w:t xml:space="preserve">N = </w:t>
            </w:r>
            <w:r w:rsidR="00B63EAE" w:rsidRPr="006E4137">
              <w:rPr>
                <w:rFonts w:asciiTheme="minorHAnsi" w:hAnsiTheme="minorHAnsi"/>
                <w:b/>
                <w:sz w:val="21"/>
                <w:szCs w:val="21"/>
              </w:rPr>
              <w:t xml:space="preserve">182 </w:t>
            </w:r>
          </w:p>
          <w:p w14:paraId="1D5C035E" w14:textId="770F291D" w:rsidR="00B63EAE" w:rsidRPr="006E4137" w:rsidRDefault="00B63EAE" w:rsidP="009B153D">
            <w:pPr>
              <w:pStyle w:val="Style"/>
              <w:ind w:left="24"/>
              <w:jc w:val="center"/>
              <w:textAlignment w:val="baseline"/>
              <w:rPr>
                <w:rFonts w:asciiTheme="minorHAnsi" w:hAnsiTheme="minorHAnsi"/>
              </w:rPr>
            </w:pPr>
            <w:r w:rsidRPr="006E4137">
              <w:rPr>
                <w:rFonts w:asciiTheme="minorHAnsi" w:hAnsiTheme="minorHAnsi"/>
                <w:b/>
                <w:sz w:val="21"/>
                <w:szCs w:val="21"/>
              </w:rPr>
              <w:t xml:space="preserve">n </w:t>
            </w:r>
            <w:r w:rsidRPr="006E4137">
              <w:rPr>
                <w:rFonts w:asciiTheme="minorHAnsi" w:eastAsia="Arial" w:hAnsiTheme="minorHAnsi" w:cs="Arial"/>
                <w:w w:val="114"/>
                <w:sz w:val="20"/>
                <w:szCs w:val="20"/>
              </w:rPr>
              <w:t xml:space="preserve">(%) </w:t>
            </w:r>
          </w:p>
        </w:tc>
      </w:tr>
      <w:tr w:rsidR="00B63EAE" w:rsidRPr="00AF4D50" w14:paraId="5ABC6742" w14:textId="77777777" w:rsidTr="00AF4D50">
        <w:trPr>
          <w:trHeight w:val="1506"/>
          <w:jc w:val="center"/>
        </w:trPr>
        <w:tc>
          <w:tcPr>
            <w:tcW w:w="1153" w:type="pct"/>
            <w:vMerge/>
            <w:tcBorders>
              <w:left w:val="single" w:sz="6" w:space="0" w:color="auto"/>
              <w:right w:val="single" w:sz="6" w:space="0" w:color="auto"/>
            </w:tcBorders>
            <w:vAlign w:val="center"/>
          </w:tcPr>
          <w:p w14:paraId="12FD26E4" w14:textId="5E4A3B50" w:rsidR="00B63EAE" w:rsidRPr="006E4137" w:rsidRDefault="00B63EAE" w:rsidP="009B153D">
            <w:pPr>
              <w:pStyle w:val="Style"/>
              <w:ind w:left="130"/>
              <w:textAlignment w:val="baseline"/>
              <w:rPr>
                <w:rFonts w:asciiTheme="minorHAnsi" w:hAnsiTheme="minorHAnsi"/>
              </w:rPr>
            </w:pPr>
          </w:p>
        </w:tc>
        <w:tc>
          <w:tcPr>
            <w:tcW w:w="429" w:type="pct"/>
            <w:tcBorders>
              <w:top w:val="single" w:sz="6" w:space="0" w:color="auto"/>
              <w:left w:val="single" w:sz="6" w:space="0" w:color="auto"/>
              <w:right w:val="single" w:sz="6" w:space="0" w:color="auto"/>
            </w:tcBorders>
            <w:vAlign w:val="center"/>
          </w:tcPr>
          <w:p w14:paraId="0E1C6693" w14:textId="77777777" w:rsidR="00B63EAE" w:rsidRPr="006E4137" w:rsidRDefault="00B63EAE" w:rsidP="009B153D">
            <w:pPr>
              <w:pStyle w:val="Style"/>
              <w:textAlignment w:val="baseline"/>
              <w:rPr>
                <w:rFonts w:asciiTheme="minorHAnsi" w:hAnsiTheme="minorHAnsi"/>
              </w:rPr>
            </w:pPr>
            <w:r w:rsidRPr="006E4137">
              <w:rPr>
                <w:rFonts w:asciiTheme="minorHAnsi" w:hAnsiTheme="minorHAnsi"/>
                <w:sz w:val="36"/>
                <w:szCs w:val="36"/>
              </w:rPr>
              <w:t xml:space="preserve"> </w:t>
            </w:r>
          </w:p>
          <w:p w14:paraId="7297CE58" w14:textId="77777777" w:rsidR="00B63EAE" w:rsidRPr="006E4137" w:rsidRDefault="00B63EAE" w:rsidP="009B153D">
            <w:pPr>
              <w:pStyle w:val="Style"/>
              <w:ind w:left="29"/>
              <w:jc w:val="center"/>
              <w:textAlignment w:val="baseline"/>
              <w:rPr>
                <w:rFonts w:asciiTheme="minorHAnsi" w:hAnsiTheme="minorHAnsi"/>
              </w:rPr>
            </w:pPr>
            <w:r w:rsidRPr="006E4137">
              <w:rPr>
                <w:rFonts w:asciiTheme="minorHAnsi" w:hAnsiTheme="minorHAnsi"/>
                <w:b/>
                <w:sz w:val="21"/>
                <w:szCs w:val="21"/>
              </w:rPr>
              <w:t xml:space="preserve">PBO </w:t>
            </w:r>
          </w:p>
          <w:p w14:paraId="44D407F8" w14:textId="7B207B5A" w:rsidR="00B63EAE" w:rsidRPr="006E4137" w:rsidRDefault="001D2CFA" w:rsidP="009B153D">
            <w:pPr>
              <w:pStyle w:val="Style"/>
              <w:ind w:left="29"/>
              <w:jc w:val="center"/>
              <w:textAlignment w:val="baseline"/>
              <w:rPr>
                <w:rFonts w:asciiTheme="minorHAnsi" w:hAnsiTheme="minorHAnsi"/>
              </w:rPr>
            </w:pPr>
            <w:r w:rsidRPr="006E4137">
              <w:rPr>
                <w:rFonts w:asciiTheme="minorHAnsi" w:hAnsiTheme="minorHAnsi"/>
                <w:b/>
                <w:sz w:val="21"/>
                <w:szCs w:val="21"/>
              </w:rPr>
              <w:t xml:space="preserve">N = </w:t>
            </w:r>
            <w:r w:rsidR="00B63EAE" w:rsidRPr="006E4137">
              <w:rPr>
                <w:rFonts w:asciiTheme="minorHAnsi" w:hAnsiTheme="minorHAnsi"/>
                <w:b/>
                <w:sz w:val="21"/>
                <w:szCs w:val="21"/>
              </w:rPr>
              <w:t xml:space="preserve">81 </w:t>
            </w:r>
          </w:p>
          <w:p w14:paraId="14C9C149" w14:textId="154294A1" w:rsidR="00B63EAE" w:rsidRPr="006E4137" w:rsidRDefault="00B63EAE" w:rsidP="009B153D">
            <w:pPr>
              <w:pStyle w:val="Style"/>
              <w:ind w:left="29"/>
              <w:jc w:val="center"/>
              <w:textAlignment w:val="baseline"/>
              <w:rPr>
                <w:rFonts w:asciiTheme="minorHAnsi" w:hAnsiTheme="minorHAnsi"/>
              </w:rPr>
            </w:pPr>
            <w:r w:rsidRPr="006E4137">
              <w:rPr>
                <w:rFonts w:asciiTheme="minorHAnsi" w:hAnsiTheme="minorHAnsi"/>
                <w:b/>
                <w:sz w:val="21"/>
                <w:szCs w:val="21"/>
              </w:rPr>
              <w:t xml:space="preserve">n </w:t>
            </w:r>
            <w:r w:rsidRPr="006E4137">
              <w:rPr>
                <w:rFonts w:asciiTheme="minorHAnsi" w:eastAsia="Arial" w:hAnsiTheme="minorHAnsi" w:cs="Arial"/>
                <w:w w:val="114"/>
                <w:sz w:val="20"/>
                <w:szCs w:val="20"/>
              </w:rPr>
              <w:t xml:space="preserve">(%) </w:t>
            </w:r>
          </w:p>
        </w:tc>
        <w:tc>
          <w:tcPr>
            <w:tcW w:w="550" w:type="pct"/>
            <w:tcBorders>
              <w:top w:val="single" w:sz="6" w:space="0" w:color="auto"/>
              <w:left w:val="single" w:sz="6" w:space="0" w:color="auto"/>
              <w:right w:val="single" w:sz="6" w:space="0" w:color="auto"/>
            </w:tcBorders>
            <w:vAlign w:val="center"/>
          </w:tcPr>
          <w:p w14:paraId="77591741" w14:textId="5F815066" w:rsidR="00B63EAE" w:rsidRPr="006E4137" w:rsidRDefault="00B63EAE" w:rsidP="009B153D">
            <w:pPr>
              <w:pStyle w:val="Style"/>
              <w:ind w:left="19"/>
              <w:jc w:val="center"/>
              <w:textAlignment w:val="baseline"/>
              <w:rPr>
                <w:rFonts w:asciiTheme="minorHAnsi" w:hAnsiTheme="minorHAnsi"/>
              </w:rPr>
            </w:pPr>
            <w:r w:rsidRPr="006E4137">
              <w:rPr>
                <w:rFonts w:asciiTheme="minorHAnsi" w:hAnsiTheme="minorHAnsi"/>
                <w:b/>
                <w:sz w:val="21"/>
                <w:szCs w:val="21"/>
              </w:rPr>
              <w:t>BKZ</w:t>
            </w:r>
            <w:r w:rsidR="001D2CFA" w:rsidRPr="006E4137">
              <w:rPr>
                <w:rFonts w:asciiTheme="minorHAnsi" w:hAnsiTheme="minorHAnsi"/>
                <w:b/>
                <w:sz w:val="21"/>
                <w:szCs w:val="21"/>
              </w:rPr>
              <w:t>320 mg</w:t>
            </w:r>
            <w:r w:rsidRPr="006E4137">
              <w:rPr>
                <w:rFonts w:asciiTheme="minorHAnsi" w:hAnsiTheme="minorHAnsi"/>
                <w:b/>
                <w:sz w:val="21"/>
                <w:szCs w:val="21"/>
              </w:rPr>
              <w:t xml:space="preserve"> </w:t>
            </w:r>
          </w:p>
          <w:p w14:paraId="2FDE0FAD" w14:textId="3E9C5F0C" w:rsidR="00B63EAE" w:rsidRPr="006E4137" w:rsidRDefault="00F23C97" w:rsidP="009B153D">
            <w:pPr>
              <w:pStyle w:val="Style"/>
              <w:ind w:left="19"/>
              <w:jc w:val="center"/>
              <w:textAlignment w:val="baseline"/>
              <w:rPr>
                <w:rFonts w:asciiTheme="minorHAnsi" w:hAnsiTheme="minorHAnsi"/>
              </w:rPr>
            </w:pPr>
            <w:r w:rsidRPr="006E4137">
              <w:rPr>
                <w:rFonts w:asciiTheme="minorHAnsi" w:hAnsiTheme="minorHAnsi"/>
                <w:b/>
                <w:sz w:val="21"/>
                <w:szCs w:val="21"/>
              </w:rPr>
              <w:t>every 4 weeks</w:t>
            </w:r>
            <w:r w:rsidR="00B63EAE" w:rsidRPr="006E4137">
              <w:rPr>
                <w:rFonts w:asciiTheme="minorHAnsi" w:hAnsiTheme="minorHAnsi"/>
                <w:b/>
                <w:sz w:val="21"/>
                <w:szCs w:val="21"/>
              </w:rPr>
              <w:t xml:space="preserve"> </w:t>
            </w:r>
          </w:p>
          <w:p w14:paraId="750C2B73" w14:textId="4D71F4B7" w:rsidR="00B63EAE" w:rsidRPr="006E4137" w:rsidRDefault="001D2CFA" w:rsidP="009B153D">
            <w:pPr>
              <w:pStyle w:val="Style"/>
              <w:ind w:left="19"/>
              <w:jc w:val="center"/>
              <w:textAlignment w:val="baseline"/>
              <w:rPr>
                <w:rFonts w:asciiTheme="minorHAnsi" w:hAnsiTheme="minorHAnsi"/>
              </w:rPr>
            </w:pPr>
            <w:r w:rsidRPr="006E4137">
              <w:rPr>
                <w:rFonts w:asciiTheme="minorHAnsi" w:hAnsiTheme="minorHAnsi"/>
                <w:b/>
                <w:sz w:val="21"/>
                <w:szCs w:val="21"/>
              </w:rPr>
              <w:t xml:space="preserve">N = </w:t>
            </w:r>
            <w:r w:rsidR="00B63EAE" w:rsidRPr="006E4137">
              <w:rPr>
                <w:rFonts w:asciiTheme="minorHAnsi" w:hAnsiTheme="minorHAnsi"/>
                <w:b/>
                <w:sz w:val="21"/>
                <w:szCs w:val="21"/>
              </w:rPr>
              <w:t xml:space="preserve">23 </w:t>
            </w:r>
          </w:p>
          <w:p w14:paraId="1B08D9CD" w14:textId="6EEBBF2E" w:rsidR="00B63EAE" w:rsidRPr="006E4137" w:rsidRDefault="00B63EAE" w:rsidP="009B153D">
            <w:pPr>
              <w:pStyle w:val="Style"/>
              <w:ind w:left="19"/>
              <w:jc w:val="center"/>
              <w:textAlignment w:val="baseline"/>
              <w:rPr>
                <w:rFonts w:asciiTheme="minorHAnsi" w:hAnsiTheme="minorHAnsi"/>
              </w:rPr>
            </w:pPr>
            <w:r w:rsidRPr="006E4137">
              <w:rPr>
                <w:rFonts w:asciiTheme="minorHAnsi" w:hAnsiTheme="minorHAnsi"/>
                <w:b/>
                <w:sz w:val="21"/>
                <w:szCs w:val="21"/>
              </w:rPr>
              <w:t xml:space="preserve">n </w:t>
            </w:r>
            <w:r w:rsidRPr="006E4137">
              <w:rPr>
                <w:rFonts w:asciiTheme="minorHAnsi" w:eastAsia="Arial" w:hAnsiTheme="minorHAnsi" w:cs="Arial"/>
                <w:w w:val="114"/>
                <w:sz w:val="20"/>
                <w:szCs w:val="20"/>
              </w:rPr>
              <w:t xml:space="preserve">(%) </w:t>
            </w:r>
          </w:p>
        </w:tc>
        <w:tc>
          <w:tcPr>
            <w:tcW w:w="683" w:type="pct"/>
            <w:tcBorders>
              <w:top w:val="single" w:sz="6" w:space="0" w:color="auto"/>
              <w:left w:val="single" w:sz="6" w:space="0" w:color="auto"/>
              <w:right w:val="single" w:sz="6" w:space="0" w:color="auto"/>
            </w:tcBorders>
            <w:vAlign w:val="center"/>
          </w:tcPr>
          <w:p w14:paraId="5BF4CBE2" w14:textId="45CEEF94" w:rsidR="00B63EAE" w:rsidRPr="006E4137" w:rsidRDefault="00B63EAE" w:rsidP="009B153D">
            <w:pPr>
              <w:pStyle w:val="Style"/>
              <w:ind w:left="14"/>
              <w:jc w:val="center"/>
              <w:textAlignment w:val="baseline"/>
              <w:rPr>
                <w:rFonts w:asciiTheme="minorHAnsi" w:hAnsiTheme="minorHAnsi"/>
              </w:rPr>
            </w:pPr>
            <w:r w:rsidRPr="006E4137">
              <w:rPr>
                <w:rFonts w:asciiTheme="minorHAnsi" w:hAnsiTheme="minorHAnsi"/>
                <w:b/>
                <w:sz w:val="21"/>
                <w:szCs w:val="21"/>
              </w:rPr>
              <w:t>BKZ</w:t>
            </w:r>
            <w:r w:rsidR="001D2CFA" w:rsidRPr="006E4137">
              <w:rPr>
                <w:rFonts w:asciiTheme="minorHAnsi" w:hAnsiTheme="minorHAnsi"/>
                <w:b/>
                <w:sz w:val="21"/>
                <w:szCs w:val="21"/>
              </w:rPr>
              <w:t>320 mg</w:t>
            </w:r>
            <w:r w:rsidRPr="006E4137">
              <w:rPr>
                <w:rFonts w:asciiTheme="minorHAnsi" w:hAnsiTheme="minorHAnsi"/>
                <w:b/>
                <w:sz w:val="21"/>
                <w:szCs w:val="21"/>
              </w:rPr>
              <w:t xml:space="preserve"> </w:t>
            </w:r>
          </w:p>
          <w:p w14:paraId="593E876C" w14:textId="18505710" w:rsidR="00B63EAE" w:rsidRPr="006E4137" w:rsidRDefault="00F23C97" w:rsidP="009B153D">
            <w:pPr>
              <w:pStyle w:val="Style"/>
              <w:ind w:left="14"/>
              <w:jc w:val="center"/>
              <w:textAlignment w:val="baseline"/>
              <w:rPr>
                <w:rFonts w:asciiTheme="minorHAnsi" w:hAnsiTheme="minorHAnsi"/>
              </w:rPr>
            </w:pPr>
            <w:r w:rsidRPr="006E4137">
              <w:rPr>
                <w:rFonts w:asciiTheme="minorHAnsi" w:hAnsiTheme="minorHAnsi"/>
                <w:b/>
                <w:sz w:val="21"/>
                <w:szCs w:val="21"/>
              </w:rPr>
              <w:t>every 4 weeks</w:t>
            </w:r>
            <w:r w:rsidR="00B63EAE" w:rsidRPr="006E4137">
              <w:rPr>
                <w:rFonts w:asciiTheme="minorHAnsi" w:hAnsiTheme="minorHAnsi"/>
                <w:b/>
                <w:sz w:val="21"/>
                <w:szCs w:val="21"/>
              </w:rPr>
              <w:t xml:space="preserve">/PBO </w:t>
            </w:r>
          </w:p>
          <w:p w14:paraId="4EDE30C5" w14:textId="71811D84" w:rsidR="00B63EAE" w:rsidRPr="006E4137" w:rsidRDefault="001D2CFA" w:rsidP="009B153D">
            <w:pPr>
              <w:pStyle w:val="Style"/>
              <w:ind w:left="14"/>
              <w:jc w:val="center"/>
              <w:textAlignment w:val="baseline"/>
              <w:rPr>
                <w:rFonts w:asciiTheme="minorHAnsi" w:hAnsiTheme="minorHAnsi"/>
              </w:rPr>
            </w:pPr>
            <w:r w:rsidRPr="006E4137">
              <w:rPr>
                <w:rFonts w:asciiTheme="minorHAnsi" w:hAnsiTheme="minorHAnsi"/>
                <w:b/>
                <w:sz w:val="21"/>
                <w:szCs w:val="21"/>
              </w:rPr>
              <w:t xml:space="preserve">N = </w:t>
            </w:r>
            <w:r w:rsidR="00B63EAE" w:rsidRPr="006E4137">
              <w:rPr>
                <w:rFonts w:asciiTheme="minorHAnsi" w:hAnsiTheme="minorHAnsi"/>
                <w:b/>
                <w:sz w:val="21"/>
                <w:szCs w:val="21"/>
              </w:rPr>
              <w:t xml:space="preserve">67 </w:t>
            </w:r>
          </w:p>
          <w:p w14:paraId="3D983D81" w14:textId="3D01DD0B" w:rsidR="00B63EAE" w:rsidRPr="006E4137" w:rsidRDefault="00B63EAE" w:rsidP="009B153D">
            <w:pPr>
              <w:pStyle w:val="Style"/>
              <w:ind w:left="14"/>
              <w:jc w:val="center"/>
              <w:textAlignment w:val="baseline"/>
              <w:rPr>
                <w:rFonts w:asciiTheme="minorHAnsi" w:hAnsiTheme="minorHAnsi"/>
              </w:rPr>
            </w:pPr>
            <w:r w:rsidRPr="006E4137">
              <w:rPr>
                <w:rFonts w:asciiTheme="minorHAnsi" w:hAnsiTheme="minorHAnsi"/>
                <w:b/>
                <w:sz w:val="21"/>
                <w:szCs w:val="21"/>
              </w:rPr>
              <w:t xml:space="preserve">n </w:t>
            </w:r>
            <w:r w:rsidRPr="006E4137">
              <w:rPr>
                <w:rFonts w:asciiTheme="minorHAnsi" w:eastAsia="Arial" w:hAnsiTheme="minorHAnsi" w:cs="Arial"/>
                <w:w w:val="114"/>
                <w:sz w:val="20"/>
                <w:szCs w:val="20"/>
              </w:rPr>
              <w:t xml:space="preserve">(%) </w:t>
            </w:r>
          </w:p>
        </w:tc>
        <w:tc>
          <w:tcPr>
            <w:tcW w:w="763" w:type="pct"/>
            <w:tcBorders>
              <w:top w:val="single" w:sz="6" w:space="0" w:color="auto"/>
              <w:left w:val="single" w:sz="6" w:space="0" w:color="auto"/>
              <w:right w:val="single" w:sz="6" w:space="0" w:color="auto"/>
            </w:tcBorders>
            <w:vAlign w:val="center"/>
          </w:tcPr>
          <w:p w14:paraId="08E950C8" w14:textId="123E6DB0" w:rsidR="00B63EAE" w:rsidRPr="006E4137" w:rsidRDefault="00B63EAE" w:rsidP="009B153D">
            <w:pPr>
              <w:pStyle w:val="Style"/>
              <w:ind w:left="19"/>
              <w:jc w:val="center"/>
              <w:textAlignment w:val="baseline"/>
              <w:rPr>
                <w:rFonts w:asciiTheme="minorHAnsi" w:hAnsiTheme="minorHAnsi"/>
              </w:rPr>
            </w:pPr>
            <w:r w:rsidRPr="006E4137">
              <w:rPr>
                <w:rFonts w:asciiTheme="minorHAnsi" w:hAnsiTheme="minorHAnsi"/>
                <w:b/>
                <w:sz w:val="21"/>
                <w:szCs w:val="21"/>
              </w:rPr>
              <w:t>BKZ</w:t>
            </w:r>
            <w:r w:rsidR="001D2CFA" w:rsidRPr="006E4137">
              <w:rPr>
                <w:rFonts w:asciiTheme="minorHAnsi" w:hAnsiTheme="minorHAnsi"/>
                <w:b/>
                <w:sz w:val="21"/>
                <w:szCs w:val="21"/>
              </w:rPr>
              <w:t>320 mg</w:t>
            </w:r>
            <w:r w:rsidRPr="006E4137">
              <w:rPr>
                <w:rFonts w:asciiTheme="minorHAnsi" w:hAnsiTheme="minorHAnsi"/>
                <w:b/>
                <w:sz w:val="21"/>
                <w:szCs w:val="21"/>
              </w:rPr>
              <w:t xml:space="preserve"> </w:t>
            </w:r>
          </w:p>
          <w:p w14:paraId="79CCCCD6" w14:textId="4D966794" w:rsidR="00B63EAE" w:rsidRPr="006E4137" w:rsidRDefault="00F23C97" w:rsidP="009B153D">
            <w:pPr>
              <w:pStyle w:val="Style"/>
              <w:ind w:left="19"/>
              <w:jc w:val="center"/>
              <w:textAlignment w:val="baseline"/>
              <w:rPr>
                <w:rFonts w:asciiTheme="minorHAnsi" w:hAnsiTheme="minorHAnsi"/>
              </w:rPr>
            </w:pPr>
            <w:r w:rsidRPr="006E4137">
              <w:rPr>
                <w:rFonts w:asciiTheme="minorHAnsi" w:hAnsiTheme="minorHAnsi"/>
                <w:b/>
                <w:sz w:val="21"/>
                <w:szCs w:val="21"/>
              </w:rPr>
              <w:t>every 4 weeks</w:t>
            </w:r>
            <w:r w:rsidR="00B63EAE" w:rsidRPr="006E4137">
              <w:rPr>
                <w:rFonts w:asciiTheme="minorHAnsi" w:hAnsiTheme="minorHAnsi"/>
                <w:b/>
                <w:sz w:val="21"/>
                <w:szCs w:val="21"/>
              </w:rPr>
              <w:t>/</w:t>
            </w:r>
            <w:r w:rsidRPr="006E4137">
              <w:rPr>
                <w:rFonts w:asciiTheme="minorHAnsi" w:hAnsiTheme="minorHAnsi"/>
                <w:b/>
                <w:sz w:val="21"/>
                <w:szCs w:val="21"/>
              </w:rPr>
              <w:t>every 8 weeks</w:t>
            </w:r>
            <w:r w:rsidR="00B63EAE" w:rsidRPr="006E4137">
              <w:rPr>
                <w:rFonts w:asciiTheme="minorHAnsi" w:hAnsiTheme="minorHAnsi"/>
                <w:b/>
                <w:sz w:val="21"/>
                <w:szCs w:val="21"/>
              </w:rPr>
              <w:t xml:space="preserve"> </w:t>
            </w:r>
          </w:p>
          <w:p w14:paraId="40DB392F" w14:textId="64524148" w:rsidR="00B63EAE" w:rsidRPr="006E4137" w:rsidRDefault="001D2CFA" w:rsidP="009B153D">
            <w:pPr>
              <w:pStyle w:val="Style"/>
              <w:ind w:left="19"/>
              <w:jc w:val="center"/>
              <w:textAlignment w:val="baseline"/>
              <w:rPr>
                <w:rFonts w:asciiTheme="minorHAnsi" w:hAnsiTheme="minorHAnsi"/>
              </w:rPr>
            </w:pPr>
            <w:r w:rsidRPr="006E4137">
              <w:rPr>
                <w:rFonts w:asciiTheme="minorHAnsi" w:hAnsiTheme="minorHAnsi"/>
                <w:b/>
                <w:sz w:val="21"/>
                <w:szCs w:val="21"/>
              </w:rPr>
              <w:t xml:space="preserve">N = </w:t>
            </w:r>
            <w:r w:rsidR="00B63EAE" w:rsidRPr="006E4137">
              <w:rPr>
                <w:rFonts w:asciiTheme="minorHAnsi" w:hAnsiTheme="minorHAnsi"/>
                <w:b/>
                <w:sz w:val="21"/>
                <w:szCs w:val="21"/>
              </w:rPr>
              <w:t xml:space="preserve">4 </w:t>
            </w:r>
          </w:p>
          <w:p w14:paraId="147C41E7" w14:textId="352D9B43" w:rsidR="00B63EAE" w:rsidRPr="006E4137" w:rsidRDefault="00B63EAE" w:rsidP="009B153D">
            <w:pPr>
              <w:pStyle w:val="Style"/>
              <w:ind w:left="19"/>
              <w:jc w:val="center"/>
              <w:textAlignment w:val="baseline"/>
              <w:rPr>
                <w:rFonts w:asciiTheme="minorHAnsi" w:hAnsiTheme="minorHAnsi"/>
              </w:rPr>
            </w:pPr>
            <w:r w:rsidRPr="006E4137">
              <w:rPr>
                <w:rFonts w:asciiTheme="minorHAnsi" w:hAnsiTheme="minorHAnsi"/>
                <w:b/>
                <w:sz w:val="21"/>
                <w:szCs w:val="21"/>
              </w:rPr>
              <w:t xml:space="preserve">n </w:t>
            </w:r>
            <w:r w:rsidRPr="006E4137">
              <w:rPr>
                <w:rFonts w:asciiTheme="minorHAnsi" w:eastAsia="Arial" w:hAnsiTheme="minorHAnsi" w:cs="Arial"/>
                <w:w w:val="114"/>
                <w:sz w:val="20"/>
                <w:szCs w:val="20"/>
              </w:rPr>
              <w:t xml:space="preserve">(%) </w:t>
            </w:r>
          </w:p>
        </w:tc>
        <w:tc>
          <w:tcPr>
            <w:tcW w:w="704" w:type="pct"/>
            <w:tcBorders>
              <w:top w:val="single" w:sz="6" w:space="0" w:color="auto"/>
              <w:left w:val="single" w:sz="6" w:space="0" w:color="auto"/>
              <w:right w:val="single" w:sz="6" w:space="0" w:color="auto"/>
            </w:tcBorders>
            <w:vAlign w:val="center"/>
          </w:tcPr>
          <w:p w14:paraId="54D2C994" w14:textId="0438122E" w:rsidR="00B63EAE" w:rsidRPr="006E4137" w:rsidRDefault="00B63EAE" w:rsidP="009B153D">
            <w:pPr>
              <w:pStyle w:val="Style"/>
              <w:ind w:left="24"/>
              <w:jc w:val="center"/>
              <w:textAlignment w:val="baseline"/>
              <w:rPr>
                <w:rFonts w:asciiTheme="minorHAnsi" w:hAnsiTheme="minorHAnsi"/>
              </w:rPr>
            </w:pPr>
            <w:r w:rsidRPr="006E4137">
              <w:rPr>
                <w:rFonts w:asciiTheme="minorHAnsi" w:hAnsiTheme="minorHAnsi"/>
                <w:b/>
                <w:sz w:val="21"/>
                <w:szCs w:val="21"/>
              </w:rPr>
              <w:t>BKZ</w:t>
            </w:r>
            <w:r w:rsidR="001D2CFA" w:rsidRPr="006E4137">
              <w:rPr>
                <w:rFonts w:asciiTheme="minorHAnsi" w:hAnsiTheme="minorHAnsi"/>
                <w:b/>
                <w:sz w:val="21"/>
                <w:szCs w:val="21"/>
              </w:rPr>
              <w:t>320 mg</w:t>
            </w:r>
            <w:r w:rsidRPr="006E4137">
              <w:rPr>
                <w:rFonts w:asciiTheme="minorHAnsi" w:hAnsiTheme="minorHAnsi"/>
                <w:b/>
                <w:sz w:val="21"/>
                <w:szCs w:val="21"/>
              </w:rPr>
              <w:t xml:space="preserve"> </w:t>
            </w:r>
          </w:p>
          <w:p w14:paraId="358C1034" w14:textId="27E0EA3B" w:rsidR="00B63EAE" w:rsidRPr="006E4137" w:rsidRDefault="00F23C97" w:rsidP="009B153D">
            <w:pPr>
              <w:pStyle w:val="Style"/>
              <w:ind w:left="24"/>
              <w:jc w:val="center"/>
              <w:textAlignment w:val="baseline"/>
              <w:rPr>
                <w:rFonts w:asciiTheme="minorHAnsi" w:hAnsiTheme="minorHAnsi"/>
              </w:rPr>
            </w:pPr>
            <w:r w:rsidRPr="006E4137">
              <w:rPr>
                <w:rFonts w:asciiTheme="minorHAnsi" w:hAnsiTheme="minorHAnsi"/>
                <w:b/>
                <w:sz w:val="21"/>
                <w:szCs w:val="21"/>
              </w:rPr>
              <w:t>every 4 weeks</w:t>
            </w:r>
            <w:r w:rsidR="00B63EAE" w:rsidRPr="006E4137">
              <w:rPr>
                <w:rFonts w:asciiTheme="minorHAnsi" w:hAnsiTheme="minorHAnsi"/>
                <w:b/>
                <w:sz w:val="21"/>
                <w:szCs w:val="21"/>
              </w:rPr>
              <w:t xml:space="preserve">/Q4w </w:t>
            </w:r>
          </w:p>
          <w:p w14:paraId="595661C6" w14:textId="7810B445" w:rsidR="00B63EAE" w:rsidRPr="006E4137" w:rsidRDefault="001D2CFA" w:rsidP="009B153D">
            <w:pPr>
              <w:pStyle w:val="Style"/>
              <w:ind w:left="24"/>
              <w:jc w:val="center"/>
              <w:textAlignment w:val="baseline"/>
              <w:rPr>
                <w:rFonts w:asciiTheme="minorHAnsi" w:hAnsiTheme="minorHAnsi"/>
              </w:rPr>
            </w:pPr>
            <w:r w:rsidRPr="006E4137">
              <w:rPr>
                <w:rFonts w:asciiTheme="minorHAnsi" w:hAnsiTheme="minorHAnsi"/>
                <w:b/>
                <w:sz w:val="21"/>
                <w:szCs w:val="21"/>
              </w:rPr>
              <w:t xml:space="preserve">N = </w:t>
            </w:r>
            <w:r w:rsidR="00B63EAE" w:rsidRPr="006E4137">
              <w:rPr>
                <w:rFonts w:asciiTheme="minorHAnsi" w:hAnsiTheme="minorHAnsi"/>
                <w:b/>
                <w:sz w:val="21"/>
                <w:szCs w:val="21"/>
              </w:rPr>
              <w:t xml:space="preserve">7 </w:t>
            </w:r>
          </w:p>
          <w:p w14:paraId="7DF8EBB1" w14:textId="61F1BC53" w:rsidR="00B63EAE" w:rsidRPr="006E4137" w:rsidRDefault="00B63EAE" w:rsidP="009B153D">
            <w:pPr>
              <w:pStyle w:val="Style"/>
              <w:ind w:left="24"/>
              <w:jc w:val="center"/>
              <w:textAlignment w:val="baseline"/>
              <w:rPr>
                <w:rFonts w:asciiTheme="minorHAnsi" w:hAnsiTheme="minorHAnsi"/>
              </w:rPr>
            </w:pPr>
            <w:r w:rsidRPr="006E4137">
              <w:rPr>
                <w:rFonts w:asciiTheme="minorHAnsi" w:hAnsiTheme="minorHAnsi"/>
                <w:b/>
                <w:sz w:val="21"/>
                <w:szCs w:val="21"/>
              </w:rPr>
              <w:t xml:space="preserve">n </w:t>
            </w:r>
            <w:r w:rsidRPr="006E4137">
              <w:rPr>
                <w:rFonts w:asciiTheme="minorHAnsi" w:eastAsia="Arial" w:hAnsiTheme="minorHAnsi" w:cs="Arial"/>
                <w:w w:val="114"/>
                <w:sz w:val="20"/>
                <w:szCs w:val="20"/>
              </w:rPr>
              <w:t xml:space="preserve">(%) </w:t>
            </w:r>
          </w:p>
        </w:tc>
        <w:tc>
          <w:tcPr>
            <w:tcW w:w="718" w:type="pct"/>
            <w:vMerge/>
            <w:tcBorders>
              <w:left w:val="single" w:sz="6" w:space="0" w:color="auto"/>
              <w:right w:val="single" w:sz="6" w:space="0" w:color="auto"/>
            </w:tcBorders>
            <w:vAlign w:val="center"/>
          </w:tcPr>
          <w:p w14:paraId="5176EF05" w14:textId="7A2F0ABE" w:rsidR="00B63EAE" w:rsidRPr="006E4137" w:rsidRDefault="00B63EAE" w:rsidP="009B153D">
            <w:pPr>
              <w:pStyle w:val="Style"/>
              <w:ind w:left="24"/>
              <w:jc w:val="center"/>
              <w:textAlignment w:val="baseline"/>
              <w:rPr>
                <w:rFonts w:asciiTheme="minorHAnsi" w:hAnsiTheme="minorHAnsi"/>
              </w:rPr>
            </w:pPr>
          </w:p>
        </w:tc>
      </w:tr>
      <w:tr w:rsidR="00B63EAE" w:rsidRPr="00AF4D50" w14:paraId="30C22793" w14:textId="77777777" w:rsidTr="00AF4D50">
        <w:trPr>
          <w:trHeight w:hRule="exact" w:val="502"/>
          <w:jc w:val="center"/>
        </w:trPr>
        <w:tc>
          <w:tcPr>
            <w:tcW w:w="1153" w:type="pct"/>
            <w:tcBorders>
              <w:top w:val="single" w:sz="6" w:space="0" w:color="auto"/>
              <w:left w:val="single" w:sz="6" w:space="0" w:color="auto"/>
              <w:bottom w:val="single" w:sz="6" w:space="0" w:color="auto"/>
              <w:right w:val="single" w:sz="6" w:space="0" w:color="auto"/>
            </w:tcBorders>
            <w:vAlign w:val="center"/>
          </w:tcPr>
          <w:p w14:paraId="4C22F370" w14:textId="77777777" w:rsidR="00B63EAE" w:rsidRPr="006E4137" w:rsidRDefault="00B63EAE" w:rsidP="009B153D">
            <w:pPr>
              <w:pStyle w:val="Style"/>
              <w:ind w:left="130"/>
              <w:textAlignment w:val="baseline"/>
              <w:rPr>
                <w:rFonts w:asciiTheme="minorHAnsi" w:hAnsiTheme="minorHAnsi"/>
              </w:rPr>
            </w:pPr>
            <w:r w:rsidRPr="006E4137">
              <w:rPr>
                <w:rFonts w:asciiTheme="minorHAnsi" w:hAnsiTheme="minorHAnsi"/>
                <w:sz w:val="20"/>
                <w:szCs w:val="20"/>
              </w:rPr>
              <w:t xml:space="preserve">Started Escape Treatment Period </w:t>
            </w:r>
          </w:p>
        </w:tc>
        <w:tc>
          <w:tcPr>
            <w:tcW w:w="429" w:type="pct"/>
            <w:tcBorders>
              <w:top w:val="single" w:sz="6" w:space="0" w:color="auto"/>
              <w:left w:val="single" w:sz="6" w:space="0" w:color="auto"/>
              <w:bottom w:val="single" w:sz="6" w:space="0" w:color="auto"/>
              <w:right w:val="single" w:sz="6" w:space="0" w:color="auto"/>
            </w:tcBorders>
            <w:vAlign w:val="center"/>
          </w:tcPr>
          <w:p w14:paraId="73E1F284" w14:textId="77777777" w:rsidR="00B63EAE" w:rsidRPr="006E4137" w:rsidRDefault="00B63EAE" w:rsidP="009B153D">
            <w:pPr>
              <w:pStyle w:val="Style"/>
              <w:ind w:left="29"/>
              <w:jc w:val="center"/>
              <w:textAlignment w:val="baseline"/>
              <w:rPr>
                <w:rFonts w:asciiTheme="minorHAnsi" w:hAnsiTheme="minorHAnsi"/>
              </w:rPr>
            </w:pPr>
            <w:r w:rsidRPr="006E4137">
              <w:rPr>
                <w:rFonts w:asciiTheme="minorHAnsi" w:hAnsiTheme="minorHAnsi"/>
                <w:sz w:val="21"/>
                <w:szCs w:val="21"/>
              </w:rPr>
              <w:t xml:space="preserve">81 (100.0) </w:t>
            </w:r>
          </w:p>
        </w:tc>
        <w:tc>
          <w:tcPr>
            <w:tcW w:w="550" w:type="pct"/>
            <w:tcBorders>
              <w:top w:val="single" w:sz="6" w:space="0" w:color="auto"/>
              <w:left w:val="single" w:sz="6" w:space="0" w:color="auto"/>
              <w:bottom w:val="single" w:sz="6" w:space="0" w:color="auto"/>
              <w:right w:val="single" w:sz="6" w:space="0" w:color="auto"/>
            </w:tcBorders>
            <w:vAlign w:val="center"/>
          </w:tcPr>
          <w:p w14:paraId="3E21A232" w14:textId="77777777" w:rsidR="00B63EAE" w:rsidRPr="006E4137" w:rsidRDefault="00B63EAE" w:rsidP="009B153D">
            <w:pPr>
              <w:pStyle w:val="Style"/>
              <w:ind w:left="19"/>
              <w:jc w:val="center"/>
              <w:textAlignment w:val="baseline"/>
              <w:rPr>
                <w:rFonts w:asciiTheme="minorHAnsi" w:hAnsiTheme="minorHAnsi"/>
              </w:rPr>
            </w:pPr>
            <w:r w:rsidRPr="006E4137">
              <w:rPr>
                <w:rFonts w:asciiTheme="minorHAnsi" w:hAnsiTheme="minorHAnsi"/>
                <w:sz w:val="21"/>
                <w:szCs w:val="21"/>
              </w:rPr>
              <w:t xml:space="preserve">23 (100.0) </w:t>
            </w:r>
          </w:p>
        </w:tc>
        <w:tc>
          <w:tcPr>
            <w:tcW w:w="683" w:type="pct"/>
            <w:tcBorders>
              <w:top w:val="single" w:sz="6" w:space="0" w:color="auto"/>
              <w:left w:val="single" w:sz="6" w:space="0" w:color="auto"/>
              <w:bottom w:val="single" w:sz="6" w:space="0" w:color="auto"/>
              <w:right w:val="single" w:sz="6" w:space="0" w:color="auto"/>
            </w:tcBorders>
            <w:vAlign w:val="center"/>
          </w:tcPr>
          <w:p w14:paraId="2B5835E7" w14:textId="77777777" w:rsidR="00B63EAE" w:rsidRPr="006E4137" w:rsidRDefault="00B63EAE" w:rsidP="009B153D">
            <w:pPr>
              <w:pStyle w:val="Style"/>
              <w:ind w:left="14"/>
              <w:jc w:val="center"/>
              <w:textAlignment w:val="baseline"/>
              <w:rPr>
                <w:rFonts w:asciiTheme="minorHAnsi" w:hAnsiTheme="minorHAnsi"/>
              </w:rPr>
            </w:pPr>
            <w:r w:rsidRPr="006E4137">
              <w:rPr>
                <w:rFonts w:asciiTheme="minorHAnsi" w:hAnsiTheme="minorHAnsi"/>
                <w:sz w:val="21"/>
                <w:szCs w:val="21"/>
              </w:rPr>
              <w:t xml:space="preserve">67 (100.0) </w:t>
            </w:r>
          </w:p>
        </w:tc>
        <w:tc>
          <w:tcPr>
            <w:tcW w:w="763" w:type="pct"/>
            <w:tcBorders>
              <w:top w:val="single" w:sz="6" w:space="0" w:color="auto"/>
              <w:left w:val="single" w:sz="6" w:space="0" w:color="auto"/>
              <w:bottom w:val="single" w:sz="6" w:space="0" w:color="auto"/>
              <w:right w:val="single" w:sz="6" w:space="0" w:color="auto"/>
            </w:tcBorders>
            <w:vAlign w:val="center"/>
          </w:tcPr>
          <w:p w14:paraId="72189B4F" w14:textId="77777777" w:rsidR="00B63EAE" w:rsidRPr="006E4137" w:rsidRDefault="00B63EAE" w:rsidP="009B153D">
            <w:pPr>
              <w:pStyle w:val="Style"/>
              <w:ind w:left="19"/>
              <w:jc w:val="center"/>
              <w:textAlignment w:val="baseline"/>
              <w:rPr>
                <w:rFonts w:asciiTheme="minorHAnsi" w:hAnsiTheme="minorHAnsi"/>
              </w:rPr>
            </w:pPr>
            <w:r w:rsidRPr="006E4137">
              <w:rPr>
                <w:rFonts w:asciiTheme="minorHAnsi" w:hAnsiTheme="minorHAnsi"/>
                <w:sz w:val="21"/>
                <w:szCs w:val="21"/>
              </w:rPr>
              <w:t xml:space="preserve">4 (100.0) </w:t>
            </w:r>
          </w:p>
        </w:tc>
        <w:tc>
          <w:tcPr>
            <w:tcW w:w="704" w:type="pct"/>
            <w:tcBorders>
              <w:top w:val="single" w:sz="6" w:space="0" w:color="auto"/>
              <w:left w:val="single" w:sz="6" w:space="0" w:color="auto"/>
              <w:bottom w:val="single" w:sz="6" w:space="0" w:color="auto"/>
              <w:right w:val="single" w:sz="6" w:space="0" w:color="auto"/>
            </w:tcBorders>
            <w:vAlign w:val="center"/>
          </w:tcPr>
          <w:p w14:paraId="350B0EF9" w14:textId="77777777" w:rsidR="00B63EAE" w:rsidRPr="006E4137" w:rsidRDefault="00B63EAE" w:rsidP="009B153D">
            <w:pPr>
              <w:pStyle w:val="Style"/>
              <w:ind w:left="24"/>
              <w:jc w:val="center"/>
              <w:textAlignment w:val="baseline"/>
              <w:rPr>
                <w:rFonts w:asciiTheme="minorHAnsi" w:hAnsiTheme="minorHAnsi"/>
              </w:rPr>
            </w:pPr>
            <w:r w:rsidRPr="006E4137">
              <w:rPr>
                <w:rFonts w:asciiTheme="minorHAnsi" w:hAnsiTheme="minorHAnsi"/>
                <w:sz w:val="21"/>
                <w:szCs w:val="21"/>
              </w:rPr>
              <w:t xml:space="preserve">7 (100.0) </w:t>
            </w:r>
          </w:p>
        </w:tc>
        <w:tc>
          <w:tcPr>
            <w:tcW w:w="718" w:type="pct"/>
            <w:tcBorders>
              <w:top w:val="single" w:sz="6" w:space="0" w:color="auto"/>
              <w:left w:val="single" w:sz="6" w:space="0" w:color="auto"/>
              <w:bottom w:val="single" w:sz="6" w:space="0" w:color="auto"/>
              <w:right w:val="single" w:sz="6" w:space="0" w:color="auto"/>
            </w:tcBorders>
            <w:vAlign w:val="center"/>
          </w:tcPr>
          <w:p w14:paraId="044A483E" w14:textId="77777777" w:rsidR="00B63EAE" w:rsidRPr="006E4137" w:rsidRDefault="00B63EAE" w:rsidP="009B153D">
            <w:pPr>
              <w:pStyle w:val="Style"/>
              <w:ind w:left="24"/>
              <w:jc w:val="center"/>
              <w:textAlignment w:val="baseline"/>
              <w:rPr>
                <w:rFonts w:asciiTheme="minorHAnsi" w:hAnsiTheme="minorHAnsi"/>
              </w:rPr>
            </w:pPr>
            <w:r w:rsidRPr="006E4137">
              <w:rPr>
                <w:rFonts w:asciiTheme="minorHAnsi" w:hAnsiTheme="minorHAnsi"/>
                <w:sz w:val="21"/>
                <w:szCs w:val="21"/>
              </w:rPr>
              <w:t xml:space="preserve">182 (100.0) </w:t>
            </w:r>
          </w:p>
        </w:tc>
      </w:tr>
      <w:tr w:rsidR="00AF4D50" w:rsidRPr="00AF4D50" w14:paraId="1DD3842E" w14:textId="77777777" w:rsidTr="00AF4D50">
        <w:trPr>
          <w:trHeight w:hRule="exact" w:val="458"/>
          <w:jc w:val="center"/>
        </w:trPr>
        <w:tc>
          <w:tcPr>
            <w:tcW w:w="1153" w:type="pct"/>
            <w:tcBorders>
              <w:top w:val="single" w:sz="6" w:space="0" w:color="auto"/>
              <w:left w:val="single" w:sz="6" w:space="0" w:color="auto"/>
              <w:bottom w:val="nil"/>
              <w:right w:val="single" w:sz="6" w:space="0" w:color="auto"/>
            </w:tcBorders>
            <w:vAlign w:val="center"/>
          </w:tcPr>
          <w:p w14:paraId="2374FCF5" w14:textId="77777777" w:rsidR="00AF4D50" w:rsidRPr="006E4137" w:rsidRDefault="00AF4D50" w:rsidP="009B153D">
            <w:pPr>
              <w:pStyle w:val="Style"/>
              <w:ind w:left="130"/>
              <w:textAlignment w:val="baseline"/>
              <w:rPr>
                <w:rFonts w:asciiTheme="minorHAnsi" w:hAnsiTheme="minorHAnsi"/>
              </w:rPr>
            </w:pPr>
            <w:r w:rsidRPr="006E4137">
              <w:rPr>
                <w:rFonts w:asciiTheme="minorHAnsi" w:hAnsiTheme="minorHAnsi"/>
                <w:sz w:val="20"/>
                <w:szCs w:val="20"/>
              </w:rPr>
              <w:t xml:space="preserve">Completed Escape Treatment </w:t>
            </w:r>
          </w:p>
        </w:tc>
        <w:tc>
          <w:tcPr>
            <w:tcW w:w="429" w:type="pct"/>
            <w:vMerge w:val="restart"/>
            <w:tcBorders>
              <w:top w:val="single" w:sz="6" w:space="0" w:color="auto"/>
              <w:left w:val="single" w:sz="6" w:space="0" w:color="auto"/>
              <w:right w:val="single" w:sz="6" w:space="0" w:color="auto"/>
            </w:tcBorders>
            <w:vAlign w:val="center"/>
          </w:tcPr>
          <w:p w14:paraId="53257E70" w14:textId="77777777" w:rsidR="00AF4D50" w:rsidRPr="00AF4D50" w:rsidRDefault="00AF4D50" w:rsidP="009B153D">
            <w:pPr>
              <w:pStyle w:val="Style"/>
              <w:ind w:left="29"/>
              <w:jc w:val="center"/>
              <w:textAlignment w:val="baseline"/>
              <w:rPr>
                <w:rFonts w:asciiTheme="minorHAnsi" w:hAnsiTheme="minorHAnsi"/>
              </w:rPr>
            </w:pPr>
            <w:r w:rsidRPr="006E4137">
              <w:rPr>
                <w:rFonts w:asciiTheme="minorHAnsi" w:hAnsiTheme="minorHAnsi"/>
                <w:sz w:val="21"/>
                <w:szCs w:val="21"/>
              </w:rPr>
              <w:t xml:space="preserve">81 (100.0) </w:t>
            </w:r>
          </w:p>
          <w:p w14:paraId="5A191294" w14:textId="607076C3" w:rsidR="00AF4D50" w:rsidRPr="006E4137" w:rsidRDefault="00AF4D50" w:rsidP="009B153D">
            <w:pPr>
              <w:pStyle w:val="Style"/>
              <w:textAlignment w:val="baseline"/>
              <w:rPr>
                <w:rFonts w:asciiTheme="minorHAnsi" w:hAnsiTheme="minorHAnsi"/>
              </w:rPr>
            </w:pPr>
            <w:r w:rsidRPr="006E4137">
              <w:rPr>
                <w:rFonts w:asciiTheme="minorHAnsi" w:hAnsiTheme="minorHAnsi"/>
                <w:sz w:val="29"/>
                <w:szCs w:val="29"/>
              </w:rPr>
              <w:t xml:space="preserve"> </w:t>
            </w:r>
          </w:p>
        </w:tc>
        <w:tc>
          <w:tcPr>
            <w:tcW w:w="550" w:type="pct"/>
            <w:tcBorders>
              <w:top w:val="single" w:sz="6" w:space="0" w:color="auto"/>
              <w:left w:val="single" w:sz="6" w:space="0" w:color="auto"/>
              <w:bottom w:val="nil"/>
              <w:right w:val="single" w:sz="6" w:space="0" w:color="auto"/>
            </w:tcBorders>
            <w:vAlign w:val="center"/>
          </w:tcPr>
          <w:p w14:paraId="0EEA8DDD" w14:textId="77777777" w:rsidR="00AF4D50" w:rsidRPr="006E4137" w:rsidRDefault="00AF4D50" w:rsidP="009B153D">
            <w:pPr>
              <w:pStyle w:val="Style"/>
              <w:ind w:left="19"/>
              <w:jc w:val="center"/>
              <w:textAlignment w:val="baseline"/>
              <w:rPr>
                <w:rFonts w:asciiTheme="minorHAnsi" w:hAnsiTheme="minorHAnsi"/>
              </w:rPr>
            </w:pPr>
            <w:r w:rsidRPr="006E4137">
              <w:rPr>
                <w:rFonts w:asciiTheme="minorHAnsi" w:hAnsiTheme="minorHAnsi"/>
                <w:sz w:val="21"/>
                <w:szCs w:val="21"/>
              </w:rPr>
              <w:t xml:space="preserve">22 (95.7) </w:t>
            </w:r>
          </w:p>
        </w:tc>
        <w:tc>
          <w:tcPr>
            <w:tcW w:w="683" w:type="pct"/>
            <w:tcBorders>
              <w:top w:val="single" w:sz="6" w:space="0" w:color="auto"/>
              <w:left w:val="single" w:sz="6" w:space="0" w:color="auto"/>
              <w:bottom w:val="nil"/>
              <w:right w:val="single" w:sz="6" w:space="0" w:color="auto"/>
            </w:tcBorders>
            <w:vAlign w:val="center"/>
          </w:tcPr>
          <w:p w14:paraId="5750FF72" w14:textId="77777777" w:rsidR="00AF4D50" w:rsidRPr="006E4137" w:rsidRDefault="00AF4D50" w:rsidP="009B153D">
            <w:pPr>
              <w:pStyle w:val="Style"/>
              <w:ind w:left="14"/>
              <w:jc w:val="center"/>
              <w:textAlignment w:val="baseline"/>
              <w:rPr>
                <w:rFonts w:asciiTheme="minorHAnsi" w:hAnsiTheme="minorHAnsi"/>
              </w:rPr>
            </w:pPr>
            <w:r w:rsidRPr="006E4137">
              <w:rPr>
                <w:rFonts w:asciiTheme="minorHAnsi" w:hAnsiTheme="minorHAnsi"/>
                <w:sz w:val="21"/>
                <w:szCs w:val="21"/>
              </w:rPr>
              <w:t xml:space="preserve">63 (94.0) </w:t>
            </w:r>
          </w:p>
        </w:tc>
        <w:tc>
          <w:tcPr>
            <w:tcW w:w="763" w:type="pct"/>
            <w:tcBorders>
              <w:top w:val="single" w:sz="6" w:space="0" w:color="auto"/>
              <w:left w:val="single" w:sz="6" w:space="0" w:color="auto"/>
              <w:bottom w:val="nil"/>
              <w:right w:val="single" w:sz="6" w:space="0" w:color="auto"/>
            </w:tcBorders>
            <w:vAlign w:val="center"/>
          </w:tcPr>
          <w:p w14:paraId="5964A00A" w14:textId="77777777" w:rsidR="00AF4D50" w:rsidRPr="006E4137" w:rsidRDefault="00AF4D50" w:rsidP="009B153D">
            <w:pPr>
              <w:pStyle w:val="Style"/>
              <w:ind w:left="19"/>
              <w:jc w:val="center"/>
              <w:textAlignment w:val="baseline"/>
              <w:rPr>
                <w:rFonts w:asciiTheme="minorHAnsi" w:hAnsiTheme="minorHAnsi"/>
              </w:rPr>
            </w:pPr>
            <w:r w:rsidRPr="006E4137">
              <w:rPr>
                <w:rFonts w:asciiTheme="minorHAnsi" w:hAnsiTheme="minorHAnsi"/>
                <w:sz w:val="21"/>
                <w:szCs w:val="21"/>
              </w:rPr>
              <w:t xml:space="preserve">4 (100.0) </w:t>
            </w:r>
          </w:p>
        </w:tc>
        <w:tc>
          <w:tcPr>
            <w:tcW w:w="704" w:type="pct"/>
            <w:tcBorders>
              <w:top w:val="single" w:sz="6" w:space="0" w:color="auto"/>
              <w:left w:val="single" w:sz="6" w:space="0" w:color="auto"/>
              <w:bottom w:val="nil"/>
              <w:right w:val="single" w:sz="6" w:space="0" w:color="auto"/>
            </w:tcBorders>
            <w:vAlign w:val="center"/>
          </w:tcPr>
          <w:p w14:paraId="045C817E" w14:textId="77777777" w:rsidR="00AF4D50" w:rsidRPr="006E4137" w:rsidRDefault="00AF4D50" w:rsidP="009B153D">
            <w:pPr>
              <w:pStyle w:val="Style"/>
              <w:ind w:left="24"/>
              <w:jc w:val="center"/>
              <w:textAlignment w:val="baseline"/>
              <w:rPr>
                <w:rFonts w:asciiTheme="minorHAnsi" w:hAnsiTheme="minorHAnsi"/>
              </w:rPr>
            </w:pPr>
            <w:r w:rsidRPr="006E4137">
              <w:rPr>
                <w:rFonts w:asciiTheme="minorHAnsi" w:hAnsiTheme="minorHAnsi"/>
                <w:sz w:val="21"/>
                <w:szCs w:val="21"/>
              </w:rPr>
              <w:t xml:space="preserve">7 (100.0) </w:t>
            </w:r>
          </w:p>
        </w:tc>
        <w:tc>
          <w:tcPr>
            <w:tcW w:w="718" w:type="pct"/>
            <w:tcBorders>
              <w:top w:val="single" w:sz="6" w:space="0" w:color="auto"/>
              <w:left w:val="single" w:sz="6" w:space="0" w:color="auto"/>
              <w:bottom w:val="nil"/>
              <w:right w:val="single" w:sz="6" w:space="0" w:color="auto"/>
            </w:tcBorders>
            <w:vAlign w:val="center"/>
          </w:tcPr>
          <w:p w14:paraId="6BE07ACA" w14:textId="77777777" w:rsidR="00AF4D50" w:rsidRPr="006E4137" w:rsidRDefault="00AF4D50" w:rsidP="009B153D">
            <w:pPr>
              <w:pStyle w:val="Style"/>
              <w:ind w:left="24"/>
              <w:jc w:val="center"/>
              <w:textAlignment w:val="baseline"/>
              <w:rPr>
                <w:rFonts w:asciiTheme="minorHAnsi" w:hAnsiTheme="minorHAnsi"/>
              </w:rPr>
            </w:pPr>
            <w:r w:rsidRPr="006E4137">
              <w:rPr>
                <w:rFonts w:asciiTheme="minorHAnsi" w:hAnsiTheme="minorHAnsi"/>
                <w:sz w:val="21"/>
                <w:szCs w:val="21"/>
              </w:rPr>
              <w:t xml:space="preserve">177 (97.3) </w:t>
            </w:r>
          </w:p>
        </w:tc>
      </w:tr>
      <w:tr w:rsidR="00AF4D50" w:rsidRPr="00AF4D50" w14:paraId="75CE037D" w14:textId="77777777" w:rsidTr="00AF4D50">
        <w:trPr>
          <w:trHeight w:hRule="exact" w:val="383"/>
          <w:jc w:val="center"/>
        </w:trPr>
        <w:tc>
          <w:tcPr>
            <w:tcW w:w="1153" w:type="pct"/>
            <w:tcBorders>
              <w:top w:val="nil"/>
              <w:left w:val="single" w:sz="6" w:space="0" w:color="auto"/>
              <w:bottom w:val="single" w:sz="6" w:space="0" w:color="auto"/>
              <w:right w:val="single" w:sz="6" w:space="0" w:color="auto"/>
            </w:tcBorders>
            <w:vAlign w:val="center"/>
          </w:tcPr>
          <w:p w14:paraId="5682A8A9" w14:textId="77777777" w:rsidR="00AF4D50" w:rsidRPr="006E4137" w:rsidRDefault="00AF4D50" w:rsidP="009B153D">
            <w:pPr>
              <w:pStyle w:val="Style"/>
              <w:ind w:left="130"/>
              <w:textAlignment w:val="baseline"/>
              <w:rPr>
                <w:rFonts w:asciiTheme="minorHAnsi" w:hAnsiTheme="minorHAnsi"/>
              </w:rPr>
            </w:pPr>
            <w:r w:rsidRPr="006E4137">
              <w:rPr>
                <w:rFonts w:asciiTheme="minorHAnsi" w:hAnsiTheme="minorHAnsi"/>
                <w:sz w:val="20"/>
                <w:szCs w:val="20"/>
              </w:rPr>
              <w:t xml:space="preserve">Period </w:t>
            </w:r>
          </w:p>
        </w:tc>
        <w:tc>
          <w:tcPr>
            <w:tcW w:w="429" w:type="pct"/>
            <w:vMerge/>
            <w:tcBorders>
              <w:left w:val="single" w:sz="6" w:space="0" w:color="auto"/>
              <w:bottom w:val="single" w:sz="6" w:space="0" w:color="auto"/>
              <w:right w:val="single" w:sz="6" w:space="0" w:color="auto"/>
            </w:tcBorders>
            <w:vAlign w:val="center"/>
          </w:tcPr>
          <w:p w14:paraId="6D8D2DF7" w14:textId="4D23028B" w:rsidR="00AF4D50" w:rsidRPr="006E4137" w:rsidRDefault="00AF4D50" w:rsidP="009B153D">
            <w:pPr>
              <w:pStyle w:val="Style"/>
              <w:textAlignment w:val="baseline"/>
              <w:rPr>
                <w:rFonts w:asciiTheme="minorHAnsi" w:hAnsiTheme="minorHAnsi"/>
              </w:rPr>
            </w:pPr>
          </w:p>
        </w:tc>
        <w:tc>
          <w:tcPr>
            <w:tcW w:w="550" w:type="pct"/>
            <w:tcBorders>
              <w:top w:val="nil"/>
              <w:left w:val="single" w:sz="6" w:space="0" w:color="auto"/>
              <w:bottom w:val="single" w:sz="6" w:space="0" w:color="auto"/>
              <w:right w:val="single" w:sz="6" w:space="0" w:color="auto"/>
            </w:tcBorders>
            <w:vAlign w:val="center"/>
          </w:tcPr>
          <w:p w14:paraId="5C293D03" w14:textId="77777777" w:rsidR="00AF4D50" w:rsidRPr="006E4137" w:rsidRDefault="00AF4D50" w:rsidP="009B153D">
            <w:pPr>
              <w:pStyle w:val="Style"/>
              <w:textAlignment w:val="baseline"/>
              <w:rPr>
                <w:rFonts w:asciiTheme="minorHAnsi" w:hAnsiTheme="minorHAnsi"/>
              </w:rPr>
            </w:pPr>
            <w:r w:rsidRPr="006E4137">
              <w:rPr>
                <w:rFonts w:asciiTheme="minorHAnsi" w:hAnsiTheme="minorHAnsi"/>
                <w:sz w:val="29"/>
                <w:szCs w:val="29"/>
              </w:rPr>
              <w:t xml:space="preserve"> </w:t>
            </w:r>
          </w:p>
        </w:tc>
        <w:tc>
          <w:tcPr>
            <w:tcW w:w="683" w:type="pct"/>
            <w:tcBorders>
              <w:top w:val="nil"/>
              <w:left w:val="single" w:sz="6" w:space="0" w:color="auto"/>
              <w:bottom w:val="single" w:sz="6" w:space="0" w:color="auto"/>
              <w:right w:val="single" w:sz="6" w:space="0" w:color="auto"/>
            </w:tcBorders>
            <w:vAlign w:val="center"/>
          </w:tcPr>
          <w:p w14:paraId="351685AA" w14:textId="77777777" w:rsidR="00AF4D50" w:rsidRPr="006E4137" w:rsidRDefault="00AF4D50" w:rsidP="009B153D">
            <w:pPr>
              <w:pStyle w:val="Style"/>
              <w:textAlignment w:val="baseline"/>
              <w:rPr>
                <w:rFonts w:asciiTheme="minorHAnsi" w:hAnsiTheme="minorHAnsi"/>
              </w:rPr>
            </w:pPr>
            <w:r w:rsidRPr="006E4137">
              <w:rPr>
                <w:rFonts w:asciiTheme="minorHAnsi" w:hAnsiTheme="minorHAnsi"/>
                <w:sz w:val="29"/>
                <w:szCs w:val="29"/>
              </w:rPr>
              <w:t xml:space="preserve"> </w:t>
            </w:r>
          </w:p>
        </w:tc>
        <w:tc>
          <w:tcPr>
            <w:tcW w:w="763" w:type="pct"/>
            <w:tcBorders>
              <w:top w:val="nil"/>
              <w:left w:val="single" w:sz="6" w:space="0" w:color="auto"/>
              <w:bottom w:val="single" w:sz="6" w:space="0" w:color="auto"/>
              <w:right w:val="single" w:sz="6" w:space="0" w:color="auto"/>
            </w:tcBorders>
            <w:vAlign w:val="center"/>
          </w:tcPr>
          <w:p w14:paraId="3C12A1FA" w14:textId="77777777" w:rsidR="00AF4D50" w:rsidRPr="006E4137" w:rsidRDefault="00AF4D50" w:rsidP="009B153D">
            <w:pPr>
              <w:pStyle w:val="Style"/>
              <w:textAlignment w:val="baseline"/>
              <w:rPr>
                <w:rFonts w:asciiTheme="minorHAnsi" w:hAnsiTheme="minorHAnsi"/>
              </w:rPr>
            </w:pPr>
            <w:r w:rsidRPr="006E4137">
              <w:rPr>
                <w:rFonts w:asciiTheme="minorHAnsi" w:hAnsiTheme="minorHAnsi"/>
                <w:sz w:val="29"/>
                <w:szCs w:val="29"/>
              </w:rPr>
              <w:t xml:space="preserve"> </w:t>
            </w:r>
          </w:p>
        </w:tc>
        <w:tc>
          <w:tcPr>
            <w:tcW w:w="704" w:type="pct"/>
            <w:tcBorders>
              <w:top w:val="nil"/>
              <w:left w:val="single" w:sz="6" w:space="0" w:color="auto"/>
              <w:bottom w:val="single" w:sz="6" w:space="0" w:color="auto"/>
              <w:right w:val="single" w:sz="6" w:space="0" w:color="auto"/>
            </w:tcBorders>
            <w:vAlign w:val="center"/>
          </w:tcPr>
          <w:p w14:paraId="31DCB7C8" w14:textId="77777777" w:rsidR="00AF4D50" w:rsidRPr="006E4137" w:rsidRDefault="00AF4D50" w:rsidP="009B153D">
            <w:pPr>
              <w:pStyle w:val="Style"/>
              <w:textAlignment w:val="baseline"/>
              <w:rPr>
                <w:rFonts w:asciiTheme="minorHAnsi" w:hAnsiTheme="minorHAnsi"/>
              </w:rPr>
            </w:pPr>
            <w:r w:rsidRPr="006E4137">
              <w:rPr>
                <w:rFonts w:asciiTheme="minorHAnsi" w:hAnsiTheme="minorHAnsi"/>
                <w:sz w:val="29"/>
                <w:szCs w:val="29"/>
              </w:rPr>
              <w:t xml:space="preserve"> </w:t>
            </w:r>
          </w:p>
        </w:tc>
        <w:tc>
          <w:tcPr>
            <w:tcW w:w="718" w:type="pct"/>
            <w:tcBorders>
              <w:top w:val="nil"/>
              <w:left w:val="single" w:sz="6" w:space="0" w:color="auto"/>
              <w:bottom w:val="single" w:sz="6" w:space="0" w:color="auto"/>
              <w:right w:val="single" w:sz="6" w:space="0" w:color="auto"/>
            </w:tcBorders>
            <w:vAlign w:val="center"/>
          </w:tcPr>
          <w:p w14:paraId="7B8343D4" w14:textId="77777777" w:rsidR="00AF4D50" w:rsidRPr="006E4137" w:rsidRDefault="00AF4D50" w:rsidP="009B153D">
            <w:pPr>
              <w:pStyle w:val="Style"/>
              <w:textAlignment w:val="baseline"/>
              <w:rPr>
                <w:rFonts w:asciiTheme="minorHAnsi" w:hAnsiTheme="minorHAnsi"/>
              </w:rPr>
            </w:pPr>
            <w:r w:rsidRPr="006E4137">
              <w:rPr>
                <w:rFonts w:asciiTheme="minorHAnsi" w:hAnsiTheme="minorHAnsi"/>
                <w:sz w:val="29"/>
                <w:szCs w:val="29"/>
              </w:rPr>
              <w:t xml:space="preserve"> </w:t>
            </w:r>
          </w:p>
        </w:tc>
      </w:tr>
      <w:tr w:rsidR="00B63EAE" w:rsidRPr="00AF4D50" w14:paraId="315D11B7" w14:textId="77777777" w:rsidTr="00AF4D50">
        <w:trPr>
          <w:trHeight w:hRule="exact" w:val="515"/>
          <w:jc w:val="center"/>
        </w:trPr>
        <w:tc>
          <w:tcPr>
            <w:tcW w:w="1153" w:type="pct"/>
            <w:tcBorders>
              <w:top w:val="single" w:sz="6" w:space="0" w:color="auto"/>
              <w:left w:val="single" w:sz="6" w:space="0" w:color="auto"/>
              <w:bottom w:val="single" w:sz="6" w:space="0" w:color="auto"/>
              <w:right w:val="single" w:sz="6" w:space="0" w:color="auto"/>
            </w:tcBorders>
            <w:vAlign w:val="center"/>
          </w:tcPr>
          <w:p w14:paraId="7B68CCC4" w14:textId="77777777" w:rsidR="00B63EAE" w:rsidRPr="006E4137" w:rsidRDefault="00B63EAE" w:rsidP="009B153D">
            <w:pPr>
              <w:pStyle w:val="Style"/>
              <w:ind w:left="130"/>
              <w:textAlignment w:val="baseline"/>
              <w:rPr>
                <w:rFonts w:asciiTheme="minorHAnsi" w:hAnsiTheme="minorHAnsi"/>
              </w:rPr>
            </w:pPr>
            <w:r w:rsidRPr="006E4137">
              <w:rPr>
                <w:rFonts w:asciiTheme="minorHAnsi" w:hAnsiTheme="minorHAnsi"/>
                <w:sz w:val="20"/>
                <w:szCs w:val="20"/>
              </w:rPr>
              <w:t xml:space="preserve">Ongoing in study </w:t>
            </w:r>
          </w:p>
        </w:tc>
        <w:tc>
          <w:tcPr>
            <w:tcW w:w="429" w:type="pct"/>
            <w:tcBorders>
              <w:top w:val="single" w:sz="6" w:space="0" w:color="auto"/>
              <w:left w:val="single" w:sz="6" w:space="0" w:color="auto"/>
              <w:bottom w:val="single" w:sz="6" w:space="0" w:color="auto"/>
              <w:right w:val="single" w:sz="6" w:space="0" w:color="auto"/>
            </w:tcBorders>
            <w:vAlign w:val="center"/>
          </w:tcPr>
          <w:p w14:paraId="7E846CDE" w14:textId="77777777" w:rsidR="00B63EAE" w:rsidRPr="006E4137" w:rsidRDefault="00B63EAE" w:rsidP="009B153D">
            <w:pPr>
              <w:pStyle w:val="Style"/>
              <w:ind w:left="29"/>
              <w:jc w:val="center"/>
              <w:textAlignment w:val="baseline"/>
              <w:rPr>
                <w:rFonts w:asciiTheme="minorHAnsi" w:hAnsiTheme="minorHAnsi"/>
              </w:rPr>
            </w:pPr>
            <w:r w:rsidRPr="006E4137">
              <w:rPr>
                <w:rFonts w:asciiTheme="minorHAnsi" w:hAnsiTheme="minorHAnsi"/>
                <w:sz w:val="21"/>
                <w:szCs w:val="21"/>
              </w:rPr>
              <w:t xml:space="preserve">0 </w:t>
            </w:r>
          </w:p>
        </w:tc>
        <w:tc>
          <w:tcPr>
            <w:tcW w:w="550" w:type="pct"/>
            <w:tcBorders>
              <w:top w:val="single" w:sz="6" w:space="0" w:color="auto"/>
              <w:left w:val="single" w:sz="6" w:space="0" w:color="auto"/>
              <w:bottom w:val="single" w:sz="6" w:space="0" w:color="auto"/>
              <w:right w:val="single" w:sz="6" w:space="0" w:color="auto"/>
            </w:tcBorders>
            <w:vAlign w:val="center"/>
          </w:tcPr>
          <w:p w14:paraId="39516F9E" w14:textId="77777777" w:rsidR="00B63EAE" w:rsidRPr="006E4137" w:rsidRDefault="00B63EAE" w:rsidP="009B153D">
            <w:pPr>
              <w:pStyle w:val="Style"/>
              <w:ind w:left="19"/>
              <w:jc w:val="center"/>
              <w:textAlignment w:val="baseline"/>
              <w:rPr>
                <w:rFonts w:asciiTheme="minorHAnsi" w:hAnsiTheme="minorHAnsi"/>
              </w:rPr>
            </w:pPr>
            <w:r w:rsidRPr="006E4137">
              <w:rPr>
                <w:rFonts w:asciiTheme="minorHAnsi" w:hAnsiTheme="minorHAnsi"/>
                <w:sz w:val="21"/>
                <w:szCs w:val="21"/>
              </w:rPr>
              <w:t xml:space="preserve">0 </w:t>
            </w:r>
          </w:p>
        </w:tc>
        <w:tc>
          <w:tcPr>
            <w:tcW w:w="683" w:type="pct"/>
            <w:tcBorders>
              <w:top w:val="single" w:sz="6" w:space="0" w:color="auto"/>
              <w:left w:val="single" w:sz="6" w:space="0" w:color="auto"/>
              <w:bottom w:val="single" w:sz="6" w:space="0" w:color="auto"/>
              <w:right w:val="single" w:sz="6" w:space="0" w:color="auto"/>
            </w:tcBorders>
            <w:vAlign w:val="center"/>
          </w:tcPr>
          <w:p w14:paraId="0433DAB1" w14:textId="77777777" w:rsidR="00B63EAE" w:rsidRPr="006E4137" w:rsidRDefault="00B63EAE" w:rsidP="009B153D">
            <w:pPr>
              <w:pStyle w:val="Style"/>
              <w:ind w:left="14"/>
              <w:jc w:val="center"/>
              <w:textAlignment w:val="baseline"/>
              <w:rPr>
                <w:rFonts w:asciiTheme="minorHAnsi" w:hAnsiTheme="minorHAnsi"/>
              </w:rPr>
            </w:pPr>
            <w:r w:rsidRPr="006E4137">
              <w:rPr>
                <w:rFonts w:asciiTheme="minorHAnsi" w:hAnsiTheme="minorHAnsi"/>
                <w:sz w:val="21"/>
                <w:szCs w:val="21"/>
              </w:rPr>
              <w:t xml:space="preserve">3 (4.5) </w:t>
            </w:r>
          </w:p>
        </w:tc>
        <w:tc>
          <w:tcPr>
            <w:tcW w:w="763" w:type="pct"/>
            <w:tcBorders>
              <w:top w:val="single" w:sz="6" w:space="0" w:color="auto"/>
              <w:left w:val="single" w:sz="6" w:space="0" w:color="auto"/>
              <w:bottom w:val="single" w:sz="6" w:space="0" w:color="auto"/>
              <w:right w:val="single" w:sz="6" w:space="0" w:color="auto"/>
            </w:tcBorders>
            <w:vAlign w:val="center"/>
          </w:tcPr>
          <w:p w14:paraId="5459670E" w14:textId="77777777" w:rsidR="00B63EAE" w:rsidRPr="006E4137" w:rsidRDefault="00B63EAE" w:rsidP="009B153D">
            <w:pPr>
              <w:pStyle w:val="Style"/>
              <w:ind w:left="19"/>
              <w:jc w:val="center"/>
              <w:textAlignment w:val="baseline"/>
              <w:rPr>
                <w:rFonts w:asciiTheme="minorHAnsi" w:hAnsiTheme="minorHAnsi"/>
              </w:rPr>
            </w:pPr>
            <w:r w:rsidRPr="006E4137">
              <w:rPr>
                <w:rFonts w:asciiTheme="minorHAnsi" w:hAnsiTheme="minorHAnsi"/>
                <w:sz w:val="21"/>
                <w:szCs w:val="21"/>
              </w:rPr>
              <w:t xml:space="preserve">0 </w:t>
            </w:r>
          </w:p>
        </w:tc>
        <w:tc>
          <w:tcPr>
            <w:tcW w:w="704" w:type="pct"/>
            <w:tcBorders>
              <w:top w:val="single" w:sz="6" w:space="0" w:color="auto"/>
              <w:left w:val="single" w:sz="6" w:space="0" w:color="auto"/>
              <w:bottom w:val="single" w:sz="6" w:space="0" w:color="auto"/>
              <w:right w:val="single" w:sz="6" w:space="0" w:color="auto"/>
            </w:tcBorders>
            <w:vAlign w:val="center"/>
          </w:tcPr>
          <w:p w14:paraId="04D36B1E" w14:textId="77777777" w:rsidR="00B63EAE" w:rsidRPr="006E4137" w:rsidRDefault="00B63EAE" w:rsidP="009B153D">
            <w:pPr>
              <w:pStyle w:val="Style"/>
              <w:ind w:left="24"/>
              <w:jc w:val="center"/>
              <w:textAlignment w:val="baseline"/>
              <w:rPr>
                <w:rFonts w:asciiTheme="minorHAnsi" w:hAnsiTheme="minorHAnsi"/>
              </w:rPr>
            </w:pPr>
            <w:r w:rsidRPr="006E4137">
              <w:rPr>
                <w:rFonts w:asciiTheme="minorHAnsi" w:hAnsiTheme="minorHAnsi"/>
                <w:sz w:val="21"/>
                <w:szCs w:val="21"/>
              </w:rPr>
              <w:t xml:space="preserve">0 </w:t>
            </w:r>
          </w:p>
        </w:tc>
        <w:tc>
          <w:tcPr>
            <w:tcW w:w="718" w:type="pct"/>
            <w:tcBorders>
              <w:top w:val="single" w:sz="6" w:space="0" w:color="auto"/>
              <w:left w:val="single" w:sz="6" w:space="0" w:color="auto"/>
              <w:bottom w:val="single" w:sz="6" w:space="0" w:color="auto"/>
              <w:right w:val="single" w:sz="6" w:space="0" w:color="auto"/>
            </w:tcBorders>
            <w:vAlign w:val="center"/>
          </w:tcPr>
          <w:p w14:paraId="3DC10802" w14:textId="77777777" w:rsidR="00B63EAE" w:rsidRPr="006E4137" w:rsidRDefault="00B63EAE" w:rsidP="009B153D">
            <w:pPr>
              <w:pStyle w:val="Style"/>
              <w:ind w:left="24"/>
              <w:jc w:val="center"/>
              <w:textAlignment w:val="baseline"/>
              <w:rPr>
                <w:rFonts w:asciiTheme="minorHAnsi" w:hAnsiTheme="minorHAnsi"/>
              </w:rPr>
            </w:pPr>
            <w:r w:rsidRPr="006E4137">
              <w:rPr>
                <w:rFonts w:asciiTheme="minorHAnsi" w:hAnsiTheme="minorHAnsi"/>
                <w:sz w:val="21"/>
                <w:szCs w:val="21"/>
              </w:rPr>
              <w:t xml:space="preserve">3 (1.6) </w:t>
            </w:r>
          </w:p>
        </w:tc>
      </w:tr>
      <w:tr w:rsidR="00B63EAE" w:rsidRPr="00AF4D50" w14:paraId="1C84D8FF" w14:textId="77777777" w:rsidTr="00AF4D50">
        <w:trPr>
          <w:trHeight w:hRule="exact" w:val="496"/>
          <w:jc w:val="center"/>
        </w:trPr>
        <w:tc>
          <w:tcPr>
            <w:tcW w:w="1153" w:type="pct"/>
            <w:tcBorders>
              <w:top w:val="single" w:sz="6" w:space="0" w:color="auto"/>
              <w:left w:val="single" w:sz="6" w:space="0" w:color="auto"/>
              <w:bottom w:val="single" w:sz="6" w:space="0" w:color="auto"/>
              <w:right w:val="single" w:sz="6" w:space="0" w:color="auto"/>
            </w:tcBorders>
            <w:vAlign w:val="center"/>
          </w:tcPr>
          <w:p w14:paraId="5A7D5CEA" w14:textId="77777777" w:rsidR="00B63EAE" w:rsidRPr="006E4137" w:rsidRDefault="00B63EAE" w:rsidP="009B153D">
            <w:pPr>
              <w:pStyle w:val="Style"/>
              <w:ind w:left="130"/>
              <w:textAlignment w:val="baseline"/>
              <w:rPr>
                <w:rFonts w:asciiTheme="minorHAnsi" w:hAnsiTheme="minorHAnsi"/>
              </w:rPr>
            </w:pPr>
            <w:r w:rsidRPr="006E4137">
              <w:rPr>
                <w:rFonts w:asciiTheme="minorHAnsi" w:hAnsiTheme="minorHAnsi"/>
                <w:sz w:val="20"/>
                <w:szCs w:val="20"/>
              </w:rPr>
              <w:t xml:space="preserve">Discontinued study </w:t>
            </w:r>
          </w:p>
        </w:tc>
        <w:tc>
          <w:tcPr>
            <w:tcW w:w="429" w:type="pct"/>
            <w:tcBorders>
              <w:top w:val="single" w:sz="6" w:space="0" w:color="auto"/>
              <w:left w:val="single" w:sz="6" w:space="0" w:color="auto"/>
              <w:bottom w:val="single" w:sz="6" w:space="0" w:color="auto"/>
              <w:right w:val="single" w:sz="6" w:space="0" w:color="auto"/>
            </w:tcBorders>
            <w:vAlign w:val="center"/>
          </w:tcPr>
          <w:p w14:paraId="16626922" w14:textId="77777777" w:rsidR="00B63EAE" w:rsidRPr="006E4137" w:rsidRDefault="00B63EAE" w:rsidP="009B153D">
            <w:pPr>
              <w:pStyle w:val="Style"/>
              <w:ind w:left="29"/>
              <w:jc w:val="center"/>
              <w:textAlignment w:val="baseline"/>
              <w:rPr>
                <w:rFonts w:asciiTheme="minorHAnsi" w:hAnsiTheme="minorHAnsi"/>
              </w:rPr>
            </w:pPr>
            <w:r w:rsidRPr="006E4137">
              <w:rPr>
                <w:rFonts w:asciiTheme="minorHAnsi" w:hAnsiTheme="minorHAnsi"/>
                <w:sz w:val="21"/>
                <w:szCs w:val="21"/>
              </w:rPr>
              <w:t xml:space="preserve">0 </w:t>
            </w:r>
          </w:p>
        </w:tc>
        <w:tc>
          <w:tcPr>
            <w:tcW w:w="550" w:type="pct"/>
            <w:tcBorders>
              <w:top w:val="single" w:sz="6" w:space="0" w:color="auto"/>
              <w:left w:val="single" w:sz="6" w:space="0" w:color="auto"/>
              <w:bottom w:val="single" w:sz="6" w:space="0" w:color="auto"/>
              <w:right w:val="single" w:sz="6" w:space="0" w:color="auto"/>
            </w:tcBorders>
            <w:vAlign w:val="center"/>
          </w:tcPr>
          <w:p w14:paraId="5867F4F2" w14:textId="77777777" w:rsidR="00B63EAE" w:rsidRPr="006E4137" w:rsidRDefault="00B63EAE" w:rsidP="009B153D">
            <w:pPr>
              <w:pStyle w:val="Style"/>
              <w:ind w:left="19"/>
              <w:jc w:val="center"/>
              <w:textAlignment w:val="baseline"/>
              <w:rPr>
                <w:rFonts w:asciiTheme="minorHAnsi" w:hAnsiTheme="minorHAnsi"/>
              </w:rPr>
            </w:pPr>
            <w:r w:rsidRPr="006E4137">
              <w:rPr>
                <w:rFonts w:asciiTheme="minorHAnsi" w:hAnsiTheme="minorHAnsi"/>
                <w:sz w:val="21"/>
                <w:szCs w:val="21"/>
              </w:rPr>
              <w:t xml:space="preserve">1 (4.3) </w:t>
            </w:r>
          </w:p>
        </w:tc>
        <w:tc>
          <w:tcPr>
            <w:tcW w:w="683" w:type="pct"/>
            <w:tcBorders>
              <w:top w:val="single" w:sz="6" w:space="0" w:color="auto"/>
              <w:left w:val="single" w:sz="6" w:space="0" w:color="auto"/>
              <w:bottom w:val="single" w:sz="6" w:space="0" w:color="auto"/>
              <w:right w:val="single" w:sz="6" w:space="0" w:color="auto"/>
            </w:tcBorders>
            <w:vAlign w:val="center"/>
          </w:tcPr>
          <w:p w14:paraId="272CDF94" w14:textId="77777777" w:rsidR="00B63EAE" w:rsidRPr="006E4137" w:rsidRDefault="00B63EAE" w:rsidP="009B153D">
            <w:pPr>
              <w:pStyle w:val="Style"/>
              <w:ind w:left="14"/>
              <w:jc w:val="center"/>
              <w:textAlignment w:val="baseline"/>
              <w:rPr>
                <w:rFonts w:asciiTheme="minorHAnsi" w:hAnsiTheme="minorHAnsi"/>
              </w:rPr>
            </w:pPr>
            <w:r w:rsidRPr="006E4137">
              <w:rPr>
                <w:rFonts w:asciiTheme="minorHAnsi" w:hAnsiTheme="minorHAnsi"/>
                <w:sz w:val="21"/>
                <w:szCs w:val="21"/>
              </w:rPr>
              <w:t xml:space="preserve">1 (1.5) </w:t>
            </w:r>
          </w:p>
        </w:tc>
        <w:tc>
          <w:tcPr>
            <w:tcW w:w="763" w:type="pct"/>
            <w:tcBorders>
              <w:top w:val="single" w:sz="6" w:space="0" w:color="auto"/>
              <w:left w:val="single" w:sz="6" w:space="0" w:color="auto"/>
              <w:bottom w:val="single" w:sz="6" w:space="0" w:color="auto"/>
              <w:right w:val="single" w:sz="6" w:space="0" w:color="auto"/>
            </w:tcBorders>
            <w:vAlign w:val="center"/>
          </w:tcPr>
          <w:p w14:paraId="7F89E74F" w14:textId="77777777" w:rsidR="00B63EAE" w:rsidRPr="006E4137" w:rsidRDefault="00B63EAE" w:rsidP="009B153D">
            <w:pPr>
              <w:pStyle w:val="Style"/>
              <w:ind w:left="19"/>
              <w:jc w:val="center"/>
              <w:textAlignment w:val="baseline"/>
              <w:rPr>
                <w:rFonts w:asciiTheme="minorHAnsi" w:hAnsiTheme="minorHAnsi"/>
              </w:rPr>
            </w:pPr>
            <w:r w:rsidRPr="006E4137">
              <w:rPr>
                <w:rFonts w:asciiTheme="minorHAnsi" w:hAnsiTheme="minorHAnsi"/>
                <w:sz w:val="21"/>
                <w:szCs w:val="21"/>
              </w:rPr>
              <w:t xml:space="preserve">0 </w:t>
            </w:r>
          </w:p>
        </w:tc>
        <w:tc>
          <w:tcPr>
            <w:tcW w:w="704" w:type="pct"/>
            <w:tcBorders>
              <w:top w:val="single" w:sz="6" w:space="0" w:color="auto"/>
              <w:left w:val="single" w:sz="6" w:space="0" w:color="auto"/>
              <w:bottom w:val="single" w:sz="6" w:space="0" w:color="auto"/>
              <w:right w:val="single" w:sz="6" w:space="0" w:color="auto"/>
            </w:tcBorders>
            <w:vAlign w:val="center"/>
          </w:tcPr>
          <w:p w14:paraId="687BCAE4" w14:textId="77777777" w:rsidR="00B63EAE" w:rsidRPr="006E4137" w:rsidRDefault="00B63EAE" w:rsidP="009B153D">
            <w:pPr>
              <w:pStyle w:val="Style"/>
              <w:ind w:left="24"/>
              <w:jc w:val="center"/>
              <w:textAlignment w:val="baseline"/>
              <w:rPr>
                <w:rFonts w:asciiTheme="minorHAnsi" w:hAnsiTheme="minorHAnsi"/>
              </w:rPr>
            </w:pPr>
            <w:r w:rsidRPr="006E4137">
              <w:rPr>
                <w:rFonts w:asciiTheme="minorHAnsi" w:hAnsiTheme="minorHAnsi"/>
                <w:sz w:val="21"/>
                <w:szCs w:val="21"/>
              </w:rPr>
              <w:t xml:space="preserve">0 </w:t>
            </w:r>
          </w:p>
        </w:tc>
        <w:tc>
          <w:tcPr>
            <w:tcW w:w="718" w:type="pct"/>
            <w:tcBorders>
              <w:top w:val="single" w:sz="6" w:space="0" w:color="auto"/>
              <w:left w:val="single" w:sz="6" w:space="0" w:color="auto"/>
              <w:bottom w:val="single" w:sz="6" w:space="0" w:color="auto"/>
              <w:right w:val="single" w:sz="6" w:space="0" w:color="auto"/>
            </w:tcBorders>
            <w:vAlign w:val="center"/>
          </w:tcPr>
          <w:p w14:paraId="70237D25" w14:textId="77777777" w:rsidR="00B63EAE" w:rsidRPr="006E4137" w:rsidRDefault="00B63EAE" w:rsidP="009B153D">
            <w:pPr>
              <w:pStyle w:val="Style"/>
              <w:ind w:left="24"/>
              <w:jc w:val="center"/>
              <w:textAlignment w:val="baseline"/>
              <w:rPr>
                <w:rFonts w:asciiTheme="minorHAnsi" w:hAnsiTheme="minorHAnsi"/>
              </w:rPr>
            </w:pPr>
            <w:r w:rsidRPr="006E4137">
              <w:rPr>
                <w:rFonts w:asciiTheme="minorHAnsi" w:hAnsiTheme="minorHAnsi"/>
                <w:sz w:val="21"/>
                <w:szCs w:val="21"/>
              </w:rPr>
              <w:t xml:space="preserve">2 </w:t>
            </w:r>
            <w:r w:rsidRPr="006E4137">
              <w:rPr>
                <w:rFonts w:asciiTheme="minorHAnsi" w:hAnsiTheme="minorHAnsi"/>
                <w:sz w:val="20"/>
                <w:szCs w:val="20"/>
              </w:rPr>
              <w:t xml:space="preserve">(1.1) </w:t>
            </w:r>
          </w:p>
        </w:tc>
      </w:tr>
      <w:tr w:rsidR="00B63EAE" w:rsidRPr="00AF4D50" w14:paraId="0CA8F6A5" w14:textId="77777777" w:rsidTr="00B63EAE">
        <w:trPr>
          <w:trHeight w:hRule="exact" w:val="509"/>
          <w:jc w:val="center"/>
        </w:trPr>
        <w:tc>
          <w:tcPr>
            <w:tcW w:w="5000" w:type="pct"/>
            <w:gridSpan w:val="7"/>
            <w:tcBorders>
              <w:top w:val="single" w:sz="6" w:space="0" w:color="auto"/>
              <w:left w:val="single" w:sz="6" w:space="0" w:color="auto"/>
              <w:bottom w:val="single" w:sz="6" w:space="0" w:color="auto"/>
              <w:right w:val="single" w:sz="6" w:space="0" w:color="auto"/>
            </w:tcBorders>
            <w:vAlign w:val="center"/>
          </w:tcPr>
          <w:p w14:paraId="3C6869A0" w14:textId="564A48EA" w:rsidR="00B63EAE" w:rsidRPr="006E4137" w:rsidRDefault="00B63EAE" w:rsidP="00B63EAE">
            <w:pPr>
              <w:pStyle w:val="Style"/>
              <w:textAlignment w:val="baseline"/>
              <w:rPr>
                <w:rFonts w:asciiTheme="minorHAnsi" w:hAnsiTheme="minorHAnsi"/>
              </w:rPr>
            </w:pPr>
            <w:r w:rsidRPr="006E4137">
              <w:rPr>
                <w:rFonts w:asciiTheme="minorHAnsi" w:hAnsiTheme="minorHAnsi"/>
                <w:sz w:val="20"/>
                <w:szCs w:val="20"/>
              </w:rPr>
              <w:t xml:space="preserve">Primary reason for discontinuation </w:t>
            </w:r>
          </w:p>
        </w:tc>
      </w:tr>
      <w:tr w:rsidR="00B63EAE" w:rsidRPr="00AF4D50" w14:paraId="79FEEC1A" w14:textId="77777777" w:rsidTr="00AF4D50">
        <w:trPr>
          <w:trHeight w:hRule="exact" w:val="515"/>
          <w:jc w:val="center"/>
        </w:trPr>
        <w:tc>
          <w:tcPr>
            <w:tcW w:w="1153" w:type="pct"/>
            <w:tcBorders>
              <w:top w:val="single" w:sz="6" w:space="0" w:color="auto"/>
              <w:left w:val="single" w:sz="6" w:space="0" w:color="auto"/>
              <w:bottom w:val="single" w:sz="6" w:space="0" w:color="auto"/>
              <w:right w:val="single" w:sz="6" w:space="0" w:color="auto"/>
            </w:tcBorders>
            <w:vAlign w:val="center"/>
          </w:tcPr>
          <w:p w14:paraId="490AD169" w14:textId="77777777" w:rsidR="00B63EAE" w:rsidRPr="006E4137" w:rsidRDefault="00B63EAE" w:rsidP="009B153D">
            <w:pPr>
              <w:pStyle w:val="Style"/>
              <w:ind w:left="485"/>
              <w:textAlignment w:val="baseline"/>
              <w:rPr>
                <w:rFonts w:asciiTheme="minorHAnsi" w:hAnsiTheme="minorHAnsi"/>
              </w:rPr>
            </w:pPr>
            <w:r w:rsidRPr="006E4137">
              <w:rPr>
                <w:rFonts w:asciiTheme="minorHAnsi" w:hAnsiTheme="minorHAnsi"/>
                <w:sz w:val="20"/>
                <w:szCs w:val="20"/>
              </w:rPr>
              <w:t xml:space="preserve">AE </w:t>
            </w:r>
          </w:p>
        </w:tc>
        <w:tc>
          <w:tcPr>
            <w:tcW w:w="429" w:type="pct"/>
            <w:tcBorders>
              <w:top w:val="single" w:sz="6" w:space="0" w:color="auto"/>
              <w:left w:val="single" w:sz="6" w:space="0" w:color="auto"/>
              <w:bottom w:val="single" w:sz="6" w:space="0" w:color="auto"/>
              <w:right w:val="single" w:sz="6" w:space="0" w:color="auto"/>
            </w:tcBorders>
            <w:vAlign w:val="center"/>
          </w:tcPr>
          <w:p w14:paraId="3F108F32" w14:textId="77777777" w:rsidR="00B63EAE" w:rsidRPr="006E4137" w:rsidRDefault="00B63EAE" w:rsidP="009B153D">
            <w:pPr>
              <w:pStyle w:val="Style"/>
              <w:ind w:left="29"/>
              <w:jc w:val="center"/>
              <w:textAlignment w:val="baseline"/>
              <w:rPr>
                <w:rFonts w:asciiTheme="minorHAnsi" w:hAnsiTheme="minorHAnsi"/>
              </w:rPr>
            </w:pPr>
            <w:r w:rsidRPr="006E4137">
              <w:rPr>
                <w:rFonts w:asciiTheme="minorHAnsi" w:hAnsiTheme="minorHAnsi"/>
                <w:sz w:val="21"/>
                <w:szCs w:val="21"/>
              </w:rPr>
              <w:t xml:space="preserve">0 </w:t>
            </w:r>
          </w:p>
        </w:tc>
        <w:tc>
          <w:tcPr>
            <w:tcW w:w="550" w:type="pct"/>
            <w:tcBorders>
              <w:top w:val="single" w:sz="6" w:space="0" w:color="auto"/>
              <w:left w:val="single" w:sz="6" w:space="0" w:color="auto"/>
              <w:bottom w:val="single" w:sz="6" w:space="0" w:color="auto"/>
              <w:right w:val="single" w:sz="6" w:space="0" w:color="auto"/>
            </w:tcBorders>
            <w:vAlign w:val="center"/>
          </w:tcPr>
          <w:p w14:paraId="79525A23" w14:textId="77777777" w:rsidR="00B63EAE" w:rsidRPr="006E4137" w:rsidRDefault="00B63EAE" w:rsidP="009B153D">
            <w:pPr>
              <w:pStyle w:val="Style"/>
              <w:ind w:left="19"/>
              <w:jc w:val="center"/>
              <w:textAlignment w:val="baseline"/>
              <w:rPr>
                <w:rFonts w:asciiTheme="minorHAnsi" w:hAnsiTheme="minorHAnsi"/>
              </w:rPr>
            </w:pPr>
            <w:r w:rsidRPr="006E4137">
              <w:rPr>
                <w:rFonts w:asciiTheme="minorHAnsi" w:hAnsiTheme="minorHAnsi"/>
                <w:sz w:val="21"/>
                <w:szCs w:val="21"/>
              </w:rPr>
              <w:t xml:space="preserve">1 (4.3) </w:t>
            </w:r>
          </w:p>
        </w:tc>
        <w:tc>
          <w:tcPr>
            <w:tcW w:w="683" w:type="pct"/>
            <w:tcBorders>
              <w:top w:val="single" w:sz="6" w:space="0" w:color="auto"/>
              <w:left w:val="single" w:sz="6" w:space="0" w:color="auto"/>
              <w:bottom w:val="single" w:sz="6" w:space="0" w:color="auto"/>
              <w:right w:val="single" w:sz="6" w:space="0" w:color="auto"/>
            </w:tcBorders>
            <w:vAlign w:val="center"/>
          </w:tcPr>
          <w:p w14:paraId="6758DCE9" w14:textId="77777777" w:rsidR="00B63EAE" w:rsidRPr="006E4137" w:rsidRDefault="00B63EAE" w:rsidP="009B153D">
            <w:pPr>
              <w:pStyle w:val="Style"/>
              <w:ind w:left="14"/>
              <w:jc w:val="center"/>
              <w:textAlignment w:val="baseline"/>
              <w:rPr>
                <w:rFonts w:asciiTheme="minorHAnsi" w:hAnsiTheme="minorHAnsi"/>
              </w:rPr>
            </w:pPr>
            <w:r w:rsidRPr="006E4137">
              <w:rPr>
                <w:rFonts w:asciiTheme="minorHAnsi" w:hAnsiTheme="minorHAnsi"/>
                <w:sz w:val="21"/>
                <w:szCs w:val="21"/>
              </w:rPr>
              <w:t xml:space="preserve">0 </w:t>
            </w:r>
          </w:p>
        </w:tc>
        <w:tc>
          <w:tcPr>
            <w:tcW w:w="763" w:type="pct"/>
            <w:tcBorders>
              <w:top w:val="single" w:sz="6" w:space="0" w:color="auto"/>
              <w:left w:val="single" w:sz="6" w:space="0" w:color="auto"/>
              <w:bottom w:val="single" w:sz="6" w:space="0" w:color="auto"/>
              <w:right w:val="single" w:sz="6" w:space="0" w:color="auto"/>
            </w:tcBorders>
            <w:vAlign w:val="center"/>
          </w:tcPr>
          <w:p w14:paraId="571FBB92" w14:textId="77777777" w:rsidR="00B63EAE" w:rsidRPr="006E4137" w:rsidRDefault="00B63EAE" w:rsidP="009B153D">
            <w:pPr>
              <w:pStyle w:val="Style"/>
              <w:ind w:left="19"/>
              <w:jc w:val="center"/>
              <w:textAlignment w:val="baseline"/>
              <w:rPr>
                <w:rFonts w:asciiTheme="minorHAnsi" w:hAnsiTheme="minorHAnsi"/>
              </w:rPr>
            </w:pPr>
            <w:r w:rsidRPr="006E4137">
              <w:rPr>
                <w:rFonts w:asciiTheme="minorHAnsi" w:hAnsiTheme="minorHAnsi"/>
                <w:sz w:val="21"/>
                <w:szCs w:val="21"/>
              </w:rPr>
              <w:t xml:space="preserve">0 </w:t>
            </w:r>
          </w:p>
        </w:tc>
        <w:tc>
          <w:tcPr>
            <w:tcW w:w="704" w:type="pct"/>
            <w:tcBorders>
              <w:top w:val="single" w:sz="6" w:space="0" w:color="auto"/>
              <w:left w:val="single" w:sz="6" w:space="0" w:color="auto"/>
              <w:bottom w:val="single" w:sz="6" w:space="0" w:color="auto"/>
              <w:right w:val="single" w:sz="6" w:space="0" w:color="auto"/>
            </w:tcBorders>
            <w:vAlign w:val="center"/>
          </w:tcPr>
          <w:p w14:paraId="776BC393" w14:textId="77777777" w:rsidR="00B63EAE" w:rsidRPr="006E4137" w:rsidRDefault="00B63EAE" w:rsidP="009B153D">
            <w:pPr>
              <w:pStyle w:val="Style"/>
              <w:ind w:left="24"/>
              <w:jc w:val="center"/>
              <w:textAlignment w:val="baseline"/>
              <w:rPr>
                <w:rFonts w:asciiTheme="minorHAnsi" w:hAnsiTheme="minorHAnsi"/>
              </w:rPr>
            </w:pPr>
            <w:r w:rsidRPr="006E4137">
              <w:rPr>
                <w:rFonts w:asciiTheme="minorHAnsi" w:hAnsiTheme="minorHAnsi"/>
                <w:sz w:val="21"/>
                <w:szCs w:val="21"/>
              </w:rPr>
              <w:t xml:space="preserve">0 </w:t>
            </w:r>
          </w:p>
        </w:tc>
        <w:tc>
          <w:tcPr>
            <w:tcW w:w="718" w:type="pct"/>
            <w:tcBorders>
              <w:top w:val="single" w:sz="6" w:space="0" w:color="auto"/>
              <w:left w:val="single" w:sz="6" w:space="0" w:color="auto"/>
              <w:bottom w:val="single" w:sz="6" w:space="0" w:color="auto"/>
              <w:right w:val="single" w:sz="6" w:space="0" w:color="auto"/>
            </w:tcBorders>
            <w:vAlign w:val="center"/>
          </w:tcPr>
          <w:p w14:paraId="7C3AE20C" w14:textId="77777777" w:rsidR="00B63EAE" w:rsidRPr="006E4137" w:rsidRDefault="00B63EAE" w:rsidP="009B153D">
            <w:pPr>
              <w:pStyle w:val="Style"/>
              <w:ind w:left="24"/>
              <w:jc w:val="center"/>
              <w:textAlignment w:val="baseline"/>
              <w:rPr>
                <w:rFonts w:asciiTheme="minorHAnsi" w:hAnsiTheme="minorHAnsi"/>
              </w:rPr>
            </w:pPr>
            <w:r w:rsidRPr="006E4137">
              <w:rPr>
                <w:rFonts w:asciiTheme="minorHAnsi" w:hAnsiTheme="minorHAnsi"/>
                <w:sz w:val="21"/>
                <w:szCs w:val="21"/>
              </w:rPr>
              <w:t xml:space="preserve">1 (0.5) </w:t>
            </w:r>
          </w:p>
        </w:tc>
      </w:tr>
      <w:tr w:rsidR="00B63EAE" w:rsidRPr="00AF4D50" w14:paraId="22F21F1B" w14:textId="77777777" w:rsidTr="00AF4D50">
        <w:trPr>
          <w:trHeight w:hRule="exact" w:val="502"/>
          <w:jc w:val="center"/>
        </w:trPr>
        <w:tc>
          <w:tcPr>
            <w:tcW w:w="1153" w:type="pct"/>
            <w:tcBorders>
              <w:top w:val="single" w:sz="6" w:space="0" w:color="auto"/>
              <w:left w:val="single" w:sz="6" w:space="0" w:color="auto"/>
              <w:bottom w:val="single" w:sz="6" w:space="0" w:color="auto"/>
              <w:right w:val="single" w:sz="6" w:space="0" w:color="auto"/>
            </w:tcBorders>
            <w:vAlign w:val="center"/>
          </w:tcPr>
          <w:p w14:paraId="43B4AA7D" w14:textId="77777777" w:rsidR="00B63EAE" w:rsidRPr="006E4137" w:rsidRDefault="00B63EAE" w:rsidP="009B153D">
            <w:pPr>
              <w:pStyle w:val="Style"/>
              <w:ind w:left="485"/>
              <w:textAlignment w:val="baseline"/>
              <w:rPr>
                <w:rFonts w:asciiTheme="minorHAnsi" w:hAnsiTheme="minorHAnsi"/>
              </w:rPr>
            </w:pPr>
            <w:r w:rsidRPr="006E4137">
              <w:rPr>
                <w:rFonts w:asciiTheme="minorHAnsi" w:hAnsiTheme="minorHAnsi"/>
                <w:sz w:val="20"/>
                <w:szCs w:val="20"/>
              </w:rPr>
              <w:t xml:space="preserve">Lack of efficacy </w:t>
            </w:r>
          </w:p>
        </w:tc>
        <w:tc>
          <w:tcPr>
            <w:tcW w:w="429" w:type="pct"/>
            <w:tcBorders>
              <w:top w:val="single" w:sz="6" w:space="0" w:color="auto"/>
              <w:left w:val="single" w:sz="6" w:space="0" w:color="auto"/>
              <w:bottom w:val="single" w:sz="6" w:space="0" w:color="auto"/>
              <w:right w:val="single" w:sz="6" w:space="0" w:color="auto"/>
            </w:tcBorders>
            <w:vAlign w:val="center"/>
          </w:tcPr>
          <w:p w14:paraId="04FD5FCC" w14:textId="77777777" w:rsidR="00B63EAE" w:rsidRPr="006E4137" w:rsidRDefault="00B63EAE" w:rsidP="009B153D">
            <w:pPr>
              <w:pStyle w:val="Style"/>
              <w:ind w:left="29"/>
              <w:jc w:val="center"/>
              <w:textAlignment w:val="baseline"/>
              <w:rPr>
                <w:rFonts w:asciiTheme="minorHAnsi" w:hAnsiTheme="minorHAnsi"/>
              </w:rPr>
            </w:pPr>
            <w:r w:rsidRPr="006E4137">
              <w:rPr>
                <w:rFonts w:asciiTheme="minorHAnsi" w:hAnsiTheme="minorHAnsi"/>
                <w:sz w:val="21"/>
                <w:szCs w:val="21"/>
              </w:rPr>
              <w:t xml:space="preserve">0 </w:t>
            </w:r>
          </w:p>
        </w:tc>
        <w:tc>
          <w:tcPr>
            <w:tcW w:w="550" w:type="pct"/>
            <w:tcBorders>
              <w:top w:val="single" w:sz="6" w:space="0" w:color="auto"/>
              <w:left w:val="single" w:sz="6" w:space="0" w:color="auto"/>
              <w:bottom w:val="single" w:sz="6" w:space="0" w:color="auto"/>
              <w:right w:val="single" w:sz="6" w:space="0" w:color="auto"/>
            </w:tcBorders>
            <w:vAlign w:val="center"/>
          </w:tcPr>
          <w:p w14:paraId="0750B52F" w14:textId="77777777" w:rsidR="00B63EAE" w:rsidRPr="006E4137" w:rsidRDefault="00B63EAE" w:rsidP="009B153D">
            <w:pPr>
              <w:pStyle w:val="Style"/>
              <w:ind w:left="19"/>
              <w:jc w:val="center"/>
              <w:textAlignment w:val="baseline"/>
              <w:rPr>
                <w:rFonts w:asciiTheme="minorHAnsi" w:hAnsiTheme="minorHAnsi"/>
              </w:rPr>
            </w:pPr>
            <w:r w:rsidRPr="006E4137">
              <w:rPr>
                <w:rFonts w:asciiTheme="minorHAnsi" w:hAnsiTheme="minorHAnsi"/>
                <w:sz w:val="21"/>
                <w:szCs w:val="21"/>
              </w:rPr>
              <w:t xml:space="preserve">0 </w:t>
            </w:r>
          </w:p>
        </w:tc>
        <w:tc>
          <w:tcPr>
            <w:tcW w:w="683" w:type="pct"/>
            <w:tcBorders>
              <w:top w:val="single" w:sz="6" w:space="0" w:color="auto"/>
              <w:left w:val="single" w:sz="6" w:space="0" w:color="auto"/>
              <w:bottom w:val="single" w:sz="6" w:space="0" w:color="auto"/>
              <w:right w:val="single" w:sz="6" w:space="0" w:color="auto"/>
            </w:tcBorders>
            <w:vAlign w:val="center"/>
          </w:tcPr>
          <w:p w14:paraId="3E4375A9" w14:textId="77777777" w:rsidR="00B63EAE" w:rsidRPr="006E4137" w:rsidRDefault="00B63EAE" w:rsidP="009B153D">
            <w:pPr>
              <w:pStyle w:val="Style"/>
              <w:ind w:left="14"/>
              <w:jc w:val="center"/>
              <w:textAlignment w:val="baseline"/>
              <w:rPr>
                <w:rFonts w:asciiTheme="minorHAnsi" w:hAnsiTheme="minorHAnsi"/>
              </w:rPr>
            </w:pPr>
            <w:r w:rsidRPr="006E4137">
              <w:rPr>
                <w:rFonts w:asciiTheme="minorHAnsi" w:hAnsiTheme="minorHAnsi"/>
                <w:sz w:val="21"/>
                <w:szCs w:val="21"/>
              </w:rPr>
              <w:t xml:space="preserve">0 </w:t>
            </w:r>
          </w:p>
        </w:tc>
        <w:tc>
          <w:tcPr>
            <w:tcW w:w="763" w:type="pct"/>
            <w:tcBorders>
              <w:top w:val="single" w:sz="6" w:space="0" w:color="auto"/>
              <w:left w:val="single" w:sz="6" w:space="0" w:color="auto"/>
              <w:bottom w:val="single" w:sz="6" w:space="0" w:color="auto"/>
              <w:right w:val="single" w:sz="6" w:space="0" w:color="auto"/>
            </w:tcBorders>
            <w:vAlign w:val="center"/>
          </w:tcPr>
          <w:p w14:paraId="3D05A6F7" w14:textId="77777777" w:rsidR="00B63EAE" w:rsidRPr="006E4137" w:rsidRDefault="00B63EAE" w:rsidP="009B153D">
            <w:pPr>
              <w:pStyle w:val="Style"/>
              <w:ind w:left="19"/>
              <w:jc w:val="center"/>
              <w:textAlignment w:val="baseline"/>
              <w:rPr>
                <w:rFonts w:asciiTheme="minorHAnsi" w:hAnsiTheme="minorHAnsi"/>
              </w:rPr>
            </w:pPr>
            <w:r w:rsidRPr="006E4137">
              <w:rPr>
                <w:rFonts w:asciiTheme="minorHAnsi" w:hAnsiTheme="minorHAnsi"/>
                <w:sz w:val="21"/>
                <w:szCs w:val="21"/>
              </w:rPr>
              <w:t xml:space="preserve">0 </w:t>
            </w:r>
          </w:p>
        </w:tc>
        <w:tc>
          <w:tcPr>
            <w:tcW w:w="704" w:type="pct"/>
            <w:tcBorders>
              <w:top w:val="single" w:sz="6" w:space="0" w:color="auto"/>
              <w:left w:val="single" w:sz="6" w:space="0" w:color="auto"/>
              <w:bottom w:val="single" w:sz="6" w:space="0" w:color="auto"/>
              <w:right w:val="single" w:sz="6" w:space="0" w:color="auto"/>
            </w:tcBorders>
            <w:vAlign w:val="center"/>
          </w:tcPr>
          <w:p w14:paraId="1CE33204" w14:textId="77777777" w:rsidR="00B63EAE" w:rsidRPr="006E4137" w:rsidRDefault="00B63EAE" w:rsidP="009B153D">
            <w:pPr>
              <w:pStyle w:val="Style"/>
              <w:ind w:left="24"/>
              <w:jc w:val="center"/>
              <w:textAlignment w:val="baseline"/>
              <w:rPr>
                <w:rFonts w:asciiTheme="minorHAnsi" w:hAnsiTheme="minorHAnsi"/>
              </w:rPr>
            </w:pPr>
            <w:r w:rsidRPr="006E4137">
              <w:rPr>
                <w:rFonts w:asciiTheme="minorHAnsi" w:hAnsiTheme="minorHAnsi"/>
                <w:sz w:val="21"/>
                <w:szCs w:val="21"/>
              </w:rPr>
              <w:t xml:space="preserve">0 </w:t>
            </w:r>
          </w:p>
        </w:tc>
        <w:tc>
          <w:tcPr>
            <w:tcW w:w="718" w:type="pct"/>
            <w:tcBorders>
              <w:top w:val="single" w:sz="6" w:space="0" w:color="auto"/>
              <w:left w:val="single" w:sz="6" w:space="0" w:color="auto"/>
              <w:bottom w:val="single" w:sz="6" w:space="0" w:color="auto"/>
              <w:right w:val="single" w:sz="6" w:space="0" w:color="auto"/>
            </w:tcBorders>
            <w:vAlign w:val="center"/>
          </w:tcPr>
          <w:p w14:paraId="53028697" w14:textId="77777777" w:rsidR="00B63EAE" w:rsidRPr="006E4137" w:rsidRDefault="00B63EAE" w:rsidP="009B153D">
            <w:pPr>
              <w:pStyle w:val="Style"/>
              <w:ind w:left="24"/>
              <w:jc w:val="center"/>
              <w:textAlignment w:val="baseline"/>
              <w:rPr>
                <w:rFonts w:asciiTheme="minorHAnsi" w:hAnsiTheme="minorHAnsi"/>
              </w:rPr>
            </w:pPr>
            <w:r w:rsidRPr="006E4137">
              <w:rPr>
                <w:rFonts w:asciiTheme="minorHAnsi" w:hAnsiTheme="minorHAnsi"/>
                <w:sz w:val="21"/>
                <w:szCs w:val="21"/>
              </w:rPr>
              <w:t xml:space="preserve">0 </w:t>
            </w:r>
          </w:p>
        </w:tc>
      </w:tr>
      <w:tr w:rsidR="00B63EAE" w:rsidRPr="00AF4D50" w14:paraId="4367F673" w14:textId="77777777" w:rsidTr="00AF4D50">
        <w:trPr>
          <w:trHeight w:hRule="exact" w:val="515"/>
          <w:jc w:val="center"/>
        </w:trPr>
        <w:tc>
          <w:tcPr>
            <w:tcW w:w="1153" w:type="pct"/>
            <w:tcBorders>
              <w:top w:val="single" w:sz="6" w:space="0" w:color="auto"/>
              <w:left w:val="single" w:sz="6" w:space="0" w:color="auto"/>
              <w:bottom w:val="single" w:sz="6" w:space="0" w:color="auto"/>
              <w:right w:val="single" w:sz="6" w:space="0" w:color="auto"/>
            </w:tcBorders>
            <w:vAlign w:val="center"/>
          </w:tcPr>
          <w:p w14:paraId="3DA016E4" w14:textId="77777777" w:rsidR="00B63EAE" w:rsidRPr="006E4137" w:rsidRDefault="00B63EAE" w:rsidP="009B153D">
            <w:pPr>
              <w:pStyle w:val="Style"/>
              <w:ind w:left="485"/>
              <w:textAlignment w:val="baseline"/>
              <w:rPr>
                <w:rFonts w:asciiTheme="minorHAnsi" w:hAnsiTheme="minorHAnsi"/>
              </w:rPr>
            </w:pPr>
            <w:r w:rsidRPr="006E4137">
              <w:rPr>
                <w:rFonts w:asciiTheme="minorHAnsi" w:hAnsiTheme="minorHAnsi"/>
                <w:sz w:val="20"/>
                <w:szCs w:val="20"/>
              </w:rPr>
              <w:t xml:space="preserve">Protocol violation </w:t>
            </w:r>
          </w:p>
        </w:tc>
        <w:tc>
          <w:tcPr>
            <w:tcW w:w="429" w:type="pct"/>
            <w:tcBorders>
              <w:top w:val="single" w:sz="6" w:space="0" w:color="auto"/>
              <w:left w:val="single" w:sz="6" w:space="0" w:color="auto"/>
              <w:bottom w:val="single" w:sz="6" w:space="0" w:color="auto"/>
              <w:right w:val="single" w:sz="6" w:space="0" w:color="auto"/>
            </w:tcBorders>
            <w:vAlign w:val="center"/>
          </w:tcPr>
          <w:p w14:paraId="419AF8A1" w14:textId="77777777" w:rsidR="00B63EAE" w:rsidRPr="006E4137" w:rsidRDefault="00B63EAE" w:rsidP="009B153D">
            <w:pPr>
              <w:pStyle w:val="Style"/>
              <w:ind w:left="29"/>
              <w:jc w:val="center"/>
              <w:textAlignment w:val="baseline"/>
              <w:rPr>
                <w:rFonts w:asciiTheme="minorHAnsi" w:hAnsiTheme="minorHAnsi"/>
              </w:rPr>
            </w:pPr>
            <w:r w:rsidRPr="006E4137">
              <w:rPr>
                <w:rFonts w:asciiTheme="minorHAnsi" w:hAnsiTheme="minorHAnsi"/>
                <w:sz w:val="21"/>
                <w:szCs w:val="21"/>
              </w:rPr>
              <w:t xml:space="preserve">0 </w:t>
            </w:r>
          </w:p>
        </w:tc>
        <w:tc>
          <w:tcPr>
            <w:tcW w:w="550" w:type="pct"/>
            <w:tcBorders>
              <w:top w:val="single" w:sz="6" w:space="0" w:color="auto"/>
              <w:left w:val="single" w:sz="6" w:space="0" w:color="auto"/>
              <w:bottom w:val="single" w:sz="6" w:space="0" w:color="auto"/>
              <w:right w:val="single" w:sz="6" w:space="0" w:color="auto"/>
            </w:tcBorders>
            <w:vAlign w:val="center"/>
          </w:tcPr>
          <w:p w14:paraId="7140FD1F" w14:textId="77777777" w:rsidR="00B63EAE" w:rsidRPr="006E4137" w:rsidRDefault="00B63EAE" w:rsidP="009B153D">
            <w:pPr>
              <w:pStyle w:val="Style"/>
              <w:ind w:left="19"/>
              <w:jc w:val="center"/>
              <w:textAlignment w:val="baseline"/>
              <w:rPr>
                <w:rFonts w:asciiTheme="minorHAnsi" w:hAnsiTheme="minorHAnsi"/>
              </w:rPr>
            </w:pPr>
            <w:r w:rsidRPr="006E4137">
              <w:rPr>
                <w:rFonts w:asciiTheme="minorHAnsi" w:hAnsiTheme="minorHAnsi"/>
                <w:sz w:val="21"/>
                <w:szCs w:val="21"/>
              </w:rPr>
              <w:t xml:space="preserve">0 </w:t>
            </w:r>
          </w:p>
        </w:tc>
        <w:tc>
          <w:tcPr>
            <w:tcW w:w="683" w:type="pct"/>
            <w:tcBorders>
              <w:top w:val="single" w:sz="6" w:space="0" w:color="auto"/>
              <w:left w:val="single" w:sz="6" w:space="0" w:color="auto"/>
              <w:bottom w:val="single" w:sz="6" w:space="0" w:color="auto"/>
              <w:right w:val="single" w:sz="6" w:space="0" w:color="auto"/>
            </w:tcBorders>
            <w:vAlign w:val="center"/>
          </w:tcPr>
          <w:p w14:paraId="653B76C9" w14:textId="77777777" w:rsidR="00B63EAE" w:rsidRPr="006E4137" w:rsidRDefault="00B63EAE" w:rsidP="009B153D">
            <w:pPr>
              <w:pStyle w:val="Style"/>
              <w:ind w:left="14"/>
              <w:jc w:val="center"/>
              <w:textAlignment w:val="baseline"/>
              <w:rPr>
                <w:rFonts w:asciiTheme="minorHAnsi" w:hAnsiTheme="minorHAnsi"/>
              </w:rPr>
            </w:pPr>
            <w:r w:rsidRPr="006E4137">
              <w:rPr>
                <w:rFonts w:asciiTheme="minorHAnsi" w:hAnsiTheme="minorHAnsi"/>
                <w:sz w:val="21"/>
                <w:szCs w:val="21"/>
              </w:rPr>
              <w:t xml:space="preserve">0 </w:t>
            </w:r>
          </w:p>
        </w:tc>
        <w:tc>
          <w:tcPr>
            <w:tcW w:w="763" w:type="pct"/>
            <w:tcBorders>
              <w:top w:val="single" w:sz="6" w:space="0" w:color="auto"/>
              <w:left w:val="single" w:sz="6" w:space="0" w:color="auto"/>
              <w:bottom w:val="single" w:sz="6" w:space="0" w:color="auto"/>
              <w:right w:val="single" w:sz="6" w:space="0" w:color="auto"/>
            </w:tcBorders>
            <w:vAlign w:val="center"/>
          </w:tcPr>
          <w:p w14:paraId="3548E5D8" w14:textId="77777777" w:rsidR="00B63EAE" w:rsidRPr="006E4137" w:rsidRDefault="00B63EAE" w:rsidP="009B153D">
            <w:pPr>
              <w:pStyle w:val="Style"/>
              <w:ind w:left="19"/>
              <w:jc w:val="center"/>
              <w:textAlignment w:val="baseline"/>
              <w:rPr>
                <w:rFonts w:asciiTheme="minorHAnsi" w:hAnsiTheme="minorHAnsi"/>
              </w:rPr>
            </w:pPr>
            <w:r w:rsidRPr="006E4137">
              <w:rPr>
                <w:rFonts w:asciiTheme="minorHAnsi" w:hAnsiTheme="minorHAnsi"/>
                <w:sz w:val="21"/>
                <w:szCs w:val="21"/>
              </w:rPr>
              <w:t xml:space="preserve">0 </w:t>
            </w:r>
          </w:p>
        </w:tc>
        <w:tc>
          <w:tcPr>
            <w:tcW w:w="704" w:type="pct"/>
            <w:tcBorders>
              <w:top w:val="single" w:sz="6" w:space="0" w:color="auto"/>
              <w:left w:val="single" w:sz="6" w:space="0" w:color="auto"/>
              <w:bottom w:val="single" w:sz="6" w:space="0" w:color="auto"/>
              <w:right w:val="single" w:sz="6" w:space="0" w:color="auto"/>
            </w:tcBorders>
            <w:vAlign w:val="center"/>
          </w:tcPr>
          <w:p w14:paraId="48A66DBA" w14:textId="77777777" w:rsidR="00B63EAE" w:rsidRPr="006E4137" w:rsidRDefault="00B63EAE" w:rsidP="009B153D">
            <w:pPr>
              <w:pStyle w:val="Style"/>
              <w:ind w:left="24"/>
              <w:jc w:val="center"/>
              <w:textAlignment w:val="baseline"/>
              <w:rPr>
                <w:rFonts w:asciiTheme="minorHAnsi" w:hAnsiTheme="minorHAnsi"/>
              </w:rPr>
            </w:pPr>
            <w:r w:rsidRPr="006E4137">
              <w:rPr>
                <w:rFonts w:asciiTheme="minorHAnsi" w:hAnsiTheme="minorHAnsi"/>
                <w:sz w:val="21"/>
                <w:szCs w:val="21"/>
              </w:rPr>
              <w:t xml:space="preserve">0 </w:t>
            </w:r>
          </w:p>
        </w:tc>
        <w:tc>
          <w:tcPr>
            <w:tcW w:w="718" w:type="pct"/>
            <w:tcBorders>
              <w:top w:val="single" w:sz="6" w:space="0" w:color="auto"/>
              <w:left w:val="single" w:sz="6" w:space="0" w:color="auto"/>
              <w:bottom w:val="single" w:sz="6" w:space="0" w:color="auto"/>
              <w:right w:val="single" w:sz="6" w:space="0" w:color="auto"/>
            </w:tcBorders>
            <w:vAlign w:val="center"/>
          </w:tcPr>
          <w:p w14:paraId="33CC65BE" w14:textId="77777777" w:rsidR="00B63EAE" w:rsidRPr="006E4137" w:rsidRDefault="00B63EAE" w:rsidP="009B153D">
            <w:pPr>
              <w:pStyle w:val="Style"/>
              <w:ind w:left="24"/>
              <w:jc w:val="center"/>
              <w:textAlignment w:val="baseline"/>
              <w:rPr>
                <w:rFonts w:asciiTheme="minorHAnsi" w:hAnsiTheme="minorHAnsi"/>
              </w:rPr>
            </w:pPr>
            <w:r w:rsidRPr="006E4137">
              <w:rPr>
                <w:rFonts w:asciiTheme="minorHAnsi" w:hAnsiTheme="minorHAnsi"/>
                <w:sz w:val="21"/>
                <w:szCs w:val="21"/>
              </w:rPr>
              <w:t xml:space="preserve">0 </w:t>
            </w:r>
          </w:p>
        </w:tc>
      </w:tr>
      <w:tr w:rsidR="00B63EAE" w:rsidRPr="00AF4D50" w14:paraId="294FC8D1" w14:textId="77777777" w:rsidTr="00AF4D50">
        <w:trPr>
          <w:trHeight w:hRule="exact" w:val="502"/>
          <w:jc w:val="center"/>
        </w:trPr>
        <w:tc>
          <w:tcPr>
            <w:tcW w:w="1153" w:type="pct"/>
            <w:tcBorders>
              <w:top w:val="single" w:sz="6" w:space="0" w:color="auto"/>
              <w:left w:val="single" w:sz="6" w:space="0" w:color="auto"/>
              <w:bottom w:val="single" w:sz="6" w:space="0" w:color="auto"/>
              <w:right w:val="single" w:sz="6" w:space="0" w:color="auto"/>
            </w:tcBorders>
            <w:vAlign w:val="center"/>
          </w:tcPr>
          <w:p w14:paraId="06667E1C" w14:textId="77777777" w:rsidR="00B63EAE" w:rsidRPr="006E4137" w:rsidRDefault="00B63EAE" w:rsidP="009B153D">
            <w:pPr>
              <w:pStyle w:val="Style"/>
              <w:ind w:left="485"/>
              <w:textAlignment w:val="baseline"/>
              <w:rPr>
                <w:rFonts w:asciiTheme="minorHAnsi" w:hAnsiTheme="minorHAnsi"/>
              </w:rPr>
            </w:pPr>
            <w:r w:rsidRPr="006E4137">
              <w:rPr>
                <w:rFonts w:asciiTheme="minorHAnsi" w:hAnsiTheme="minorHAnsi"/>
                <w:sz w:val="20"/>
                <w:szCs w:val="20"/>
              </w:rPr>
              <w:t xml:space="preserve">Lost to follow up </w:t>
            </w:r>
          </w:p>
        </w:tc>
        <w:tc>
          <w:tcPr>
            <w:tcW w:w="429" w:type="pct"/>
            <w:tcBorders>
              <w:top w:val="single" w:sz="6" w:space="0" w:color="auto"/>
              <w:left w:val="single" w:sz="6" w:space="0" w:color="auto"/>
              <w:bottom w:val="single" w:sz="6" w:space="0" w:color="auto"/>
              <w:right w:val="single" w:sz="6" w:space="0" w:color="auto"/>
            </w:tcBorders>
            <w:vAlign w:val="center"/>
          </w:tcPr>
          <w:p w14:paraId="2500B3F7" w14:textId="77777777" w:rsidR="00B63EAE" w:rsidRPr="006E4137" w:rsidRDefault="00B63EAE" w:rsidP="009B153D">
            <w:pPr>
              <w:pStyle w:val="Style"/>
              <w:ind w:left="29"/>
              <w:jc w:val="center"/>
              <w:textAlignment w:val="baseline"/>
              <w:rPr>
                <w:rFonts w:asciiTheme="minorHAnsi" w:hAnsiTheme="minorHAnsi"/>
              </w:rPr>
            </w:pPr>
            <w:r w:rsidRPr="006E4137">
              <w:rPr>
                <w:rFonts w:asciiTheme="minorHAnsi" w:hAnsiTheme="minorHAnsi"/>
                <w:sz w:val="21"/>
                <w:szCs w:val="21"/>
              </w:rPr>
              <w:t xml:space="preserve">0 </w:t>
            </w:r>
          </w:p>
        </w:tc>
        <w:tc>
          <w:tcPr>
            <w:tcW w:w="550" w:type="pct"/>
            <w:tcBorders>
              <w:top w:val="single" w:sz="6" w:space="0" w:color="auto"/>
              <w:left w:val="single" w:sz="6" w:space="0" w:color="auto"/>
              <w:bottom w:val="single" w:sz="6" w:space="0" w:color="auto"/>
              <w:right w:val="single" w:sz="6" w:space="0" w:color="auto"/>
            </w:tcBorders>
            <w:vAlign w:val="center"/>
          </w:tcPr>
          <w:p w14:paraId="2704E2A0" w14:textId="77777777" w:rsidR="00B63EAE" w:rsidRPr="006E4137" w:rsidRDefault="00B63EAE" w:rsidP="009B153D">
            <w:pPr>
              <w:pStyle w:val="Style"/>
              <w:ind w:left="19"/>
              <w:jc w:val="center"/>
              <w:textAlignment w:val="baseline"/>
              <w:rPr>
                <w:rFonts w:asciiTheme="minorHAnsi" w:hAnsiTheme="minorHAnsi"/>
              </w:rPr>
            </w:pPr>
            <w:r w:rsidRPr="006E4137">
              <w:rPr>
                <w:rFonts w:asciiTheme="minorHAnsi" w:hAnsiTheme="minorHAnsi"/>
                <w:sz w:val="21"/>
                <w:szCs w:val="21"/>
              </w:rPr>
              <w:t xml:space="preserve">0 </w:t>
            </w:r>
          </w:p>
        </w:tc>
        <w:tc>
          <w:tcPr>
            <w:tcW w:w="683" w:type="pct"/>
            <w:tcBorders>
              <w:top w:val="single" w:sz="6" w:space="0" w:color="auto"/>
              <w:left w:val="single" w:sz="6" w:space="0" w:color="auto"/>
              <w:bottom w:val="single" w:sz="6" w:space="0" w:color="auto"/>
              <w:right w:val="single" w:sz="6" w:space="0" w:color="auto"/>
            </w:tcBorders>
            <w:vAlign w:val="center"/>
          </w:tcPr>
          <w:p w14:paraId="0176CA14" w14:textId="77777777" w:rsidR="00B63EAE" w:rsidRPr="006E4137" w:rsidRDefault="00B63EAE" w:rsidP="009B153D">
            <w:pPr>
              <w:pStyle w:val="Style"/>
              <w:ind w:left="14"/>
              <w:jc w:val="center"/>
              <w:textAlignment w:val="baseline"/>
              <w:rPr>
                <w:rFonts w:asciiTheme="minorHAnsi" w:hAnsiTheme="minorHAnsi"/>
              </w:rPr>
            </w:pPr>
            <w:r w:rsidRPr="006E4137">
              <w:rPr>
                <w:rFonts w:asciiTheme="minorHAnsi" w:hAnsiTheme="minorHAnsi"/>
                <w:sz w:val="21"/>
                <w:szCs w:val="21"/>
              </w:rPr>
              <w:t xml:space="preserve">0 </w:t>
            </w:r>
          </w:p>
        </w:tc>
        <w:tc>
          <w:tcPr>
            <w:tcW w:w="763" w:type="pct"/>
            <w:tcBorders>
              <w:top w:val="single" w:sz="6" w:space="0" w:color="auto"/>
              <w:left w:val="single" w:sz="6" w:space="0" w:color="auto"/>
              <w:bottom w:val="single" w:sz="6" w:space="0" w:color="auto"/>
              <w:right w:val="single" w:sz="6" w:space="0" w:color="auto"/>
            </w:tcBorders>
            <w:vAlign w:val="center"/>
          </w:tcPr>
          <w:p w14:paraId="45330C59" w14:textId="77777777" w:rsidR="00B63EAE" w:rsidRPr="006E4137" w:rsidRDefault="00B63EAE" w:rsidP="009B153D">
            <w:pPr>
              <w:pStyle w:val="Style"/>
              <w:ind w:left="19"/>
              <w:jc w:val="center"/>
              <w:textAlignment w:val="baseline"/>
              <w:rPr>
                <w:rFonts w:asciiTheme="minorHAnsi" w:hAnsiTheme="minorHAnsi"/>
              </w:rPr>
            </w:pPr>
            <w:r w:rsidRPr="006E4137">
              <w:rPr>
                <w:rFonts w:asciiTheme="minorHAnsi" w:hAnsiTheme="minorHAnsi"/>
                <w:sz w:val="21"/>
                <w:szCs w:val="21"/>
              </w:rPr>
              <w:t xml:space="preserve">0 </w:t>
            </w:r>
          </w:p>
        </w:tc>
        <w:tc>
          <w:tcPr>
            <w:tcW w:w="704" w:type="pct"/>
            <w:tcBorders>
              <w:top w:val="single" w:sz="6" w:space="0" w:color="auto"/>
              <w:left w:val="single" w:sz="6" w:space="0" w:color="auto"/>
              <w:bottom w:val="single" w:sz="6" w:space="0" w:color="auto"/>
              <w:right w:val="single" w:sz="6" w:space="0" w:color="auto"/>
            </w:tcBorders>
            <w:vAlign w:val="center"/>
          </w:tcPr>
          <w:p w14:paraId="526D9D2E" w14:textId="77777777" w:rsidR="00B63EAE" w:rsidRPr="006E4137" w:rsidRDefault="00B63EAE" w:rsidP="009B153D">
            <w:pPr>
              <w:pStyle w:val="Style"/>
              <w:ind w:left="24"/>
              <w:jc w:val="center"/>
              <w:textAlignment w:val="baseline"/>
              <w:rPr>
                <w:rFonts w:asciiTheme="minorHAnsi" w:hAnsiTheme="minorHAnsi"/>
              </w:rPr>
            </w:pPr>
            <w:r w:rsidRPr="006E4137">
              <w:rPr>
                <w:rFonts w:asciiTheme="minorHAnsi" w:hAnsiTheme="minorHAnsi"/>
                <w:sz w:val="21"/>
                <w:szCs w:val="21"/>
              </w:rPr>
              <w:t xml:space="preserve">0 </w:t>
            </w:r>
          </w:p>
        </w:tc>
        <w:tc>
          <w:tcPr>
            <w:tcW w:w="718" w:type="pct"/>
            <w:tcBorders>
              <w:top w:val="single" w:sz="6" w:space="0" w:color="auto"/>
              <w:left w:val="single" w:sz="6" w:space="0" w:color="auto"/>
              <w:bottom w:val="single" w:sz="6" w:space="0" w:color="auto"/>
              <w:right w:val="single" w:sz="6" w:space="0" w:color="auto"/>
            </w:tcBorders>
            <w:vAlign w:val="center"/>
          </w:tcPr>
          <w:p w14:paraId="5233D3C3" w14:textId="77777777" w:rsidR="00B63EAE" w:rsidRPr="006E4137" w:rsidRDefault="00B63EAE" w:rsidP="009B153D">
            <w:pPr>
              <w:pStyle w:val="Style"/>
              <w:ind w:left="24"/>
              <w:jc w:val="center"/>
              <w:textAlignment w:val="baseline"/>
              <w:rPr>
                <w:rFonts w:asciiTheme="minorHAnsi" w:hAnsiTheme="minorHAnsi"/>
              </w:rPr>
            </w:pPr>
            <w:r w:rsidRPr="006E4137">
              <w:rPr>
                <w:rFonts w:asciiTheme="minorHAnsi" w:hAnsiTheme="minorHAnsi"/>
                <w:sz w:val="21"/>
                <w:szCs w:val="21"/>
              </w:rPr>
              <w:t xml:space="preserve">0 </w:t>
            </w:r>
          </w:p>
        </w:tc>
      </w:tr>
      <w:tr w:rsidR="00B63EAE" w:rsidRPr="00AF4D50" w14:paraId="4F0AF0EC" w14:textId="77777777" w:rsidTr="00AF4D50">
        <w:trPr>
          <w:trHeight w:hRule="exact" w:val="502"/>
          <w:jc w:val="center"/>
        </w:trPr>
        <w:tc>
          <w:tcPr>
            <w:tcW w:w="1153" w:type="pct"/>
            <w:tcBorders>
              <w:top w:val="single" w:sz="6" w:space="0" w:color="auto"/>
              <w:left w:val="single" w:sz="6" w:space="0" w:color="auto"/>
              <w:bottom w:val="single" w:sz="6" w:space="0" w:color="auto"/>
              <w:right w:val="single" w:sz="6" w:space="0" w:color="auto"/>
            </w:tcBorders>
            <w:vAlign w:val="center"/>
          </w:tcPr>
          <w:p w14:paraId="74D7BFC2" w14:textId="77777777" w:rsidR="00B63EAE" w:rsidRPr="006E4137" w:rsidRDefault="00B63EAE" w:rsidP="009B153D">
            <w:pPr>
              <w:pStyle w:val="Style"/>
              <w:ind w:left="485"/>
              <w:textAlignment w:val="baseline"/>
              <w:rPr>
                <w:rFonts w:asciiTheme="minorHAnsi" w:hAnsiTheme="minorHAnsi"/>
              </w:rPr>
            </w:pPr>
            <w:r w:rsidRPr="006E4137">
              <w:rPr>
                <w:rFonts w:asciiTheme="minorHAnsi" w:hAnsiTheme="minorHAnsi"/>
                <w:sz w:val="20"/>
                <w:szCs w:val="20"/>
              </w:rPr>
              <w:t xml:space="preserve">Consent withdrawn </w:t>
            </w:r>
          </w:p>
        </w:tc>
        <w:tc>
          <w:tcPr>
            <w:tcW w:w="429" w:type="pct"/>
            <w:tcBorders>
              <w:top w:val="single" w:sz="6" w:space="0" w:color="auto"/>
              <w:left w:val="single" w:sz="6" w:space="0" w:color="auto"/>
              <w:bottom w:val="single" w:sz="6" w:space="0" w:color="auto"/>
              <w:right w:val="single" w:sz="6" w:space="0" w:color="auto"/>
            </w:tcBorders>
            <w:vAlign w:val="center"/>
          </w:tcPr>
          <w:p w14:paraId="13E45A68" w14:textId="77777777" w:rsidR="00B63EAE" w:rsidRPr="006E4137" w:rsidRDefault="00B63EAE" w:rsidP="009B153D">
            <w:pPr>
              <w:pStyle w:val="Style"/>
              <w:ind w:left="29"/>
              <w:jc w:val="center"/>
              <w:textAlignment w:val="baseline"/>
              <w:rPr>
                <w:rFonts w:asciiTheme="minorHAnsi" w:hAnsiTheme="minorHAnsi"/>
              </w:rPr>
            </w:pPr>
            <w:r w:rsidRPr="006E4137">
              <w:rPr>
                <w:rFonts w:asciiTheme="minorHAnsi" w:hAnsiTheme="minorHAnsi"/>
                <w:sz w:val="21"/>
                <w:szCs w:val="21"/>
              </w:rPr>
              <w:t xml:space="preserve">0 </w:t>
            </w:r>
          </w:p>
        </w:tc>
        <w:tc>
          <w:tcPr>
            <w:tcW w:w="550" w:type="pct"/>
            <w:tcBorders>
              <w:top w:val="single" w:sz="6" w:space="0" w:color="auto"/>
              <w:left w:val="single" w:sz="6" w:space="0" w:color="auto"/>
              <w:bottom w:val="single" w:sz="6" w:space="0" w:color="auto"/>
              <w:right w:val="single" w:sz="6" w:space="0" w:color="auto"/>
            </w:tcBorders>
            <w:vAlign w:val="center"/>
          </w:tcPr>
          <w:p w14:paraId="3A6D1508" w14:textId="77777777" w:rsidR="00B63EAE" w:rsidRPr="006E4137" w:rsidRDefault="00B63EAE" w:rsidP="009B153D">
            <w:pPr>
              <w:pStyle w:val="Style"/>
              <w:ind w:left="19"/>
              <w:jc w:val="center"/>
              <w:textAlignment w:val="baseline"/>
              <w:rPr>
                <w:rFonts w:asciiTheme="minorHAnsi" w:hAnsiTheme="minorHAnsi"/>
              </w:rPr>
            </w:pPr>
            <w:r w:rsidRPr="006E4137">
              <w:rPr>
                <w:rFonts w:asciiTheme="minorHAnsi" w:hAnsiTheme="minorHAnsi"/>
                <w:sz w:val="21"/>
                <w:szCs w:val="21"/>
              </w:rPr>
              <w:t xml:space="preserve">0 </w:t>
            </w:r>
          </w:p>
        </w:tc>
        <w:tc>
          <w:tcPr>
            <w:tcW w:w="683" w:type="pct"/>
            <w:tcBorders>
              <w:top w:val="single" w:sz="6" w:space="0" w:color="auto"/>
              <w:left w:val="single" w:sz="6" w:space="0" w:color="auto"/>
              <w:bottom w:val="single" w:sz="6" w:space="0" w:color="auto"/>
              <w:right w:val="single" w:sz="6" w:space="0" w:color="auto"/>
            </w:tcBorders>
            <w:vAlign w:val="center"/>
          </w:tcPr>
          <w:p w14:paraId="05CCB82A" w14:textId="77777777" w:rsidR="00B63EAE" w:rsidRPr="006E4137" w:rsidRDefault="00B63EAE" w:rsidP="009B153D">
            <w:pPr>
              <w:pStyle w:val="Style"/>
              <w:ind w:left="14"/>
              <w:jc w:val="center"/>
              <w:textAlignment w:val="baseline"/>
              <w:rPr>
                <w:rFonts w:asciiTheme="minorHAnsi" w:hAnsiTheme="minorHAnsi"/>
              </w:rPr>
            </w:pPr>
            <w:r w:rsidRPr="006E4137">
              <w:rPr>
                <w:rFonts w:asciiTheme="minorHAnsi" w:hAnsiTheme="minorHAnsi"/>
                <w:sz w:val="21"/>
                <w:szCs w:val="21"/>
              </w:rPr>
              <w:t xml:space="preserve">1 (1.5) </w:t>
            </w:r>
          </w:p>
        </w:tc>
        <w:tc>
          <w:tcPr>
            <w:tcW w:w="763" w:type="pct"/>
            <w:tcBorders>
              <w:top w:val="single" w:sz="6" w:space="0" w:color="auto"/>
              <w:left w:val="single" w:sz="6" w:space="0" w:color="auto"/>
              <w:bottom w:val="single" w:sz="6" w:space="0" w:color="auto"/>
              <w:right w:val="single" w:sz="6" w:space="0" w:color="auto"/>
            </w:tcBorders>
            <w:vAlign w:val="center"/>
          </w:tcPr>
          <w:p w14:paraId="19C1D816" w14:textId="77777777" w:rsidR="00B63EAE" w:rsidRPr="006E4137" w:rsidRDefault="00B63EAE" w:rsidP="009B153D">
            <w:pPr>
              <w:pStyle w:val="Style"/>
              <w:ind w:left="19"/>
              <w:jc w:val="center"/>
              <w:textAlignment w:val="baseline"/>
              <w:rPr>
                <w:rFonts w:asciiTheme="minorHAnsi" w:hAnsiTheme="minorHAnsi"/>
              </w:rPr>
            </w:pPr>
            <w:r w:rsidRPr="006E4137">
              <w:rPr>
                <w:rFonts w:asciiTheme="minorHAnsi" w:hAnsiTheme="minorHAnsi"/>
                <w:sz w:val="21"/>
                <w:szCs w:val="21"/>
              </w:rPr>
              <w:t xml:space="preserve">0 </w:t>
            </w:r>
          </w:p>
        </w:tc>
        <w:tc>
          <w:tcPr>
            <w:tcW w:w="704" w:type="pct"/>
            <w:tcBorders>
              <w:top w:val="single" w:sz="6" w:space="0" w:color="auto"/>
              <w:left w:val="single" w:sz="6" w:space="0" w:color="auto"/>
              <w:bottom w:val="single" w:sz="6" w:space="0" w:color="auto"/>
              <w:right w:val="single" w:sz="6" w:space="0" w:color="auto"/>
            </w:tcBorders>
            <w:vAlign w:val="center"/>
          </w:tcPr>
          <w:p w14:paraId="3C8B79A4" w14:textId="77777777" w:rsidR="00B63EAE" w:rsidRPr="006E4137" w:rsidRDefault="00B63EAE" w:rsidP="009B153D">
            <w:pPr>
              <w:pStyle w:val="Style"/>
              <w:ind w:left="24"/>
              <w:jc w:val="center"/>
              <w:textAlignment w:val="baseline"/>
              <w:rPr>
                <w:rFonts w:asciiTheme="minorHAnsi" w:hAnsiTheme="minorHAnsi"/>
              </w:rPr>
            </w:pPr>
            <w:r w:rsidRPr="006E4137">
              <w:rPr>
                <w:rFonts w:asciiTheme="minorHAnsi" w:hAnsiTheme="minorHAnsi"/>
                <w:sz w:val="21"/>
                <w:szCs w:val="21"/>
              </w:rPr>
              <w:t xml:space="preserve">0 </w:t>
            </w:r>
          </w:p>
        </w:tc>
        <w:tc>
          <w:tcPr>
            <w:tcW w:w="718" w:type="pct"/>
            <w:tcBorders>
              <w:top w:val="single" w:sz="6" w:space="0" w:color="auto"/>
              <w:left w:val="single" w:sz="6" w:space="0" w:color="auto"/>
              <w:bottom w:val="single" w:sz="6" w:space="0" w:color="auto"/>
              <w:right w:val="single" w:sz="6" w:space="0" w:color="auto"/>
            </w:tcBorders>
            <w:vAlign w:val="center"/>
          </w:tcPr>
          <w:p w14:paraId="4DC66484" w14:textId="77777777" w:rsidR="00B63EAE" w:rsidRPr="006E4137" w:rsidRDefault="00B63EAE" w:rsidP="009B153D">
            <w:pPr>
              <w:pStyle w:val="Style"/>
              <w:ind w:left="24"/>
              <w:jc w:val="center"/>
              <w:textAlignment w:val="baseline"/>
              <w:rPr>
                <w:rFonts w:asciiTheme="minorHAnsi" w:hAnsiTheme="minorHAnsi"/>
              </w:rPr>
            </w:pPr>
            <w:r w:rsidRPr="006E4137">
              <w:rPr>
                <w:rFonts w:asciiTheme="minorHAnsi" w:hAnsiTheme="minorHAnsi"/>
                <w:sz w:val="21"/>
                <w:szCs w:val="21"/>
              </w:rPr>
              <w:t xml:space="preserve">1 (0.5) </w:t>
            </w:r>
          </w:p>
        </w:tc>
      </w:tr>
      <w:tr w:rsidR="00B63EAE" w:rsidRPr="00AF4D50" w14:paraId="3C4F483C" w14:textId="77777777" w:rsidTr="00AF4D50">
        <w:trPr>
          <w:trHeight w:hRule="exact" w:val="509"/>
          <w:jc w:val="center"/>
        </w:trPr>
        <w:tc>
          <w:tcPr>
            <w:tcW w:w="1153" w:type="pct"/>
            <w:tcBorders>
              <w:top w:val="single" w:sz="6" w:space="0" w:color="auto"/>
              <w:left w:val="single" w:sz="6" w:space="0" w:color="auto"/>
              <w:bottom w:val="single" w:sz="6" w:space="0" w:color="auto"/>
              <w:right w:val="single" w:sz="6" w:space="0" w:color="auto"/>
            </w:tcBorders>
            <w:vAlign w:val="center"/>
          </w:tcPr>
          <w:p w14:paraId="71C966D2" w14:textId="77777777" w:rsidR="00B63EAE" w:rsidRPr="006E4137" w:rsidRDefault="00B63EAE" w:rsidP="009B153D">
            <w:pPr>
              <w:pStyle w:val="Style"/>
              <w:ind w:left="485"/>
              <w:textAlignment w:val="baseline"/>
              <w:rPr>
                <w:rFonts w:asciiTheme="minorHAnsi" w:hAnsiTheme="minorHAnsi"/>
              </w:rPr>
            </w:pPr>
            <w:r w:rsidRPr="006E4137">
              <w:rPr>
                <w:rFonts w:asciiTheme="minorHAnsi" w:hAnsiTheme="minorHAnsi"/>
                <w:sz w:val="20"/>
                <w:szCs w:val="20"/>
              </w:rPr>
              <w:t xml:space="preserve">Other </w:t>
            </w:r>
          </w:p>
        </w:tc>
        <w:tc>
          <w:tcPr>
            <w:tcW w:w="429" w:type="pct"/>
            <w:tcBorders>
              <w:top w:val="single" w:sz="6" w:space="0" w:color="auto"/>
              <w:left w:val="single" w:sz="6" w:space="0" w:color="auto"/>
              <w:bottom w:val="single" w:sz="6" w:space="0" w:color="auto"/>
              <w:right w:val="single" w:sz="6" w:space="0" w:color="auto"/>
            </w:tcBorders>
            <w:vAlign w:val="center"/>
          </w:tcPr>
          <w:p w14:paraId="567A855E" w14:textId="77777777" w:rsidR="00B63EAE" w:rsidRPr="006E4137" w:rsidRDefault="00B63EAE" w:rsidP="009B153D">
            <w:pPr>
              <w:pStyle w:val="Style"/>
              <w:ind w:left="29"/>
              <w:jc w:val="center"/>
              <w:textAlignment w:val="baseline"/>
              <w:rPr>
                <w:rFonts w:asciiTheme="minorHAnsi" w:hAnsiTheme="minorHAnsi"/>
              </w:rPr>
            </w:pPr>
            <w:r w:rsidRPr="006E4137">
              <w:rPr>
                <w:rFonts w:asciiTheme="minorHAnsi" w:hAnsiTheme="minorHAnsi"/>
                <w:sz w:val="21"/>
                <w:szCs w:val="21"/>
              </w:rPr>
              <w:t xml:space="preserve">0 </w:t>
            </w:r>
          </w:p>
        </w:tc>
        <w:tc>
          <w:tcPr>
            <w:tcW w:w="550" w:type="pct"/>
            <w:tcBorders>
              <w:top w:val="single" w:sz="6" w:space="0" w:color="auto"/>
              <w:left w:val="single" w:sz="6" w:space="0" w:color="auto"/>
              <w:bottom w:val="single" w:sz="6" w:space="0" w:color="auto"/>
              <w:right w:val="single" w:sz="6" w:space="0" w:color="auto"/>
            </w:tcBorders>
            <w:vAlign w:val="center"/>
          </w:tcPr>
          <w:p w14:paraId="355B4363" w14:textId="77777777" w:rsidR="00B63EAE" w:rsidRPr="006E4137" w:rsidRDefault="00B63EAE" w:rsidP="009B153D">
            <w:pPr>
              <w:pStyle w:val="Style"/>
              <w:ind w:left="19"/>
              <w:jc w:val="center"/>
              <w:textAlignment w:val="baseline"/>
              <w:rPr>
                <w:rFonts w:asciiTheme="minorHAnsi" w:hAnsiTheme="minorHAnsi"/>
              </w:rPr>
            </w:pPr>
            <w:r w:rsidRPr="006E4137">
              <w:rPr>
                <w:rFonts w:asciiTheme="minorHAnsi" w:hAnsiTheme="minorHAnsi"/>
                <w:sz w:val="21"/>
                <w:szCs w:val="21"/>
              </w:rPr>
              <w:t xml:space="preserve">0 </w:t>
            </w:r>
          </w:p>
        </w:tc>
        <w:tc>
          <w:tcPr>
            <w:tcW w:w="683" w:type="pct"/>
            <w:tcBorders>
              <w:top w:val="single" w:sz="6" w:space="0" w:color="auto"/>
              <w:left w:val="single" w:sz="6" w:space="0" w:color="auto"/>
              <w:bottom w:val="single" w:sz="6" w:space="0" w:color="auto"/>
              <w:right w:val="single" w:sz="6" w:space="0" w:color="auto"/>
            </w:tcBorders>
            <w:vAlign w:val="center"/>
          </w:tcPr>
          <w:p w14:paraId="0934F772" w14:textId="77777777" w:rsidR="00B63EAE" w:rsidRPr="006E4137" w:rsidRDefault="00B63EAE" w:rsidP="009B153D">
            <w:pPr>
              <w:pStyle w:val="Style"/>
              <w:ind w:left="14"/>
              <w:jc w:val="center"/>
              <w:textAlignment w:val="baseline"/>
              <w:rPr>
                <w:rFonts w:asciiTheme="minorHAnsi" w:hAnsiTheme="minorHAnsi"/>
              </w:rPr>
            </w:pPr>
            <w:r w:rsidRPr="006E4137">
              <w:rPr>
                <w:rFonts w:asciiTheme="minorHAnsi" w:hAnsiTheme="minorHAnsi"/>
                <w:sz w:val="21"/>
                <w:szCs w:val="21"/>
              </w:rPr>
              <w:t xml:space="preserve">0 </w:t>
            </w:r>
          </w:p>
        </w:tc>
        <w:tc>
          <w:tcPr>
            <w:tcW w:w="763" w:type="pct"/>
            <w:tcBorders>
              <w:top w:val="single" w:sz="6" w:space="0" w:color="auto"/>
              <w:left w:val="single" w:sz="6" w:space="0" w:color="auto"/>
              <w:bottom w:val="single" w:sz="6" w:space="0" w:color="auto"/>
              <w:right w:val="single" w:sz="6" w:space="0" w:color="auto"/>
            </w:tcBorders>
            <w:vAlign w:val="center"/>
          </w:tcPr>
          <w:p w14:paraId="50059905" w14:textId="77777777" w:rsidR="00B63EAE" w:rsidRPr="006E4137" w:rsidRDefault="00B63EAE" w:rsidP="009B153D">
            <w:pPr>
              <w:pStyle w:val="Style"/>
              <w:ind w:left="19"/>
              <w:jc w:val="center"/>
              <w:textAlignment w:val="baseline"/>
              <w:rPr>
                <w:rFonts w:asciiTheme="minorHAnsi" w:hAnsiTheme="minorHAnsi"/>
              </w:rPr>
            </w:pPr>
            <w:r w:rsidRPr="006E4137">
              <w:rPr>
                <w:rFonts w:asciiTheme="minorHAnsi" w:hAnsiTheme="minorHAnsi"/>
                <w:sz w:val="21"/>
                <w:szCs w:val="21"/>
              </w:rPr>
              <w:t xml:space="preserve">0 </w:t>
            </w:r>
          </w:p>
        </w:tc>
        <w:tc>
          <w:tcPr>
            <w:tcW w:w="704" w:type="pct"/>
            <w:tcBorders>
              <w:top w:val="single" w:sz="6" w:space="0" w:color="auto"/>
              <w:left w:val="single" w:sz="6" w:space="0" w:color="auto"/>
              <w:bottom w:val="single" w:sz="6" w:space="0" w:color="auto"/>
              <w:right w:val="single" w:sz="6" w:space="0" w:color="auto"/>
            </w:tcBorders>
            <w:vAlign w:val="center"/>
          </w:tcPr>
          <w:p w14:paraId="01CC2F09" w14:textId="77777777" w:rsidR="00B63EAE" w:rsidRPr="006E4137" w:rsidRDefault="00B63EAE" w:rsidP="009B153D">
            <w:pPr>
              <w:pStyle w:val="Style"/>
              <w:ind w:left="24"/>
              <w:jc w:val="center"/>
              <w:textAlignment w:val="baseline"/>
              <w:rPr>
                <w:rFonts w:asciiTheme="minorHAnsi" w:hAnsiTheme="minorHAnsi"/>
              </w:rPr>
            </w:pPr>
            <w:r w:rsidRPr="006E4137">
              <w:rPr>
                <w:rFonts w:asciiTheme="minorHAnsi" w:hAnsiTheme="minorHAnsi"/>
                <w:sz w:val="21"/>
                <w:szCs w:val="21"/>
              </w:rPr>
              <w:t xml:space="preserve">0 </w:t>
            </w:r>
          </w:p>
        </w:tc>
        <w:tc>
          <w:tcPr>
            <w:tcW w:w="718" w:type="pct"/>
            <w:tcBorders>
              <w:top w:val="single" w:sz="6" w:space="0" w:color="auto"/>
              <w:left w:val="single" w:sz="6" w:space="0" w:color="auto"/>
              <w:bottom w:val="single" w:sz="6" w:space="0" w:color="auto"/>
              <w:right w:val="single" w:sz="6" w:space="0" w:color="auto"/>
            </w:tcBorders>
            <w:vAlign w:val="center"/>
          </w:tcPr>
          <w:p w14:paraId="1135140F" w14:textId="77777777" w:rsidR="00B63EAE" w:rsidRPr="006E4137" w:rsidRDefault="00B63EAE" w:rsidP="009B153D">
            <w:pPr>
              <w:pStyle w:val="Style"/>
              <w:ind w:left="24"/>
              <w:jc w:val="center"/>
              <w:textAlignment w:val="baseline"/>
              <w:rPr>
                <w:rFonts w:asciiTheme="minorHAnsi" w:hAnsiTheme="minorHAnsi"/>
              </w:rPr>
            </w:pPr>
            <w:r w:rsidRPr="006E4137">
              <w:rPr>
                <w:rFonts w:asciiTheme="minorHAnsi" w:hAnsiTheme="minorHAnsi"/>
                <w:sz w:val="21"/>
                <w:szCs w:val="21"/>
              </w:rPr>
              <w:t xml:space="preserve">0 </w:t>
            </w:r>
          </w:p>
        </w:tc>
      </w:tr>
    </w:tbl>
    <w:p w14:paraId="2D95D014" w14:textId="6BB12F15" w:rsidR="00B63EAE" w:rsidRDefault="00AF4D50" w:rsidP="00B63EAE">
      <w:pPr>
        <w:pStyle w:val="TableDescription"/>
        <w:rPr>
          <w:lang w:eastAsia="ja-JP"/>
        </w:rPr>
      </w:pPr>
      <w:r>
        <w:rPr>
          <w:lang w:eastAsia="ja-JP"/>
        </w:rPr>
        <w:t xml:space="preserve">Abbreviations: </w:t>
      </w:r>
      <w:r w:rsidR="00B63EAE" w:rsidRPr="00765D91">
        <w:rPr>
          <w:lang w:eastAsia="ja-JP"/>
        </w:rPr>
        <w:t>AE</w:t>
      </w:r>
      <w:r w:rsidR="00C23315">
        <w:rPr>
          <w:lang w:eastAsia="ja-JP"/>
        </w:rPr>
        <w:t xml:space="preserve"> </w:t>
      </w:r>
      <w:r w:rsidR="00B63EAE" w:rsidRPr="00765D91">
        <w:rPr>
          <w:lang w:eastAsia="ja-JP"/>
        </w:rPr>
        <w:t>=</w:t>
      </w:r>
      <w:r w:rsidR="00C23315">
        <w:rPr>
          <w:lang w:eastAsia="ja-JP"/>
        </w:rPr>
        <w:t xml:space="preserve"> a</w:t>
      </w:r>
      <w:r w:rsidR="00B63EAE" w:rsidRPr="00765D91">
        <w:rPr>
          <w:lang w:eastAsia="ja-JP"/>
        </w:rPr>
        <w:t>dverse event; BKZ</w:t>
      </w:r>
      <w:r w:rsidR="00C23315">
        <w:rPr>
          <w:lang w:eastAsia="ja-JP"/>
        </w:rPr>
        <w:t xml:space="preserve"> </w:t>
      </w:r>
      <w:r w:rsidR="00B63EAE" w:rsidRPr="00765D91">
        <w:rPr>
          <w:lang w:eastAsia="ja-JP"/>
        </w:rPr>
        <w:t>=</w:t>
      </w:r>
      <w:r w:rsidR="00C23315">
        <w:rPr>
          <w:lang w:eastAsia="ja-JP"/>
        </w:rPr>
        <w:t xml:space="preserve"> </w:t>
      </w:r>
      <w:proofErr w:type="spellStart"/>
      <w:r w:rsidR="00B63EAE" w:rsidRPr="00765D91">
        <w:rPr>
          <w:lang w:eastAsia="ja-JP"/>
        </w:rPr>
        <w:t>bimekizumab</w:t>
      </w:r>
      <w:proofErr w:type="spellEnd"/>
      <w:r w:rsidR="00B63EAE" w:rsidRPr="00765D91">
        <w:rPr>
          <w:lang w:eastAsia="ja-JP"/>
        </w:rPr>
        <w:t>; ESS</w:t>
      </w:r>
      <w:r w:rsidR="00C23315">
        <w:rPr>
          <w:lang w:eastAsia="ja-JP"/>
        </w:rPr>
        <w:t xml:space="preserve"> </w:t>
      </w:r>
      <w:r w:rsidR="00B63EAE" w:rsidRPr="00765D91">
        <w:rPr>
          <w:lang w:eastAsia="ja-JP"/>
        </w:rPr>
        <w:t>=</w:t>
      </w:r>
      <w:r w:rsidR="00C23315">
        <w:rPr>
          <w:lang w:eastAsia="ja-JP"/>
        </w:rPr>
        <w:t xml:space="preserve"> e</w:t>
      </w:r>
      <w:r w:rsidR="00B63EAE" w:rsidRPr="00765D91">
        <w:rPr>
          <w:lang w:eastAsia="ja-JP"/>
        </w:rPr>
        <w:t xml:space="preserve">scape </w:t>
      </w:r>
      <w:r w:rsidR="00C23315">
        <w:rPr>
          <w:lang w:eastAsia="ja-JP"/>
        </w:rPr>
        <w:t>s</w:t>
      </w:r>
      <w:r w:rsidR="00B63EAE" w:rsidRPr="00765D91">
        <w:rPr>
          <w:lang w:eastAsia="ja-JP"/>
        </w:rPr>
        <w:t xml:space="preserve">tudy </w:t>
      </w:r>
      <w:r w:rsidR="00C23315">
        <w:rPr>
          <w:lang w:eastAsia="ja-JP"/>
        </w:rPr>
        <w:t>p</w:t>
      </w:r>
      <w:r w:rsidR="00B63EAE" w:rsidRPr="00765D91">
        <w:rPr>
          <w:lang w:eastAsia="ja-JP"/>
        </w:rPr>
        <w:t xml:space="preserve">articipant </w:t>
      </w:r>
      <w:r w:rsidR="00C23315">
        <w:rPr>
          <w:lang w:eastAsia="ja-JP"/>
        </w:rPr>
        <w:t>s</w:t>
      </w:r>
      <w:r w:rsidR="00B63EAE" w:rsidRPr="00765D91">
        <w:rPr>
          <w:lang w:eastAsia="ja-JP"/>
        </w:rPr>
        <w:t>et; PASI</w:t>
      </w:r>
      <w:r>
        <w:rPr>
          <w:lang w:eastAsia="ja-JP"/>
        </w:rPr>
        <w:t> </w:t>
      </w:r>
      <w:r w:rsidR="00B63EAE" w:rsidRPr="00765D91">
        <w:rPr>
          <w:lang w:eastAsia="ja-JP"/>
        </w:rPr>
        <w:t>=</w:t>
      </w:r>
      <w:r>
        <w:rPr>
          <w:lang w:eastAsia="ja-JP"/>
        </w:rPr>
        <w:t> </w:t>
      </w:r>
      <w:r w:rsidR="00B63EAE" w:rsidRPr="00765D91">
        <w:rPr>
          <w:lang w:eastAsia="ja-JP"/>
        </w:rPr>
        <w:t>Psoriasis Area and Severity Index; PBO</w:t>
      </w:r>
      <w:r w:rsidR="00C23315">
        <w:rPr>
          <w:lang w:eastAsia="ja-JP"/>
        </w:rPr>
        <w:t xml:space="preserve"> </w:t>
      </w:r>
      <w:r w:rsidR="00B63EAE" w:rsidRPr="00765D91">
        <w:rPr>
          <w:lang w:eastAsia="ja-JP"/>
        </w:rPr>
        <w:t>=</w:t>
      </w:r>
      <w:r w:rsidR="00C23315">
        <w:rPr>
          <w:lang w:eastAsia="ja-JP"/>
        </w:rPr>
        <w:t xml:space="preserve"> </w:t>
      </w:r>
      <w:r w:rsidR="00B63EAE" w:rsidRPr="00765D91">
        <w:rPr>
          <w:lang w:eastAsia="ja-JP"/>
        </w:rPr>
        <w:t xml:space="preserve">placebo; </w:t>
      </w:r>
      <w:r w:rsidR="00C23315">
        <w:rPr>
          <w:lang w:eastAsia="ja-JP"/>
        </w:rPr>
        <w:t>Q4W</w:t>
      </w:r>
      <w:r w:rsidR="00B63EAE" w:rsidRPr="00765D91">
        <w:rPr>
          <w:lang w:eastAsia="ja-JP"/>
        </w:rPr>
        <w:t xml:space="preserve">=every 4 weeks; </w:t>
      </w:r>
      <w:r w:rsidR="00C23315">
        <w:rPr>
          <w:lang w:eastAsia="ja-JP"/>
        </w:rPr>
        <w:t>Q8W</w:t>
      </w:r>
      <w:r w:rsidR="00B63EAE" w:rsidRPr="00B63EAE">
        <w:rPr>
          <w:lang w:eastAsia="ja-JP"/>
        </w:rPr>
        <w:t>=every 8 weeks.</w:t>
      </w:r>
    </w:p>
    <w:p w14:paraId="1A6F4D57" w14:textId="7635C6C7" w:rsidR="00B63EAE" w:rsidRPr="00B63EAE" w:rsidRDefault="00B63EAE" w:rsidP="00B63EAE">
      <w:pPr>
        <w:rPr>
          <w:lang w:eastAsia="ja-JP"/>
        </w:rPr>
      </w:pPr>
      <w:r>
        <w:rPr>
          <w:lang w:eastAsia="ja-JP"/>
        </w:rPr>
        <w:t>The Delegate commented that g</w:t>
      </w:r>
      <w:r w:rsidRPr="00B63EAE">
        <w:rPr>
          <w:lang w:eastAsia="ja-JP"/>
        </w:rPr>
        <w:t xml:space="preserve">iven the slightly higher discontinuation number in the </w:t>
      </w:r>
      <w:proofErr w:type="spellStart"/>
      <w:r w:rsidR="008B40FD">
        <w:rPr>
          <w:lang w:eastAsia="ja-JP"/>
        </w:rPr>
        <w:t>bimekizumab</w:t>
      </w:r>
      <w:proofErr w:type="spellEnd"/>
      <w:r w:rsidRPr="00B63EAE">
        <w:rPr>
          <w:lang w:eastAsia="ja-JP"/>
        </w:rPr>
        <w:t xml:space="preserve"> 320</w:t>
      </w:r>
      <w:r>
        <w:rPr>
          <w:lang w:eastAsia="ja-JP"/>
        </w:rPr>
        <w:t> </w:t>
      </w:r>
      <w:r w:rsidRPr="00B63EAE">
        <w:rPr>
          <w:lang w:eastAsia="ja-JP"/>
        </w:rPr>
        <w:t xml:space="preserve">mg </w:t>
      </w:r>
      <w:r w:rsidR="00F23C97">
        <w:rPr>
          <w:lang w:eastAsia="ja-JP"/>
        </w:rPr>
        <w:t>every 4 weeks</w:t>
      </w:r>
      <w:r w:rsidRPr="00B63EAE">
        <w:rPr>
          <w:lang w:eastAsia="ja-JP"/>
        </w:rPr>
        <w:t>/</w:t>
      </w:r>
      <w:r w:rsidR="00F23C97">
        <w:rPr>
          <w:lang w:eastAsia="ja-JP"/>
        </w:rPr>
        <w:t>every 4 weeks</w:t>
      </w:r>
      <w:r w:rsidRPr="00B63EAE">
        <w:rPr>
          <w:lang w:eastAsia="ja-JP"/>
        </w:rPr>
        <w:t xml:space="preserve"> group (n</w:t>
      </w:r>
      <w:r>
        <w:rPr>
          <w:lang w:eastAsia="ja-JP"/>
        </w:rPr>
        <w:t xml:space="preserve"> </w:t>
      </w:r>
      <w:r w:rsidRPr="00B63EAE">
        <w:rPr>
          <w:lang w:eastAsia="ja-JP"/>
        </w:rPr>
        <w:t>=</w:t>
      </w:r>
      <w:r>
        <w:rPr>
          <w:lang w:eastAsia="ja-JP"/>
        </w:rPr>
        <w:t xml:space="preserve"> </w:t>
      </w:r>
      <w:r w:rsidRPr="00B63EAE">
        <w:rPr>
          <w:lang w:eastAsia="ja-JP"/>
        </w:rPr>
        <w:t xml:space="preserve">7) compared to that in the </w:t>
      </w:r>
      <w:proofErr w:type="spellStart"/>
      <w:r w:rsidR="008B40FD">
        <w:rPr>
          <w:lang w:eastAsia="ja-JP"/>
        </w:rPr>
        <w:t>bimekizumab</w:t>
      </w:r>
      <w:proofErr w:type="spellEnd"/>
      <w:r w:rsidRPr="00B63EAE">
        <w:rPr>
          <w:lang w:eastAsia="ja-JP"/>
        </w:rPr>
        <w:t xml:space="preserve"> 320</w:t>
      </w:r>
      <w:r>
        <w:rPr>
          <w:lang w:eastAsia="ja-JP"/>
        </w:rPr>
        <w:t xml:space="preserve"> </w:t>
      </w:r>
      <w:r w:rsidRPr="00B63EAE">
        <w:rPr>
          <w:lang w:eastAsia="ja-JP"/>
        </w:rPr>
        <w:t xml:space="preserve">mg </w:t>
      </w:r>
      <w:r w:rsidR="00F23C97">
        <w:rPr>
          <w:lang w:eastAsia="ja-JP"/>
        </w:rPr>
        <w:t>every 4 weeks</w:t>
      </w:r>
      <w:r w:rsidRPr="00B63EAE">
        <w:rPr>
          <w:lang w:eastAsia="ja-JP"/>
        </w:rPr>
        <w:t>/</w:t>
      </w:r>
      <w:r w:rsidR="00F23C97">
        <w:rPr>
          <w:lang w:eastAsia="ja-JP"/>
        </w:rPr>
        <w:t>every 8 weeks</w:t>
      </w:r>
      <w:r w:rsidRPr="00B63EAE">
        <w:rPr>
          <w:lang w:eastAsia="ja-JP"/>
        </w:rPr>
        <w:t xml:space="preserve"> group, the latter observation might simply reflect the study participants’ injection  frequency compliance preference between </w:t>
      </w:r>
      <w:proofErr w:type="spellStart"/>
      <w:r w:rsidR="008B40FD">
        <w:rPr>
          <w:lang w:eastAsia="ja-JP"/>
        </w:rPr>
        <w:lastRenderedPageBreak/>
        <w:t>bimekizumab</w:t>
      </w:r>
      <w:proofErr w:type="spellEnd"/>
      <w:r w:rsidRPr="00B63EAE">
        <w:rPr>
          <w:lang w:eastAsia="ja-JP"/>
        </w:rPr>
        <w:t xml:space="preserve"> </w:t>
      </w:r>
      <w:r w:rsidR="001D2CFA">
        <w:rPr>
          <w:lang w:eastAsia="ja-JP"/>
        </w:rPr>
        <w:t>320 mg</w:t>
      </w:r>
      <w:r w:rsidRPr="00B63EAE">
        <w:rPr>
          <w:lang w:eastAsia="ja-JP"/>
        </w:rPr>
        <w:t xml:space="preserve"> </w:t>
      </w:r>
      <w:r w:rsidR="00F23C97">
        <w:rPr>
          <w:lang w:eastAsia="ja-JP"/>
        </w:rPr>
        <w:t>every 4 weeks</w:t>
      </w:r>
      <w:r w:rsidRPr="00B63EAE">
        <w:rPr>
          <w:lang w:eastAsia="ja-JP"/>
        </w:rPr>
        <w:t>/</w:t>
      </w:r>
      <w:r w:rsidR="00F23C97">
        <w:rPr>
          <w:lang w:eastAsia="ja-JP"/>
        </w:rPr>
        <w:t>every 4 weeks</w:t>
      </w:r>
      <w:r w:rsidRPr="00B63EAE">
        <w:rPr>
          <w:lang w:eastAsia="ja-JP"/>
        </w:rPr>
        <w:t xml:space="preserve"> and </w:t>
      </w:r>
      <w:proofErr w:type="spellStart"/>
      <w:r w:rsidR="008B40FD">
        <w:rPr>
          <w:lang w:eastAsia="ja-JP"/>
        </w:rPr>
        <w:t>bimekizumab</w:t>
      </w:r>
      <w:proofErr w:type="spellEnd"/>
      <w:r w:rsidRPr="00B63EAE">
        <w:rPr>
          <w:lang w:eastAsia="ja-JP"/>
        </w:rPr>
        <w:t xml:space="preserve"> </w:t>
      </w:r>
      <w:r w:rsidR="001D2CFA">
        <w:rPr>
          <w:lang w:eastAsia="ja-JP"/>
        </w:rPr>
        <w:t>320 mg</w:t>
      </w:r>
      <w:r w:rsidRPr="00B63EAE">
        <w:rPr>
          <w:lang w:eastAsia="ja-JP"/>
        </w:rPr>
        <w:t xml:space="preserve"> </w:t>
      </w:r>
      <w:r w:rsidR="00F23C97">
        <w:rPr>
          <w:lang w:eastAsia="ja-JP"/>
        </w:rPr>
        <w:t>every 4 weeks</w:t>
      </w:r>
      <w:r w:rsidRPr="00B63EAE">
        <w:rPr>
          <w:lang w:eastAsia="ja-JP"/>
        </w:rPr>
        <w:t>/</w:t>
      </w:r>
      <w:r w:rsidR="00F23C97">
        <w:rPr>
          <w:lang w:eastAsia="ja-JP"/>
        </w:rPr>
        <w:t>every 8 weeks</w:t>
      </w:r>
      <w:r w:rsidRPr="00B63EAE">
        <w:rPr>
          <w:lang w:eastAsia="ja-JP"/>
        </w:rPr>
        <w:t xml:space="preserve"> and, it is possibly embedded in what has been referred to as </w:t>
      </w:r>
      <w:r>
        <w:rPr>
          <w:lang w:eastAsia="ja-JP"/>
        </w:rPr>
        <w:t>‘</w:t>
      </w:r>
      <w:r w:rsidRPr="00B63EAE">
        <w:rPr>
          <w:lang w:eastAsia="ja-JP"/>
        </w:rPr>
        <w:t>lost to follow up</w:t>
      </w:r>
      <w:r>
        <w:rPr>
          <w:lang w:eastAsia="ja-JP"/>
        </w:rPr>
        <w:t xml:space="preserve">’ </w:t>
      </w:r>
      <w:r w:rsidRPr="00B63EAE">
        <w:rPr>
          <w:lang w:eastAsia="ja-JP"/>
        </w:rPr>
        <w:t xml:space="preserve">in the </w:t>
      </w:r>
      <w:r>
        <w:rPr>
          <w:lang w:eastAsia="ja-JP"/>
        </w:rPr>
        <w:t>r</w:t>
      </w:r>
      <w:r w:rsidRPr="00B63EAE">
        <w:rPr>
          <w:lang w:eastAsia="ja-JP"/>
        </w:rPr>
        <w:t>andomi</w:t>
      </w:r>
      <w:r>
        <w:rPr>
          <w:lang w:eastAsia="ja-JP"/>
        </w:rPr>
        <w:t>s</w:t>
      </w:r>
      <w:r w:rsidRPr="00B63EAE">
        <w:rPr>
          <w:lang w:eastAsia="ja-JP"/>
        </w:rPr>
        <w:t>ed</w:t>
      </w:r>
      <w:r w:rsidR="00C23315">
        <w:rPr>
          <w:lang w:eastAsia="ja-JP"/>
        </w:rPr>
        <w:t xml:space="preserve"> </w:t>
      </w:r>
      <w:r>
        <w:rPr>
          <w:lang w:eastAsia="ja-JP"/>
        </w:rPr>
        <w:t>w</w:t>
      </w:r>
      <w:r w:rsidRPr="00B63EAE">
        <w:rPr>
          <w:lang w:eastAsia="ja-JP"/>
        </w:rPr>
        <w:t xml:space="preserve">ithdrawal </w:t>
      </w:r>
      <w:r>
        <w:rPr>
          <w:lang w:eastAsia="ja-JP"/>
        </w:rPr>
        <w:t>p</w:t>
      </w:r>
      <w:r w:rsidRPr="00B63EAE">
        <w:rPr>
          <w:lang w:eastAsia="ja-JP"/>
        </w:rPr>
        <w:t>eriod.</w:t>
      </w:r>
    </w:p>
    <w:p w14:paraId="7646546D" w14:textId="77777777" w:rsidR="00B63EAE" w:rsidRDefault="00B63EAE" w:rsidP="00A84F8F">
      <w:pPr>
        <w:pStyle w:val="Heading6"/>
        <w:rPr>
          <w:lang w:eastAsia="ja-JP"/>
        </w:rPr>
      </w:pPr>
      <w:r w:rsidRPr="009548FC">
        <w:t xml:space="preserve">Analysis </w:t>
      </w:r>
      <w:r>
        <w:t xml:space="preserve">of </w:t>
      </w:r>
      <w:r w:rsidRPr="009548FC">
        <w:t>populations</w:t>
      </w:r>
    </w:p>
    <w:p w14:paraId="42041DF2" w14:textId="719457D8" w:rsidR="00B63EAE" w:rsidRPr="00824ECF" w:rsidRDefault="00B63EAE" w:rsidP="00A84F8F">
      <w:pPr>
        <w:rPr>
          <w:lang w:eastAsia="ja-JP"/>
        </w:rPr>
      </w:pPr>
      <w:r w:rsidRPr="00824ECF">
        <w:rPr>
          <w:lang w:eastAsia="ja-JP"/>
        </w:rPr>
        <w:t>The following analysis sets were used</w:t>
      </w:r>
      <w:r w:rsidR="00107A8B">
        <w:rPr>
          <w:lang w:eastAsia="ja-JP"/>
        </w:rPr>
        <w:t xml:space="preserve"> (</w:t>
      </w:r>
      <w:r w:rsidR="00107A8B">
        <w:rPr>
          <w:lang w:eastAsia="ja-JP"/>
        </w:rPr>
        <w:fldChar w:fldCharType="begin"/>
      </w:r>
      <w:r w:rsidR="00107A8B">
        <w:rPr>
          <w:lang w:eastAsia="ja-JP"/>
        </w:rPr>
        <w:instrText xml:space="preserve"> REF _Ref130202052 \h </w:instrText>
      </w:r>
      <w:r w:rsidR="00107A8B">
        <w:rPr>
          <w:lang w:eastAsia="ja-JP"/>
        </w:rPr>
      </w:r>
      <w:r w:rsidR="00107A8B">
        <w:rPr>
          <w:lang w:eastAsia="ja-JP"/>
        </w:rPr>
        <w:fldChar w:fldCharType="separate"/>
      </w:r>
      <w:r w:rsidR="00B54079" w:rsidRPr="001C38F5">
        <w:t xml:space="preserve">Table </w:t>
      </w:r>
      <w:r w:rsidR="00B54079">
        <w:rPr>
          <w:noProof/>
        </w:rPr>
        <w:t>33</w:t>
      </w:r>
      <w:r w:rsidR="00107A8B">
        <w:rPr>
          <w:lang w:eastAsia="ja-JP"/>
        </w:rPr>
        <w:fldChar w:fldCharType="end"/>
      </w:r>
      <w:r w:rsidR="00107A8B">
        <w:rPr>
          <w:lang w:eastAsia="ja-JP"/>
        </w:rPr>
        <w:t>)</w:t>
      </w:r>
      <w:r w:rsidRPr="00824ECF">
        <w:rPr>
          <w:lang w:eastAsia="ja-JP"/>
        </w:rPr>
        <w:t xml:space="preserve">: </w:t>
      </w:r>
    </w:p>
    <w:p w14:paraId="32FD9F7D" w14:textId="33B15539" w:rsidR="00B63EAE" w:rsidRPr="00824ECF" w:rsidRDefault="00B63EAE" w:rsidP="00A84F8F">
      <w:pPr>
        <w:pStyle w:val="ListBullet"/>
        <w:rPr>
          <w:lang w:eastAsia="ja-JP"/>
        </w:rPr>
      </w:pPr>
      <w:r w:rsidRPr="00824ECF">
        <w:rPr>
          <w:lang w:eastAsia="ja-JP"/>
        </w:rPr>
        <w:t xml:space="preserve">The </w:t>
      </w:r>
      <w:r w:rsidR="001C38F5">
        <w:rPr>
          <w:lang w:eastAsia="ja-JP"/>
        </w:rPr>
        <w:t>e</w:t>
      </w:r>
      <w:r w:rsidRPr="00824ECF">
        <w:rPr>
          <w:lang w:eastAsia="ja-JP"/>
        </w:rPr>
        <w:t xml:space="preserve">nrolled </w:t>
      </w:r>
      <w:r w:rsidR="001C38F5">
        <w:rPr>
          <w:lang w:eastAsia="ja-JP"/>
        </w:rPr>
        <w:t>s</w:t>
      </w:r>
      <w:r w:rsidRPr="00824ECF">
        <w:rPr>
          <w:lang w:eastAsia="ja-JP"/>
        </w:rPr>
        <w:t xml:space="preserve">et consisted of all study participants who gave informed </w:t>
      </w:r>
      <w:proofErr w:type="gramStart"/>
      <w:r w:rsidRPr="00824ECF">
        <w:rPr>
          <w:lang w:eastAsia="ja-JP"/>
        </w:rPr>
        <w:t>consent</w:t>
      </w:r>
      <w:r>
        <w:rPr>
          <w:lang w:eastAsia="ja-JP"/>
        </w:rPr>
        <w:t>;</w:t>
      </w:r>
      <w:proofErr w:type="gramEnd"/>
      <w:r w:rsidRPr="00824ECF">
        <w:rPr>
          <w:lang w:eastAsia="ja-JP"/>
        </w:rPr>
        <w:t xml:space="preserve"> </w:t>
      </w:r>
    </w:p>
    <w:p w14:paraId="46DC4F55" w14:textId="677A61E5" w:rsidR="00B63EAE" w:rsidRPr="00824ECF" w:rsidRDefault="00B63EAE" w:rsidP="00A84F8F">
      <w:pPr>
        <w:pStyle w:val="ListBullet"/>
        <w:rPr>
          <w:lang w:eastAsia="ja-JP"/>
        </w:rPr>
      </w:pPr>
      <w:r w:rsidRPr="00824ECF">
        <w:rPr>
          <w:lang w:eastAsia="ja-JP"/>
        </w:rPr>
        <w:t xml:space="preserve">The </w:t>
      </w:r>
      <w:r w:rsidR="001C38F5">
        <w:rPr>
          <w:lang w:eastAsia="ja-JP"/>
        </w:rPr>
        <w:t>r</w:t>
      </w:r>
      <w:r w:rsidRPr="00824ECF">
        <w:rPr>
          <w:lang w:eastAsia="ja-JP"/>
        </w:rPr>
        <w:t>andomi</w:t>
      </w:r>
      <w:r w:rsidR="001C38F5">
        <w:rPr>
          <w:lang w:eastAsia="ja-JP"/>
        </w:rPr>
        <w:t>s</w:t>
      </w:r>
      <w:r w:rsidRPr="00824ECF">
        <w:rPr>
          <w:lang w:eastAsia="ja-JP"/>
        </w:rPr>
        <w:t xml:space="preserve">ed </w:t>
      </w:r>
      <w:r w:rsidR="001C38F5">
        <w:rPr>
          <w:lang w:eastAsia="ja-JP"/>
        </w:rPr>
        <w:t>set</w:t>
      </w:r>
      <w:r w:rsidRPr="00824ECF">
        <w:rPr>
          <w:lang w:eastAsia="ja-JP"/>
        </w:rPr>
        <w:t xml:space="preserve"> consisted of all </w:t>
      </w:r>
      <w:r w:rsidR="001D2CFA">
        <w:rPr>
          <w:lang w:eastAsia="ja-JP"/>
        </w:rPr>
        <w:t>randomised</w:t>
      </w:r>
      <w:r w:rsidRPr="00824ECF">
        <w:rPr>
          <w:lang w:eastAsia="ja-JP"/>
        </w:rPr>
        <w:t xml:space="preserve"> study </w:t>
      </w:r>
      <w:proofErr w:type="gramStart"/>
      <w:r w:rsidRPr="00824ECF">
        <w:rPr>
          <w:lang w:eastAsia="ja-JP"/>
        </w:rPr>
        <w:t>participants</w:t>
      </w:r>
      <w:r>
        <w:rPr>
          <w:lang w:eastAsia="ja-JP"/>
        </w:rPr>
        <w:t>;</w:t>
      </w:r>
      <w:proofErr w:type="gramEnd"/>
      <w:r w:rsidRPr="00824ECF">
        <w:rPr>
          <w:lang w:eastAsia="ja-JP"/>
        </w:rPr>
        <w:t xml:space="preserve"> </w:t>
      </w:r>
    </w:p>
    <w:p w14:paraId="0CDC5051" w14:textId="7F7E5068" w:rsidR="00B63EAE" w:rsidRPr="00824ECF" w:rsidRDefault="00B63EAE" w:rsidP="00A84F8F">
      <w:pPr>
        <w:pStyle w:val="ListBullet"/>
        <w:rPr>
          <w:lang w:eastAsia="ja-JP"/>
        </w:rPr>
      </w:pPr>
      <w:r w:rsidRPr="00824ECF">
        <w:rPr>
          <w:lang w:eastAsia="ja-JP"/>
        </w:rPr>
        <w:t xml:space="preserve">The </w:t>
      </w:r>
      <w:r w:rsidR="001C38F5">
        <w:rPr>
          <w:lang w:eastAsia="ja-JP"/>
        </w:rPr>
        <w:t>s</w:t>
      </w:r>
      <w:r w:rsidRPr="00824ECF">
        <w:rPr>
          <w:lang w:eastAsia="ja-JP"/>
        </w:rPr>
        <w:t xml:space="preserve">afety </w:t>
      </w:r>
      <w:r w:rsidR="001C38F5">
        <w:rPr>
          <w:lang w:eastAsia="ja-JP"/>
        </w:rPr>
        <w:t>s</w:t>
      </w:r>
      <w:r w:rsidRPr="00824ECF">
        <w:rPr>
          <w:lang w:eastAsia="ja-JP"/>
        </w:rPr>
        <w:t xml:space="preserve">et consisted of all study participants who received at least 1 dose of study </w:t>
      </w:r>
      <w:proofErr w:type="gramStart"/>
      <w:r w:rsidRPr="00824ECF">
        <w:rPr>
          <w:lang w:eastAsia="ja-JP"/>
        </w:rPr>
        <w:t>medication</w:t>
      </w:r>
      <w:r>
        <w:rPr>
          <w:lang w:eastAsia="ja-JP"/>
        </w:rPr>
        <w:t>;</w:t>
      </w:r>
      <w:proofErr w:type="gramEnd"/>
    </w:p>
    <w:p w14:paraId="7B01DE22" w14:textId="7B1C36E3" w:rsidR="00B63EAE" w:rsidRPr="00824ECF" w:rsidRDefault="00B63EAE" w:rsidP="00A84F8F">
      <w:pPr>
        <w:pStyle w:val="ListBullet"/>
        <w:rPr>
          <w:lang w:eastAsia="ja-JP"/>
        </w:rPr>
      </w:pPr>
      <w:r w:rsidRPr="00824ECF">
        <w:rPr>
          <w:lang w:eastAsia="ja-JP"/>
        </w:rPr>
        <w:t xml:space="preserve">The </w:t>
      </w:r>
      <w:r w:rsidR="001C38F5">
        <w:rPr>
          <w:lang w:eastAsia="ja-JP"/>
        </w:rPr>
        <w:t>f</w:t>
      </w:r>
      <w:r w:rsidRPr="00824ECF">
        <w:rPr>
          <w:lang w:eastAsia="ja-JP"/>
        </w:rPr>
        <w:t xml:space="preserve">ull </w:t>
      </w:r>
      <w:r w:rsidR="001C38F5">
        <w:rPr>
          <w:lang w:eastAsia="ja-JP"/>
        </w:rPr>
        <w:t>a</w:t>
      </w:r>
      <w:r w:rsidRPr="00824ECF">
        <w:rPr>
          <w:lang w:eastAsia="ja-JP"/>
        </w:rPr>
        <w:t xml:space="preserve">nalysis </w:t>
      </w:r>
      <w:r w:rsidR="001C38F5">
        <w:rPr>
          <w:lang w:eastAsia="ja-JP"/>
        </w:rPr>
        <w:t>s</w:t>
      </w:r>
      <w:r w:rsidRPr="00824ECF">
        <w:rPr>
          <w:lang w:eastAsia="ja-JP"/>
        </w:rPr>
        <w:t xml:space="preserve">et consisted of all </w:t>
      </w:r>
      <w:r w:rsidR="001D2CFA">
        <w:rPr>
          <w:lang w:eastAsia="ja-JP"/>
        </w:rPr>
        <w:t>randomised</w:t>
      </w:r>
      <w:r w:rsidRPr="00824ECF">
        <w:rPr>
          <w:lang w:eastAsia="ja-JP"/>
        </w:rPr>
        <w:t xml:space="preserve"> study participants who received at least </w:t>
      </w:r>
      <w:r w:rsidR="001C38F5">
        <w:rPr>
          <w:lang w:eastAsia="ja-JP"/>
        </w:rPr>
        <w:t>one</w:t>
      </w:r>
      <w:r w:rsidRPr="00824ECF">
        <w:rPr>
          <w:lang w:eastAsia="ja-JP"/>
        </w:rPr>
        <w:t xml:space="preserve"> dose of study medication and had a valid measurement for each of the co-primary efficacy variables at </w:t>
      </w:r>
      <w:proofErr w:type="gramStart"/>
      <w:r w:rsidRPr="00824ECF">
        <w:rPr>
          <w:lang w:eastAsia="ja-JP"/>
        </w:rPr>
        <w:t>Baseline</w:t>
      </w:r>
      <w:r>
        <w:rPr>
          <w:lang w:eastAsia="ja-JP"/>
        </w:rPr>
        <w:t>;</w:t>
      </w:r>
      <w:proofErr w:type="gramEnd"/>
      <w:r w:rsidRPr="00824ECF">
        <w:rPr>
          <w:lang w:eastAsia="ja-JP"/>
        </w:rPr>
        <w:t xml:space="preserve"> </w:t>
      </w:r>
    </w:p>
    <w:p w14:paraId="11B3ACB9" w14:textId="622EE14A" w:rsidR="00B63EAE" w:rsidRPr="00824ECF" w:rsidRDefault="001C38F5" w:rsidP="00A84F8F">
      <w:pPr>
        <w:pStyle w:val="ListBullet"/>
        <w:rPr>
          <w:lang w:eastAsia="ja-JP"/>
        </w:rPr>
      </w:pPr>
      <w:r>
        <w:rPr>
          <w:lang w:eastAsia="ja-JP"/>
        </w:rPr>
        <w:t>The e</w:t>
      </w:r>
      <w:r w:rsidR="00B63EAE" w:rsidRPr="00824ECF">
        <w:rPr>
          <w:lang w:eastAsia="ja-JP"/>
        </w:rPr>
        <w:t xml:space="preserve">scape </w:t>
      </w:r>
      <w:r>
        <w:rPr>
          <w:lang w:eastAsia="ja-JP"/>
        </w:rPr>
        <w:t>s</w:t>
      </w:r>
      <w:r w:rsidR="00B63EAE" w:rsidRPr="00824ECF">
        <w:rPr>
          <w:lang w:eastAsia="ja-JP"/>
        </w:rPr>
        <w:t xml:space="preserve">tudy </w:t>
      </w:r>
      <w:r>
        <w:rPr>
          <w:lang w:eastAsia="ja-JP"/>
        </w:rPr>
        <w:t>p</w:t>
      </w:r>
      <w:r w:rsidR="00B63EAE" w:rsidRPr="00824ECF">
        <w:rPr>
          <w:lang w:eastAsia="ja-JP"/>
        </w:rPr>
        <w:t xml:space="preserve">articipant </w:t>
      </w:r>
      <w:r>
        <w:rPr>
          <w:lang w:eastAsia="ja-JP"/>
        </w:rPr>
        <w:t>s</w:t>
      </w:r>
      <w:r w:rsidR="00B63EAE" w:rsidRPr="00824ECF">
        <w:rPr>
          <w:lang w:eastAsia="ja-JP"/>
        </w:rPr>
        <w:t>et</w:t>
      </w:r>
      <w:r>
        <w:rPr>
          <w:lang w:eastAsia="ja-JP"/>
        </w:rPr>
        <w:t xml:space="preserve"> </w:t>
      </w:r>
      <w:r w:rsidR="00B63EAE" w:rsidRPr="00824ECF">
        <w:rPr>
          <w:lang w:eastAsia="ja-JP"/>
        </w:rPr>
        <w:t xml:space="preserve">consisted of all study participants who received at least </w:t>
      </w:r>
      <w:r>
        <w:rPr>
          <w:lang w:eastAsia="ja-JP"/>
        </w:rPr>
        <w:t>one</w:t>
      </w:r>
      <w:r w:rsidR="00B63EAE" w:rsidRPr="00824ECF">
        <w:rPr>
          <w:lang w:eastAsia="ja-JP"/>
        </w:rPr>
        <w:t xml:space="preserve"> dose of escape </w:t>
      </w:r>
      <w:proofErr w:type="spellStart"/>
      <w:r w:rsidR="00B63EAE" w:rsidRPr="00824ECF">
        <w:rPr>
          <w:lang w:eastAsia="ja-JP"/>
        </w:rPr>
        <w:t>bimekizumab</w:t>
      </w:r>
      <w:proofErr w:type="spellEnd"/>
      <w:r w:rsidR="00B63EAE" w:rsidRPr="00824ECF">
        <w:rPr>
          <w:lang w:eastAsia="ja-JP"/>
        </w:rPr>
        <w:t xml:space="preserve"> </w:t>
      </w:r>
      <w:r w:rsidR="001D2CFA">
        <w:rPr>
          <w:lang w:eastAsia="ja-JP"/>
        </w:rPr>
        <w:t>320 mg</w:t>
      </w:r>
      <w:r w:rsidR="00B63EAE" w:rsidRPr="00824ECF">
        <w:rPr>
          <w:lang w:eastAsia="ja-JP"/>
        </w:rPr>
        <w:t xml:space="preserve"> treatment either due to not achieving a </w:t>
      </w:r>
      <w:r w:rsidR="005960C5">
        <w:rPr>
          <w:lang w:eastAsia="ja-JP"/>
        </w:rPr>
        <w:t>PASI 90</w:t>
      </w:r>
      <w:r w:rsidR="00B63EAE" w:rsidRPr="00824ECF">
        <w:rPr>
          <w:lang w:eastAsia="ja-JP"/>
        </w:rPr>
        <w:t xml:space="preserve"> response at Week 16 or experiencing a relapse after entering the </w:t>
      </w:r>
      <w:r>
        <w:rPr>
          <w:lang w:eastAsia="ja-JP"/>
        </w:rPr>
        <w:t>r</w:t>
      </w:r>
      <w:r w:rsidR="00B63EAE" w:rsidRPr="00824ECF">
        <w:rPr>
          <w:lang w:eastAsia="ja-JP"/>
        </w:rPr>
        <w:t>andomized</w:t>
      </w:r>
      <w:r>
        <w:rPr>
          <w:lang w:eastAsia="ja-JP"/>
        </w:rPr>
        <w:t xml:space="preserve"> w</w:t>
      </w:r>
      <w:r w:rsidR="00B63EAE" w:rsidRPr="00824ECF">
        <w:rPr>
          <w:lang w:eastAsia="ja-JP"/>
        </w:rPr>
        <w:t xml:space="preserve">ithdrawal </w:t>
      </w:r>
      <w:r>
        <w:rPr>
          <w:lang w:eastAsia="ja-JP"/>
        </w:rPr>
        <w:t>p</w:t>
      </w:r>
      <w:r w:rsidR="00B63EAE" w:rsidRPr="00824ECF">
        <w:rPr>
          <w:lang w:eastAsia="ja-JP"/>
        </w:rPr>
        <w:t xml:space="preserve">eriod. Summaries based on the </w:t>
      </w:r>
      <w:r>
        <w:rPr>
          <w:lang w:eastAsia="ja-JP"/>
        </w:rPr>
        <w:t>escape study set</w:t>
      </w:r>
      <w:r w:rsidR="00B63EAE" w:rsidRPr="00824ECF">
        <w:rPr>
          <w:lang w:eastAsia="ja-JP"/>
        </w:rPr>
        <w:t xml:space="preserve"> were split between study participants who entered the escape </w:t>
      </w:r>
      <w:r w:rsidR="00B63EAE" w:rsidRPr="006E4137">
        <w:t>arm: 1)</w:t>
      </w:r>
      <w:r w:rsidR="00B63EAE" w:rsidRPr="00824ECF">
        <w:rPr>
          <w:lang w:eastAsia="ja-JP"/>
        </w:rPr>
        <w:t xml:space="preserve"> due to </w:t>
      </w:r>
      <w:r w:rsidR="005960C5">
        <w:rPr>
          <w:lang w:eastAsia="ja-JP"/>
        </w:rPr>
        <w:t>PASI 90</w:t>
      </w:r>
      <w:r w:rsidR="00B63EAE" w:rsidRPr="00824ECF">
        <w:rPr>
          <w:lang w:eastAsia="ja-JP"/>
        </w:rPr>
        <w:t xml:space="preserve"> nonresponse at Week 16 or 2) due to relapse during the </w:t>
      </w:r>
      <w:r>
        <w:rPr>
          <w:lang w:eastAsia="ja-JP"/>
        </w:rPr>
        <w:t>r</w:t>
      </w:r>
      <w:r w:rsidR="00B63EAE" w:rsidRPr="00824ECF">
        <w:rPr>
          <w:lang w:eastAsia="ja-JP"/>
        </w:rPr>
        <w:t>andomized</w:t>
      </w:r>
      <w:r>
        <w:rPr>
          <w:lang w:eastAsia="ja-JP"/>
        </w:rPr>
        <w:t xml:space="preserve"> w</w:t>
      </w:r>
      <w:r w:rsidR="00B63EAE" w:rsidRPr="00824ECF">
        <w:rPr>
          <w:lang w:eastAsia="ja-JP"/>
        </w:rPr>
        <w:t xml:space="preserve">ithdrawal </w:t>
      </w:r>
      <w:r>
        <w:rPr>
          <w:lang w:eastAsia="ja-JP"/>
        </w:rPr>
        <w:t>p</w:t>
      </w:r>
      <w:r w:rsidR="00B63EAE" w:rsidRPr="00824ECF">
        <w:rPr>
          <w:lang w:eastAsia="ja-JP"/>
        </w:rPr>
        <w:t xml:space="preserve">eriod (after achieving </w:t>
      </w:r>
      <w:r w:rsidR="005960C5">
        <w:rPr>
          <w:lang w:eastAsia="ja-JP"/>
        </w:rPr>
        <w:t>PASI 90</w:t>
      </w:r>
      <w:r w:rsidR="00B63EAE" w:rsidRPr="00824ECF">
        <w:rPr>
          <w:lang w:eastAsia="ja-JP"/>
        </w:rPr>
        <w:t xml:space="preserve"> response at Week 16</w:t>
      </w:r>
      <w:proofErr w:type="gramStart"/>
      <w:r w:rsidR="00B63EAE" w:rsidRPr="00824ECF">
        <w:rPr>
          <w:lang w:eastAsia="ja-JP"/>
        </w:rPr>
        <w:t>)</w:t>
      </w:r>
      <w:r w:rsidR="00B63EAE">
        <w:rPr>
          <w:lang w:eastAsia="ja-JP"/>
        </w:rPr>
        <w:t>;</w:t>
      </w:r>
      <w:proofErr w:type="gramEnd"/>
    </w:p>
    <w:p w14:paraId="34F5FE1D" w14:textId="44A84971" w:rsidR="00B63EAE" w:rsidRPr="00824ECF" w:rsidRDefault="00B63EAE" w:rsidP="00A84F8F">
      <w:pPr>
        <w:pStyle w:val="ListBullet"/>
        <w:rPr>
          <w:lang w:eastAsia="ja-JP"/>
        </w:rPr>
      </w:pPr>
      <w:r w:rsidRPr="00824ECF">
        <w:rPr>
          <w:lang w:eastAsia="ja-JP"/>
        </w:rPr>
        <w:t xml:space="preserve">The Week 16 </w:t>
      </w:r>
      <w:r w:rsidR="001C38F5">
        <w:rPr>
          <w:lang w:eastAsia="ja-JP"/>
        </w:rPr>
        <w:t>r</w:t>
      </w:r>
      <w:r w:rsidRPr="00824ECF">
        <w:rPr>
          <w:lang w:eastAsia="ja-JP"/>
        </w:rPr>
        <w:t xml:space="preserve">esponder </w:t>
      </w:r>
      <w:r w:rsidR="001C38F5">
        <w:rPr>
          <w:lang w:eastAsia="ja-JP"/>
        </w:rPr>
        <w:t>s</w:t>
      </w:r>
      <w:r w:rsidRPr="00824ECF">
        <w:rPr>
          <w:lang w:eastAsia="ja-JP"/>
        </w:rPr>
        <w:t>et</w:t>
      </w:r>
      <w:r w:rsidR="001C38F5">
        <w:rPr>
          <w:lang w:eastAsia="ja-JP"/>
        </w:rPr>
        <w:t xml:space="preserve"> </w:t>
      </w:r>
      <w:proofErr w:type="spellStart"/>
      <w:r w:rsidRPr="00824ECF">
        <w:rPr>
          <w:lang w:eastAsia="ja-JP"/>
        </w:rPr>
        <w:t>onsisted</w:t>
      </w:r>
      <w:proofErr w:type="spellEnd"/>
      <w:r w:rsidRPr="00824ECF">
        <w:rPr>
          <w:lang w:eastAsia="ja-JP"/>
        </w:rPr>
        <w:t xml:space="preserve"> of all study participants who achieved a PASI90 response at Week 16 and received at least </w:t>
      </w:r>
      <w:r w:rsidR="005B3BF0">
        <w:rPr>
          <w:lang w:eastAsia="ja-JP"/>
        </w:rPr>
        <w:t>one</w:t>
      </w:r>
      <w:r w:rsidRPr="00824ECF">
        <w:rPr>
          <w:lang w:eastAsia="ja-JP"/>
        </w:rPr>
        <w:t xml:space="preserve"> dose of the </w:t>
      </w:r>
      <w:r w:rsidR="005B3BF0">
        <w:rPr>
          <w:lang w:eastAsia="ja-JP"/>
        </w:rPr>
        <w:t>investigational medical product</w:t>
      </w:r>
      <w:r w:rsidR="005B3BF0" w:rsidRPr="00824ECF">
        <w:rPr>
          <w:lang w:eastAsia="ja-JP"/>
        </w:rPr>
        <w:t xml:space="preserve"> </w:t>
      </w:r>
      <w:r w:rsidRPr="00824ECF">
        <w:rPr>
          <w:lang w:eastAsia="ja-JP"/>
        </w:rPr>
        <w:t xml:space="preserve">during the </w:t>
      </w:r>
      <w:r w:rsidR="005B3BF0">
        <w:rPr>
          <w:lang w:eastAsia="ja-JP"/>
        </w:rPr>
        <w:t>r</w:t>
      </w:r>
      <w:r w:rsidRPr="00824ECF">
        <w:rPr>
          <w:lang w:eastAsia="ja-JP"/>
        </w:rPr>
        <w:t>andomi</w:t>
      </w:r>
      <w:r w:rsidR="005B3BF0">
        <w:rPr>
          <w:lang w:eastAsia="ja-JP"/>
        </w:rPr>
        <w:t>s</w:t>
      </w:r>
      <w:r w:rsidRPr="00824ECF">
        <w:rPr>
          <w:lang w:eastAsia="ja-JP"/>
        </w:rPr>
        <w:t>ed-</w:t>
      </w:r>
      <w:r w:rsidR="005B3BF0">
        <w:rPr>
          <w:lang w:eastAsia="ja-JP"/>
        </w:rPr>
        <w:t>w</w:t>
      </w:r>
      <w:r w:rsidRPr="00824ECF">
        <w:rPr>
          <w:lang w:eastAsia="ja-JP"/>
        </w:rPr>
        <w:t xml:space="preserve">ithdrawal </w:t>
      </w:r>
      <w:r w:rsidR="005B3BF0">
        <w:rPr>
          <w:lang w:eastAsia="ja-JP"/>
        </w:rPr>
        <w:t>p</w:t>
      </w:r>
      <w:r w:rsidRPr="00824ECF">
        <w:rPr>
          <w:lang w:eastAsia="ja-JP"/>
        </w:rPr>
        <w:t xml:space="preserve">eriod at Week 16 or </w:t>
      </w:r>
      <w:proofErr w:type="gramStart"/>
      <w:r w:rsidRPr="00824ECF">
        <w:rPr>
          <w:lang w:eastAsia="ja-JP"/>
        </w:rPr>
        <w:t>later</w:t>
      </w:r>
      <w:r>
        <w:rPr>
          <w:lang w:eastAsia="ja-JP"/>
        </w:rPr>
        <w:t>;</w:t>
      </w:r>
      <w:proofErr w:type="gramEnd"/>
    </w:p>
    <w:p w14:paraId="5C226E42" w14:textId="7FEA5C26" w:rsidR="00B63EAE" w:rsidRPr="00824ECF" w:rsidRDefault="00B63EAE" w:rsidP="00A84F8F">
      <w:pPr>
        <w:pStyle w:val="ListBullet"/>
        <w:rPr>
          <w:lang w:eastAsia="ja-JP"/>
        </w:rPr>
      </w:pPr>
      <w:r w:rsidRPr="00824ECF">
        <w:rPr>
          <w:lang w:val="en-US"/>
        </w:rPr>
        <w:t xml:space="preserve">The </w:t>
      </w:r>
      <w:r w:rsidR="001C38F5">
        <w:rPr>
          <w:lang w:val="en-US"/>
        </w:rPr>
        <w:t>a</w:t>
      </w:r>
      <w:r w:rsidRPr="00824ECF">
        <w:rPr>
          <w:lang w:val="en-US"/>
        </w:rPr>
        <w:t xml:space="preserve">ctive </w:t>
      </w:r>
      <w:r w:rsidR="001C38F5">
        <w:rPr>
          <w:lang w:val="en-US"/>
        </w:rPr>
        <w:t>m</w:t>
      </w:r>
      <w:r w:rsidRPr="00824ECF">
        <w:rPr>
          <w:lang w:val="en-US"/>
        </w:rPr>
        <w:t xml:space="preserve">edication </w:t>
      </w:r>
      <w:r w:rsidR="001C38F5">
        <w:rPr>
          <w:lang w:val="en-US"/>
        </w:rPr>
        <w:t>s</w:t>
      </w:r>
      <w:r w:rsidRPr="00824ECF">
        <w:rPr>
          <w:lang w:val="en-US"/>
        </w:rPr>
        <w:t xml:space="preserve">et consisted of all study participants who had received at least </w:t>
      </w:r>
      <w:r w:rsidR="005B3BF0">
        <w:rPr>
          <w:lang w:val="en-US"/>
        </w:rPr>
        <w:t>one</w:t>
      </w:r>
      <w:r w:rsidRPr="00824ECF">
        <w:rPr>
          <w:lang w:val="en-US"/>
        </w:rPr>
        <w:t xml:space="preserve"> dose of active </w:t>
      </w:r>
      <w:r w:rsidR="005B3BF0">
        <w:rPr>
          <w:lang w:val="en-US"/>
        </w:rPr>
        <w:t>the investigational medical product</w:t>
      </w:r>
      <w:r w:rsidR="005B3BF0" w:rsidRPr="00824ECF">
        <w:rPr>
          <w:lang w:val="en-US"/>
        </w:rPr>
        <w:t xml:space="preserve"> </w:t>
      </w:r>
      <w:r w:rsidRPr="00824ECF">
        <w:rPr>
          <w:lang w:val="en-US"/>
        </w:rPr>
        <w:t>(</w:t>
      </w:r>
      <w:proofErr w:type="spellStart"/>
      <w:r w:rsidRPr="00824ECF">
        <w:rPr>
          <w:lang w:val="en-US"/>
        </w:rPr>
        <w:t>bimekizumab</w:t>
      </w:r>
      <w:proofErr w:type="spellEnd"/>
      <w:r w:rsidRPr="00824ECF">
        <w:rPr>
          <w:lang w:val="en-US"/>
        </w:rPr>
        <w:t xml:space="preserve">). The </w:t>
      </w:r>
      <w:r w:rsidR="001C38F5">
        <w:rPr>
          <w:lang w:val="en-US"/>
        </w:rPr>
        <w:t>a</w:t>
      </w:r>
      <w:r w:rsidR="001C38F5" w:rsidRPr="001C38F5">
        <w:rPr>
          <w:lang w:val="en-US"/>
        </w:rPr>
        <w:t xml:space="preserve">ctive </w:t>
      </w:r>
      <w:r w:rsidR="001C38F5">
        <w:rPr>
          <w:lang w:val="en-US"/>
        </w:rPr>
        <w:t>m</w:t>
      </w:r>
      <w:r w:rsidR="001C38F5" w:rsidRPr="001C38F5">
        <w:rPr>
          <w:lang w:val="en-US"/>
        </w:rPr>
        <w:t xml:space="preserve">edication </w:t>
      </w:r>
      <w:r w:rsidR="001C38F5">
        <w:rPr>
          <w:lang w:val="en-US"/>
        </w:rPr>
        <w:t>s</w:t>
      </w:r>
      <w:r w:rsidR="001C38F5" w:rsidRPr="001C38F5">
        <w:rPr>
          <w:lang w:val="en-US"/>
        </w:rPr>
        <w:t xml:space="preserve">et </w:t>
      </w:r>
      <w:r w:rsidRPr="00824ECF">
        <w:rPr>
          <w:lang w:val="en-US"/>
        </w:rPr>
        <w:t xml:space="preserve">was used for summaries of safety that included all data from the </w:t>
      </w:r>
      <w:r w:rsidR="001C38F5">
        <w:rPr>
          <w:lang w:val="en-US"/>
        </w:rPr>
        <w:t>i</w:t>
      </w:r>
      <w:r w:rsidRPr="00824ECF">
        <w:rPr>
          <w:lang w:val="en-US"/>
        </w:rPr>
        <w:t xml:space="preserve">nitial </w:t>
      </w:r>
      <w:r w:rsidR="001C38F5">
        <w:rPr>
          <w:lang w:val="en-US"/>
        </w:rPr>
        <w:t>t</w:t>
      </w:r>
      <w:r w:rsidRPr="00824ECF">
        <w:rPr>
          <w:lang w:val="en-US"/>
        </w:rPr>
        <w:t xml:space="preserve">reatment </w:t>
      </w:r>
      <w:r w:rsidR="001C38F5">
        <w:rPr>
          <w:lang w:val="en-US"/>
        </w:rPr>
        <w:t>p</w:t>
      </w:r>
      <w:r w:rsidRPr="00824ECF">
        <w:rPr>
          <w:lang w:val="en-US"/>
        </w:rPr>
        <w:t xml:space="preserve">eriod and/or </w:t>
      </w:r>
      <w:r w:rsidR="001C38F5">
        <w:rPr>
          <w:lang w:val="en-US"/>
        </w:rPr>
        <w:t>m</w:t>
      </w:r>
      <w:r w:rsidRPr="00824ECF">
        <w:rPr>
          <w:lang w:val="en-US"/>
        </w:rPr>
        <w:t xml:space="preserve">aintenance </w:t>
      </w:r>
      <w:r w:rsidR="001C38F5">
        <w:rPr>
          <w:lang w:val="en-US"/>
        </w:rPr>
        <w:t>t</w:t>
      </w:r>
      <w:r w:rsidRPr="00824ECF">
        <w:rPr>
          <w:lang w:val="en-US"/>
        </w:rPr>
        <w:t xml:space="preserve">reatment </w:t>
      </w:r>
      <w:proofErr w:type="gramStart"/>
      <w:r w:rsidR="001C38F5">
        <w:rPr>
          <w:lang w:val="en-US"/>
        </w:rPr>
        <w:t>p</w:t>
      </w:r>
      <w:r w:rsidRPr="00824ECF">
        <w:rPr>
          <w:lang w:val="en-US"/>
        </w:rPr>
        <w:t>eriod</w:t>
      </w:r>
      <w:r>
        <w:rPr>
          <w:lang w:val="en-US"/>
        </w:rPr>
        <w:t>;</w:t>
      </w:r>
      <w:proofErr w:type="gramEnd"/>
    </w:p>
    <w:p w14:paraId="2FECBE02" w14:textId="343E0099" w:rsidR="003B3A29" w:rsidRDefault="00B63EAE" w:rsidP="00A84F8F">
      <w:pPr>
        <w:pStyle w:val="ListBullet"/>
        <w:rPr>
          <w:lang w:eastAsia="ja-JP"/>
        </w:rPr>
      </w:pPr>
      <w:r w:rsidRPr="00824ECF">
        <w:rPr>
          <w:lang w:eastAsia="ja-JP"/>
        </w:rPr>
        <w:t xml:space="preserve">The </w:t>
      </w:r>
      <w:r w:rsidR="001C38F5">
        <w:rPr>
          <w:lang w:eastAsia="ja-JP"/>
        </w:rPr>
        <w:t>p</w:t>
      </w:r>
      <w:r w:rsidRPr="00824ECF">
        <w:rPr>
          <w:lang w:eastAsia="ja-JP"/>
        </w:rPr>
        <w:t>er-</w:t>
      </w:r>
      <w:r w:rsidR="001C38F5">
        <w:rPr>
          <w:lang w:eastAsia="ja-JP"/>
        </w:rPr>
        <w:t>p</w:t>
      </w:r>
      <w:r w:rsidRPr="00824ECF">
        <w:rPr>
          <w:lang w:eastAsia="ja-JP"/>
        </w:rPr>
        <w:t xml:space="preserve">rotocol </w:t>
      </w:r>
      <w:r w:rsidR="001C38F5">
        <w:rPr>
          <w:lang w:eastAsia="ja-JP"/>
        </w:rPr>
        <w:t>s</w:t>
      </w:r>
      <w:r w:rsidRPr="00824ECF">
        <w:rPr>
          <w:lang w:eastAsia="ja-JP"/>
        </w:rPr>
        <w:t xml:space="preserve">et consisted of all study participants in the </w:t>
      </w:r>
      <w:r w:rsidR="001C38F5">
        <w:rPr>
          <w:lang w:eastAsia="ja-JP"/>
        </w:rPr>
        <w:t>r</w:t>
      </w:r>
      <w:r w:rsidR="001C38F5" w:rsidRPr="00824ECF">
        <w:rPr>
          <w:lang w:eastAsia="ja-JP"/>
        </w:rPr>
        <w:t>andomi</w:t>
      </w:r>
      <w:r w:rsidR="001C38F5">
        <w:rPr>
          <w:lang w:eastAsia="ja-JP"/>
        </w:rPr>
        <w:t>s</w:t>
      </w:r>
      <w:r w:rsidR="001C38F5" w:rsidRPr="00824ECF">
        <w:rPr>
          <w:lang w:eastAsia="ja-JP"/>
        </w:rPr>
        <w:t xml:space="preserve">ed </w:t>
      </w:r>
      <w:r w:rsidR="001C38F5">
        <w:rPr>
          <w:lang w:eastAsia="ja-JP"/>
        </w:rPr>
        <w:t>set</w:t>
      </w:r>
      <w:r w:rsidRPr="00824ECF">
        <w:rPr>
          <w:lang w:eastAsia="ja-JP"/>
        </w:rPr>
        <w:t xml:space="preserve"> who had no important protocol deviations affecting the primary efficacy variables. Important protocol deviations were predefined, and study participants with important protocol deviations were evaluated during ongoing data cleaning meetings prior to unblinding of the data.</w:t>
      </w:r>
    </w:p>
    <w:p w14:paraId="49A9BA3C" w14:textId="77777777" w:rsidR="003B3A29" w:rsidRDefault="003B3A29">
      <w:pPr>
        <w:spacing w:before="0" w:after="200" w:line="0" w:lineRule="auto"/>
        <w:rPr>
          <w:lang w:eastAsia="ja-JP"/>
        </w:rPr>
      </w:pPr>
      <w:r>
        <w:rPr>
          <w:lang w:eastAsia="ja-JP"/>
        </w:rPr>
        <w:br w:type="page"/>
      </w:r>
    </w:p>
    <w:p w14:paraId="31602D07" w14:textId="757A5867" w:rsidR="00B63EAE" w:rsidRDefault="00A84F8F" w:rsidP="001C38F5">
      <w:pPr>
        <w:pStyle w:val="TableTitle"/>
      </w:pPr>
      <w:bookmarkStart w:id="110" w:name="_Ref130202052"/>
      <w:r w:rsidRPr="001C38F5">
        <w:lastRenderedPageBreak/>
        <w:t xml:space="preserve">Table </w:t>
      </w:r>
      <w:r w:rsidR="00172397">
        <w:fldChar w:fldCharType="begin"/>
      </w:r>
      <w:r w:rsidR="00172397">
        <w:instrText xml:space="preserve"> SEQ Table \* ARABIC </w:instrText>
      </w:r>
      <w:r w:rsidR="00172397">
        <w:fldChar w:fldCharType="separate"/>
      </w:r>
      <w:r w:rsidR="00B54079">
        <w:rPr>
          <w:noProof/>
        </w:rPr>
        <w:t>33</w:t>
      </w:r>
      <w:r w:rsidR="00172397">
        <w:rPr>
          <w:noProof/>
        </w:rPr>
        <w:fldChar w:fldCharType="end"/>
      </w:r>
      <w:bookmarkEnd w:id="110"/>
      <w:r>
        <w:t xml:space="preserve">: </w:t>
      </w:r>
      <w:r w:rsidR="001C38F5">
        <w:t xml:space="preserve">Study PS0013 </w:t>
      </w:r>
      <w:r w:rsidRPr="00A84F8F">
        <w:t>Disposition of analysis sets</w:t>
      </w:r>
    </w:p>
    <w:tbl>
      <w:tblPr>
        <w:tblW w:w="5000" w:type="pct"/>
        <w:jc w:val="center"/>
        <w:tblCellMar>
          <w:left w:w="0" w:type="dxa"/>
          <w:right w:w="0" w:type="dxa"/>
        </w:tblCellMar>
        <w:tblLook w:val="0000" w:firstRow="0" w:lastRow="0" w:firstColumn="0" w:lastColumn="0" w:noHBand="0" w:noVBand="0"/>
      </w:tblPr>
      <w:tblGrid>
        <w:gridCol w:w="2686"/>
        <w:gridCol w:w="1842"/>
        <w:gridCol w:w="2127"/>
        <w:gridCol w:w="1833"/>
      </w:tblGrid>
      <w:tr w:rsidR="00A84F8F" w14:paraId="6A6FA8A0" w14:textId="77777777" w:rsidTr="00A84F8F">
        <w:trPr>
          <w:trHeight w:hRule="exact" w:val="350"/>
          <w:jc w:val="center"/>
        </w:trPr>
        <w:tc>
          <w:tcPr>
            <w:tcW w:w="1582" w:type="pct"/>
            <w:vMerge w:val="restart"/>
            <w:tcBorders>
              <w:top w:val="single" w:sz="6" w:space="0" w:color="auto"/>
              <w:left w:val="single" w:sz="6" w:space="0" w:color="auto"/>
              <w:right w:val="single" w:sz="6" w:space="0" w:color="auto"/>
            </w:tcBorders>
            <w:vAlign w:val="center"/>
          </w:tcPr>
          <w:p w14:paraId="43DDA2F0" w14:textId="7AF9A2E7" w:rsidR="00A84F8F" w:rsidRPr="006E4137" w:rsidRDefault="00A84F8F" w:rsidP="00A84F8F">
            <w:pPr>
              <w:pStyle w:val="Style"/>
              <w:ind w:left="115"/>
              <w:textAlignment w:val="baseline"/>
              <w:rPr>
                <w:rFonts w:asciiTheme="minorHAnsi" w:hAnsiTheme="minorHAnsi"/>
              </w:rPr>
            </w:pPr>
            <w:r w:rsidRPr="006E4137">
              <w:rPr>
                <w:rFonts w:asciiTheme="minorHAnsi" w:hAnsiTheme="minorHAnsi"/>
                <w:b/>
                <w:sz w:val="21"/>
                <w:szCs w:val="21"/>
              </w:rPr>
              <w:t>Analysis Set</w:t>
            </w:r>
          </w:p>
        </w:tc>
        <w:tc>
          <w:tcPr>
            <w:tcW w:w="1085" w:type="pct"/>
            <w:vMerge w:val="restart"/>
            <w:tcBorders>
              <w:top w:val="single" w:sz="6" w:space="0" w:color="auto"/>
              <w:left w:val="single" w:sz="6" w:space="0" w:color="auto"/>
              <w:right w:val="single" w:sz="6" w:space="0" w:color="auto"/>
            </w:tcBorders>
            <w:vAlign w:val="center"/>
          </w:tcPr>
          <w:p w14:paraId="0DAC3F61" w14:textId="55EB6D54" w:rsidR="00A84F8F" w:rsidRPr="006E4137" w:rsidRDefault="00A84F8F" w:rsidP="00A84F8F">
            <w:pPr>
              <w:pStyle w:val="Style"/>
              <w:jc w:val="center"/>
              <w:textAlignment w:val="baseline"/>
              <w:rPr>
                <w:rFonts w:asciiTheme="minorHAnsi" w:hAnsiTheme="minorHAnsi"/>
              </w:rPr>
            </w:pPr>
            <w:r w:rsidRPr="006E4137">
              <w:rPr>
                <w:rFonts w:asciiTheme="minorHAnsi" w:hAnsiTheme="minorHAnsi"/>
                <w:b/>
                <w:sz w:val="21"/>
                <w:szCs w:val="21"/>
              </w:rPr>
              <w:t>PBO</w:t>
            </w:r>
          </w:p>
          <w:p w14:paraId="24081D2B" w14:textId="4FB0D57C" w:rsidR="00A84F8F" w:rsidRPr="006E4137" w:rsidRDefault="001D2CFA" w:rsidP="00A84F8F">
            <w:pPr>
              <w:pStyle w:val="Style"/>
              <w:ind w:left="14"/>
              <w:jc w:val="center"/>
              <w:textAlignment w:val="baseline"/>
              <w:rPr>
                <w:rFonts w:asciiTheme="minorHAnsi" w:hAnsiTheme="minorHAnsi"/>
              </w:rPr>
            </w:pPr>
            <w:r w:rsidRPr="006E4137">
              <w:rPr>
                <w:rFonts w:asciiTheme="minorHAnsi" w:hAnsiTheme="minorHAnsi"/>
                <w:b/>
                <w:sz w:val="21"/>
                <w:szCs w:val="21"/>
              </w:rPr>
              <w:t xml:space="preserve">N = </w:t>
            </w:r>
            <w:r w:rsidR="00A84F8F" w:rsidRPr="006E4137">
              <w:rPr>
                <w:rFonts w:asciiTheme="minorHAnsi" w:hAnsiTheme="minorHAnsi"/>
                <w:b/>
                <w:sz w:val="21"/>
                <w:szCs w:val="21"/>
              </w:rPr>
              <w:t>86</w:t>
            </w:r>
          </w:p>
          <w:p w14:paraId="28C0B392" w14:textId="55ED0FD4" w:rsidR="00A84F8F" w:rsidRPr="006E4137" w:rsidRDefault="00A84F8F" w:rsidP="00A84F8F">
            <w:pPr>
              <w:pStyle w:val="Style"/>
              <w:ind w:left="14"/>
              <w:jc w:val="center"/>
              <w:textAlignment w:val="baseline"/>
              <w:rPr>
                <w:rFonts w:asciiTheme="minorHAnsi" w:hAnsiTheme="minorHAnsi"/>
              </w:rPr>
            </w:pPr>
            <w:r w:rsidRPr="006E4137">
              <w:rPr>
                <w:rFonts w:asciiTheme="minorHAnsi" w:hAnsiTheme="minorHAnsi"/>
                <w:b/>
                <w:sz w:val="21"/>
                <w:szCs w:val="21"/>
              </w:rPr>
              <w:t xml:space="preserve">n </w:t>
            </w:r>
            <w:r w:rsidRPr="006E4137">
              <w:rPr>
                <w:rFonts w:asciiTheme="minorHAnsi" w:eastAsia="Arial" w:hAnsiTheme="minorHAnsi" w:cs="Arial"/>
                <w:w w:val="114"/>
                <w:sz w:val="20"/>
                <w:szCs w:val="20"/>
              </w:rPr>
              <w:t>(%)</w:t>
            </w:r>
          </w:p>
        </w:tc>
        <w:tc>
          <w:tcPr>
            <w:tcW w:w="1253" w:type="pct"/>
            <w:vMerge w:val="restart"/>
            <w:tcBorders>
              <w:top w:val="single" w:sz="6" w:space="0" w:color="auto"/>
              <w:left w:val="single" w:sz="6" w:space="0" w:color="auto"/>
              <w:right w:val="single" w:sz="6" w:space="0" w:color="auto"/>
            </w:tcBorders>
            <w:vAlign w:val="center"/>
          </w:tcPr>
          <w:p w14:paraId="2565C165" w14:textId="028518E7" w:rsidR="00A84F8F" w:rsidRPr="006E4137" w:rsidRDefault="00A84F8F" w:rsidP="00A84F8F">
            <w:pPr>
              <w:pStyle w:val="Style"/>
              <w:ind w:left="10"/>
              <w:jc w:val="center"/>
              <w:textAlignment w:val="baseline"/>
              <w:rPr>
                <w:rFonts w:asciiTheme="minorHAnsi" w:hAnsiTheme="minorHAnsi"/>
              </w:rPr>
            </w:pPr>
            <w:r w:rsidRPr="006E4137">
              <w:rPr>
                <w:rFonts w:asciiTheme="minorHAnsi" w:hAnsiTheme="minorHAnsi"/>
                <w:b/>
                <w:sz w:val="21"/>
                <w:szCs w:val="21"/>
              </w:rPr>
              <w:t>BKZ 320 mg</w:t>
            </w:r>
          </w:p>
          <w:p w14:paraId="4BB9175B" w14:textId="4F6DDDFC" w:rsidR="00A84F8F" w:rsidRPr="006E4137" w:rsidRDefault="00F23C97" w:rsidP="00A84F8F">
            <w:pPr>
              <w:pStyle w:val="Style"/>
              <w:ind w:left="10"/>
              <w:jc w:val="center"/>
              <w:textAlignment w:val="baseline"/>
              <w:rPr>
                <w:rFonts w:asciiTheme="minorHAnsi" w:hAnsiTheme="minorHAnsi"/>
              </w:rPr>
            </w:pPr>
            <w:r w:rsidRPr="006E4137">
              <w:rPr>
                <w:rFonts w:asciiTheme="minorHAnsi" w:hAnsiTheme="minorHAnsi"/>
                <w:b/>
                <w:sz w:val="21"/>
                <w:szCs w:val="21"/>
              </w:rPr>
              <w:t>every 4 weeks</w:t>
            </w:r>
          </w:p>
          <w:p w14:paraId="16C1EBD5" w14:textId="2B61D97D" w:rsidR="00A84F8F" w:rsidRPr="006E4137" w:rsidRDefault="001D2CFA" w:rsidP="00A84F8F">
            <w:pPr>
              <w:pStyle w:val="Style"/>
              <w:ind w:left="10"/>
              <w:jc w:val="center"/>
              <w:textAlignment w:val="baseline"/>
              <w:rPr>
                <w:rFonts w:asciiTheme="minorHAnsi" w:hAnsiTheme="minorHAnsi"/>
              </w:rPr>
            </w:pPr>
            <w:r w:rsidRPr="006E4137">
              <w:rPr>
                <w:rFonts w:asciiTheme="minorHAnsi" w:hAnsiTheme="minorHAnsi"/>
                <w:b/>
                <w:sz w:val="21"/>
                <w:szCs w:val="21"/>
              </w:rPr>
              <w:t xml:space="preserve">N = </w:t>
            </w:r>
            <w:r w:rsidR="00A84F8F" w:rsidRPr="006E4137">
              <w:rPr>
                <w:rFonts w:asciiTheme="minorHAnsi" w:hAnsiTheme="minorHAnsi"/>
                <w:b/>
                <w:sz w:val="21"/>
                <w:szCs w:val="21"/>
              </w:rPr>
              <w:t>349</w:t>
            </w:r>
          </w:p>
          <w:p w14:paraId="03B5AE7A" w14:textId="0A4036F2" w:rsidR="00A84F8F" w:rsidRPr="006E4137" w:rsidRDefault="00A84F8F" w:rsidP="00A84F8F">
            <w:pPr>
              <w:pStyle w:val="Style"/>
              <w:ind w:left="10"/>
              <w:jc w:val="center"/>
              <w:textAlignment w:val="baseline"/>
              <w:rPr>
                <w:rFonts w:asciiTheme="minorHAnsi" w:hAnsiTheme="minorHAnsi"/>
              </w:rPr>
            </w:pPr>
            <w:r w:rsidRPr="006E4137">
              <w:rPr>
                <w:rFonts w:asciiTheme="minorHAnsi" w:hAnsiTheme="minorHAnsi"/>
                <w:b/>
                <w:sz w:val="21"/>
                <w:szCs w:val="21"/>
              </w:rPr>
              <w:t xml:space="preserve">n </w:t>
            </w:r>
            <w:r w:rsidRPr="006E4137">
              <w:rPr>
                <w:rFonts w:asciiTheme="minorHAnsi" w:eastAsia="Arial" w:hAnsiTheme="minorHAnsi" w:cs="Arial"/>
                <w:w w:val="114"/>
                <w:sz w:val="20"/>
                <w:szCs w:val="20"/>
              </w:rPr>
              <w:t>(%)</w:t>
            </w:r>
          </w:p>
        </w:tc>
        <w:tc>
          <w:tcPr>
            <w:tcW w:w="1080" w:type="pct"/>
            <w:vMerge w:val="restart"/>
            <w:tcBorders>
              <w:top w:val="single" w:sz="6" w:space="0" w:color="auto"/>
              <w:left w:val="single" w:sz="6" w:space="0" w:color="auto"/>
              <w:right w:val="single" w:sz="6" w:space="0" w:color="auto"/>
            </w:tcBorders>
            <w:vAlign w:val="center"/>
          </w:tcPr>
          <w:p w14:paraId="2D9506F4" w14:textId="5C888C79" w:rsidR="00A84F8F" w:rsidRPr="006E4137" w:rsidRDefault="00A84F8F" w:rsidP="00A84F8F">
            <w:pPr>
              <w:pStyle w:val="Style"/>
              <w:ind w:left="19"/>
              <w:jc w:val="center"/>
              <w:textAlignment w:val="baseline"/>
              <w:rPr>
                <w:rFonts w:asciiTheme="minorHAnsi" w:hAnsiTheme="minorHAnsi"/>
              </w:rPr>
            </w:pPr>
            <w:r w:rsidRPr="006E4137">
              <w:rPr>
                <w:rFonts w:asciiTheme="minorHAnsi" w:hAnsiTheme="minorHAnsi"/>
                <w:b/>
                <w:sz w:val="21"/>
                <w:szCs w:val="21"/>
              </w:rPr>
              <w:t>All study</w:t>
            </w:r>
          </w:p>
          <w:p w14:paraId="49389555" w14:textId="7D81DE63" w:rsidR="00A84F8F" w:rsidRPr="006E4137" w:rsidRDefault="00A84F8F" w:rsidP="00A84F8F">
            <w:pPr>
              <w:pStyle w:val="Style"/>
              <w:ind w:left="19"/>
              <w:jc w:val="center"/>
              <w:textAlignment w:val="baseline"/>
              <w:rPr>
                <w:rFonts w:asciiTheme="minorHAnsi" w:hAnsiTheme="minorHAnsi"/>
              </w:rPr>
            </w:pPr>
            <w:r w:rsidRPr="006E4137">
              <w:rPr>
                <w:rFonts w:asciiTheme="minorHAnsi" w:hAnsiTheme="minorHAnsi"/>
                <w:b/>
                <w:sz w:val="21"/>
                <w:szCs w:val="21"/>
              </w:rPr>
              <w:t>participants</w:t>
            </w:r>
          </w:p>
          <w:p w14:paraId="1AC5BDCA" w14:textId="59A78B91" w:rsidR="00A84F8F" w:rsidRPr="006E4137" w:rsidRDefault="001D2CFA" w:rsidP="00A84F8F">
            <w:pPr>
              <w:pStyle w:val="Style"/>
              <w:ind w:left="19"/>
              <w:jc w:val="center"/>
              <w:textAlignment w:val="baseline"/>
              <w:rPr>
                <w:rFonts w:asciiTheme="minorHAnsi" w:hAnsiTheme="minorHAnsi"/>
              </w:rPr>
            </w:pPr>
            <w:r w:rsidRPr="006E4137">
              <w:rPr>
                <w:rFonts w:asciiTheme="minorHAnsi" w:hAnsiTheme="minorHAnsi"/>
                <w:b/>
                <w:sz w:val="21"/>
                <w:szCs w:val="21"/>
              </w:rPr>
              <w:t xml:space="preserve">N = </w:t>
            </w:r>
            <w:r w:rsidR="00A84F8F" w:rsidRPr="006E4137">
              <w:rPr>
                <w:rFonts w:asciiTheme="minorHAnsi" w:hAnsiTheme="minorHAnsi"/>
                <w:b/>
                <w:sz w:val="21"/>
                <w:szCs w:val="21"/>
              </w:rPr>
              <w:t>435</w:t>
            </w:r>
          </w:p>
          <w:p w14:paraId="6BF327E7" w14:textId="2280FE93" w:rsidR="00A84F8F" w:rsidRPr="006E4137" w:rsidRDefault="00A84F8F" w:rsidP="00A84F8F">
            <w:pPr>
              <w:pStyle w:val="Style"/>
              <w:ind w:left="19"/>
              <w:jc w:val="center"/>
              <w:textAlignment w:val="baseline"/>
              <w:rPr>
                <w:rFonts w:asciiTheme="minorHAnsi" w:hAnsiTheme="minorHAnsi"/>
              </w:rPr>
            </w:pPr>
            <w:r w:rsidRPr="006E4137">
              <w:rPr>
                <w:rFonts w:asciiTheme="minorHAnsi" w:hAnsiTheme="minorHAnsi"/>
                <w:b/>
                <w:sz w:val="21"/>
                <w:szCs w:val="21"/>
              </w:rPr>
              <w:t xml:space="preserve">n </w:t>
            </w:r>
            <w:r w:rsidRPr="006E4137">
              <w:rPr>
                <w:rFonts w:asciiTheme="minorHAnsi" w:eastAsia="Arial" w:hAnsiTheme="minorHAnsi" w:cs="Arial"/>
                <w:w w:val="114"/>
                <w:sz w:val="20"/>
                <w:szCs w:val="20"/>
              </w:rPr>
              <w:t>(%)</w:t>
            </w:r>
          </w:p>
        </w:tc>
      </w:tr>
      <w:tr w:rsidR="00A84F8F" w14:paraId="6E3038B7" w14:textId="77777777" w:rsidTr="00A84F8F">
        <w:trPr>
          <w:trHeight w:hRule="exact" w:val="250"/>
          <w:jc w:val="center"/>
        </w:trPr>
        <w:tc>
          <w:tcPr>
            <w:tcW w:w="1582" w:type="pct"/>
            <w:vMerge/>
            <w:tcBorders>
              <w:left w:val="single" w:sz="6" w:space="0" w:color="auto"/>
              <w:right w:val="single" w:sz="6" w:space="0" w:color="auto"/>
            </w:tcBorders>
            <w:vAlign w:val="center"/>
          </w:tcPr>
          <w:p w14:paraId="58A4F98F" w14:textId="782E49FA" w:rsidR="00A84F8F" w:rsidRPr="006E4137" w:rsidRDefault="00A84F8F" w:rsidP="009B153D">
            <w:pPr>
              <w:pStyle w:val="Style"/>
              <w:ind w:left="115"/>
              <w:textAlignment w:val="baseline"/>
              <w:rPr>
                <w:rFonts w:asciiTheme="minorHAnsi" w:hAnsiTheme="minorHAnsi"/>
              </w:rPr>
            </w:pPr>
          </w:p>
        </w:tc>
        <w:tc>
          <w:tcPr>
            <w:tcW w:w="1085" w:type="pct"/>
            <w:vMerge/>
            <w:tcBorders>
              <w:left w:val="single" w:sz="6" w:space="0" w:color="auto"/>
              <w:right w:val="single" w:sz="6" w:space="0" w:color="auto"/>
            </w:tcBorders>
            <w:vAlign w:val="center"/>
          </w:tcPr>
          <w:p w14:paraId="4C06D151" w14:textId="658F3B62" w:rsidR="00A84F8F" w:rsidRPr="006E4137" w:rsidRDefault="00A84F8F" w:rsidP="009B153D">
            <w:pPr>
              <w:pStyle w:val="Style"/>
              <w:ind w:left="14"/>
              <w:jc w:val="center"/>
              <w:textAlignment w:val="baseline"/>
              <w:rPr>
                <w:rFonts w:asciiTheme="minorHAnsi" w:hAnsiTheme="minorHAnsi"/>
              </w:rPr>
            </w:pPr>
          </w:p>
        </w:tc>
        <w:tc>
          <w:tcPr>
            <w:tcW w:w="1253" w:type="pct"/>
            <w:vMerge/>
            <w:tcBorders>
              <w:left w:val="single" w:sz="6" w:space="0" w:color="auto"/>
              <w:right w:val="single" w:sz="6" w:space="0" w:color="auto"/>
            </w:tcBorders>
            <w:vAlign w:val="center"/>
          </w:tcPr>
          <w:p w14:paraId="3C98FF9F" w14:textId="31E47B95" w:rsidR="00A84F8F" w:rsidRPr="006E4137" w:rsidRDefault="00A84F8F" w:rsidP="009B153D">
            <w:pPr>
              <w:pStyle w:val="Style"/>
              <w:ind w:left="10"/>
              <w:jc w:val="center"/>
              <w:textAlignment w:val="baseline"/>
              <w:rPr>
                <w:rFonts w:asciiTheme="minorHAnsi" w:hAnsiTheme="minorHAnsi"/>
              </w:rPr>
            </w:pPr>
          </w:p>
        </w:tc>
        <w:tc>
          <w:tcPr>
            <w:tcW w:w="1080" w:type="pct"/>
            <w:vMerge/>
            <w:tcBorders>
              <w:left w:val="single" w:sz="6" w:space="0" w:color="auto"/>
              <w:right w:val="single" w:sz="6" w:space="0" w:color="auto"/>
            </w:tcBorders>
            <w:vAlign w:val="center"/>
          </w:tcPr>
          <w:p w14:paraId="54933F84" w14:textId="0CBC444D" w:rsidR="00A84F8F" w:rsidRPr="006E4137" w:rsidRDefault="00A84F8F" w:rsidP="009B153D">
            <w:pPr>
              <w:pStyle w:val="Style"/>
              <w:ind w:left="19"/>
              <w:jc w:val="center"/>
              <w:textAlignment w:val="baseline"/>
              <w:rPr>
                <w:rFonts w:asciiTheme="minorHAnsi" w:hAnsiTheme="minorHAnsi"/>
              </w:rPr>
            </w:pPr>
          </w:p>
        </w:tc>
      </w:tr>
      <w:tr w:rsidR="00A84F8F" w14:paraId="637FBB5E" w14:textId="77777777" w:rsidTr="00A84F8F">
        <w:trPr>
          <w:trHeight w:hRule="exact" w:val="235"/>
          <w:jc w:val="center"/>
        </w:trPr>
        <w:tc>
          <w:tcPr>
            <w:tcW w:w="1582" w:type="pct"/>
            <w:vMerge/>
            <w:tcBorders>
              <w:left w:val="single" w:sz="6" w:space="0" w:color="auto"/>
              <w:right w:val="single" w:sz="6" w:space="0" w:color="auto"/>
            </w:tcBorders>
            <w:vAlign w:val="center"/>
          </w:tcPr>
          <w:p w14:paraId="4AFCB060" w14:textId="269F0D7F" w:rsidR="00A84F8F" w:rsidRPr="006E4137" w:rsidRDefault="00A84F8F" w:rsidP="009B153D">
            <w:pPr>
              <w:pStyle w:val="Style"/>
              <w:ind w:left="115"/>
              <w:textAlignment w:val="baseline"/>
              <w:rPr>
                <w:rFonts w:asciiTheme="minorHAnsi" w:hAnsiTheme="minorHAnsi"/>
              </w:rPr>
            </w:pPr>
          </w:p>
        </w:tc>
        <w:tc>
          <w:tcPr>
            <w:tcW w:w="1085" w:type="pct"/>
            <w:vMerge/>
            <w:tcBorders>
              <w:left w:val="single" w:sz="6" w:space="0" w:color="auto"/>
              <w:right w:val="single" w:sz="6" w:space="0" w:color="auto"/>
            </w:tcBorders>
            <w:vAlign w:val="center"/>
          </w:tcPr>
          <w:p w14:paraId="5B07424B" w14:textId="0BD52D92" w:rsidR="00A84F8F" w:rsidRPr="006E4137" w:rsidRDefault="00A84F8F" w:rsidP="009B153D">
            <w:pPr>
              <w:pStyle w:val="Style"/>
              <w:ind w:left="14"/>
              <w:jc w:val="center"/>
              <w:textAlignment w:val="baseline"/>
              <w:rPr>
                <w:rFonts w:asciiTheme="minorHAnsi" w:hAnsiTheme="minorHAnsi"/>
              </w:rPr>
            </w:pPr>
          </w:p>
        </w:tc>
        <w:tc>
          <w:tcPr>
            <w:tcW w:w="1253" w:type="pct"/>
            <w:vMerge/>
            <w:tcBorders>
              <w:left w:val="single" w:sz="6" w:space="0" w:color="auto"/>
              <w:right w:val="single" w:sz="6" w:space="0" w:color="auto"/>
            </w:tcBorders>
            <w:vAlign w:val="center"/>
          </w:tcPr>
          <w:p w14:paraId="408714E8" w14:textId="3D7749EF" w:rsidR="00A84F8F" w:rsidRPr="006E4137" w:rsidRDefault="00A84F8F" w:rsidP="009B153D">
            <w:pPr>
              <w:pStyle w:val="Style"/>
              <w:ind w:left="10"/>
              <w:jc w:val="center"/>
              <w:textAlignment w:val="baseline"/>
              <w:rPr>
                <w:rFonts w:asciiTheme="minorHAnsi" w:hAnsiTheme="minorHAnsi"/>
              </w:rPr>
            </w:pPr>
          </w:p>
        </w:tc>
        <w:tc>
          <w:tcPr>
            <w:tcW w:w="1080" w:type="pct"/>
            <w:vMerge/>
            <w:tcBorders>
              <w:left w:val="single" w:sz="6" w:space="0" w:color="auto"/>
              <w:right w:val="single" w:sz="6" w:space="0" w:color="auto"/>
            </w:tcBorders>
            <w:vAlign w:val="center"/>
          </w:tcPr>
          <w:p w14:paraId="1939E412" w14:textId="38843CB8" w:rsidR="00A84F8F" w:rsidRPr="006E4137" w:rsidRDefault="00A84F8F" w:rsidP="009B153D">
            <w:pPr>
              <w:pStyle w:val="Style"/>
              <w:ind w:left="19"/>
              <w:jc w:val="center"/>
              <w:textAlignment w:val="baseline"/>
              <w:rPr>
                <w:rFonts w:asciiTheme="minorHAnsi" w:hAnsiTheme="minorHAnsi"/>
              </w:rPr>
            </w:pPr>
          </w:p>
        </w:tc>
      </w:tr>
      <w:tr w:rsidR="00A84F8F" w14:paraId="797278A9" w14:textId="77777777" w:rsidTr="00A84F8F">
        <w:trPr>
          <w:trHeight w:hRule="exact" w:val="307"/>
          <w:jc w:val="center"/>
        </w:trPr>
        <w:tc>
          <w:tcPr>
            <w:tcW w:w="1582" w:type="pct"/>
            <w:vMerge/>
            <w:tcBorders>
              <w:left w:val="single" w:sz="6" w:space="0" w:color="auto"/>
              <w:bottom w:val="single" w:sz="6" w:space="0" w:color="auto"/>
              <w:right w:val="single" w:sz="6" w:space="0" w:color="auto"/>
            </w:tcBorders>
            <w:vAlign w:val="center"/>
          </w:tcPr>
          <w:p w14:paraId="3644037A" w14:textId="27E50347" w:rsidR="00A84F8F" w:rsidRPr="006E4137" w:rsidRDefault="00A84F8F" w:rsidP="009B153D">
            <w:pPr>
              <w:pStyle w:val="Style"/>
              <w:ind w:left="115"/>
              <w:textAlignment w:val="baseline"/>
              <w:rPr>
                <w:rFonts w:asciiTheme="minorHAnsi" w:hAnsiTheme="minorHAnsi"/>
              </w:rPr>
            </w:pPr>
          </w:p>
        </w:tc>
        <w:tc>
          <w:tcPr>
            <w:tcW w:w="1085" w:type="pct"/>
            <w:vMerge/>
            <w:tcBorders>
              <w:left w:val="single" w:sz="6" w:space="0" w:color="auto"/>
              <w:bottom w:val="single" w:sz="6" w:space="0" w:color="auto"/>
              <w:right w:val="single" w:sz="6" w:space="0" w:color="auto"/>
            </w:tcBorders>
            <w:vAlign w:val="center"/>
          </w:tcPr>
          <w:p w14:paraId="6A464299" w14:textId="48AB576F" w:rsidR="00A84F8F" w:rsidRPr="006E4137" w:rsidRDefault="00A84F8F" w:rsidP="009B153D">
            <w:pPr>
              <w:pStyle w:val="Style"/>
              <w:ind w:left="14"/>
              <w:jc w:val="center"/>
              <w:textAlignment w:val="baseline"/>
              <w:rPr>
                <w:rFonts w:asciiTheme="minorHAnsi" w:hAnsiTheme="minorHAnsi"/>
              </w:rPr>
            </w:pPr>
          </w:p>
        </w:tc>
        <w:tc>
          <w:tcPr>
            <w:tcW w:w="1253" w:type="pct"/>
            <w:vMerge/>
            <w:tcBorders>
              <w:left w:val="single" w:sz="6" w:space="0" w:color="auto"/>
              <w:bottom w:val="single" w:sz="6" w:space="0" w:color="auto"/>
              <w:right w:val="single" w:sz="6" w:space="0" w:color="auto"/>
            </w:tcBorders>
            <w:vAlign w:val="center"/>
          </w:tcPr>
          <w:p w14:paraId="2475DB46" w14:textId="65319963" w:rsidR="00A84F8F" w:rsidRPr="006E4137" w:rsidRDefault="00A84F8F" w:rsidP="009B153D">
            <w:pPr>
              <w:pStyle w:val="Style"/>
              <w:ind w:left="10"/>
              <w:jc w:val="center"/>
              <w:textAlignment w:val="baseline"/>
              <w:rPr>
                <w:rFonts w:asciiTheme="minorHAnsi" w:hAnsiTheme="minorHAnsi"/>
              </w:rPr>
            </w:pPr>
          </w:p>
        </w:tc>
        <w:tc>
          <w:tcPr>
            <w:tcW w:w="1080" w:type="pct"/>
            <w:vMerge/>
            <w:tcBorders>
              <w:left w:val="single" w:sz="6" w:space="0" w:color="auto"/>
              <w:bottom w:val="single" w:sz="6" w:space="0" w:color="auto"/>
              <w:right w:val="single" w:sz="6" w:space="0" w:color="auto"/>
            </w:tcBorders>
            <w:vAlign w:val="center"/>
          </w:tcPr>
          <w:p w14:paraId="5869D14A" w14:textId="12DC1109" w:rsidR="00A84F8F" w:rsidRPr="006E4137" w:rsidRDefault="00A84F8F" w:rsidP="009B153D">
            <w:pPr>
              <w:pStyle w:val="Style"/>
              <w:ind w:left="19"/>
              <w:jc w:val="center"/>
              <w:textAlignment w:val="baseline"/>
              <w:rPr>
                <w:rFonts w:asciiTheme="minorHAnsi" w:hAnsiTheme="minorHAnsi"/>
              </w:rPr>
            </w:pPr>
          </w:p>
        </w:tc>
      </w:tr>
      <w:tr w:rsidR="00A84F8F" w14:paraId="755790B3" w14:textId="77777777" w:rsidTr="00A84F8F">
        <w:trPr>
          <w:trHeight w:hRule="exact" w:val="384"/>
          <w:jc w:val="center"/>
        </w:trPr>
        <w:tc>
          <w:tcPr>
            <w:tcW w:w="1582" w:type="pct"/>
            <w:tcBorders>
              <w:top w:val="single" w:sz="6" w:space="0" w:color="auto"/>
              <w:left w:val="single" w:sz="6" w:space="0" w:color="auto"/>
              <w:bottom w:val="single" w:sz="6" w:space="0" w:color="auto"/>
              <w:right w:val="single" w:sz="6" w:space="0" w:color="auto"/>
            </w:tcBorders>
            <w:vAlign w:val="center"/>
          </w:tcPr>
          <w:p w14:paraId="378BEA40" w14:textId="58C1C00D" w:rsidR="00A84F8F" w:rsidRPr="006E4137" w:rsidRDefault="00A84F8F" w:rsidP="009B153D">
            <w:pPr>
              <w:pStyle w:val="Style"/>
              <w:ind w:left="115"/>
              <w:textAlignment w:val="baseline"/>
              <w:rPr>
                <w:rFonts w:ascii="Cambria" w:hAnsi="Cambria"/>
                <w:sz w:val="20"/>
                <w:szCs w:val="20"/>
              </w:rPr>
            </w:pPr>
            <w:proofErr w:type="spellStart"/>
            <w:r w:rsidRPr="006E4137">
              <w:rPr>
                <w:rFonts w:ascii="Cambria" w:hAnsi="Cambria"/>
                <w:sz w:val="20"/>
                <w:szCs w:val="20"/>
              </w:rPr>
              <w:t>R</w:t>
            </w:r>
            <w:r w:rsidR="005B3BF0" w:rsidRPr="006E4137">
              <w:rPr>
                <w:rFonts w:ascii="Cambria" w:hAnsi="Cambria"/>
                <w:sz w:val="20"/>
                <w:szCs w:val="20"/>
              </w:rPr>
              <w:t>andomised</w:t>
            </w:r>
            <w:proofErr w:type="spellEnd"/>
            <w:r w:rsidR="005B3BF0" w:rsidRPr="006E4137">
              <w:rPr>
                <w:rFonts w:ascii="Cambria" w:hAnsi="Cambria"/>
                <w:sz w:val="20"/>
                <w:szCs w:val="20"/>
              </w:rPr>
              <w:t xml:space="preserve"> set</w:t>
            </w:r>
          </w:p>
        </w:tc>
        <w:tc>
          <w:tcPr>
            <w:tcW w:w="1085" w:type="pct"/>
            <w:tcBorders>
              <w:top w:val="single" w:sz="6" w:space="0" w:color="auto"/>
              <w:left w:val="single" w:sz="6" w:space="0" w:color="auto"/>
              <w:bottom w:val="single" w:sz="6" w:space="0" w:color="auto"/>
              <w:right w:val="single" w:sz="6" w:space="0" w:color="auto"/>
            </w:tcBorders>
            <w:vAlign w:val="center"/>
          </w:tcPr>
          <w:p w14:paraId="0DA660A9" w14:textId="77777777" w:rsidR="00A84F8F" w:rsidRPr="006E4137" w:rsidRDefault="00A84F8F" w:rsidP="009B153D">
            <w:pPr>
              <w:pStyle w:val="Style"/>
              <w:ind w:left="14"/>
              <w:jc w:val="center"/>
              <w:textAlignment w:val="baseline"/>
              <w:rPr>
                <w:rFonts w:ascii="Cambria" w:hAnsi="Cambria"/>
                <w:sz w:val="20"/>
                <w:szCs w:val="20"/>
              </w:rPr>
            </w:pPr>
            <w:r w:rsidRPr="006E4137">
              <w:rPr>
                <w:rFonts w:ascii="Cambria" w:hAnsi="Cambria"/>
                <w:sz w:val="20"/>
                <w:szCs w:val="20"/>
              </w:rPr>
              <w:t xml:space="preserve">86 (100) </w:t>
            </w:r>
          </w:p>
        </w:tc>
        <w:tc>
          <w:tcPr>
            <w:tcW w:w="1253" w:type="pct"/>
            <w:tcBorders>
              <w:top w:val="single" w:sz="6" w:space="0" w:color="auto"/>
              <w:left w:val="single" w:sz="6" w:space="0" w:color="auto"/>
              <w:bottom w:val="single" w:sz="6" w:space="0" w:color="auto"/>
              <w:right w:val="single" w:sz="6" w:space="0" w:color="auto"/>
            </w:tcBorders>
            <w:vAlign w:val="center"/>
          </w:tcPr>
          <w:p w14:paraId="42D6EAD7" w14:textId="77777777" w:rsidR="00A84F8F" w:rsidRPr="006E4137" w:rsidRDefault="00A84F8F" w:rsidP="009B153D">
            <w:pPr>
              <w:pStyle w:val="Style"/>
              <w:ind w:left="10"/>
              <w:jc w:val="center"/>
              <w:textAlignment w:val="baseline"/>
              <w:rPr>
                <w:rFonts w:ascii="Cambria" w:hAnsi="Cambria"/>
                <w:sz w:val="20"/>
                <w:szCs w:val="20"/>
              </w:rPr>
            </w:pPr>
            <w:r w:rsidRPr="006E4137">
              <w:rPr>
                <w:rFonts w:ascii="Cambria" w:hAnsi="Cambria"/>
                <w:sz w:val="20"/>
                <w:szCs w:val="20"/>
              </w:rPr>
              <w:t xml:space="preserve">349 (100) </w:t>
            </w:r>
          </w:p>
        </w:tc>
        <w:tc>
          <w:tcPr>
            <w:tcW w:w="1080" w:type="pct"/>
            <w:tcBorders>
              <w:top w:val="single" w:sz="6" w:space="0" w:color="auto"/>
              <w:left w:val="single" w:sz="6" w:space="0" w:color="auto"/>
              <w:bottom w:val="single" w:sz="6" w:space="0" w:color="auto"/>
              <w:right w:val="single" w:sz="6" w:space="0" w:color="auto"/>
            </w:tcBorders>
            <w:vAlign w:val="center"/>
          </w:tcPr>
          <w:p w14:paraId="49FC23D4" w14:textId="77777777" w:rsidR="00A84F8F" w:rsidRPr="006E4137" w:rsidRDefault="00A84F8F" w:rsidP="009B153D">
            <w:pPr>
              <w:pStyle w:val="Style"/>
              <w:ind w:left="19"/>
              <w:jc w:val="center"/>
              <w:textAlignment w:val="baseline"/>
              <w:rPr>
                <w:rFonts w:ascii="Cambria" w:hAnsi="Cambria"/>
                <w:sz w:val="20"/>
                <w:szCs w:val="20"/>
              </w:rPr>
            </w:pPr>
            <w:r w:rsidRPr="006E4137">
              <w:rPr>
                <w:rFonts w:ascii="Cambria" w:hAnsi="Cambria"/>
                <w:sz w:val="20"/>
                <w:szCs w:val="20"/>
              </w:rPr>
              <w:t xml:space="preserve">435 (100) </w:t>
            </w:r>
          </w:p>
        </w:tc>
      </w:tr>
      <w:tr w:rsidR="00A84F8F" w14:paraId="107AACA2" w14:textId="77777777" w:rsidTr="00A84F8F">
        <w:trPr>
          <w:trHeight w:hRule="exact" w:val="394"/>
          <w:jc w:val="center"/>
        </w:trPr>
        <w:tc>
          <w:tcPr>
            <w:tcW w:w="1582" w:type="pct"/>
            <w:tcBorders>
              <w:top w:val="single" w:sz="6" w:space="0" w:color="auto"/>
              <w:left w:val="single" w:sz="6" w:space="0" w:color="auto"/>
              <w:bottom w:val="single" w:sz="6" w:space="0" w:color="auto"/>
              <w:right w:val="single" w:sz="6" w:space="0" w:color="auto"/>
            </w:tcBorders>
            <w:vAlign w:val="center"/>
          </w:tcPr>
          <w:p w14:paraId="3B571A50" w14:textId="1BF1A6F0" w:rsidR="00A84F8F" w:rsidRPr="006E4137" w:rsidRDefault="005B3BF0" w:rsidP="009B153D">
            <w:pPr>
              <w:pStyle w:val="Style"/>
              <w:ind w:left="115"/>
              <w:textAlignment w:val="baseline"/>
              <w:rPr>
                <w:rFonts w:ascii="Cambria" w:hAnsi="Cambria"/>
                <w:sz w:val="20"/>
                <w:szCs w:val="20"/>
              </w:rPr>
            </w:pPr>
            <w:r>
              <w:rPr>
                <w:rFonts w:ascii="Cambria" w:hAnsi="Cambria"/>
                <w:sz w:val="20"/>
                <w:szCs w:val="20"/>
              </w:rPr>
              <w:t>Safety set</w:t>
            </w:r>
          </w:p>
        </w:tc>
        <w:tc>
          <w:tcPr>
            <w:tcW w:w="1085" w:type="pct"/>
            <w:tcBorders>
              <w:top w:val="single" w:sz="6" w:space="0" w:color="auto"/>
              <w:left w:val="single" w:sz="6" w:space="0" w:color="auto"/>
              <w:bottom w:val="single" w:sz="6" w:space="0" w:color="auto"/>
              <w:right w:val="single" w:sz="6" w:space="0" w:color="auto"/>
            </w:tcBorders>
            <w:vAlign w:val="center"/>
          </w:tcPr>
          <w:p w14:paraId="17994F7F" w14:textId="77777777" w:rsidR="00A84F8F" w:rsidRPr="006E4137" w:rsidRDefault="00A84F8F" w:rsidP="009B153D">
            <w:pPr>
              <w:pStyle w:val="Style"/>
              <w:ind w:left="14"/>
              <w:jc w:val="center"/>
              <w:textAlignment w:val="baseline"/>
              <w:rPr>
                <w:rFonts w:ascii="Cambria" w:hAnsi="Cambria"/>
                <w:sz w:val="20"/>
                <w:szCs w:val="20"/>
              </w:rPr>
            </w:pPr>
            <w:r w:rsidRPr="006E4137">
              <w:rPr>
                <w:rFonts w:ascii="Cambria" w:hAnsi="Cambria"/>
                <w:sz w:val="20"/>
                <w:szCs w:val="20"/>
              </w:rPr>
              <w:t xml:space="preserve">86 (100) </w:t>
            </w:r>
          </w:p>
        </w:tc>
        <w:tc>
          <w:tcPr>
            <w:tcW w:w="1253" w:type="pct"/>
            <w:tcBorders>
              <w:top w:val="single" w:sz="6" w:space="0" w:color="auto"/>
              <w:left w:val="single" w:sz="6" w:space="0" w:color="auto"/>
              <w:bottom w:val="single" w:sz="6" w:space="0" w:color="auto"/>
              <w:right w:val="single" w:sz="6" w:space="0" w:color="auto"/>
            </w:tcBorders>
            <w:vAlign w:val="center"/>
          </w:tcPr>
          <w:p w14:paraId="6F8B8C35" w14:textId="77777777" w:rsidR="00A84F8F" w:rsidRPr="006E4137" w:rsidRDefault="00A84F8F" w:rsidP="009B153D">
            <w:pPr>
              <w:pStyle w:val="Style"/>
              <w:ind w:left="10"/>
              <w:jc w:val="center"/>
              <w:textAlignment w:val="baseline"/>
              <w:rPr>
                <w:rFonts w:ascii="Cambria" w:hAnsi="Cambria"/>
                <w:sz w:val="20"/>
                <w:szCs w:val="20"/>
              </w:rPr>
            </w:pPr>
            <w:r w:rsidRPr="006E4137">
              <w:rPr>
                <w:rFonts w:ascii="Cambria" w:hAnsi="Cambria"/>
                <w:sz w:val="20"/>
                <w:szCs w:val="20"/>
              </w:rPr>
              <w:t xml:space="preserve">349 (100) </w:t>
            </w:r>
          </w:p>
        </w:tc>
        <w:tc>
          <w:tcPr>
            <w:tcW w:w="1080" w:type="pct"/>
            <w:tcBorders>
              <w:top w:val="single" w:sz="6" w:space="0" w:color="auto"/>
              <w:left w:val="single" w:sz="6" w:space="0" w:color="auto"/>
              <w:bottom w:val="single" w:sz="6" w:space="0" w:color="auto"/>
              <w:right w:val="single" w:sz="6" w:space="0" w:color="auto"/>
            </w:tcBorders>
            <w:vAlign w:val="center"/>
          </w:tcPr>
          <w:p w14:paraId="578EBB9F" w14:textId="77777777" w:rsidR="00A84F8F" w:rsidRPr="006E4137" w:rsidRDefault="00A84F8F" w:rsidP="009B153D">
            <w:pPr>
              <w:pStyle w:val="Style"/>
              <w:ind w:left="19"/>
              <w:jc w:val="center"/>
              <w:textAlignment w:val="baseline"/>
              <w:rPr>
                <w:rFonts w:ascii="Cambria" w:hAnsi="Cambria"/>
                <w:sz w:val="20"/>
                <w:szCs w:val="20"/>
              </w:rPr>
            </w:pPr>
            <w:r w:rsidRPr="006E4137">
              <w:rPr>
                <w:rFonts w:ascii="Cambria" w:hAnsi="Cambria"/>
                <w:sz w:val="20"/>
                <w:szCs w:val="20"/>
              </w:rPr>
              <w:t xml:space="preserve">435 (100) </w:t>
            </w:r>
          </w:p>
        </w:tc>
      </w:tr>
      <w:tr w:rsidR="00A84F8F" w14:paraId="3993BC0C" w14:textId="77777777" w:rsidTr="00A84F8F">
        <w:trPr>
          <w:trHeight w:hRule="exact" w:val="384"/>
          <w:jc w:val="center"/>
        </w:trPr>
        <w:tc>
          <w:tcPr>
            <w:tcW w:w="1582" w:type="pct"/>
            <w:tcBorders>
              <w:top w:val="single" w:sz="6" w:space="0" w:color="auto"/>
              <w:left w:val="single" w:sz="6" w:space="0" w:color="auto"/>
              <w:bottom w:val="single" w:sz="6" w:space="0" w:color="auto"/>
              <w:right w:val="single" w:sz="6" w:space="0" w:color="auto"/>
            </w:tcBorders>
            <w:vAlign w:val="center"/>
          </w:tcPr>
          <w:p w14:paraId="4D3D8084" w14:textId="209E1477" w:rsidR="00A84F8F" w:rsidRPr="006E4137" w:rsidRDefault="00A84F8F" w:rsidP="009B153D">
            <w:pPr>
              <w:pStyle w:val="Style"/>
              <w:ind w:left="115"/>
              <w:textAlignment w:val="baseline"/>
              <w:rPr>
                <w:rFonts w:ascii="Cambria" w:hAnsi="Cambria"/>
                <w:sz w:val="20"/>
                <w:szCs w:val="20"/>
              </w:rPr>
            </w:pPr>
            <w:r w:rsidRPr="006E4137">
              <w:rPr>
                <w:rFonts w:ascii="Cambria" w:hAnsi="Cambria"/>
                <w:sz w:val="20"/>
                <w:szCs w:val="20"/>
              </w:rPr>
              <w:t>F</w:t>
            </w:r>
            <w:r w:rsidR="005B3BF0">
              <w:rPr>
                <w:rFonts w:ascii="Cambria" w:hAnsi="Cambria"/>
                <w:sz w:val="20"/>
                <w:szCs w:val="20"/>
              </w:rPr>
              <w:t>ull analysis set</w:t>
            </w:r>
          </w:p>
        </w:tc>
        <w:tc>
          <w:tcPr>
            <w:tcW w:w="1085" w:type="pct"/>
            <w:tcBorders>
              <w:top w:val="single" w:sz="6" w:space="0" w:color="auto"/>
              <w:left w:val="single" w:sz="6" w:space="0" w:color="auto"/>
              <w:bottom w:val="single" w:sz="6" w:space="0" w:color="auto"/>
              <w:right w:val="single" w:sz="6" w:space="0" w:color="auto"/>
            </w:tcBorders>
            <w:vAlign w:val="center"/>
          </w:tcPr>
          <w:p w14:paraId="4B783499" w14:textId="77777777" w:rsidR="00A84F8F" w:rsidRPr="006E4137" w:rsidRDefault="00A84F8F" w:rsidP="009B153D">
            <w:pPr>
              <w:pStyle w:val="Style"/>
              <w:ind w:left="14"/>
              <w:jc w:val="center"/>
              <w:textAlignment w:val="baseline"/>
              <w:rPr>
                <w:rFonts w:ascii="Cambria" w:hAnsi="Cambria"/>
                <w:sz w:val="20"/>
                <w:szCs w:val="20"/>
              </w:rPr>
            </w:pPr>
            <w:r w:rsidRPr="006E4137">
              <w:rPr>
                <w:rFonts w:ascii="Cambria" w:hAnsi="Cambria"/>
                <w:sz w:val="20"/>
                <w:szCs w:val="20"/>
              </w:rPr>
              <w:t xml:space="preserve">86 (100) </w:t>
            </w:r>
          </w:p>
        </w:tc>
        <w:tc>
          <w:tcPr>
            <w:tcW w:w="1253" w:type="pct"/>
            <w:tcBorders>
              <w:top w:val="single" w:sz="6" w:space="0" w:color="auto"/>
              <w:left w:val="single" w:sz="6" w:space="0" w:color="auto"/>
              <w:bottom w:val="single" w:sz="6" w:space="0" w:color="auto"/>
              <w:right w:val="single" w:sz="6" w:space="0" w:color="auto"/>
            </w:tcBorders>
            <w:vAlign w:val="center"/>
          </w:tcPr>
          <w:p w14:paraId="5D86B9F5" w14:textId="77777777" w:rsidR="00A84F8F" w:rsidRPr="006E4137" w:rsidRDefault="00A84F8F" w:rsidP="009B153D">
            <w:pPr>
              <w:pStyle w:val="Style"/>
              <w:ind w:left="10"/>
              <w:jc w:val="center"/>
              <w:textAlignment w:val="baseline"/>
              <w:rPr>
                <w:rFonts w:ascii="Cambria" w:hAnsi="Cambria"/>
                <w:sz w:val="20"/>
                <w:szCs w:val="20"/>
              </w:rPr>
            </w:pPr>
            <w:r w:rsidRPr="006E4137">
              <w:rPr>
                <w:rFonts w:ascii="Cambria" w:hAnsi="Cambria"/>
                <w:sz w:val="20"/>
                <w:szCs w:val="20"/>
              </w:rPr>
              <w:t xml:space="preserve">349 (100) </w:t>
            </w:r>
          </w:p>
        </w:tc>
        <w:tc>
          <w:tcPr>
            <w:tcW w:w="1080" w:type="pct"/>
            <w:tcBorders>
              <w:top w:val="single" w:sz="6" w:space="0" w:color="auto"/>
              <w:left w:val="single" w:sz="6" w:space="0" w:color="auto"/>
              <w:bottom w:val="single" w:sz="6" w:space="0" w:color="auto"/>
              <w:right w:val="single" w:sz="6" w:space="0" w:color="auto"/>
            </w:tcBorders>
            <w:vAlign w:val="center"/>
          </w:tcPr>
          <w:p w14:paraId="1498C6D2" w14:textId="77777777" w:rsidR="00A84F8F" w:rsidRPr="006E4137" w:rsidRDefault="00A84F8F" w:rsidP="009B153D">
            <w:pPr>
              <w:pStyle w:val="Style"/>
              <w:ind w:left="19"/>
              <w:jc w:val="center"/>
              <w:textAlignment w:val="baseline"/>
              <w:rPr>
                <w:rFonts w:ascii="Cambria" w:hAnsi="Cambria"/>
                <w:sz w:val="20"/>
                <w:szCs w:val="20"/>
              </w:rPr>
            </w:pPr>
            <w:r w:rsidRPr="006E4137">
              <w:rPr>
                <w:rFonts w:ascii="Cambria" w:hAnsi="Cambria"/>
                <w:sz w:val="20"/>
                <w:szCs w:val="20"/>
              </w:rPr>
              <w:t xml:space="preserve">435 (100) </w:t>
            </w:r>
          </w:p>
        </w:tc>
      </w:tr>
      <w:tr w:rsidR="00A84F8F" w14:paraId="75DD1CB6" w14:textId="77777777" w:rsidTr="00A84F8F">
        <w:trPr>
          <w:trHeight w:hRule="exact" w:val="394"/>
          <w:jc w:val="center"/>
        </w:trPr>
        <w:tc>
          <w:tcPr>
            <w:tcW w:w="1582" w:type="pct"/>
            <w:tcBorders>
              <w:top w:val="single" w:sz="6" w:space="0" w:color="auto"/>
              <w:left w:val="single" w:sz="6" w:space="0" w:color="auto"/>
              <w:bottom w:val="single" w:sz="6" w:space="0" w:color="auto"/>
              <w:right w:val="single" w:sz="6" w:space="0" w:color="auto"/>
            </w:tcBorders>
            <w:vAlign w:val="center"/>
          </w:tcPr>
          <w:p w14:paraId="73A1EB74" w14:textId="77777777" w:rsidR="00A84F8F" w:rsidRPr="006E4137" w:rsidRDefault="00A84F8F" w:rsidP="009B153D">
            <w:pPr>
              <w:pStyle w:val="Style"/>
              <w:ind w:left="115"/>
              <w:textAlignment w:val="baseline"/>
              <w:rPr>
                <w:rFonts w:ascii="Cambria" w:hAnsi="Cambria"/>
                <w:sz w:val="20"/>
                <w:szCs w:val="20"/>
              </w:rPr>
            </w:pPr>
            <w:r w:rsidRPr="006E4137">
              <w:rPr>
                <w:rFonts w:ascii="Cambria" w:hAnsi="Cambria"/>
                <w:sz w:val="20"/>
                <w:szCs w:val="20"/>
              </w:rPr>
              <w:t xml:space="preserve">WK16ResS </w:t>
            </w:r>
          </w:p>
        </w:tc>
        <w:tc>
          <w:tcPr>
            <w:tcW w:w="1085" w:type="pct"/>
            <w:tcBorders>
              <w:top w:val="single" w:sz="6" w:space="0" w:color="auto"/>
              <w:left w:val="single" w:sz="6" w:space="0" w:color="auto"/>
              <w:bottom w:val="single" w:sz="6" w:space="0" w:color="auto"/>
              <w:right w:val="single" w:sz="6" w:space="0" w:color="auto"/>
            </w:tcBorders>
            <w:vAlign w:val="center"/>
          </w:tcPr>
          <w:p w14:paraId="25D2ABD7" w14:textId="77777777" w:rsidR="00A84F8F" w:rsidRPr="006E4137" w:rsidRDefault="00A84F8F" w:rsidP="009B153D">
            <w:pPr>
              <w:pStyle w:val="Style"/>
              <w:ind w:left="14"/>
              <w:jc w:val="center"/>
              <w:textAlignment w:val="baseline"/>
              <w:rPr>
                <w:rFonts w:ascii="Cambria" w:hAnsi="Cambria"/>
                <w:sz w:val="20"/>
                <w:szCs w:val="20"/>
              </w:rPr>
            </w:pPr>
            <w:r w:rsidRPr="006E4137">
              <w:rPr>
                <w:rFonts w:ascii="Cambria" w:hAnsi="Cambria"/>
                <w:sz w:val="20"/>
                <w:szCs w:val="20"/>
              </w:rPr>
              <w:t xml:space="preserve">1 (1.2) </w:t>
            </w:r>
          </w:p>
        </w:tc>
        <w:tc>
          <w:tcPr>
            <w:tcW w:w="1253" w:type="pct"/>
            <w:tcBorders>
              <w:top w:val="single" w:sz="6" w:space="0" w:color="auto"/>
              <w:left w:val="single" w:sz="6" w:space="0" w:color="auto"/>
              <w:bottom w:val="single" w:sz="6" w:space="0" w:color="auto"/>
              <w:right w:val="single" w:sz="6" w:space="0" w:color="auto"/>
            </w:tcBorders>
            <w:vAlign w:val="center"/>
          </w:tcPr>
          <w:p w14:paraId="1E1723C2" w14:textId="77777777" w:rsidR="00A84F8F" w:rsidRPr="006E4137" w:rsidRDefault="00A84F8F" w:rsidP="009B153D">
            <w:pPr>
              <w:pStyle w:val="Style"/>
              <w:ind w:left="10"/>
              <w:jc w:val="center"/>
              <w:textAlignment w:val="baseline"/>
              <w:rPr>
                <w:rFonts w:ascii="Cambria" w:hAnsi="Cambria"/>
                <w:sz w:val="20"/>
                <w:szCs w:val="20"/>
              </w:rPr>
            </w:pPr>
            <w:r w:rsidRPr="006E4137">
              <w:rPr>
                <w:rFonts w:ascii="Cambria" w:hAnsi="Cambria"/>
                <w:sz w:val="20"/>
                <w:szCs w:val="20"/>
              </w:rPr>
              <w:t xml:space="preserve">311 (89.1) </w:t>
            </w:r>
          </w:p>
        </w:tc>
        <w:tc>
          <w:tcPr>
            <w:tcW w:w="1080" w:type="pct"/>
            <w:tcBorders>
              <w:top w:val="single" w:sz="6" w:space="0" w:color="auto"/>
              <w:left w:val="single" w:sz="6" w:space="0" w:color="auto"/>
              <w:bottom w:val="single" w:sz="6" w:space="0" w:color="auto"/>
              <w:right w:val="single" w:sz="6" w:space="0" w:color="auto"/>
            </w:tcBorders>
            <w:vAlign w:val="center"/>
          </w:tcPr>
          <w:p w14:paraId="78C39C58" w14:textId="77777777" w:rsidR="00A84F8F" w:rsidRPr="006E4137" w:rsidRDefault="00A84F8F" w:rsidP="009B153D">
            <w:pPr>
              <w:pStyle w:val="Style"/>
              <w:ind w:left="19"/>
              <w:jc w:val="center"/>
              <w:textAlignment w:val="baseline"/>
              <w:rPr>
                <w:rFonts w:ascii="Cambria" w:hAnsi="Cambria"/>
                <w:sz w:val="20"/>
                <w:szCs w:val="20"/>
              </w:rPr>
            </w:pPr>
            <w:r w:rsidRPr="006E4137">
              <w:rPr>
                <w:rFonts w:ascii="Cambria" w:hAnsi="Cambria"/>
                <w:sz w:val="20"/>
                <w:szCs w:val="20"/>
              </w:rPr>
              <w:t xml:space="preserve">312 (71.7) </w:t>
            </w:r>
          </w:p>
        </w:tc>
      </w:tr>
      <w:tr w:rsidR="00A84F8F" w14:paraId="23E234FA" w14:textId="77777777" w:rsidTr="00A84F8F">
        <w:trPr>
          <w:trHeight w:hRule="exact" w:val="384"/>
          <w:jc w:val="center"/>
        </w:trPr>
        <w:tc>
          <w:tcPr>
            <w:tcW w:w="1582" w:type="pct"/>
            <w:tcBorders>
              <w:top w:val="single" w:sz="6" w:space="0" w:color="auto"/>
              <w:left w:val="single" w:sz="6" w:space="0" w:color="auto"/>
              <w:bottom w:val="single" w:sz="6" w:space="0" w:color="auto"/>
              <w:right w:val="single" w:sz="6" w:space="0" w:color="auto"/>
            </w:tcBorders>
            <w:vAlign w:val="center"/>
          </w:tcPr>
          <w:p w14:paraId="3EA37133" w14:textId="77777777" w:rsidR="00A84F8F" w:rsidRPr="006E4137" w:rsidRDefault="00A84F8F" w:rsidP="009B153D">
            <w:pPr>
              <w:pStyle w:val="Style"/>
              <w:ind w:left="115"/>
              <w:textAlignment w:val="baseline"/>
              <w:rPr>
                <w:rFonts w:ascii="Cambria" w:hAnsi="Cambria"/>
                <w:sz w:val="20"/>
                <w:szCs w:val="20"/>
              </w:rPr>
            </w:pPr>
            <w:r w:rsidRPr="006E4137">
              <w:rPr>
                <w:rFonts w:ascii="Cambria" w:hAnsi="Cambria"/>
                <w:sz w:val="20"/>
                <w:szCs w:val="20"/>
              </w:rPr>
              <w:t xml:space="preserve">ESS </w:t>
            </w:r>
          </w:p>
        </w:tc>
        <w:tc>
          <w:tcPr>
            <w:tcW w:w="1085" w:type="pct"/>
            <w:tcBorders>
              <w:top w:val="single" w:sz="6" w:space="0" w:color="auto"/>
              <w:left w:val="single" w:sz="6" w:space="0" w:color="auto"/>
              <w:bottom w:val="single" w:sz="6" w:space="0" w:color="auto"/>
              <w:right w:val="single" w:sz="6" w:space="0" w:color="auto"/>
            </w:tcBorders>
            <w:vAlign w:val="center"/>
          </w:tcPr>
          <w:p w14:paraId="1F3A7E7B" w14:textId="77777777" w:rsidR="00A84F8F" w:rsidRPr="006E4137" w:rsidRDefault="00A84F8F" w:rsidP="009B153D">
            <w:pPr>
              <w:pStyle w:val="Style"/>
              <w:ind w:left="14"/>
              <w:jc w:val="center"/>
              <w:textAlignment w:val="baseline"/>
              <w:rPr>
                <w:rFonts w:ascii="Cambria" w:hAnsi="Cambria"/>
                <w:sz w:val="20"/>
                <w:szCs w:val="20"/>
              </w:rPr>
            </w:pPr>
            <w:r w:rsidRPr="006E4137">
              <w:rPr>
                <w:rFonts w:ascii="Cambria" w:hAnsi="Cambria"/>
                <w:sz w:val="20"/>
                <w:szCs w:val="20"/>
              </w:rPr>
              <w:t xml:space="preserve">81 (94.2) </w:t>
            </w:r>
          </w:p>
        </w:tc>
        <w:tc>
          <w:tcPr>
            <w:tcW w:w="1253" w:type="pct"/>
            <w:tcBorders>
              <w:top w:val="single" w:sz="6" w:space="0" w:color="auto"/>
              <w:left w:val="single" w:sz="6" w:space="0" w:color="auto"/>
              <w:bottom w:val="single" w:sz="6" w:space="0" w:color="auto"/>
              <w:right w:val="single" w:sz="6" w:space="0" w:color="auto"/>
            </w:tcBorders>
            <w:vAlign w:val="center"/>
          </w:tcPr>
          <w:p w14:paraId="2212FD11" w14:textId="77777777" w:rsidR="00A84F8F" w:rsidRPr="006E4137" w:rsidRDefault="00A84F8F" w:rsidP="009B153D">
            <w:pPr>
              <w:pStyle w:val="Style"/>
              <w:ind w:left="10"/>
              <w:jc w:val="center"/>
              <w:textAlignment w:val="baseline"/>
              <w:rPr>
                <w:rFonts w:ascii="Cambria" w:hAnsi="Cambria"/>
                <w:sz w:val="20"/>
                <w:szCs w:val="20"/>
              </w:rPr>
            </w:pPr>
            <w:r w:rsidRPr="006E4137">
              <w:rPr>
                <w:rFonts w:ascii="Cambria" w:hAnsi="Cambria"/>
                <w:sz w:val="20"/>
                <w:szCs w:val="20"/>
              </w:rPr>
              <w:t xml:space="preserve">101 (28.9) </w:t>
            </w:r>
          </w:p>
        </w:tc>
        <w:tc>
          <w:tcPr>
            <w:tcW w:w="1080" w:type="pct"/>
            <w:tcBorders>
              <w:top w:val="single" w:sz="6" w:space="0" w:color="auto"/>
              <w:left w:val="single" w:sz="6" w:space="0" w:color="auto"/>
              <w:bottom w:val="single" w:sz="6" w:space="0" w:color="auto"/>
              <w:right w:val="single" w:sz="6" w:space="0" w:color="auto"/>
            </w:tcBorders>
            <w:vAlign w:val="center"/>
          </w:tcPr>
          <w:p w14:paraId="4D833A7C" w14:textId="77777777" w:rsidR="00A84F8F" w:rsidRPr="006E4137" w:rsidRDefault="00A84F8F" w:rsidP="009B153D">
            <w:pPr>
              <w:pStyle w:val="Style"/>
              <w:ind w:left="19"/>
              <w:jc w:val="center"/>
              <w:textAlignment w:val="baseline"/>
              <w:rPr>
                <w:rFonts w:ascii="Cambria" w:hAnsi="Cambria"/>
                <w:sz w:val="20"/>
                <w:szCs w:val="20"/>
              </w:rPr>
            </w:pPr>
            <w:r w:rsidRPr="006E4137">
              <w:rPr>
                <w:rFonts w:ascii="Cambria" w:hAnsi="Cambria"/>
                <w:sz w:val="20"/>
                <w:szCs w:val="20"/>
              </w:rPr>
              <w:t xml:space="preserve">182 (41.8) </w:t>
            </w:r>
          </w:p>
        </w:tc>
      </w:tr>
      <w:tr w:rsidR="00A84F8F" w14:paraId="5940E17C" w14:textId="77777777" w:rsidTr="00A84F8F">
        <w:trPr>
          <w:trHeight w:hRule="exact" w:val="384"/>
          <w:jc w:val="center"/>
        </w:trPr>
        <w:tc>
          <w:tcPr>
            <w:tcW w:w="1582" w:type="pct"/>
            <w:tcBorders>
              <w:top w:val="single" w:sz="6" w:space="0" w:color="auto"/>
              <w:left w:val="single" w:sz="6" w:space="0" w:color="auto"/>
              <w:bottom w:val="single" w:sz="6" w:space="0" w:color="auto"/>
              <w:right w:val="single" w:sz="6" w:space="0" w:color="auto"/>
            </w:tcBorders>
            <w:vAlign w:val="center"/>
          </w:tcPr>
          <w:p w14:paraId="38170F1F" w14:textId="77777777" w:rsidR="00A84F8F" w:rsidRPr="006E4137" w:rsidRDefault="00A84F8F" w:rsidP="009B153D">
            <w:pPr>
              <w:pStyle w:val="Style"/>
              <w:ind w:left="115"/>
              <w:textAlignment w:val="baseline"/>
              <w:rPr>
                <w:rFonts w:ascii="Cambria" w:hAnsi="Cambria"/>
                <w:sz w:val="20"/>
                <w:szCs w:val="20"/>
              </w:rPr>
            </w:pPr>
            <w:r w:rsidRPr="006E4137">
              <w:rPr>
                <w:rFonts w:ascii="Cambria" w:hAnsi="Cambria"/>
                <w:sz w:val="20"/>
                <w:szCs w:val="20"/>
              </w:rPr>
              <w:t xml:space="preserve">AMS </w:t>
            </w:r>
          </w:p>
        </w:tc>
        <w:tc>
          <w:tcPr>
            <w:tcW w:w="1085" w:type="pct"/>
            <w:tcBorders>
              <w:top w:val="single" w:sz="6" w:space="0" w:color="auto"/>
              <w:left w:val="single" w:sz="6" w:space="0" w:color="auto"/>
              <w:bottom w:val="single" w:sz="6" w:space="0" w:color="auto"/>
              <w:right w:val="single" w:sz="6" w:space="0" w:color="auto"/>
            </w:tcBorders>
            <w:vAlign w:val="center"/>
          </w:tcPr>
          <w:p w14:paraId="67ABE9DB" w14:textId="77777777" w:rsidR="00A84F8F" w:rsidRPr="006E4137" w:rsidRDefault="00A84F8F" w:rsidP="009B153D">
            <w:pPr>
              <w:pStyle w:val="Style"/>
              <w:ind w:left="14"/>
              <w:jc w:val="center"/>
              <w:textAlignment w:val="baseline"/>
              <w:rPr>
                <w:rFonts w:ascii="Cambria" w:hAnsi="Cambria"/>
                <w:sz w:val="20"/>
                <w:szCs w:val="20"/>
              </w:rPr>
            </w:pPr>
            <w:r w:rsidRPr="006E4137">
              <w:rPr>
                <w:rFonts w:ascii="Cambria" w:hAnsi="Cambria"/>
                <w:sz w:val="20"/>
                <w:szCs w:val="20"/>
              </w:rPr>
              <w:t xml:space="preserve">81 (94.2) </w:t>
            </w:r>
          </w:p>
        </w:tc>
        <w:tc>
          <w:tcPr>
            <w:tcW w:w="1253" w:type="pct"/>
            <w:tcBorders>
              <w:top w:val="single" w:sz="6" w:space="0" w:color="auto"/>
              <w:left w:val="single" w:sz="6" w:space="0" w:color="auto"/>
              <w:bottom w:val="single" w:sz="6" w:space="0" w:color="auto"/>
              <w:right w:val="single" w:sz="6" w:space="0" w:color="auto"/>
            </w:tcBorders>
            <w:vAlign w:val="center"/>
          </w:tcPr>
          <w:p w14:paraId="49376F58" w14:textId="77777777" w:rsidR="00A84F8F" w:rsidRPr="006E4137" w:rsidRDefault="00A84F8F" w:rsidP="009B153D">
            <w:pPr>
              <w:pStyle w:val="Style"/>
              <w:ind w:left="10"/>
              <w:jc w:val="center"/>
              <w:textAlignment w:val="baseline"/>
              <w:rPr>
                <w:rFonts w:ascii="Cambria" w:hAnsi="Cambria"/>
                <w:sz w:val="20"/>
                <w:szCs w:val="20"/>
              </w:rPr>
            </w:pPr>
            <w:r w:rsidRPr="006E4137">
              <w:rPr>
                <w:rFonts w:ascii="Cambria" w:hAnsi="Cambria"/>
                <w:sz w:val="20"/>
                <w:szCs w:val="20"/>
              </w:rPr>
              <w:t xml:space="preserve">349 (100) </w:t>
            </w:r>
          </w:p>
        </w:tc>
        <w:tc>
          <w:tcPr>
            <w:tcW w:w="1080" w:type="pct"/>
            <w:tcBorders>
              <w:top w:val="single" w:sz="6" w:space="0" w:color="auto"/>
              <w:left w:val="single" w:sz="6" w:space="0" w:color="auto"/>
              <w:bottom w:val="single" w:sz="6" w:space="0" w:color="auto"/>
              <w:right w:val="single" w:sz="6" w:space="0" w:color="auto"/>
            </w:tcBorders>
            <w:vAlign w:val="center"/>
          </w:tcPr>
          <w:p w14:paraId="6EB75550" w14:textId="77777777" w:rsidR="00A84F8F" w:rsidRPr="006E4137" w:rsidRDefault="00A84F8F" w:rsidP="009B153D">
            <w:pPr>
              <w:pStyle w:val="Style"/>
              <w:ind w:left="19"/>
              <w:jc w:val="center"/>
              <w:textAlignment w:val="baseline"/>
              <w:rPr>
                <w:rFonts w:ascii="Cambria" w:hAnsi="Cambria"/>
                <w:sz w:val="20"/>
                <w:szCs w:val="20"/>
              </w:rPr>
            </w:pPr>
            <w:r w:rsidRPr="006E4137">
              <w:rPr>
                <w:rFonts w:ascii="Cambria" w:hAnsi="Cambria"/>
                <w:sz w:val="20"/>
                <w:szCs w:val="20"/>
              </w:rPr>
              <w:t xml:space="preserve">430 (98.9) </w:t>
            </w:r>
          </w:p>
        </w:tc>
      </w:tr>
      <w:tr w:rsidR="00A84F8F" w14:paraId="0C818723" w14:textId="77777777" w:rsidTr="00A84F8F">
        <w:trPr>
          <w:trHeight w:hRule="exact" w:val="394"/>
          <w:jc w:val="center"/>
        </w:trPr>
        <w:tc>
          <w:tcPr>
            <w:tcW w:w="1582" w:type="pct"/>
            <w:tcBorders>
              <w:top w:val="single" w:sz="6" w:space="0" w:color="auto"/>
              <w:left w:val="single" w:sz="6" w:space="0" w:color="auto"/>
              <w:bottom w:val="single" w:sz="6" w:space="0" w:color="auto"/>
              <w:right w:val="single" w:sz="6" w:space="0" w:color="auto"/>
            </w:tcBorders>
            <w:vAlign w:val="center"/>
          </w:tcPr>
          <w:p w14:paraId="29172F1C" w14:textId="77777777" w:rsidR="00A84F8F" w:rsidRPr="006E4137" w:rsidRDefault="00A84F8F" w:rsidP="009B153D">
            <w:pPr>
              <w:pStyle w:val="Style"/>
              <w:ind w:left="115"/>
              <w:textAlignment w:val="baseline"/>
              <w:rPr>
                <w:rFonts w:ascii="Cambria" w:hAnsi="Cambria"/>
                <w:sz w:val="20"/>
                <w:szCs w:val="20"/>
              </w:rPr>
            </w:pPr>
            <w:r w:rsidRPr="006E4137">
              <w:rPr>
                <w:rFonts w:ascii="Cambria" w:hAnsi="Cambria"/>
                <w:sz w:val="20"/>
                <w:szCs w:val="20"/>
              </w:rPr>
              <w:t xml:space="preserve">PPS </w:t>
            </w:r>
          </w:p>
        </w:tc>
        <w:tc>
          <w:tcPr>
            <w:tcW w:w="1085" w:type="pct"/>
            <w:tcBorders>
              <w:top w:val="single" w:sz="6" w:space="0" w:color="auto"/>
              <w:left w:val="single" w:sz="6" w:space="0" w:color="auto"/>
              <w:bottom w:val="single" w:sz="6" w:space="0" w:color="auto"/>
              <w:right w:val="single" w:sz="6" w:space="0" w:color="auto"/>
            </w:tcBorders>
            <w:vAlign w:val="center"/>
          </w:tcPr>
          <w:p w14:paraId="79770F93" w14:textId="77777777" w:rsidR="00A84F8F" w:rsidRPr="006E4137" w:rsidRDefault="00A84F8F" w:rsidP="009B153D">
            <w:pPr>
              <w:pStyle w:val="Style"/>
              <w:ind w:left="14"/>
              <w:jc w:val="center"/>
              <w:textAlignment w:val="baseline"/>
              <w:rPr>
                <w:rFonts w:ascii="Cambria" w:hAnsi="Cambria"/>
                <w:sz w:val="20"/>
                <w:szCs w:val="20"/>
              </w:rPr>
            </w:pPr>
            <w:r w:rsidRPr="006E4137">
              <w:rPr>
                <w:rFonts w:ascii="Cambria" w:hAnsi="Cambria"/>
                <w:sz w:val="20"/>
                <w:szCs w:val="20"/>
              </w:rPr>
              <w:t xml:space="preserve">84 (97.7) </w:t>
            </w:r>
          </w:p>
        </w:tc>
        <w:tc>
          <w:tcPr>
            <w:tcW w:w="1253" w:type="pct"/>
            <w:tcBorders>
              <w:top w:val="single" w:sz="6" w:space="0" w:color="auto"/>
              <w:left w:val="single" w:sz="6" w:space="0" w:color="auto"/>
              <w:bottom w:val="single" w:sz="6" w:space="0" w:color="auto"/>
              <w:right w:val="single" w:sz="6" w:space="0" w:color="auto"/>
            </w:tcBorders>
            <w:vAlign w:val="center"/>
          </w:tcPr>
          <w:p w14:paraId="679D6267" w14:textId="77777777" w:rsidR="00A84F8F" w:rsidRPr="006E4137" w:rsidRDefault="00A84F8F" w:rsidP="009B153D">
            <w:pPr>
              <w:pStyle w:val="Style"/>
              <w:ind w:left="10"/>
              <w:jc w:val="center"/>
              <w:textAlignment w:val="baseline"/>
              <w:rPr>
                <w:rFonts w:ascii="Cambria" w:hAnsi="Cambria"/>
                <w:sz w:val="20"/>
                <w:szCs w:val="20"/>
              </w:rPr>
            </w:pPr>
            <w:r w:rsidRPr="006E4137">
              <w:rPr>
                <w:rFonts w:ascii="Cambria" w:hAnsi="Cambria"/>
                <w:sz w:val="20"/>
                <w:szCs w:val="20"/>
              </w:rPr>
              <w:t xml:space="preserve">344 (98.6) </w:t>
            </w:r>
          </w:p>
        </w:tc>
        <w:tc>
          <w:tcPr>
            <w:tcW w:w="1080" w:type="pct"/>
            <w:tcBorders>
              <w:top w:val="single" w:sz="6" w:space="0" w:color="auto"/>
              <w:left w:val="single" w:sz="6" w:space="0" w:color="auto"/>
              <w:bottom w:val="single" w:sz="6" w:space="0" w:color="auto"/>
              <w:right w:val="single" w:sz="6" w:space="0" w:color="auto"/>
            </w:tcBorders>
            <w:vAlign w:val="center"/>
          </w:tcPr>
          <w:p w14:paraId="1BD4E7C1" w14:textId="77777777" w:rsidR="00A84F8F" w:rsidRPr="006E4137" w:rsidRDefault="00A84F8F" w:rsidP="009B153D">
            <w:pPr>
              <w:pStyle w:val="Style"/>
              <w:ind w:left="19"/>
              <w:jc w:val="center"/>
              <w:textAlignment w:val="baseline"/>
              <w:rPr>
                <w:rFonts w:ascii="Cambria" w:hAnsi="Cambria"/>
                <w:sz w:val="20"/>
                <w:szCs w:val="20"/>
              </w:rPr>
            </w:pPr>
            <w:r w:rsidRPr="006E4137">
              <w:rPr>
                <w:rFonts w:ascii="Cambria" w:hAnsi="Cambria"/>
                <w:sz w:val="20"/>
                <w:szCs w:val="20"/>
              </w:rPr>
              <w:t xml:space="preserve">428 (98.4) </w:t>
            </w:r>
          </w:p>
        </w:tc>
      </w:tr>
    </w:tbl>
    <w:p w14:paraId="2B2587F1" w14:textId="25459773" w:rsidR="001C38F5" w:rsidRPr="006E4137" w:rsidRDefault="005B3BF0" w:rsidP="006E4137">
      <w:pPr>
        <w:pStyle w:val="FigureDescription"/>
      </w:pPr>
      <w:r w:rsidRPr="006E4137">
        <w:t xml:space="preserve">Abbreviations: </w:t>
      </w:r>
      <w:r w:rsidR="001C38F5" w:rsidRPr="006E4137">
        <w:t xml:space="preserve">AMS = Active Medication Set; BKZ = </w:t>
      </w:r>
      <w:proofErr w:type="spellStart"/>
      <w:r w:rsidR="001C38F5" w:rsidRPr="006E4137">
        <w:t>bimekizumab</w:t>
      </w:r>
      <w:proofErr w:type="spellEnd"/>
      <w:r w:rsidR="001C38F5" w:rsidRPr="006E4137">
        <w:t>; ESS = escape study set; FAS = Full Analysis Set; PBO = placebo; PPS = Per-Protocol Set; PK- PPS = Pharmacokinetics; Per-Protocol Set; Q4W = every 4 weeks; RS = Randomised Set; SS = Safety Set.</w:t>
      </w:r>
    </w:p>
    <w:p w14:paraId="297977A9" w14:textId="40D0F3CB" w:rsidR="00A84F8F" w:rsidRDefault="00A84F8F" w:rsidP="00A84F8F">
      <w:pPr>
        <w:pStyle w:val="Heading6"/>
      </w:pPr>
      <w:r>
        <w:t>Sample size</w:t>
      </w:r>
    </w:p>
    <w:p w14:paraId="272F4ABD" w14:textId="1E18E2FB" w:rsidR="00A84F8F" w:rsidRDefault="00A84F8F" w:rsidP="00A84F8F">
      <w:r>
        <w:t>Approximately 400 study participants were to be randomly assigned in a 4: 1 ratio to the following treatment groups:</w:t>
      </w:r>
    </w:p>
    <w:p w14:paraId="5C530E46" w14:textId="3BC879CC" w:rsidR="00A84F8F" w:rsidRDefault="008B40FD" w:rsidP="00A84F8F">
      <w:pPr>
        <w:pStyle w:val="ListBullet"/>
      </w:pPr>
      <w:proofErr w:type="spellStart"/>
      <w:r>
        <w:t>bimekizumab</w:t>
      </w:r>
      <w:proofErr w:type="spellEnd"/>
      <w:r w:rsidR="00A84F8F">
        <w:t xml:space="preserve"> </w:t>
      </w:r>
      <w:r w:rsidR="001D2CFA">
        <w:t>320 mg</w:t>
      </w:r>
      <w:r w:rsidR="00A84F8F">
        <w:t xml:space="preserve"> (approximately 320 study participants)</w:t>
      </w:r>
    </w:p>
    <w:p w14:paraId="7957768F" w14:textId="0CF05D48" w:rsidR="00A84F8F" w:rsidRDefault="004858E7" w:rsidP="00A84F8F">
      <w:pPr>
        <w:pStyle w:val="ListBullet"/>
      </w:pPr>
      <w:r>
        <w:t>placebo</w:t>
      </w:r>
      <w:r w:rsidR="00A84F8F">
        <w:t xml:space="preserve"> (approximately 80 study participants) </w:t>
      </w:r>
    </w:p>
    <w:p w14:paraId="2B6C31B4" w14:textId="716C51B3" w:rsidR="00A84F8F" w:rsidRDefault="00A84F8F" w:rsidP="00A84F8F">
      <w:r>
        <w:t xml:space="preserve">The assumed response rates for PASI 90 at Week 16 were 75% and 2% for </w:t>
      </w:r>
      <w:proofErr w:type="spellStart"/>
      <w:r w:rsidR="008B40FD">
        <w:t>bimekizumab</w:t>
      </w:r>
      <w:proofErr w:type="spellEnd"/>
      <w:r>
        <w:t xml:space="preserve"> and </w:t>
      </w:r>
      <w:r w:rsidR="004858E7">
        <w:t>placebo</w:t>
      </w:r>
      <w:r>
        <w:t>, respectively.</w:t>
      </w:r>
    </w:p>
    <w:p w14:paraId="70BB93A4" w14:textId="5C47269B" w:rsidR="00A84F8F" w:rsidRDefault="00A84F8F" w:rsidP="00A84F8F">
      <w:r>
        <w:t xml:space="preserve">Additionally, the assumed response rates for IGA 0/1 response were 85% and 5% for </w:t>
      </w:r>
      <w:proofErr w:type="spellStart"/>
      <w:r w:rsidR="008B40FD">
        <w:t>bimekizumab</w:t>
      </w:r>
      <w:proofErr w:type="spellEnd"/>
      <w:r>
        <w:t xml:space="preserve"> and </w:t>
      </w:r>
      <w:r w:rsidR="004858E7">
        <w:t>placebo</w:t>
      </w:r>
      <w:r>
        <w:t xml:space="preserve">, respectively. The assumed response rates for </w:t>
      </w:r>
      <w:proofErr w:type="spellStart"/>
      <w:r w:rsidR="008B40FD">
        <w:t>bimekizumab</w:t>
      </w:r>
      <w:proofErr w:type="spellEnd"/>
      <w:r>
        <w:t xml:space="preserve"> were based on the Phase </w:t>
      </w:r>
      <w:r w:rsidR="001C38F5">
        <w:t>II</w:t>
      </w:r>
      <w:r>
        <w:t xml:space="preserve">b </w:t>
      </w:r>
      <w:r w:rsidR="003B3A29">
        <w:t xml:space="preserve">Study </w:t>
      </w:r>
      <w:r>
        <w:t>PS00l0 data.</w:t>
      </w:r>
    </w:p>
    <w:p w14:paraId="671BDED5" w14:textId="21F217BD" w:rsidR="00A84F8F" w:rsidRDefault="00A84F8F" w:rsidP="00A84F8F">
      <w:r>
        <w:t xml:space="preserve">The power to show statistical superiority of </w:t>
      </w:r>
      <w:proofErr w:type="spellStart"/>
      <w:r w:rsidR="008B40FD">
        <w:t>bimekizumab</w:t>
      </w:r>
      <w:proofErr w:type="spellEnd"/>
      <w:r>
        <w:t xml:space="preserve"> relative to </w:t>
      </w:r>
      <w:r w:rsidR="004858E7">
        <w:t>placebo</w:t>
      </w:r>
      <w:r>
        <w:t xml:space="preserve"> under these assumptions was </w:t>
      </w:r>
      <w:r w:rsidR="003B3A29">
        <w:t xml:space="preserve">greater than </w:t>
      </w:r>
      <w:r>
        <w:t>99% for the co-primary endpoints.</w:t>
      </w:r>
    </w:p>
    <w:p w14:paraId="4997926E" w14:textId="47576E9C" w:rsidR="00A84F8F" w:rsidRDefault="00A84F8F" w:rsidP="00A84F8F">
      <w:pPr>
        <w:pStyle w:val="Heading6"/>
      </w:pPr>
      <w:r>
        <w:t>Statistical methods</w:t>
      </w:r>
    </w:p>
    <w:p w14:paraId="56D959A8" w14:textId="77777777" w:rsidR="00A84F8F" w:rsidRDefault="00A84F8F" w:rsidP="00A84F8F">
      <w:r>
        <w:t>The co-primary efficacy variables for this study were PASI 90 response and IGA 0/1 response at Week 16.</w:t>
      </w:r>
    </w:p>
    <w:p w14:paraId="6B5157BF" w14:textId="2E349D3E" w:rsidR="00A84F8F" w:rsidRDefault="00A84F8F" w:rsidP="00A84F8F">
      <w:r>
        <w:t xml:space="preserve">The corresponding analyses were based on the </w:t>
      </w:r>
      <w:r w:rsidR="003B3A29">
        <w:t>randomised set</w:t>
      </w:r>
      <w:r>
        <w:t>.</w:t>
      </w:r>
    </w:p>
    <w:p w14:paraId="2AA032CC" w14:textId="77777777" w:rsidR="00A84F8F" w:rsidRDefault="00A84F8F" w:rsidP="00A84F8F">
      <w:r>
        <w:t>A study participant was classified as a PASI 90 responder if the PASI score at Week 16 has improved 90% from Baseline.</w:t>
      </w:r>
    </w:p>
    <w:p w14:paraId="5EC9920D" w14:textId="76A61109" w:rsidR="00A84F8F" w:rsidRDefault="00A84F8F" w:rsidP="00A84F8F">
      <w:r>
        <w:t xml:space="preserve">An IGA 0/1 responder was any study participant with a score of 0 or 1 (Clear or Almost Clear) with at least a </w:t>
      </w:r>
      <w:proofErr w:type="gramStart"/>
      <w:r w:rsidR="003B3A29">
        <w:t xml:space="preserve">two </w:t>
      </w:r>
      <w:r>
        <w:t>category</w:t>
      </w:r>
      <w:proofErr w:type="gramEnd"/>
      <w:r>
        <w:t xml:space="preserve"> improvement from Baseline to Week 16 in IGA score.</w:t>
      </w:r>
    </w:p>
    <w:p w14:paraId="75F4E3AC" w14:textId="7F65F3FA" w:rsidR="00A84F8F" w:rsidRDefault="00A84F8F" w:rsidP="00A84F8F">
      <w:r>
        <w:t>The primary analysis was based on the stratified</w:t>
      </w:r>
      <w:r w:rsidR="003B3A29">
        <w:t xml:space="preserve"> CMH</w:t>
      </w:r>
      <w:r>
        <w:t xml:space="preserve"> test where region and prior biologic exposure (yes/no) were used as stratification variables.</w:t>
      </w:r>
    </w:p>
    <w:p w14:paraId="4ECF2D5A" w14:textId="77777777" w:rsidR="00A84F8F" w:rsidRDefault="00A84F8F" w:rsidP="00A84F8F">
      <w:r>
        <w:t>Pairwise treatment comparisons were made based on the CMH test using the p-value for the general association.</w:t>
      </w:r>
    </w:p>
    <w:p w14:paraId="7D0BB6E0" w14:textId="2F0E1E3B" w:rsidR="00A84F8F" w:rsidRDefault="00A84F8F" w:rsidP="00A84F8F">
      <w:r>
        <w:t>The odds ratio and associated CI based on the Wald test were provided.</w:t>
      </w:r>
    </w:p>
    <w:p w14:paraId="45739FC4" w14:textId="4BAA8E22" w:rsidR="00A84F8F" w:rsidRDefault="00A84F8F" w:rsidP="00A84F8F">
      <w:r>
        <w:t>If one of the treatment groups had zero or very low response where the CMH odds ratio could no longer be calculated, the logit method was applied instead.</w:t>
      </w:r>
    </w:p>
    <w:p w14:paraId="0042B367" w14:textId="691B79E1" w:rsidR="00A84F8F" w:rsidRDefault="00A84F8F" w:rsidP="00A84F8F">
      <w:r>
        <w:lastRenderedPageBreak/>
        <w:t>Non-responder imputation was used to account for missing data in the primary analysis. Specifically, any study participant who withdrew from IMP prior to Week 16 or who had missing data for the co-primary efficacy variables at the Week 16 time point was considered a non-responder.</w:t>
      </w:r>
    </w:p>
    <w:p w14:paraId="5E1F8A2C" w14:textId="49089BF7" w:rsidR="00A84F8F" w:rsidRDefault="00A84F8F" w:rsidP="00A84F8F">
      <w:pPr>
        <w:pStyle w:val="Heading6"/>
      </w:pPr>
      <w:r w:rsidRPr="00A84F8F">
        <w:t>Baseline demographic characteristics</w:t>
      </w:r>
    </w:p>
    <w:p w14:paraId="649FEA84" w14:textId="5C9213EB" w:rsidR="00A84F8F" w:rsidRDefault="00A84F8F" w:rsidP="00A84F8F">
      <w:pPr>
        <w:ind w:right="41"/>
        <w:rPr>
          <w:lang w:eastAsia="ja-JP"/>
        </w:rPr>
      </w:pPr>
      <w:r w:rsidRPr="00CA328C">
        <w:rPr>
          <w:bCs/>
        </w:rPr>
        <w:t xml:space="preserve">The age range across the study participants was 18 to &lt;85 years, with a mean </w:t>
      </w:r>
      <w:r>
        <w:rPr>
          <w:bCs/>
        </w:rPr>
        <w:t xml:space="preserve">± SD </w:t>
      </w:r>
      <w:r w:rsidRPr="00CA328C">
        <w:rPr>
          <w:bCs/>
        </w:rPr>
        <w:t>of</w:t>
      </w:r>
      <w:r>
        <w:rPr>
          <w:bCs/>
        </w:rPr>
        <w:t xml:space="preserve"> </w:t>
      </w:r>
      <w:r w:rsidRPr="00CA328C">
        <w:rPr>
          <w:bCs/>
        </w:rPr>
        <w:t>44.</w:t>
      </w:r>
      <w:r>
        <w:rPr>
          <w:bCs/>
        </w:rPr>
        <w:t>3</w:t>
      </w:r>
      <w:r w:rsidR="005B3BF0">
        <w:rPr>
          <w:bCs/>
        </w:rPr>
        <w:t xml:space="preserve"> </w:t>
      </w:r>
      <w:r w:rsidRPr="00CA328C">
        <w:rPr>
          <w:bCs/>
        </w:rPr>
        <w:t>±1</w:t>
      </w:r>
      <w:r>
        <w:rPr>
          <w:bCs/>
        </w:rPr>
        <w:t>2.9</w:t>
      </w:r>
      <w:r w:rsidRPr="00CA328C">
        <w:rPr>
          <w:bCs/>
        </w:rPr>
        <w:t xml:space="preserve">. There were more males </w:t>
      </w:r>
      <w:r>
        <w:rPr>
          <w:bCs/>
        </w:rPr>
        <w:t>313</w:t>
      </w:r>
      <w:r w:rsidRPr="00CA328C">
        <w:t xml:space="preserve"> (</w:t>
      </w:r>
      <w:r>
        <w:t xml:space="preserve">72 </w:t>
      </w:r>
      <w:r w:rsidRPr="00CA328C">
        <w:t xml:space="preserve">%) </w:t>
      </w:r>
      <w:r w:rsidRPr="00CA328C">
        <w:rPr>
          <w:bCs/>
        </w:rPr>
        <w:t xml:space="preserve">than females </w:t>
      </w:r>
      <w:r w:rsidRPr="00CA328C">
        <w:t>1</w:t>
      </w:r>
      <w:r>
        <w:t xml:space="preserve">22 </w:t>
      </w:r>
      <w:r w:rsidRPr="00CA328C">
        <w:t>(</w:t>
      </w:r>
      <w:r>
        <w:t xml:space="preserve">28 </w:t>
      </w:r>
      <w:r w:rsidRPr="00CA328C">
        <w:t>%)</w:t>
      </w:r>
      <w:r>
        <w:t>,</w:t>
      </w:r>
      <w:r w:rsidRPr="00CA328C">
        <w:t xml:space="preserve"> as per </w:t>
      </w:r>
      <w:r w:rsidR="00107A8B">
        <w:fldChar w:fldCharType="begin"/>
      </w:r>
      <w:r w:rsidR="00107A8B">
        <w:instrText xml:space="preserve"> REF _Ref130202035 \h </w:instrText>
      </w:r>
      <w:r w:rsidR="00107A8B">
        <w:fldChar w:fldCharType="separate"/>
      </w:r>
      <w:r w:rsidR="00B54079" w:rsidRPr="003B3A29">
        <w:t xml:space="preserve">Table </w:t>
      </w:r>
      <w:r w:rsidR="00B54079">
        <w:rPr>
          <w:noProof/>
        </w:rPr>
        <w:t>34</w:t>
      </w:r>
      <w:r w:rsidR="00107A8B">
        <w:fldChar w:fldCharType="end"/>
      </w:r>
      <w:r w:rsidRPr="00CA328C">
        <w:t>.</w:t>
      </w:r>
    </w:p>
    <w:p w14:paraId="6A542513" w14:textId="2B48EF83" w:rsidR="00A84F8F" w:rsidRDefault="00A84F8F" w:rsidP="003B3A29">
      <w:pPr>
        <w:pStyle w:val="TableTitle"/>
      </w:pPr>
      <w:bookmarkStart w:id="111" w:name="_Ref130202035"/>
      <w:r w:rsidRPr="003B3A29">
        <w:t xml:space="preserve">Table </w:t>
      </w:r>
      <w:r w:rsidR="00172397">
        <w:fldChar w:fldCharType="begin"/>
      </w:r>
      <w:r w:rsidR="00172397">
        <w:instrText xml:space="preserve"> SEQ Table \* ARABIC </w:instrText>
      </w:r>
      <w:r w:rsidR="00172397">
        <w:fldChar w:fldCharType="separate"/>
      </w:r>
      <w:r w:rsidR="00B54079">
        <w:rPr>
          <w:noProof/>
        </w:rPr>
        <w:t>34</w:t>
      </w:r>
      <w:r w:rsidR="00172397">
        <w:rPr>
          <w:noProof/>
        </w:rPr>
        <w:fldChar w:fldCharType="end"/>
      </w:r>
      <w:bookmarkEnd w:id="111"/>
      <w:r>
        <w:t>:</w:t>
      </w:r>
      <w:r w:rsidR="003B3A29">
        <w:t xml:space="preserve"> Study PS0013 </w:t>
      </w:r>
      <w:r w:rsidR="003B3A29" w:rsidRPr="003B3A29">
        <w:t>Demographics</w:t>
      </w:r>
    </w:p>
    <w:p w14:paraId="6480E864" w14:textId="0FB6AF6F" w:rsidR="00A84F8F" w:rsidRDefault="00A84F8F" w:rsidP="00A84F8F">
      <w:r>
        <w:rPr>
          <w:noProof/>
          <w:lang w:val="en-GB" w:eastAsia="en-GB"/>
        </w:rPr>
        <w:drawing>
          <wp:inline distT="0" distB="0" distL="0" distR="0" wp14:anchorId="320BA882" wp14:editId="252E86DA">
            <wp:extent cx="4967949" cy="4710023"/>
            <wp:effectExtent l="0" t="0" r="4445" b="0"/>
            <wp:docPr id="250" name="Picture 250" descr=": Study PS0013 Demo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 Study PS0013 Demographics"/>
                    <pic:cNvPicPr/>
                  </pic:nvPicPr>
                  <pic:blipFill rotWithShape="1">
                    <a:blip r:embed="rId40"/>
                    <a:srcRect l="3354" r="4632"/>
                    <a:stretch/>
                  </pic:blipFill>
                  <pic:spPr bwMode="auto">
                    <a:xfrm>
                      <a:off x="0" y="0"/>
                      <a:ext cx="4983833" cy="4725082"/>
                    </a:xfrm>
                    <a:prstGeom prst="rect">
                      <a:avLst/>
                    </a:prstGeom>
                    <a:ln>
                      <a:noFill/>
                    </a:ln>
                    <a:extLst>
                      <a:ext uri="{53640926-AAD7-44D8-BBD7-CCE9431645EC}">
                        <a14:shadowObscured xmlns:a14="http://schemas.microsoft.com/office/drawing/2010/main"/>
                      </a:ext>
                    </a:extLst>
                  </pic:spPr>
                </pic:pic>
              </a:graphicData>
            </a:graphic>
          </wp:inline>
        </w:drawing>
      </w:r>
    </w:p>
    <w:p w14:paraId="1F80D78A" w14:textId="1E891E1C" w:rsidR="003B3A29" w:rsidRDefault="003B3A29" w:rsidP="003B3A29">
      <w:pPr>
        <w:pStyle w:val="TableDescription"/>
      </w:pPr>
      <w:r>
        <w:t xml:space="preserve">BKZ = </w:t>
      </w:r>
      <w:proofErr w:type="spellStart"/>
      <w:r>
        <w:t>bimekizumab</w:t>
      </w:r>
      <w:proofErr w:type="spellEnd"/>
      <w:r>
        <w:t>; BMI = body mass index; EudraCT = European Union Drug Regulating Authorities Clinical Trials; max = maximum; min = minimum; PBO = placebo; Q4W = every 4 weeks; RS = randomised set; SD = standard deviation</w:t>
      </w:r>
    </w:p>
    <w:p w14:paraId="317F5C76" w14:textId="4FA6BE6C" w:rsidR="003B3A29" w:rsidRDefault="003B3A29" w:rsidP="003B3A29">
      <w:pPr>
        <w:pStyle w:val="TableDescription"/>
      </w:pPr>
      <w:r>
        <w:t>Note: Study participants were summarized according to randomized treatment at Baseline in the Initial Treatment Period.</w:t>
      </w:r>
    </w:p>
    <w:p w14:paraId="6E74E8F3" w14:textId="672EC245" w:rsidR="003B3A29" w:rsidRDefault="003B3A29" w:rsidP="003B3A29">
      <w:pPr>
        <w:pStyle w:val="TableDescription"/>
      </w:pPr>
      <w:proofErr w:type="gramStart"/>
      <w:r>
        <w:rPr>
          <w:sz w:val="13"/>
          <w:szCs w:val="13"/>
        </w:rPr>
        <w:t xml:space="preserve">“ </w:t>
      </w:r>
      <w:r>
        <w:t>EudraCT</w:t>
      </w:r>
      <w:proofErr w:type="gramEnd"/>
      <w:r>
        <w:t xml:space="preserve"> age categories</w:t>
      </w:r>
    </w:p>
    <w:p w14:paraId="0E9CBD51" w14:textId="1CE68E17" w:rsidR="00A84F8F" w:rsidRDefault="00A84F8F" w:rsidP="00A84F8F">
      <w:r w:rsidRPr="00A84F8F">
        <w:t>There were also more Caucasians 403 (92.6 %) than all other race (7.4%).</w:t>
      </w:r>
    </w:p>
    <w:p w14:paraId="53E5D588" w14:textId="3CAEEA27" w:rsidR="00A84F8F" w:rsidRDefault="00A84F8F" w:rsidP="00A84F8F">
      <w:r>
        <w:t xml:space="preserve">The </w:t>
      </w:r>
      <w:r w:rsidR="005B3BF0">
        <w:rPr>
          <w:bCs/>
        </w:rPr>
        <w:t xml:space="preserve">TGA’s clinical evaluation noted </w:t>
      </w:r>
      <w:r>
        <w:t xml:space="preserve">that demographic characteristics were well balanced between the </w:t>
      </w:r>
      <w:proofErr w:type="spellStart"/>
      <w:r w:rsidR="008B40FD">
        <w:t>bimekizumab</w:t>
      </w:r>
      <w:proofErr w:type="spellEnd"/>
      <w:r>
        <w:t xml:space="preserve"> </w:t>
      </w:r>
      <w:r w:rsidR="001D2CFA">
        <w:t>320 mg</w:t>
      </w:r>
      <w:r>
        <w:t xml:space="preserve"> </w:t>
      </w:r>
      <w:r w:rsidR="00F23C97">
        <w:t>every 4 weeks</w:t>
      </w:r>
      <w:r>
        <w:t xml:space="preserve"> group and the </w:t>
      </w:r>
      <w:r w:rsidR="004858E7">
        <w:t>placebo</w:t>
      </w:r>
      <w:r>
        <w:t xml:space="preserve"> group. The proportions of study participants enrolled in each region were similar between treatment groups (region was a stratification factor for randomisation).</w:t>
      </w:r>
    </w:p>
    <w:p w14:paraId="2D2CB93E" w14:textId="0C51517C" w:rsidR="00A84F8F" w:rsidRDefault="00A84F8F" w:rsidP="00A84F8F">
      <w:pPr>
        <w:pStyle w:val="Heading6"/>
      </w:pPr>
      <w:r w:rsidRPr="00A84F8F">
        <w:lastRenderedPageBreak/>
        <w:t>Baseline disease characteristics</w:t>
      </w:r>
    </w:p>
    <w:p w14:paraId="26AFC99B" w14:textId="0B6AD70E" w:rsidR="00107A8B" w:rsidRPr="00107A8B" w:rsidRDefault="00107A8B" w:rsidP="00107A8B">
      <w:pPr>
        <w:pStyle w:val="TableTitle"/>
      </w:pPr>
      <w:bookmarkStart w:id="112" w:name="_Ref130202873"/>
      <w:r w:rsidRPr="00107A8B">
        <w:t xml:space="preserve">Table </w:t>
      </w:r>
      <w:r w:rsidR="00172397">
        <w:fldChar w:fldCharType="begin"/>
      </w:r>
      <w:r w:rsidR="00172397">
        <w:instrText xml:space="preserve"> SEQ Table \* ARABIC </w:instrText>
      </w:r>
      <w:r w:rsidR="00172397">
        <w:fldChar w:fldCharType="separate"/>
      </w:r>
      <w:r w:rsidR="00B54079">
        <w:rPr>
          <w:noProof/>
        </w:rPr>
        <w:t>35</w:t>
      </w:r>
      <w:r w:rsidR="00172397">
        <w:rPr>
          <w:noProof/>
        </w:rPr>
        <w:fldChar w:fldCharType="end"/>
      </w:r>
      <w:bookmarkEnd w:id="112"/>
      <w:r>
        <w:t xml:space="preserve">: </w:t>
      </w:r>
      <w:r w:rsidRPr="00107A8B">
        <w:t>Baseline disease characteristics</w:t>
      </w:r>
    </w:p>
    <w:p w14:paraId="10A07493" w14:textId="23299563" w:rsidR="00A84F8F" w:rsidRDefault="00A84F8F" w:rsidP="00A84F8F">
      <w:r>
        <w:rPr>
          <w:noProof/>
          <w:lang w:val="en-GB" w:eastAsia="en-GB"/>
        </w:rPr>
        <w:drawing>
          <wp:inline distT="0" distB="0" distL="0" distR="0" wp14:anchorId="36E66768" wp14:editId="3501390B">
            <wp:extent cx="5184475" cy="4865370"/>
            <wp:effectExtent l="0" t="0" r="0" b="0"/>
            <wp:docPr id="253" name="Picture 253" descr="Baseline disease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Picture 253" descr="Baseline disease characteristics"/>
                    <pic:cNvPicPr/>
                  </pic:nvPicPr>
                  <pic:blipFill rotWithShape="1">
                    <a:blip r:embed="rId41"/>
                    <a:srcRect l="3002" t="1053" r="2022"/>
                    <a:stretch/>
                  </pic:blipFill>
                  <pic:spPr bwMode="auto">
                    <a:xfrm>
                      <a:off x="0" y="0"/>
                      <a:ext cx="5186126" cy="4866919"/>
                    </a:xfrm>
                    <a:prstGeom prst="rect">
                      <a:avLst/>
                    </a:prstGeom>
                    <a:ln>
                      <a:noFill/>
                    </a:ln>
                    <a:extLst>
                      <a:ext uri="{53640926-AAD7-44D8-BBD7-CCE9431645EC}">
                        <a14:shadowObscured xmlns:a14="http://schemas.microsoft.com/office/drawing/2010/main"/>
                      </a:ext>
                    </a:extLst>
                  </pic:spPr>
                </pic:pic>
              </a:graphicData>
            </a:graphic>
          </wp:inline>
        </w:drawing>
      </w:r>
      <w:r>
        <w:rPr>
          <w:noProof/>
          <w:lang w:val="en-GB" w:eastAsia="en-GB"/>
        </w:rPr>
        <w:drawing>
          <wp:inline distT="0" distB="0" distL="0" distR="0" wp14:anchorId="71E0D94C" wp14:editId="6B0B507C">
            <wp:extent cx="5201111" cy="3217545"/>
            <wp:effectExtent l="0" t="0" r="0" b="190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237" r="1426" b="46563"/>
                    <a:stretch/>
                  </pic:blipFill>
                  <pic:spPr bwMode="auto">
                    <a:xfrm>
                      <a:off x="0" y="0"/>
                      <a:ext cx="5203713" cy="3219155"/>
                    </a:xfrm>
                    <a:prstGeom prst="rect">
                      <a:avLst/>
                    </a:prstGeom>
                    <a:ln>
                      <a:noFill/>
                    </a:ln>
                    <a:extLst>
                      <a:ext uri="{53640926-AAD7-44D8-BBD7-CCE9431645EC}">
                        <a14:shadowObscured xmlns:a14="http://schemas.microsoft.com/office/drawing/2010/main"/>
                      </a:ext>
                    </a:extLst>
                  </pic:spPr>
                </pic:pic>
              </a:graphicData>
            </a:graphic>
          </wp:inline>
        </w:drawing>
      </w:r>
      <w:r>
        <w:rPr>
          <w:noProof/>
          <w:lang w:val="en-GB" w:eastAsia="en-GB"/>
        </w:rPr>
        <w:lastRenderedPageBreak/>
        <w:drawing>
          <wp:inline distT="0" distB="0" distL="0" distR="0" wp14:anchorId="3874BE78" wp14:editId="653918C0">
            <wp:extent cx="5200868" cy="2734573"/>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237" t="53436" r="1426" b="1146"/>
                    <a:stretch/>
                  </pic:blipFill>
                  <pic:spPr bwMode="auto">
                    <a:xfrm>
                      <a:off x="0" y="0"/>
                      <a:ext cx="5202233" cy="2735291"/>
                    </a:xfrm>
                    <a:prstGeom prst="rect">
                      <a:avLst/>
                    </a:prstGeom>
                    <a:ln>
                      <a:noFill/>
                    </a:ln>
                    <a:extLst>
                      <a:ext uri="{53640926-AAD7-44D8-BBD7-CCE9431645EC}">
                        <a14:shadowObscured xmlns:a14="http://schemas.microsoft.com/office/drawing/2010/main"/>
                      </a:ext>
                    </a:extLst>
                  </pic:spPr>
                </pic:pic>
              </a:graphicData>
            </a:graphic>
          </wp:inline>
        </w:drawing>
      </w:r>
      <w:r>
        <w:rPr>
          <w:noProof/>
          <w:lang w:val="en-GB" w:eastAsia="en-GB"/>
        </w:rPr>
        <w:drawing>
          <wp:inline distT="0" distB="0" distL="0" distR="0" wp14:anchorId="2ED48697" wp14:editId="098861F0">
            <wp:extent cx="5200650" cy="362043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6066" r="1496" b="3334"/>
                    <a:stretch/>
                  </pic:blipFill>
                  <pic:spPr bwMode="auto">
                    <a:xfrm>
                      <a:off x="0" y="0"/>
                      <a:ext cx="5210218" cy="3627097"/>
                    </a:xfrm>
                    <a:prstGeom prst="rect">
                      <a:avLst/>
                    </a:prstGeom>
                    <a:ln>
                      <a:noFill/>
                    </a:ln>
                    <a:extLst>
                      <a:ext uri="{53640926-AAD7-44D8-BBD7-CCE9431645EC}">
                        <a14:shadowObscured xmlns:a14="http://schemas.microsoft.com/office/drawing/2010/main"/>
                      </a:ext>
                    </a:extLst>
                  </pic:spPr>
                </pic:pic>
              </a:graphicData>
            </a:graphic>
          </wp:inline>
        </w:drawing>
      </w:r>
    </w:p>
    <w:p w14:paraId="7B2320FA" w14:textId="2998BB8F" w:rsidR="00107A8B" w:rsidRDefault="00107A8B" w:rsidP="00107A8B">
      <w:pPr>
        <w:pStyle w:val="TableDescription"/>
      </w:pPr>
      <w:r>
        <w:t>BKZ</w:t>
      </w:r>
      <w:r w:rsidR="00426699">
        <w:t xml:space="preserve"> </w:t>
      </w:r>
      <w:r>
        <w:t>=</w:t>
      </w:r>
      <w:r w:rsidR="00426699">
        <w:t xml:space="preserve"> </w:t>
      </w:r>
      <w:proofErr w:type="spellStart"/>
      <w:r>
        <w:t>bimekizumab</w:t>
      </w:r>
      <w:proofErr w:type="spellEnd"/>
      <w:r>
        <w:t>; BSA</w:t>
      </w:r>
      <w:r w:rsidR="00426699">
        <w:t xml:space="preserve"> </w:t>
      </w:r>
      <w:r>
        <w:t>= surface area; DLQI</w:t>
      </w:r>
      <w:r w:rsidR="00426699">
        <w:t xml:space="preserve"> </w:t>
      </w:r>
      <w:r>
        <w:t>=</w:t>
      </w:r>
      <w:r w:rsidR="00426699">
        <w:t xml:space="preserve"> </w:t>
      </w:r>
      <w:r>
        <w:t>Dermatology Life Quality Index; IGA</w:t>
      </w:r>
      <w:r w:rsidR="00426699">
        <w:t xml:space="preserve"> </w:t>
      </w:r>
      <w:r>
        <w:t>=</w:t>
      </w:r>
      <w:r w:rsidR="00426699">
        <w:t xml:space="preserve"> </w:t>
      </w:r>
      <w:r>
        <w:t>Investigator’s Global Assessment; max</w:t>
      </w:r>
      <w:r w:rsidR="00426699">
        <w:t xml:space="preserve"> </w:t>
      </w:r>
      <w:r>
        <w:t>=</w:t>
      </w:r>
      <w:r w:rsidR="00426699">
        <w:t xml:space="preserve"> </w:t>
      </w:r>
      <w:r>
        <w:t xml:space="preserve">maximum; </w:t>
      </w:r>
      <w:r w:rsidR="00426699">
        <w:t>m</w:t>
      </w:r>
      <w:r>
        <w:t>in</w:t>
      </w:r>
      <w:r w:rsidR="00426699">
        <w:t xml:space="preserve"> </w:t>
      </w:r>
      <w:r>
        <w:t>=</w:t>
      </w:r>
      <w:r w:rsidR="00426699">
        <w:t xml:space="preserve"> </w:t>
      </w:r>
      <w:r>
        <w:t xml:space="preserve">minimum; </w:t>
      </w:r>
      <w:proofErr w:type="spellStart"/>
      <w:r>
        <w:t>mNAPSI</w:t>
      </w:r>
      <w:proofErr w:type="spellEnd"/>
      <w:r w:rsidR="00426699">
        <w:t xml:space="preserve"> </w:t>
      </w:r>
      <w:r>
        <w:t>=</w:t>
      </w:r>
      <w:r w:rsidR="00426699">
        <w:t xml:space="preserve"> </w:t>
      </w:r>
      <w:r>
        <w:t>Modified Nail Psoriasis Severity Index; PASI</w:t>
      </w:r>
      <w:r w:rsidR="00426699">
        <w:t xml:space="preserve"> </w:t>
      </w:r>
      <w:r>
        <w:t>=</w:t>
      </w:r>
      <w:r w:rsidR="00426699">
        <w:t xml:space="preserve"> </w:t>
      </w:r>
      <w:r>
        <w:t>Psoriasis Area and Severity Index; PBO</w:t>
      </w:r>
      <w:r w:rsidR="00426699">
        <w:t xml:space="preserve"> </w:t>
      </w:r>
      <w:r>
        <w:t>=</w:t>
      </w:r>
      <w:r w:rsidR="00426699">
        <w:t xml:space="preserve"> </w:t>
      </w:r>
      <w:r>
        <w:t>placebo; PGADA</w:t>
      </w:r>
      <w:r w:rsidR="00426699">
        <w:t xml:space="preserve"> </w:t>
      </w:r>
      <w:r>
        <w:t>=</w:t>
      </w:r>
      <w:r w:rsidR="00426699">
        <w:t xml:space="preserve"> </w:t>
      </w:r>
      <w:r>
        <w:t>Patient Global Assessment of Disease Activity; PSD</w:t>
      </w:r>
      <w:r w:rsidR="00426699">
        <w:t xml:space="preserve"> </w:t>
      </w:r>
      <w:r>
        <w:t>=</w:t>
      </w:r>
      <w:r w:rsidR="00426699">
        <w:t xml:space="preserve"> </w:t>
      </w:r>
      <w:r>
        <w:t>Patient Symptom Diary; Q4W</w:t>
      </w:r>
      <w:r w:rsidR="00426699">
        <w:t xml:space="preserve"> </w:t>
      </w:r>
      <w:r>
        <w:t>=</w:t>
      </w:r>
      <w:r w:rsidR="00426699">
        <w:t xml:space="preserve"> </w:t>
      </w:r>
      <w:r>
        <w:t>every 4 weeks; RS</w:t>
      </w:r>
      <w:r w:rsidR="00426699">
        <w:t xml:space="preserve"> </w:t>
      </w:r>
      <w:r>
        <w:t>=</w:t>
      </w:r>
      <w:r w:rsidR="00426699">
        <w:t xml:space="preserve"> r</w:t>
      </w:r>
      <w:r>
        <w:t>andomi</w:t>
      </w:r>
      <w:r w:rsidR="00426699">
        <w:t>s</w:t>
      </w:r>
      <w:r>
        <w:t xml:space="preserve">ed </w:t>
      </w:r>
      <w:r w:rsidR="00426699">
        <w:t>s</w:t>
      </w:r>
      <w:r>
        <w:t>et; SD</w:t>
      </w:r>
      <w:r w:rsidR="00426699">
        <w:t xml:space="preserve"> </w:t>
      </w:r>
      <w:r>
        <w:t>=</w:t>
      </w:r>
      <w:r w:rsidR="00426699">
        <w:t xml:space="preserve"> </w:t>
      </w:r>
      <w:r>
        <w:t>standard deviation; TNF</w:t>
      </w:r>
      <w:r w:rsidR="00426699">
        <w:t xml:space="preserve"> </w:t>
      </w:r>
      <w:r>
        <w:t>=</w:t>
      </w:r>
      <w:r w:rsidR="00426699">
        <w:t xml:space="preserve"> </w:t>
      </w:r>
      <w:proofErr w:type="spellStart"/>
      <w:r>
        <w:t>tumor</w:t>
      </w:r>
      <w:proofErr w:type="spellEnd"/>
      <w:r>
        <w:t xml:space="preserve"> necrosis factor; VAS</w:t>
      </w:r>
      <w:r w:rsidR="00426699">
        <w:t xml:space="preserve"> </w:t>
      </w:r>
      <w:r>
        <w:t>=</w:t>
      </w:r>
      <w:r w:rsidR="00426699">
        <w:t xml:space="preserve"> </w:t>
      </w:r>
      <w:r>
        <w:t xml:space="preserve">visual </w:t>
      </w:r>
      <w:proofErr w:type="spellStart"/>
      <w:r>
        <w:t>analog</w:t>
      </w:r>
      <w:proofErr w:type="spellEnd"/>
      <w:r>
        <w:t xml:space="preserve"> scale</w:t>
      </w:r>
    </w:p>
    <w:p w14:paraId="0DB50EF8" w14:textId="785A2C25" w:rsidR="00107A8B" w:rsidRDefault="00107A8B" w:rsidP="00107A8B">
      <w:pPr>
        <w:pStyle w:val="TableDescription"/>
      </w:pPr>
      <w:r>
        <w:t>Note: Duration of disease (years)</w:t>
      </w:r>
      <w:r w:rsidR="00426699">
        <w:t xml:space="preserve"> </w:t>
      </w:r>
      <w:r>
        <w:t>=</w:t>
      </w:r>
      <w:r w:rsidR="00426699">
        <w:t xml:space="preserve"> </w:t>
      </w:r>
      <w:r>
        <w:t>(Date of randomization – date of onset of plaque psoriasis)/365.25</w:t>
      </w:r>
    </w:p>
    <w:p w14:paraId="447D6ED9" w14:textId="11DABF17" w:rsidR="00107A8B" w:rsidRDefault="00107A8B" w:rsidP="00107A8B">
      <w:pPr>
        <w:pStyle w:val="TableDescription"/>
      </w:pPr>
      <w:r>
        <w:t>Note: Study participants were summarized according to randomized treatment at Baseline in the</w:t>
      </w:r>
      <w:r w:rsidR="00426699">
        <w:t xml:space="preserve"> i</w:t>
      </w:r>
      <w:r>
        <w:t xml:space="preserve">nitial </w:t>
      </w:r>
      <w:r w:rsidR="00426699">
        <w:t>t</w:t>
      </w:r>
      <w:r>
        <w:t xml:space="preserve">reatment </w:t>
      </w:r>
      <w:r w:rsidR="00426699">
        <w:t>p</w:t>
      </w:r>
      <w:r>
        <w:t>eriod.</w:t>
      </w:r>
    </w:p>
    <w:p w14:paraId="1B12537A" w14:textId="2463AFBF" w:rsidR="00107A8B" w:rsidRDefault="00107A8B" w:rsidP="00107A8B">
      <w:pPr>
        <w:pStyle w:val="TableDescription"/>
      </w:pPr>
      <w:r>
        <w:t xml:space="preserve">a </w:t>
      </w:r>
      <w:proofErr w:type="spellStart"/>
      <w:r>
        <w:t>mNAPSI</w:t>
      </w:r>
      <w:proofErr w:type="spellEnd"/>
      <w:r>
        <w:t xml:space="preserve"> total score for study participants with nail involvement (</w:t>
      </w:r>
      <w:r w:rsidR="00426699">
        <w:t>that is</w:t>
      </w:r>
      <w:r>
        <w:t xml:space="preserve"> </w:t>
      </w:r>
      <w:proofErr w:type="spellStart"/>
      <w:r>
        <w:t>mNAPSI</w:t>
      </w:r>
      <w:proofErr w:type="spellEnd"/>
      <w:r>
        <w:t>&gt;0)</w:t>
      </w:r>
    </w:p>
    <w:p w14:paraId="29191E3A" w14:textId="77777777" w:rsidR="00107A8B" w:rsidRDefault="00107A8B" w:rsidP="00107A8B">
      <w:pPr>
        <w:pStyle w:val="TableDescription"/>
      </w:pPr>
      <w:r>
        <w:t>b PGADA for arthritis VAS score</w:t>
      </w:r>
    </w:p>
    <w:p w14:paraId="0D54BA54" w14:textId="1F5A04E3" w:rsidR="00107A8B" w:rsidRDefault="00107A8B" w:rsidP="00107A8B">
      <w:pPr>
        <w:pStyle w:val="TableDescription"/>
      </w:pPr>
      <w:r>
        <w:t>c Baseline data were only summarized if the study participant had ≥</w:t>
      </w:r>
      <w:r w:rsidR="00426699">
        <w:t xml:space="preserve"> </w:t>
      </w:r>
      <w:r>
        <w:t xml:space="preserve">4 </w:t>
      </w:r>
      <w:proofErr w:type="spellStart"/>
      <w:r>
        <w:t>nonmissing</w:t>
      </w:r>
      <w:proofErr w:type="spellEnd"/>
      <w:r>
        <w:t xml:space="preserve"> values.</w:t>
      </w:r>
    </w:p>
    <w:p w14:paraId="469950D0" w14:textId="0BB06CA1" w:rsidR="00F8770F" w:rsidRPr="00D83309" w:rsidRDefault="00F8770F" w:rsidP="00F8770F">
      <w:pPr>
        <w:rPr>
          <w:lang w:eastAsia="ja-JP"/>
        </w:rPr>
      </w:pPr>
      <w:r>
        <w:rPr>
          <w:lang w:eastAsia="ja-JP"/>
        </w:rPr>
        <w:t xml:space="preserve">The clinical evaluator noted that the </w:t>
      </w:r>
      <w:r w:rsidRPr="00322EA8">
        <w:rPr>
          <w:lang w:eastAsia="ja-JP"/>
        </w:rPr>
        <w:t>mean PASI score was 20.31</w:t>
      </w:r>
      <w:r>
        <w:rPr>
          <w:lang w:eastAsia="ja-JP"/>
        </w:rPr>
        <w:t xml:space="preserve"> and </w:t>
      </w:r>
      <w:r w:rsidRPr="00322EA8">
        <w:rPr>
          <w:lang w:eastAsia="ja-JP"/>
        </w:rPr>
        <w:t xml:space="preserve">mean percent BSA affected by </w:t>
      </w:r>
      <w:r w:rsidR="008B40FD">
        <w:rPr>
          <w:lang w:eastAsia="ja-JP"/>
        </w:rPr>
        <w:t>psoriasis</w:t>
      </w:r>
      <w:r w:rsidRPr="00322EA8">
        <w:rPr>
          <w:lang w:eastAsia="ja-JP"/>
        </w:rPr>
        <w:t xml:space="preserve"> was 24.5%</w:t>
      </w:r>
      <w:r>
        <w:rPr>
          <w:lang w:eastAsia="ja-JP"/>
        </w:rPr>
        <w:t xml:space="preserve">. </w:t>
      </w:r>
      <w:r w:rsidRPr="00322EA8">
        <w:rPr>
          <w:lang w:eastAsia="ja-JP"/>
        </w:rPr>
        <w:t>All study participants had an IGA score &gt;</w:t>
      </w:r>
      <w:r>
        <w:rPr>
          <w:lang w:eastAsia="ja-JP"/>
        </w:rPr>
        <w:t xml:space="preserve"> </w:t>
      </w:r>
      <w:r w:rsidRPr="00322EA8">
        <w:rPr>
          <w:lang w:eastAsia="ja-JP"/>
        </w:rPr>
        <w:t>3, which is consistent with the requirements of the criterion inclusion</w:t>
      </w:r>
      <w:r>
        <w:rPr>
          <w:lang w:eastAsia="ja-JP"/>
        </w:rPr>
        <w:t xml:space="preserve">. </w:t>
      </w:r>
      <w:r w:rsidRPr="00D83309">
        <w:rPr>
          <w:lang w:eastAsia="ja-JP"/>
        </w:rPr>
        <w:t xml:space="preserve">Treatment groups were </w:t>
      </w:r>
      <w:r w:rsidRPr="00D83309">
        <w:rPr>
          <w:lang w:eastAsia="ja-JP"/>
        </w:rPr>
        <w:lastRenderedPageBreak/>
        <w:t xml:space="preserve">generally well balanced with respect to </w:t>
      </w:r>
      <w:r w:rsidR="008B40FD">
        <w:rPr>
          <w:lang w:eastAsia="ja-JP"/>
        </w:rPr>
        <w:t>psoriasis</w:t>
      </w:r>
      <w:r w:rsidRPr="00D83309">
        <w:rPr>
          <w:lang w:eastAsia="ja-JP"/>
        </w:rPr>
        <w:t>-related and other Baseline characteristics</w:t>
      </w:r>
      <w:r w:rsidR="00426699">
        <w:rPr>
          <w:lang w:eastAsia="ja-JP"/>
        </w:rPr>
        <w:t xml:space="preserve"> (</w:t>
      </w:r>
      <w:r w:rsidR="00426699">
        <w:rPr>
          <w:lang w:eastAsia="ja-JP"/>
        </w:rPr>
        <w:fldChar w:fldCharType="begin"/>
      </w:r>
      <w:r w:rsidR="00426699">
        <w:rPr>
          <w:lang w:eastAsia="ja-JP"/>
        </w:rPr>
        <w:instrText xml:space="preserve"> REF _Ref130202873 \h </w:instrText>
      </w:r>
      <w:r w:rsidR="00426699">
        <w:rPr>
          <w:lang w:eastAsia="ja-JP"/>
        </w:rPr>
      </w:r>
      <w:r w:rsidR="00426699">
        <w:rPr>
          <w:lang w:eastAsia="ja-JP"/>
        </w:rPr>
        <w:fldChar w:fldCharType="separate"/>
      </w:r>
      <w:r w:rsidR="00B54079" w:rsidRPr="00107A8B">
        <w:t xml:space="preserve">Table </w:t>
      </w:r>
      <w:r w:rsidR="00B54079">
        <w:rPr>
          <w:noProof/>
        </w:rPr>
        <w:t>35</w:t>
      </w:r>
      <w:r w:rsidR="00426699">
        <w:rPr>
          <w:lang w:eastAsia="ja-JP"/>
        </w:rPr>
        <w:fldChar w:fldCharType="end"/>
      </w:r>
      <w:r w:rsidR="00426699">
        <w:rPr>
          <w:lang w:eastAsia="ja-JP"/>
        </w:rPr>
        <w:t>).</w:t>
      </w:r>
    </w:p>
    <w:p w14:paraId="02BE1C73" w14:textId="3BCA2DE7" w:rsidR="00F8770F" w:rsidRPr="00322EA8" w:rsidRDefault="00F8770F" w:rsidP="00F8770F">
      <w:pPr>
        <w:rPr>
          <w:lang w:eastAsia="ja-JP"/>
        </w:rPr>
      </w:pPr>
      <w:r>
        <w:rPr>
          <w:lang w:eastAsia="ja-JP"/>
        </w:rPr>
        <w:t>The clinical evaluator commented that the n</w:t>
      </w:r>
      <w:r w:rsidRPr="00322EA8">
        <w:rPr>
          <w:lang w:eastAsia="ja-JP"/>
        </w:rPr>
        <w:t>otable differences included:</w:t>
      </w:r>
    </w:p>
    <w:p w14:paraId="525615EF" w14:textId="1A1A2358" w:rsidR="00F8770F" w:rsidRDefault="00F8770F" w:rsidP="00F8770F">
      <w:pPr>
        <w:pStyle w:val="ListBullet"/>
        <w:rPr>
          <w:lang w:eastAsia="ja-JP"/>
        </w:rPr>
      </w:pPr>
      <w:r w:rsidRPr="00FB0063">
        <w:rPr>
          <w:lang w:eastAsia="ja-JP"/>
        </w:rPr>
        <w:t xml:space="preserve">The incidence of study participants with palmoplantar involvement of </w:t>
      </w:r>
      <w:r w:rsidR="008B40FD">
        <w:rPr>
          <w:lang w:eastAsia="ja-JP"/>
        </w:rPr>
        <w:t>psoriasis</w:t>
      </w:r>
      <w:r w:rsidRPr="00FB0063">
        <w:rPr>
          <w:lang w:eastAsia="ja-JP"/>
        </w:rPr>
        <w:t xml:space="preserve"> was lower in the </w:t>
      </w:r>
      <w:proofErr w:type="spellStart"/>
      <w:r w:rsidR="008B40FD">
        <w:rPr>
          <w:lang w:eastAsia="ja-JP"/>
        </w:rPr>
        <w:t>bimekizumab</w:t>
      </w:r>
      <w:proofErr w:type="spellEnd"/>
      <w:r>
        <w:rPr>
          <w:lang w:eastAsia="ja-JP"/>
        </w:rPr>
        <w:t xml:space="preserve"> </w:t>
      </w:r>
      <w:r w:rsidR="001D2CFA">
        <w:rPr>
          <w:lang w:eastAsia="ja-JP"/>
        </w:rPr>
        <w:t>320 mg</w:t>
      </w:r>
      <w:r w:rsidRPr="00FB0063">
        <w:rPr>
          <w:lang w:eastAsia="ja-JP"/>
        </w:rPr>
        <w:t xml:space="preserve"> </w:t>
      </w:r>
      <w:r w:rsidR="00F23C97">
        <w:rPr>
          <w:lang w:eastAsia="ja-JP"/>
        </w:rPr>
        <w:t>every 4 weeks</w:t>
      </w:r>
      <w:r w:rsidRPr="00FB0063">
        <w:rPr>
          <w:lang w:eastAsia="ja-JP"/>
        </w:rPr>
        <w:t xml:space="preserve"> group (35%) compared with the </w:t>
      </w:r>
      <w:r w:rsidR="004858E7">
        <w:rPr>
          <w:lang w:eastAsia="ja-JP"/>
        </w:rPr>
        <w:t>placebo</w:t>
      </w:r>
      <w:r w:rsidRPr="00FB0063">
        <w:rPr>
          <w:lang w:eastAsia="ja-JP"/>
        </w:rPr>
        <w:t xml:space="preserve"> group (45.3%</w:t>
      </w:r>
      <w:proofErr w:type="gramStart"/>
      <w:r w:rsidRPr="00FB0063">
        <w:rPr>
          <w:lang w:eastAsia="ja-JP"/>
        </w:rPr>
        <w:t>)</w:t>
      </w:r>
      <w:r>
        <w:rPr>
          <w:lang w:eastAsia="ja-JP"/>
        </w:rPr>
        <w:t>;</w:t>
      </w:r>
      <w:proofErr w:type="gramEnd"/>
    </w:p>
    <w:p w14:paraId="4B944778" w14:textId="01723E8D" w:rsidR="00F8770F" w:rsidRPr="00FB0063" w:rsidRDefault="00F8770F" w:rsidP="00F8770F">
      <w:pPr>
        <w:pStyle w:val="ListBullet"/>
        <w:rPr>
          <w:lang w:eastAsia="ja-JP"/>
        </w:rPr>
      </w:pPr>
      <w:r w:rsidRPr="00FB0063">
        <w:rPr>
          <w:lang w:eastAsia="ja-JP"/>
        </w:rPr>
        <w:t>Median PGADA scores were lower in the</w:t>
      </w:r>
      <w:r>
        <w:rPr>
          <w:lang w:eastAsia="ja-JP"/>
        </w:rPr>
        <w:t xml:space="preserve"> </w:t>
      </w:r>
      <w:proofErr w:type="spellStart"/>
      <w:r w:rsidR="008B40FD">
        <w:rPr>
          <w:lang w:eastAsia="ja-JP"/>
        </w:rPr>
        <w:t>bimekizumab</w:t>
      </w:r>
      <w:proofErr w:type="spellEnd"/>
      <w:r>
        <w:rPr>
          <w:lang w:eastAsia="ja-JP"/>
        </w:rPr>
        <w:t xml:space="preserve"> </w:t>
      </w:r>
      <w:r w:rsidR="001D2CFA">
        <w:rPr>
          <w:lang w:eastAsia="ja-JP"/>
        </w:rPr>
        <w:t>320 mg</w:t>
      </w:r>
      <w:r w:rsidRPr="00FB0063">
        <w:rPr>
          <w:lang w:eastAsia="ja-JP"/>
        </w:rPr>
        <w:t xml:space="preserve"> </w:t>
      </w:r>
      <w:r w:rsidR="00F23C97">
        <w:rPr>
          <w:lang w:eastAsia="ja-JP"/>
        </w:rPr>
        <w:t>every 4 weeks</w:t>
      </w:r>
      <w:r w:rsidRPr="00FB0063">
        <w:rPr>
          <w:lang w:eastAsia="ja-JP"/>
        </w:rPr>
        <w:t xml:space="preserve"> group (8) compared with the</w:t>
      </w:r>
      <w:r>
        <w:rPr>
          <w:lang w:eastAsia="ja-JP"/>
        </w:rPr>
        <w:t xml:space="preserve"> </w:t>
      </w:r>
      <w:r w:rsidR="004858E7">
        <w:rPr>
          <w:lang w:eastAsia="ja-JP"/>
        </w:rPr>
        <w:t>placebo</w:t>
      </w:r>
      <w:r w:rsidRPr="00FB0063">
        <w:rPr>
          <w:lang w:eastAsia="ja-JP"/>
        </w:rPr>
        <w:t xml:space="preserve"> group (23.5) due to skewed score distributions in both treatment groups (mean PGADA scores were similar between the treatment groups </w:t>
      </w:r>
      <w:r w:rsidR="00426699">
        <w:rPr>
          <w:lang w:eastAsia="ja-JP"/>
        </w:rPr>
        <w:t>(</w:t>
      </w:r>
      <w:r w:rsidRPr="00FB0063">
        <w:rPr>
          <w:lang w:eastAsia="ja-JP"/>
        </w:rPr>
        <w:t>23.7 and 28.7, respectively</w:t>
      </w:r>
      <w:r w:rsidR="00426699">
        <w:rPr>
          <w:lang w:eastAsia="ja-JP"/>
        </w:rPr>
        <w:t>)</w:t>
      </w:r>
      <w:r w:rsidRPr="00FB0063">
        <w:rPr>
          <w:lang w:eastAsia="ja-JP"/>
        </w:rPr>
        <w:t>).</w:t>
      </w:r>
    </w:p>
    <w:p w14:paraId="1286A8AE" w14:textId="6552ED00" w:rsidR="00F8770F" w:rsidRDefault="00F8770F" w:rsidP="00F8770F">
      <w:pPr>
        <w:rPr>
          <w:lang w:eastAsia="ja-JP"/>
        </w:rPr>
      </w:pPr>
      <w:r>
        <w:rPr>
          <w:lang w:eastAsia="ja-JP"/>
        </w:rPr>
        <w:t xml:space="preserve">The Delegate commented that the observed differential would not have significant altered the efficacy outcomes in favour of </w:t>
      </w:r>
      <w:proofErr w:type="spellStart"/>
      <w:r w:rsidR="008B40FD">
        <w:rPr>
          <w:lang w:eastAsia="ja-JP"/>
        </w:rPr>
        <w:t>bimekizumab</w:t>
      </w:r>
      <w:proofErr w:type="spellEnd"/>
      <w:r>
        <w:rPr>
          <w:lang w:eastAsia="ja-JP"/>
        </w:rPr>
        <w:t>.</w:t>
      </w:r>
    </w:p>
    <w:p w14:paraId="4F597526" w14:textId="16D64C2A" w:rsidR="00F00AF5" w:rsidRDefault="00F00AF5" w:rsidP="00F00AF5">
      <w:pPr>
        <w:pStyle w:val="Heading6"/>
        <w:rPr>
          <w:lang w:eastAsia="ja-JP"/>
        </w:rPr>
      </w:pPr>
      <w:r>
        <w:rPr>
          <w:lang w:eastAsia="ja-JP"/>
        </w:rPr>
        <w:t>Baseline therapies</w:t>
      </w:r>
    </w:p>
    <w:p w14:paraId="3634AFCA" w14:textId="3EDFB768" w:rsidR="00426699" w:rsidRPr="00426699" w:rsidRDefault="00426699" w:rsidP="00426699">
      <w:pPr>
        <w:pStyle w:val="TableTitle"/>
        <w:rPr>
          <w:lang w:eastAsia="ja-JP"/>
        </w:rPr>
      </w:pPr>
      <w:bookmarkStart w:id="113" w:name="_Ref130202959"/>
      <w:r w:rsidRPr="00426699">
        <w:t xml:space="preserve">Table </w:t>
      </w:r>
      <w:r w:rsidR="00172397">
        <w:fldChar w:fldCharType="begin"/>
      </w:r>
      <w:r w:rsidR="00172397">
        <w:instrText xml:space="preserve"> SEQ Table \* ARABIC </w:instrText>
      </w:r>
      <w:r w:rsidR="00172397">
        <w:fldChar w:fldCharType="separate"/>
      </w:r>
      <w:r w:rsidR="00B54079">
        <w:rPr>
          <w:noProof/>
        </w:rPr>
        <w:t>36</w:t>
      </w:r>
      <w:r w:rsidR="00172397">
        <w:rPr>
          <w:noProof/>
        </w:rPr>
        <w:fldChar w:fldCharType="end"/>
      </w:r>
      <w:bookmarkEnd w:id="113"/>
      <w:r w:rsidRPr="00426699">
        <w:t>:</w:t>
      </w:r>
      <w:r>
        <w:t xml:space="preserve"> Study PS0013 Baseline therapies</w:t>
      </w:r>
    </w:p>
    <w:p w14:paraId="7216287F" w14:textId="2B1203E0" w:rsidR="00F00AF5" w:rsidRDefault="00F00AF5" w:rsidP="00F8770F">
      <w:pPr>
        <w:rPr>
          <w:lang w:eastAsia="ja-JP"/>
        </w:rPr>
      </w:pPr>
      <w:r>
        <w:rPr>
          <w:noProof/>
          <w:lang w:val="en-GB" w:eastAsia="en-GB"/>
        </w:rPr>
        <w:drawing>
          <wp:inline distT="0" distB="0" distL="0" distR="0" wp14:anchorId="4AE4DCCA" wp14:editId="6E990491">
            <wp:extent cx="5230368" cy="4061708"/>
            <wp:effectExtent l="0" t="0" r="8890" b="0"/>
            <wp:docPr id="38" name="Picture 38" descr="Study PS0013 Baseline therap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tudy PS0013 Baseline therapies"/>
                    <pic:cNvPicPr/>
                  </pic:nvPicPr>
                  <pic:blipFill>
                    <a:blip r:embed="rId44"/>
                    <a:stretch>
                      <a:fillRect/>
                    </a:stretch>
                  </pic:blipFill>
                  <pic:spPr>
                    <a:xfrm>
                      <a:off x="0" y="0"/>
                      <a:ext cx="5237066" cy="4066909"/>
                    </a:xfrm>
                    <a:prstGeom prst="rect">
                      <a:avLst/>
                    </a:prstGeom>
                  </pic:spPr>
                </pic:pic>
              </a:graphicData>
            </a:graphic>
          </wp:inline>
        </w:drawing>
      </w:r>
    </w:p>
    <w:p w14:paraId="3799FBE3" w14:textId="16F4D9BF" w:rsidR="008879AA" w:rsidRDefault="008879AA" w:rsidP="008879AA">
      <w:pPr>
        <w:pStyle w:val="TableDescription"/>
      </w:pPr>
      <w:r>
        <w:t xml:space="preserve">BKZ = </w:t>
      </w:r>
      <w:proofErr w:type="spellStart"/>
      <w:r>
        <w:t>bimekizumab</w:t>
      </w:r>
      <w:proofErr w:type="spellEnd"/>
      <w:r>
        <w:t xml:space="preserve">; PBO = placebo; Q4W = every 4 weeks; TNF = </w:t>
      </w:r>
      <w:proofErr w:type="spellStart"/>
      <w:r>
        <w:t>tumor</w:t>
      </w:r>
      <w:proofErr w:type="spellEnd"/>
      <w:r>
        <w:t xml:space="preserve"> necrosis factor</w:t>
      </w:r>
    </w:p>
    <w:p w14:paraId="2E5F785A" w14:textId="19930225" w:rsidR="00F00AF5" w:rsidRDefault="00F00AF5" w:rsidP="00F00AF5">
      <w:pPr>
        <w:rPr>
          <w:lang w:eastAsia="ja-JP"/>
        </w:rPr>
      </w:pPr>
      <w:r>
        <w:rPr>
          <w:lang w:eastAsia="ja-JP"/>
        </w:rPr>
        <w:t xml:space="preserve">The incidence of prior phototherapy or chemotherapy use was higher in the </w:t>
      </w:r>
      <w:proofErr w:type="spellStart"/>
      <w:r>
        <w:rPr>
          <w:lang w:eastAsia="ja-JP"/>
        </w:rPr>
        <w:t>bimekizumab</w:t>
      </w:r>
      <w:proofErr w:type="spellEnd"/>
      <w:r>
        <w:rPr>
          <w:lang w:eastAsia="ja-JP"/>
        </w:rPr>
        <w:t xml:space="preserve"> </w:t>
      </w:r>
      <w:r w:rsidR="001D2CFA">
        <w:rPr>
          <w:lang w:eastAsia="ja-JP"/>
        </w:rPr>
        <w:t>320 mg</w:t>
      </w:r>
      <w:r>
        <w:rPr>
          <w:lang w:eastAsia="ja-JP"/>
        </w:rPr>
        <w:t xml:space="preserve"> </w:t>
      </w:r>
      <w:r w:rsidR="00F23C97">
        <w:rPr>
          <w:lang w:eastAsia="ja-JP"/>
        </w:rPr>
        <w:t>every 4 weeks</w:t>
      </w:r>
      <w:r>
        <w:rPr>
          <w:lang w:eastAsia="ja-JP"/>
        </w:rPr>
        <w:t xml:space="preserve"> group (37%) compared with the placebo group (32.6%)</w:t>
      </w:r>
      <w:r w:rsidR="00426699">
        <w:rPr>
          <w:lang w:eastAsia="ja-JP"/>
        </w:rPr>
        <w:t xml:space="preserve"> (</w:t>
      </w:r>
      <w:r w:rsidR="00426699">
        <w:rPr>
          <w:lang w:eastAsia="ja-JP"/>
        </w:rPr>
        <w:fldChar w:fldCharType="begin"/>
      </w:r>
      <w:r w:rsidR="00426699">
        <w:rPr>
          <w:lang w:eastAsia="ja-JP"/>
        </w:rPr>
        <w:instrText xml:space="preserve"> REF _Ref130202959 \h </w:instrText>
      </w:r>
      <w:r w:rsidR="00426699">
        <w:rPr>
          <w:lang w:eastAsia="ja-JP"/>
        </w:rPr>
      </w:r>
      <w:r w:rsidR="00426699">
        <w:rPr>
          <w:lang w:eastAsia="ja-JP"/>
        </w:rPr>
        <w:fldChar w:fldCharType="separate"/>
      </w:r>
      <w:r w:rsidR="00B54079" w:rsidRPr="00426699">
        <w:t xml:space="preserve">Table </w:t>
      </w:r>
      <w:r w:rsidR="00B54079">
        <w:rPr>
          <w:noProof/>
        </w:rPr>
        <w:t>36</w:t>
      </w:r>
      <w:r w:rsidR="00426699">
        <w:rPr>
          <w:lang w:eastAsia="ja-JP"/>
        </w:rPr>
        <w:fldChar w:fldCharType="end"/>
      </w:r>
      <w:r w:rsidR="00426699">
        <w:rPr>
          <w:lang w:eastAsia="ja-JP"/>
        </w:rPr>
        <w:t>).</w:t>
      </w:r>
    </w:p>
    <w:p w14:paraId="1F98E159" w14:textId="06C04052" w:rsidR="00F00AF5" w:rsidRDefault="00F00AF5" w:rsidP="00F00AF5">
      <w:pPr>
        <w:rPr>
          <w:lang w:eastAsia="ja-JP"/>
        </w:rPr>
      </w:pPr>
      <w:r>
        <w:rPr>
          <w:lang w:eastAsia="ja-JP"/>
        </w:rPr>
        <w:t xml:space="preserve">The incidence of prior anti-TNF therapy use was higher in the </w:t>
      </w:r>
      <w:proofErr w:type="spellStart"/>
      <w:r>
        <w:rPr>
          <w:lang w:eastAsia="ja-JP"/>
        </w:rPr>
        <w:t>bimekizumab</w:t>
      </w:r>
      <w:proofErr w:type="spellEnd"/>
      <w:r>
        <w:rPr>
          <w:lang w:eastAsia="ja-JP"/>
        </w:rPr>
        <w:t xml:space="preserve"> </w:t>
      </w:r>
      <w:r w:rsidR="001D2CFA">
        <w:rPr>
          <w:lang w:eastAsia="ja-JP"/>
        </w:rPr>
        <w:t>320 mg</w:t>
      </w:r>
      <w:r>
        <w:rPr>
          <w:lang w:eastAsia="ja-JP"/>
        </w:rPr>
        <w:t xml:space="preserve"> </w:t>
      </w:r>
      <w:r w:rsidR="00F23C97">
        <w:rPr>
          <w:lang w:eastAsia="ja-JP"/>
        </w:rPr>
        <w:t>every 4 weeks</w:t>
      </w:r>
      <w:r>
        <w:rPr>
          <w:lang w:eastAsia="ja-JP"/>
        </w:rPr>
        <w:t xml:space="preserve"> group (16.3%) compared with the placebo group (11.6%)</w:t>
      </w:r>
      <w:r w:rsidR="00426699">
        <w:rPr>
          <w:lang w:eastAsia="ja-JP"/>
        </w:rPr>
        <w:t xml:space="preserve"> (</w:t>
      </w:r>
      <w:r w:rsidR="00426699">
        <w:rPr>
          <w:lang w:eastAsia="ja-JP"/>
        </w:rPr>
        <w:fldChar w:fldCharType="begin"/>
      </w:r>
      <w:r w:rsidR="00426699">
        <w:rPr>
          <w:lang w:eastAsia="ja-JP"/>
        </w:rPr>
        <w:instrText xml:space="preserve"> REF _Ref130202959 \h </w:instrText>
      </w:r>
      <w:r w:rsidR="00426699">
        <w:rPr>
          <w:lang w:eastAsia="ja-JP"/>
        </w:rPr>
      </w:r>
      <w:r w:rsidR="00426699">
        <w:rPr>
          <w:lang w:eastAsia="ja-JP"/>
        </w:rPr>
        <w:fldChar w:fldCharType="separate"/>
      </w:r>
      <w:r w:rsidR="00B54079" w:rsidRPr="00426699">
        <w:t xml:space="preserve">Table </w:t>
      </w:r>
      <w:r w:rsidR="00B54079">
        <w:rPr>
          <w:noProof/>
        </w:rPr>
        <w:t>36</w:t>
      </w:r>
      <w:r w:rsidR="00426699">
        <w:rPr>
          <w:lang w:eastAsia="ja-JP"/>
        </w:rPr>
        <w:fldChar w:fldCharType="end"/>
      </w:r>
      <w:r w:rsidR="00426699">
        <w:rPr>
          <w:lang w:eastAsia="ja-JP"/>
        </w:rPr>
        <w:t>).</w:t>
      </w:r>
    </w:p>
    <w:p w14:paraId="545507E8" w14:textId="761F3A5B" w:rsidR="00F00AF5" w:rsidRDefault="00F00AF5" w:rsidP="00F00AF5">
      <w:pPr>
        <w:rPr>
          <w:lang w:eastAsia="ja-JP"/>
        </w:rPr>
      </w:pPr>
      <w:r>
        <w:rPr>
          <w:lang w:eastAsia="ja-JP"/>
        </w:rPr>
        <w:t xml:space="preserve">The Delegate commented that the slightly observed difference between </w:t>
      </w:r>
      <w:proofErr w:type="spellStart"/>
      <w:r w:rsidR="008B40FD">
        <w:rPr>
          <w:lang w:eastAsia="ja-JP"/>
        </w:rPr>
        <w:t>bimekizumab</w:t>
      </w:r>
      <w:proofErr w:type="spellEnd"/>
      <w:r>
        <w:rPr>
          <w:lang w:eastAsia="ja-JP"/>
        </w:rPr>
        <w:t xml:space="preserve"> and Placebo regarding prior use of phototherapy, chemotherapy and anti-TNF therapy should not significantly contribute to the overall observed efficacy outcome.</w:t>
      </w:r>
    </w:p>
    <w:p w14:paraId="13508AE9" w14:textId="77777777" w:rsidR="00F00AF5" w:rsidRDefault="00F00AF5" w:rsidP="00F00AF5">
      <w:pPr>
        <w:pStyle w:val="Heading6"/>
        <w:rPr>
          <w:lang w:eastAsia="ja-JP"/>
        </w:rPr>
      </w:pPr>
      <w:r>
        <w:rPr>
          <w:lang w:eastAsia="ja-JP"/>
        </w:rPr>
        <w:lastRenderedPageBreak/>
        <w:t>Major protocol violations/deviations</w:t>
      </w:r>
    </w:p>
    <w:p w14:paraId="25239D96" w14:textId="09F5406D" w:rsidR="00F00AF5" w:rsidRDefault="00F00AF5" w:rsidP="00F00AF5">
      <w:pPr>
        <w:rPr>
          <w:lang w:eastAsia="ja-JP"/>
        </w:rPr>
      </w:pPr>
      <w:r>
        <w:rPr>
          <w:lang w:eastAsia="ja-JP"/>
        </w:rPr>
        <w:t xml:space="preserve">For the </w:t>
      </w:r>
      <w:r w:rsidR="001D2CFA">
        <w:rPr>
          <w:lang w:eastAsia="ja-JP"/>
        </w:rPr>
        <w:t>initial treatment period</w:t>
      </w:r>
      <w:r>
        <w:rPr>
          <w:lang w:eastAsia="ja-JP"/>
        </w:rPr>
        <w:t xml:space="preserve">, the incidence of study participants with at least one important protocol deviation was 7 (2%) and 2 (2.3%) respectively for the </w:t>
      </w:r>
      <w:proofErr w:type="spellStart"/>
      <w:r w:rsidR="008B40FD">
        <w:rPr>
          <w:lang w:eastAsia="ja-JP"/>
        </w:rPr>
        <w:t>bimekizumab</w:t>
      </w:r>
      <w:proofErr w:type="spellEnd"/>
      <w:r>
        <w:rPr>
          <w:lang w:eastAsia="ja-JP"/>
        </w:rPr>
        <w:t xml:space="preserve"> </w:t>
      </w:r>
      <w:r w:rsidR="001D2CFA">
        <w:rPr>
          <w:lang w:eastAsia="ja-JP"/>
        </w:rPr>
        <w:t>320 mg</w:t>
      </w:r>
      <w:r>
        <w:rPr>
          <w:lang w:eastAsia="ja-JP"/>
        </w:rPr>
        <w:t xml:space="preserve"> </w:t>
      </w:r>
      <w:r w:rsidR="00F23C97">
        <w:rPr>
          <w:lang w:eastAsia="ja-JP"/>
        </w:rPr>
        <w:t>every 4 weeks</w:t>
      </w:r>
      <w:r>
        <w:rPr>
          <w:lang w:eastAsia="ja-JP"/>
        </w:rPr>
        <w:t xml:space="preserve"> and </w:t>
      </w:r>
      <w:r w:rsidR="004858E7">
        <w:rPr>
          <w:lang w:eastAsia="ja-JP"/>
        </w:rPr>
        <w:t>placebo</w:t>
      </w:r>
      <w:r>
        <w:rPr>
          <w:lang w:eastAsia="ja-JP"/>
        </w:rPr>
        <w:t xml:space="preserve"> groups.</w:t>
      </w:r>
    </w:p>
    <w:p w14:paraId="4BE49BF3" w14:textId="7C51621F" w:rsidR="00F00AF5" w:rsidRDefault="00F00AF5" w:rsidP="00F00AF5">
      <w:pPr>
        <w:rPr>
          <w:lang w:eastAsia="ja-JP"/>
        </w:rPr>
      </w:pPr>
      <w:r>
        <w:rPr>
          <w:lang w:eastAsia="ja-JP"/>
        </w:rPr>
        <w:t xml:space="preserve">In the </w:t>
      </w:r>
      <w:r w:rsidR="001D2CFA">
        <w:rPr>
          <w:lang w:eastAsia="ja-JP"/>
        </w:rPr>
        <w:t>initial treatment period</w:t>
      </w:r>
      <w:r>
        <w:rPr>
          <w:lang w:eastAsia="ja-JP"/>
        </w:rPr>
        <w:t xml:space="preserve">, the study participants excluded from the </w:t>
      </w:r>
      <w:r w:rsidR="00426699">
        <w:rPr>
          <w:lang w:eastAsia="ja-JP"/>
        </w:rPr>
        <w:t xml:space="preserve">per protocol set </w:t>
      </w:r>
      <w:r>
        <w:rPr>
          <w:lang w:eastAsia="ja-JP"/>
        </w:rPr>
        <w:t xml:space="preserve">were 5 (1.4) and 2 (2.3) respectively for the </w:t>
      </w:r>
      <w:proofErr w:type="spellStart"/>
      <w:r w:rsidR="008B40FD">
        <w:rPr>
          <w:lang w:eastAsia="ja-JP"/>
        </w:rPr>
        <w:t>bimekizumab</w:t>
      </w:r>
      <w:proofErr w:type="spellEnd"/>
      <w:r>
        <w:rPr>
          <w:lang w:eastAsia="ja-JP"/>
        </w:rPr>
        <w:t xml:space="preserve"> and </w:t>
      </w:r>
      <w:r w:rsidR="004858E7">
        <w:rPr>
          <w:lang w:eastAsia="ja-JP"/>
        </w:rPr>
        <w:t>placebo</w:t>
      </w:r>
      <w:r>
        <w:rPr>
          <w:lang w:eastAsia="ja-JP"/>
        </w:rPr>
        <w:t xml:space="preserve"> groups.</w:t>
      </w:r>
    </w:p>
    <w:p w14:paraId="4BEACF5E" w14:textId="3DA3FA68" w:rsidR="00F00AF5" w:rsidRDefault="00F00AF5" w:rsidP="00F00AF5">
      <w:pPr>
        <w:rPr>
          <w:lang w:eastAsia="ja-JP"/>
        </w:rPr>
      </w:pPr>
      <w:r>
        <w:rPr>
          <w:lang w:eastAsia="ja-JP"/>
        </w:rPr>
        <w:t xml:space="preserve">Most study participants (97.9%) had no important protocol deviations during the </w:t>
      </w:r>
      <w:r w:rsidR="001D2CFA">
        <w:rPr>
          <w:lang w:eastAsia="ja-JP"/>
        </w:rPr>
        <w:t>initial treatment period</w:t>
      </w:r>
      <w:r>
        <w:rPr>
          <w:lang w:eastAsia="ja-JP"/>
        </w:rPr>
        <w:t>.</w:t>
      </w:r>
    </w:p>
    <w:p w14:paraId="593AE5E0" w14:textId="63ECA25A" w:rsidR="00F00AF5" w:rsidRDefault="00F00AF5" w:rsidP="00F00AF5">
      <w:pPr>
        <w:rPr>
          <w:lang w:eastAsia="ja-JP"/>
        </w:rPr>
      </w:pPr>
      <w:r>
        <w:rPr>
          <w:lang w:eastAsia="ja-JP"/>
        </w:rPr>
        <w:t xml:space="preserve">The incidence of important protocol deviations during the </w:t>
      </w:r>
      <w:r w:rsidR="001D2CFA">
        <w:rPr>
          <w:lang w:eastAsia="ja-JP"/>
        </w:rPr>
        <w:t>initial treatment period</w:t>
      </w:r>
      <w:r>
        <w:rPr>
          <w:lang w:eastAsia="ja-JP"/>
        </w:rPr>
        <w:t xml:space="preserve"> was low overall and, similar between the </w:t>
      </w:r>
      <w:proofErr w:type="spellStart"/>
      <w:r w:rsidR="008B40FD">
        <w:rPr>
          <w:lang w:eastAsia="ja-JP"/>
        </w:rPr>
        <w:t>bimekizumab</w:t>
      </w:r>
      <w:proofErr w:type="spellEnd"/>
      <w:r>
        <w:rPr>
          <w:lang w:eastAsia="ja-JP"/>
        </w:rPr>
        <w:t xml:space="preserve"> </w:t>
      </w:r>
      <w:r w:rsidR="001D2CFA">
        <w:rPr>
          <w:lang w:eastAsia="ja-JP"/>
        </w:rPr>
        <w:t>320 mg</w:t>
      </w:r>
      <w:r>
        <w:rPr>
          <w:lang w:eastAsia="ja-JP"/>
        </w:rPr>
        <w:t xml:space="preserve"> </w:t>
      </w:r>
      <w:r w:rsidR="00F23C97">
        <w:rPr>
          <w:lang w:eastAsia="ja-JP"/>
        </w:rPr>
        <w:t>every 4 weeks</w:t>
      </w:r>
      <w:r>
        <w:rPr>
          <w:lang w:eastAsia="ja-JP"/>
        </w:rPr>
        <w:t xml:space="preserve"> group (2%) and the </w:t>
      </w:r>
      <w:r w:rsidR="004858E7">
        <w:rPr>
          <w:lang w:eastAsia="ja-JP"/>
        </w:rPr>
        <w:t>placebo</w:t>
      </w:r>
      <w:r>
        <w:rPr>
          <w:lang w:eastAsia="ja-JP"/>
        </w:rPr>
        <w:t xml:space="preserve"> group (2.3%).</w:t>
      </w:r>
    </w:p>
    <w:p w14:paraId="472518FE" w14:textId="56CA3C73" w:rsidR="00F00AF5" w:rsidRDefault="00F00AF5" w:rsidP="00F00AF5">
      <w:pPr>
        <w:rPr>
          <w:lang w:eastAsia="ja-JP"/>
        </w:rPr>
      </w:pPr>
      <w:r>
        <w:rPr>
          <w:lang w:eastAsia="ja-JP"/>
        </w:rPr>
        <w:t xml:space="preserve">The most common important protocol deviation in the </w:t>
      </w:r>
      <w:r w:rsidR="001D2CFA">
        <w:rPr>
          <w:lang w:eastAsia="ja-JP"/>
        </w:rPr>
        <w:t>initial treatment period</w:t>
      </w:r>
      <w:r>
        <w:rPr>
          <w:lang w:eastAsia="ja-JP"/>
        </w:rPr>
        <w:t xml:space="preserve"> was procedural noncompliance (1.1%), and the most common reason for procedural noncompliance was having a Week 16 Visit outside of the ± 7-day window.</w:t>
      </w:r>
    </w:p>
    <w:p w14:paraId="33493704" w14:textId="24BAEB43" w:rsidR="00F00AF5" w:rsidRDefault="00F00AF5" w:rsidP="00F00AF5">
      <w:pPr>
        <w:rPr>
          <w:lang w:eastAsia="ja-JP"/>
        </w:rPr>
      </w:pPr>
      <w:r>
        <w:rPr>
          <w:lang w:eastAsia="ja-JP"/>
        </w:rPr>
        <w:t xml:space="preserve">In the </w:t>
      </w:r>
      <w:r w:rsidR="001D2CFA">
        <w:rPr>
          <w:lang w:eastAsia="ja-JP"/>
        </w:rPr>
        <w:t>initial treatment period</w:t>
      </w:r>
      <w:r>
        <w:rPr>
          <w:lang w:eastAsia="ja-JP"/>
        </w:rPr>
        <w:t xml:space="preserve">, </w:t>
      </w:r>
      <w:r w:rsidR="005B3BF0">
        <w:rPr>
          <w:lang w:eastAsia="ja-JP"/>
        </w:rPr>
        <w:t>one</w:t>
      </w:r>
      <w:r>
        <w:rPr>
          <w:lang w:eastAsia="ja-JP"/>
        </w:rPr>
        <w:t xml:space="preserve"> (0.3%) and </w:t>
      </w:r>
      <w:r w:rsidR="005B3BF0">
        <w:rPr>
          <w:lang w:eastAsia="ja-JP"/>
        </w:rPr>
        <w:t>one</w:t>
      </w:r>
      <w:r>
        <w:rPr>
          <w:lang w:eastAsia="ja-JP"/>
        </w:rPr>
        <w:t xml:space="preserve"> (1.2%) of the study participants were excluded from the </w:t>
      </w:r>
      <w:r w:rsidR="00426699">
        <w:rPr>
          <w:lang w:eastAsia="ja-JP"/>
        </w:rPr>
        <w:t>Pharmacokinetics per protocol set</w:t>
      </w:r>
      <w:r>
        <w:rPr>
          <w:lang w:eastAsia="ja-JP"/>
        </w:rPr>
        <w:t xml:space="preserve"> respectively for the </w:t>
      </w:r>
      <w:proofErr w:type="spellStart"/>
      <w:r w:rsidR="008B40FD">
        <w:rPr>
          <w:lang w:eastAsia="ja-JP"/>
        </w:rPr>
        <w:t>bimekizumab</w:t>
      </w:r>
      <w:proofErr w:type="spellEnd"/>
      <w:r>
        <w:rPr>
          <w:lang w:eastAsia="ja-JP"/>
        </w:rPr>
        <w:t xml:space="preserve"> and </w:t>
      </w:r>
      <w:r w:rsidR="004858E7">
        <w:rPr>
          <w:lang w:eastAsia="ja-JP"/>
        </w:rPr>
        <w:t>placebo</w:t>
      </w:r>
      <w:r>
        <w:rPr>
          <w:lang w:eastAsia="ja-JP"/>
        </w:rPr>
        <w:t xml:space="preserve"> groups.</w:t>
      </w:r>
    </w:p>
    <w:p w14:paraId="495202D9" w14:textId="31E01DB7" w:rsidR="00F00AF5" w:rsidRDefault="00F00AF5" w:rsidP="00F00AF5">
      <w:pPr>
        <w:rPr>
          <w:lang w:eastAsia="ja-JP"/>
        </w:rPr>
      </w:pPr>
      <w:r>
        <w:rPr>
          <w:lang w:eastAsia="ja-JP"/>
        </w:rPr>
        <w:t xml:space="preserve">For the </w:t>
      </w:r>
      <w:r w:rsidR="00426699">
        <w:rPr>
          <w:lang w:eastAsia="ja-JP"/>
        </w:rPr>
        <w:t>randomised withdrawal period.</w:t>
      </w:r>
      <w:r>
        <w:rPr>
          <w:lang w:eastAsia="ja-JP"/>
        </w:rPr>
        <w:t xml:space="preserve"> the incidence of study participants with at least one important protocol deviation was 0 (0%), 1 (0.9%) and 0 (0%) respectively for the </w:t>
      </w:r>
      <w:proofErr w:type="spellStart"/>
      <w:r w:rsidR="008B40FD">
        <w:rPr>
          <w:lang w:eastAsia="ja-JP"/>
        </w:rPr>
        <w:t>bimekizumab</w:t>
      </w:r>
      <w:proofErr w:type="spellEnd"/>
      <w:r>
        <w:rPr>
          <w:lang w:eastAsia="ja-JP"/>
        </w:rPr>
        <w:t xml:space="preserve"> 320 mg </w:t>
      </w:r>
      <w:r w:rsidR="00F23C97">
        <w:rPr>
          <w:lang w:eastAsia="ja-JP"/>
        </w:rPr>
        <w:t>every 4 weeks</w:t>
      </w:r>
      <w:r>
        <w:rPr>
          <w:lang w:eastAsia="ja-JP"/>
        </w:rPr>
        <w:t>/</w:t>
      </w:r>
      <w:r w:rsidR="00F23C97">
        <w:rPr>
          <w:lang w:eastAsia="ja-JP"/>
        </w:rPr>
        <w:t>every 4 weeks</w:t>
      </w:r>
      <w:r>
        <w:rPr>
          <w:lang w:eastAsia="ja-JP"/>
        </w:rPr>
        <w:t xml:space="preserve">, </w:t>
      </w:r>
      <w:proofErr w:type="spellStart"/>
      <w:r w:rsidR="008B40FD">
        <w:rPr>
          <w:lang w:eastAsia="ja-JP"/>
        </w:rPr>
        <w:t>bimekizumab</w:t>
      </w:r>
      <w:proofErr w:type="spellEnd"/>
      <w:r>
        <w:rPr>
          <w:lang w:eastAsia="ja-JP"/>
        </w:rPr>
        <w:t xml:space="preserve"> 320 mg </w:t>
      </w:r>
      <w:r w:rsidR="00F23C97">
        <w:rPr>
          <w:lang w:eastAsia="ja-JP"/>
        </w:rPr>
        <w:t>every 4</w:t>
      </w:r>
      <w:r w:rsidR="005B3BF0">
        <w:rPr>
          <w:lang w:eastAsia="ja-JP"/>
        </w:rPr>
        <w:t> </w:t>
      </w:r>
      <w:r w:rsidR="00F23C97">
        <w:rPr>
          <w:lang w:eastAsia="ja-JP"/>
        </w:rPr>
        <w:t>weeks</w:t>
      </w:r>
      <w:r>
        <w:rPr>
          <w:lang w:eastAsia="ja-JP"/>
        </w:rPr>
        <w:t>/</w:t>
      </w:r>
      <w:r w:rsidR="00F23C97">
        <w:rPr>
          <w:lang w:eastAsia="ja-JP"/>
        </w:rPr>
        <w:t>every 8 weeks</w:t>
      </w:r>
      <w:r>
        <w:rPr>
          <w:lang w:eastAsia="ja-JP"/>
        </w:rPr>
        <w:t xml:space="preserve"> and </w:t>
      </w:r>
      <w:r w:rsidR="00F23C97">
        <w:rPr>
          <w:lang w:eastAsia="ja-JP"/>
        </w:rPr>
        <w:t>every 4 weeks</w:t>
      </w:r>
      <w:r>
        <w:rPr>
          <w:lang w:eastAsia="ja-JP"/>
        </w:rPr>
        <w:t>/</w:t>
      </w:r>
      <w:r w:rsidR="004858E7">
        <w:rPr>
          <w:lang w:eastAsia="ja-JP"/>
        </w:rPr>
        <w:t>placebo</w:t>
      </w:r>
      <w:r>
        <w:rPr>
          <w:lang w:eastAsia="ja-JP"/>
        </w:rPr>
        <w:t xml:space="preserve"> groups.</w:t>
      </w:r>
    </w:p>
    <w:p w14:paraId="52FFFE4F" w14:textId="344D70A9" w:rsidR="00F00AF5" w:rsidRDefault="00F00AF5" w:rsidP="00F00AF5">
      <w:pPr>
        <w:rPr>
          <w:lang w:eastAsia="ja-JP"/>
        </w:rPr>
      </w:pPr>
      <w:r>
        <w:rPr>
          <w:lang w:eastAsia="ja-JP"/>
        </w:rPr>
        <w:t xml:space="preserve">In the </w:t>
      </w:r>
      <w:r w:rsidR="00426699">
        <w:rPr>
          <w:lang w:eastAsia="ja-JP"/>
        </w:rPr>
        <w:t>randomised withdrawal period</w:t>
      </w:r>
      <w:r>
        <w:rPr>
          <w:lang w:eastAsia="ja-JP"/>
        </w:rPr>
        <w:t xml:space="preserve">, most study participants (99.7%) had no important protocol deviations. One study participant in the </w:t>
      </w:r>
      <w:proofErr w:type="spellStart"/>
      <w:r w:rsidR="008B40FD">
        <w:rPr>
          <w:lang w:eastAsia="ja-JP"/>
        </w:rPr>
        <w:t>bimekizumab</w:t>
      </w:r>
      <w:proofErr w:type="spellEnd"/>
      <w:r>
        <w:rPr>
          <w:lang w:eastAsia="ja-JP"/>
        </w:rPr>
        <w:t xml:space="preserve"> 320 mg </w:t>
      </w:r>
      <w:r w:rsidR="00F23C97">
        <w:rPr>
          <w:lang w:eastAsia="ja-JP"/>
        </w:rPr>
        <w:t>every 4</w:t>
      </w:r>
      <w:r w:rsidR="005B3BF0">
        <w:rPr>
          <w:lang w:eastAsia="ja-JP"/>
        </w:rPr>
        <w:t> </w:t>
      </w:r>
      <w:r w:rsidR="00F23C97">
        <w:rPr>
          <w:lang w:eastAsia="ja-JP"/>
        </w:rPr>
        <w:t>weeks</w:t>
      </w:r>
      <w:r>
        <w:rPr>
          <w:lang w:eastAsia="ja-JP"/>
        </w:rPr>
        <w:t>/</w:t>
      </w:r>
      <w:r w:rsidR="00F23C97">
        <w:rPr>
          <w:lang w:eastAsia="ja-JP"/>
        </w:rPr>
        <w:t>every 4 weeks</w:t>
      </w:r>
      <w:r>
        <w:rPr>
          <w:lang w:eastAsia="ja-JP"/>
        </w:rPr>
        <w:t xml:space="preserve"> group had an important protocol deviation of prohibited concomitant medication use. </w:t>
      </w:r>
    </w:p>
    <w:p w14:paraId="41CBFCD5" w14:textId="349C1A53" w:rsidR="00F00AF5" w:rsidRDefault="00F00AF5" w:rsidP="00F00AF5">
      <w:pPr>
        <w:rPr>
          <w:lang w:eastAsia="ja-JP"/>
        </w:rPr>
      </w:pPr>
      <w:r>
        <w:rPr>
          <w:lang w:eastAsia="ja-JP"/>
        </w:rPr>
        <w:t xml:space="preserve">No study participants were excluded from the PK-PPS due to protocol deviations during the </w:t>
      </w:r>
      <w:r w:rsidR="00426699">
        <w:rPr>
          <w:lang w:eastAsia="ja-JP"/>
        </w:rPr>
        <w:t>randomised withdrawal period</w:t>
      </w:r>
      <w:r>
        <w:rPr>
          <w:lang w:eastAsia="ja-JP"/>
        </w:rPr>
        <w:t>.</w:t>
      </w:r>
    </w:p>
    <w:p w14:paraId="2BC47B40" w14:textId="2BAEE81C" w:rsidR="00F00AF5" w:rsidRDefault="0057015C" w:rsidP="0057015C">
      <w:pPr>
        <w:pStyle w:val="Heading6"/>
        <w:rPr>
          <w:lang w:eastAsia="ja-JP"/>
        </w:rPr>
      </w:pPr>
      <w:r>
        <w:rPr>
          <w:lang w:eastAsia="ja-JP"/>
        </w:rPr>
        <w:t>Initial treatment period co-primary endpoints</w:t>
      </w:r>
    </w:p>
    <w:p w14:paraId="1416E932" w14:textId="787BFD67" w:rsidR="0057015C" w:rsidRDefault="0057015C" w:rsidP="0057015C">
      <w:pPr>
        <w:rPr>
          <w:lang w:eastAsia="ja-JP"/>
        </w:rPr>
      </w:pPr>
      <w:r>
        <w:rPr>
          <w:lang w:eastAsia="ja-JP"/>
        </w:rPr>
        <w:t xml:space="preserve">For the co-primary endpoint of PASI 90 response rate at Week 16, as per </w:t>
      </w:r>
      <w:r w:rsidR="00426699">
        <w:rPr>
          <w:lang w:eastAsia="ja-JP"/>
        </w:rPr>
        <w:fldChar w:fldCharType="begin"/>
      </w:r>
      <w:r w:rsidR="00426699">
        <w:rPr>
          <w:lang w:eastAsia="ja-JP"/>
        </w:rPr>
        <w:instrText xml:space="preserve"> REF _Ref130203119 \h </w:instrText>
      </w:r>
      <w:r w:rsidR="00426699">
        <w:rPr>
          <w:lang w:eastAsia="ja-JP"/>
        </w:rPr>
      </w:r>
      <w:r w:rsidR="00426699">
        <w:rPr>
          <w:lang w:eastAsia="ja-JP"/>
        </w:rPr>
        <w:fldChar w:fldCharType="separate"/>
      </w:r>
      <w:r w:rsidR="00B54079" w:rsidRPr="00426699">
        <w:t xml:space="preserve">Table </w:t>
      </w:r>
      <w:r w:rsidR="00B54079">
        <w:rPr>
          <w:noProof/>
        </w:rPr>
        <w:t>37</w:t>
      </w:r>
      <w:r w:rsidR="00426699">
        <w:rPr>
          <w:lang w:eastAsia="ja-JP"/>
        </w:rPr>
        <w:fldChar w:fldCharType="end"/>
      </w:r>
      <w:r w:rsidR="00426699">
        <w:rPr>
          <w:lang w:eastAsia="ja-JP"/>
        </w:rPr>
        <w:t xml:space="preserve"> </w:t>
      </w:r>
      <w:r>
        <w:rPr>
          <w:lang w:eastAsia="ja-JP"/>
        </w:rPr>
        <w:t>below:</w:t>
      </w:r>
    </w:p>
    <w:p w14:paraId="1D8F7EDB" w14:textId="191FAB43" w:rsidR="0057015C" w:rsidRDefault="0057015C" w:rsidP="0057015C">
      <w:pPr>
        <w:pStyle w:val="ListBullet"/>
        <w:rPr>
          <w:lang w:eastAsia="ja-JP"/>
        </w:rPr>
      </w:pPr>
      <w:r>
        <w:rPr>
          <w:lang w:eastAsia="ja-JP"/>
        </w:rPr>
        <w:t xml:space="preserve">the </w:t>
      </w:r>
      <w:proofErr w:type="spellStart"/>
      <w:r w:rsidR="008B40FD">
        <w:rPr>
          <w:lang w:eastAsia="ja-JP"/>
        </w:rPr>
        <w:t>bimekizumab</w:t>
      </w:r>
      <w:proofErr w:type="spellEnd"/>
      <w:r>
        <w:rPr>
          <w:lang w:eastAsia="ja-JP"/>
        </w:rPr>
        <w:t xml:space="preserve"> 320 mg </w:t>
      </w:r>
      <w:r w:rsidR="00F23C97">
        <w:rPr>
          <w:lang w:eastAsia="ja-JP"/>
        </w:rPr>
        <w:t>every 4 weeks</w:t>
      </w:r>
      <w:r>
        <w:rPr>
          <w:lang w:eastAsia="ja-JP"/>
        </w:rPr>
        <w:t xml:space="preserve"> group was better than the </w:t>
      </w:r>
      <w:r w:rsidR="004858E7">
        <w:rPr>
          <w:lang w:eastAsia="ja-JP"/>
        </w:rPr>
        <w:t>placebo</w:t>
      </w:r>
      <w:r>
        <w:rPr>
          <w:lang w:eastAsia="ja-JP"/>
        </w:rPr>
        <w:t xml:space="preserve"> </w:t>
      </w:r>
      <w:r w:rsidR="00F23C97">
        <w:rPr>
          <w:lang w:eastAsia="ja-JP"/>
        </w:rPr>
        <w:t>every 4</w:t>
      </w:r>
      <w:r w:rsidR="00DC1BBB">
        <w:rPr>
          <w:lang w:eastAsia="ja-JP"/>
        </w:rPr>
        <w:t> </w:t>
      </w:r>
      <w:r w:rsidR="00F23C97">
        <w:rPr>
          <w:lang w:eastAsia="ja-JP"/>
        </w:rPr>
        <w:t>weeks</w:t>
      </w:r>
      <w:r>
        <w:rPr>
          <w:lang w:eastAsia="ja-JP"/>
        </w:rPr>
        <w:t xml:space="preserve"> group (90.8% versus 1.2%, respectively</w:t>
      </w:r>
      <w:proofErr w:type="gramStart"/>
      <w:r>
        <w:rPr>
          <w:lang w:eastAsia="ja-JP"/>
        </w:rPr>
        <w:t>);</w:t>
      </w:r>
      <w:proofErr w:type="gramEnd"/>
    </w:p>
    <w:p w14:paraId="6BF1F6B1" w14:textId="05A88DFD" w:rsidR="0057015C" w:rsidRDefault="0057015C" w:rsidP="0057015C">
      <w:pPr>
        <w:pStyle w:val="ListBullet"/>
        <w:rPr>
          <w:lang w:eastAsia="ja-JP"/>
        </w:rPr>
      </w:pPr>
      <w:r>
        <w:rPr>
          <w:lang w:eastAsia="ja-JP"/>
        </w:rPr>
        <w:t>this difference was statistically significant, with an odds ratio of 496.32 (p &lt; 0.001)</w:t>
      </w:r>
    </w:p>
    <w:p w14:paraId="20B88875" w14:textId="474612C1" w:rsidR="0057015C" w:rsidRDefault="0057015C" w:rsidP="0057015C">
      <w:pPr>
        <w:pStyle w:val="ListBullet"/>
        <w:numPr>
          <w:ilvl w:val="0"/>
          <w:numId w:val="0"/>
        </w:numPr>
        <w:rPr>
          <w:lang w:eastAsia="ja-JP"/>
        </w:rPr>
      </w:pPr>
      <w:r>
        <w:rPr>
          <w:lang w:eastAsia="ja-JP"/>
        </w:rPr>
        <w:t>For the co-primary endpoint of Investigator’s Global Assessment 0/1 response rate at Week 16, as per the table below:</w:t>
      </w:r>
    </w:p>
    <w:p w14:paraId="5723A6E4" w14:textId="039D92A8" w:rsidR="0057015C" w:rsidRDefault="0057015C" w:rsidP="0057015C">
      <w:pPr>
        <w:pStyle w:val="ListBullet"/>
        <w:rPr>
          <w:lang w:eastAsia="ja-JP"/>
        </w:rPr>
      </w:pPr>
      <w:r>
        <w:rPr>
          <w:lang w:eastAsia="ja-JP"/>
        </w:rPr>
        <w:t xml:space="preserve">the </w:t>
      </w:r>
      <w:proofErr w:type="spellStart"/>
      <w:r w:rsidR="008B40FD">
        <w:rPr>
          <w:lang w:eastAsia="ja-JP"/>
        </w:rPr>
        <w:t>bimekizumab</w:t>
      </w:r>
      <w:proofErr w:type="spellEnd"/>
      <w:r>
        <w:rPr>
          <w:lang w:eastAsia="ja-JP"/>
        </w:rPr>
        <w:t xml:space="preserve"> </w:t>
      </w:r>
      <w:r w:rsidR="001D2CFA">
        <w:rPr>
          <w:lang w:eastAsia="ja-JP"/>
        </w:rPr>
        <w:t>320 mg</w:t>
      </w:r>
      <w:r>
        <w:rPr>
          <w:lang w:eastAsia="ja-JP"/>
        </w:rPr>
        <w:t xml:space="preserve"> </w:t>
      </w:r>
      <w:r w:rsidR="00F23C97">
        <w:rPr>
          <w:lang w:eastAsia="ja-JP"/>
        </w:rPr>
        <w:t>every 4 weeks</w:t>
      </w:r>
      <w:r>
        <w:rPr>
          <w:lang w:eastAsia="ja-JP"/>
        </w:rPr>
        <w:t xml:space="preserve"> group was better than the </w:t>
      </w:r>
      <w:r w:rsidR="004858E7">
        <w:rPr>
          <w:lang w:eastAsia="ja-JP"/>
        </w:rPr>
        <w:t>placebo</w:t>
      </w:r>
      <w:r>
        <w:rPr>
          <w:lang w:eastAsia="ja-JP"/>
        </w:rPr>
        <w:t xml:space="preserve"> </w:t>
      </w:r>
      <w:r w:rsidR="00F23C97">
        <w:rPr>
          <w:lang w:eastAsia="ja-JP"/>
        </w:rPr>
        <w:t>every 4 weeks</w:t>
      </w:r>
      <w:r>
        <w:rPr>
          <w:lang w:eastAsia="ja-JP"/>
        </w:rPr>
        <w:t xml:space="preserve"> group (92.6% </w:t>
      </w:r>
      <w:r w:rsidR="004858E7">
        <w:rPr>
          <w:lang w:eastAsia="ja-JP"/>
        </w:rPr>
        <w:t>versus</w:t>
      </w:r>
      <w:r>
        <w:rPr>
          <w:lang w:eastAsia="ja-JP"/>
        </w:rPr>
        <w:t xml:space="preserve"> 1.2%, respectively</w:t>
      </w:r>
      <w:proofErr w:type="gramStart"/>
      <w:r>
        <w:rPr>
          <w:lang w:eastAsia="ja-JP"/>
        </w:rPr>
        <w:t>);</w:t>
      </w:r>
      <w:proofErr w:type="gramEnd"/>
    </w:p>
    <w:p w14:paraId="700B4AF1" w14:textId="7A2D1B1D" w:rsidR="0057015C" w:rsidRDefault="0057015C" w:rsidP="0057015C">
      <w:pPr>
        <w:pStyle w:val="ListBullet"/>
        <w:rPr>
          <w:lang w:eastAsia="ja-JP"/>
        </w:rPr>
      </w:pPr>
      <w:r>
        <w:rPr>
          <w:lang w:eastAsia="ja-JP"/>
        </w:rPr>
        <w:t>this difference was statistically significant, with an odds ratio of 657.25 (p &lt; 0.001).</w:t>
      </w:r>
    </w:p>
    <w:p w14:paraId="2F7617DB" w14:textId="1162B9AA" w:rsidR="008879AA" w:rsidRDefault="008879AA">
      <w:pPr>
        <w:spacing w:before="0" w:after="200" w:line="0" w:lineRule="auto"/>
        <w:rPr>
          <w:lang w:eastAsia="ja-JP"/>
        </w:rPr>
      </w:pPr>
      <w:r>
        <w:rPr>
          <w:lang w:eastAsia="ja-JP"/>
        </w:rPr>
        <w:br w:type="page"/>
      </w:r>
    </w:p>
    <w:p w14:paraId="5B01AAFC" w14:textId="078892D6" w:rsidR="0057015C" w:rsidRDefault="0057015C" w:rsidP="00426699">
      <w:pPr>
        <w:pStyle w:val="TableTitle"/>
      </w:pPr>
      <w:bookmarkStart w:id="114" w:name="_Ref130203119"/>
      <w:r w:rsidRPr="00426699">
        <w:lastRenderedPageBreak/>
        <w:t xml:space="preserve">Table </w:t>
      </w:r>
      <w:r w:rsidR="00172397">
        <w:fldChar w:fldCharType="begin"/>
      </w:r>
      <w:r w:rsidR="00172397">
        <w:instrText xml:space="preserve"> SEQ Table \* ARABIC </w:instrText>
      </w:r>
      <w:r w:rsidR="00172397">
        <w:fldChar w:fldCharType="separate"/>
      </w:r>
      <w:r w:rsidR="00B54079">
        <w:rPr>
          <w:noProof/>
        </w:rPr>
        <w:t>37</w:t>
      </w:r>
      <w:r w:rsidR="00172397">
        <w:rPr>
          <w:noProof/>
        </w:rPr>
        <w:fldChar w:fldCharType="end"/>
      </w:r>
      <w:bookmarkEnd w:id="114"/>
      <w:r>
        <w:t>:</w:t>
      </w:r>
      <w:r w:rsidR="00426699">
        <w:t xml:space="preserve"> Study PS0013 Summary of co-primary and secondary efficacy analysis results based on the predefined fixed testing sequence</w:t>
      </w:r>
    </w:p>
    <w:tbl>
      <w:tblPr>
        <w:tblW w:w="5000" w:type="pct"/>
        <w:jc w:val="center"/>
        <w:tblCellMar>
          <w:left w:w="0" w:type="dxa"/>
          <w:right w:w="0" w:type="dxa"/>
        </w:tblCellMar>
        <w:tblLook w:val="0000" w:firstRow="0" w:lastRow="0" w:firstColumn="0" w:lastColumn="0" w:noHBand="0" w:noVBand="0"/>
      </w:tblPr>
      <w:tblGrid>
        <w:gridCol w:w="1970"/>
        <w:gridCol w:w="996"/>
        <w:gridCol w:w="989"/>
        <w:gridCol w:w="1001"/>
        <w:gridCol w:w="1409"/>
        <w:gridCol w:w="1101"/>
        <w:gridCol w:w="1032"/>
      </w:tblGrid>
      <w:tr w:rsidR="0057015C" w:rsidRPr="00DC1BBB" w14:paraId="7BF0C9E8" w14:textId="77777777" w:rsidTr="006E4137">
        <w:trPr>
          <w:trHeight w:hRule="exact" w:val="557"/>
          <w:jc w:val="center"/>
        </w:trPr>
        <w:tc>
          <w:tcPr>
            <w:tcW w:w="1159" w:type="pct"/>
            <w:vMerge w:val="restart"/>
            <w:tcBorders>
              <w:top w:val="single" w:sz="2" w:space="0" w:color="auto"/>
              <w:left w:val="single" w:sz="2" w:space="0" w:color="auto"/>
              <w:right w:val="single" w:sz="2" w:space="0" w:color="auto"/>
            </w:tcBorders>
            <w:vAlign w:val="center"/>
          </w:tcPr>
          <w:p w14:paraId="7F95A62F" w14:textId="77777777" w:rsidR="0057015C" w:rsidRPr="006E4137" w:rsidRDefault="0057015C" w:rsidP="009B153D">
            <w:pPr>
              <w:pStyle w:val="Style"/>
              <w:ind w:left="72"/>
              <w:textAlignment w:val="baseline"/>
              <w:rPr>
                <w:rFonts w:asciiTheme="minorHAnsi" w:hAnsiTheme="minorHAnsi"/>
              </w:rPr>
            </w:pPr>
            <w:r w:rsidRPr="006E4137">
              <w:rPr>
                <w:rFonts w:asciiTheme="minorHAnsi" w:hAnsiTheme="minorHAnsi"/>
                <w:b/>
                <w:sz w:val="21"/>
                <w:szCs w:val="21"/>
              </w:rPr>
              <w:t xml:space="preserve">Ordered Sequential </w:t>
            </w:r>
          </w:p>
          <w:p w14:paraId="61AEA33A" w14:textId="2B155887" w:rsidR="0057015C" w:rsidRPr="006E4137" w:rsidRDefault="0057015C" w:rsidP="009B153D">
            <w:pPr>
              <w:pStyle w:val="Style"/>
              <w:ind w:left="72"/>
              <w:textAlignment w:val="baseline"/>
              <w:rPr>
                <w:rFonts w:asciiTheme="minorHAnsi" w:hAnsiTheme="minorHAnsi"/>
              </w:rPr>
            </w:pPr>
            <w:r w:rsidRPr="006E4137">
              <w:rPr>
                <w:rFonts w:asciiTheme="minorHAnsi" w:hAnsiTheme="minorHAnsi"/>
                <w:b/>
                <w:sz w:val="21"/>
                <w:szCs w:val="21"/>
              </w:rPr>
              <w:t xml:space="preserve">Procedure </w:t>
            </w:r>
          </w:p>
        </w:tc>
        <w:tc>
          <w:tcPr>
            <w:tcW w:w="586" w:type="pct"/>
            <w:vMerge w:val="restart"/>
            <w:tcBorders>
              <w:top w:val="single" w:sz="2" w:space="0" w:color="auto"/>
              <w:left w:val="single" w:sz="2" w:space="0" w:color="auto"/>
              <w:right w:val="single" w:sz="2" w:space="0" w:color="auto"/>
            </w:tcBorders>
            <w:vAlign w:val="center"/>
          </w:tcPr>
          <w:p w14:paraId="03B8C68F" w14:textId="68DAF293" w:rsidR="0057015C" w:rsidRPr="006E4137" w:rsidRDefault="0057015C" w:rsidP="0057015C">
            <w:pPr>
              <w:pStyle w:val="Style"/>
              <w:textAlignment w:val="baseline"/>
              <w:rPr>
                <w:rFonts w:asciiTheme="minorHAnsi" w:hAnsiTheme="minorHAnsi"/>
              </w:rPr>
            </w:pPr>
            <w:r w:rsidRPr="006E4137">
              <w:rPr>
                <w:rFonts w:asciiTheme="minorHAnsi" w:hAnsiTheme="minorHAnsi"/>
                <w:b/>
                <w:sz w:val="21"/>
                <w:szCs w:val="21"/>
              </w:rPr>
              <w:t xml:space="preserve">Variables </w:t>
            </w:r>
          </w:p>
        </w:tc>
        <w:tc>
          <w:tcPr>
            <w:tcW w:w="582" w:type="pct"/>
            <w:vMerge w:val="restart"/>
            <w:tcBorders>
              <w:top w:val="single" w:sz="2" w:space="0" w:color="auto"/>
              <w:left w:val="single" w:sz="2" w:space="0" w:color="auto"/>
              <w:right w:val="single" w:sz="2" w:space="0" w:color="auto"/>
            </w:tcBorders>
            <w:vAlign w:val="center"/>
          </w:tcPr>
          <w:p w14:paraId="62A6114C" w14:textId="1D2CBFE5" w:rsidR="0057015C" w:rsidRPr="006E4137" w:rsidRDefault="0057015C" w:rsidP="0057015C">
            <w:pPr>
              <w:pStyle w:val="Style"/>
              <w:textAlignment w:val="baseline"/>
              <w:rPr>
                <w:rFonts w:asciiTheme="minorHAnsi" w:hAnsiTheme="minorHAnsi"/>
              </w:rPr>
            </w:pPr>
            <w:r w:rsidRPr="006E4137">
              <w:rPr>
                <w:rFonts w:asciiTheme="minorHAnsi" w:hAnsiTheme="minorHAnsi"/>
                <w:b/>
                <w:sz w:val="21"/>
                <w:szCs w:val="21"/>
              </w:rPr>
              <w:t xml:space="preserve">Visit </w:t>
            </w:r>
          </w:p>
        </w:tc>
        <w:tc>
          <w:tcPr>
            <w:tcW w:w="1418" w:type="pct"/>
            <w:gridSpan w:val="2"/>
            <w:tcBorders>
              <w:top w:val="single" w:sz="2" w:space="0" w:color="auto"/>
              <w:left w:val="single" w:sz="2" w:space="0" w:color="auto"/>
              <w:bottom w:val="single" w:sz="2" w:space="0" w:color="auto"/>
              <w:right w:val="single" w:sz="2" w:space="0" w:color="auto"/>
            </w:tcBorders>
            <w:vAlign w:val="center"/>
          </w:tcPr>
          <w:p w14:paraId="17F2770A" w14:textId="66460979" w:rsidR="0057015C" w:rsidRPr="006E4137" w:rsidRDefault="0057015C" w:rsidP="009B153D">
            <w:pPr>
              <w:pStyle w:val="Style"/>
              <w:ind w:right="1147"/>
              <w:jc w:val="right"/>
              <w:textAlignment w:val="baseline"/>
              <w:rPr>
                <w:rFonts w:asciiTheme="minorHAnsi" w:hAnsiTheme="minorHAnsi"/>
              </w:rPr>
            </w:pPr>
            <w:r w:rsidRPr="006E4137">
              <w:rPr>
                <w:rFonts w:asciiTheme="minorHAnsi" w:hAnsiTheme="minorHAnsi"/>
                <w:b/>
                <w:sz w:val="21"/>
                <w:szCs w:val="21"/>
              </w:rPr>
              <w:t>Response</w:t>
            </w:r>
            <w:r w:rsidR="00DC1BBB">
              <w:rPr>
                <w:rFonts w:asciiTheme="minorHAnsi" w:hAnsiTheme="minorHAnsi"/>
                <w:b/>
                <w:sz w:val="21"/>
                <w:szCs w:val="21"/>
              </w:rPr>
              <w:t xml:space="preserve"> </w:t>
            </w:r>
            <w:r w:rsidRPr="006E4137">
              <w:rPr>
                <w:rFonts w:asciiTheme="minorHAnsi" w:hAnsiTheme="minorHAnsi"/>
                <w:b/>
                <w:sz w:val="21"/>
                <w:szCs w:val="21"/>
              </w:rPr>
              <w:t xml:space="preserve">rate </w:t>
            </w:r>
          </w:p>
        </w:tc>
        <w:tc>
          <w:tcPr>
            <w:tcW w:w="648" w:type="pct"/>
            <w:vMerge w:val="restart"/>
            <w:tcBorders>
              <w:top w:val="single" w:sz="2" w:space="0" w:color="auto"/>
              <w:left w:val="single" w:sz="2" w:space="0" w:color="auto"/>
              <w:right w:val="single" w:sz="2" w:space="0" w:color="auto"/>
            </w:tcBorders>
            <w:vAlign w:val="center"/>
          </w:tcPr>
          <w:p w14:paraId="4BCD79B9" w14:textId="79F52A07" w:rsidR="0057015C" w:rsidRPr="006E4137" w:rsidRDefault="0057015C" w:rsidP="0057015C">
            <w:pPr>
              <w:pStyle w:val="Style"/>
              <w:textAlignment w:val="baseline"/>
              <w:rPr>
                <w:rFonts w:asciiTheme="minorHAnsi" w:hAnsiTheme="minorHAnsi"/>
              </w:rPr>
            </w:pPr>
            <w:r w:rsidRPr="006E4137">
              <w:rPr>
                <w:rFonts w:asciiTheme="minorHAnsi" w:hAnsiTheme="minorHAnsi"/>
                <w:b/>
                <w:sz w:val="21"/>
                <w:szCs w:val="21"/>
              </w:rPr>
              <w:t xml:space="preserve">p-value </w:t>
            </w:r>
          </w:p>
        </w:tc>
        <w:tc>
          <w:tcPr>
            <w:tcW w:w="607" w:type="pct"/>
            <w:vMerge w:val="restart"/>
            <w:tcBorders>
              <w:top w:val="single" w:sz="2" w:space="0" w:color="auto"/>
              <w:left w:val="single" w:sz="2" w:space="0" w:color="auto"/>
              <w:right w:val="single" w:sz="2" w:space="0" w:color="auto"/>
            </w:tcBorders>
            <w:vAlign w:val="center"/>
          </w:tcPr>
          <w:p w14:paraId="24C385CD" w14:textId="4C68C05C" w:rsidR="0057015C" w:rsidRPr="006E4137" w:rsidRDefault="0057015C" w:rsidP="0057015C">
            <w:pPr>
              <w:pStyle w:val="Style"/>
              <w:textAlignment w:val="baseline"/>
              <w:rPr>
                <w:rFonts w:asciiTheme="minorHAnsi" w:hAnsiTheme="minorHAnsi"/>
              </w:rPr>
            </w:pPr>
            <w:r w:rsidRPr="006E4137">
              <w:rPr>
                <w:rFonts w:asciiTheme="minorHAnsi" w:hAnsiTheme="minorHAnsi"/>
                <w:b/>
                <w:sz w:val="21"/>
                <w:szCs w:val="21"/>
              </w:rPr>
              <w:t xml:space="preserve">Significant </w:t>
            </w:r>
          </w:p>
        </w:tc>
      </w:tr>
      <w:tr w:rsidR="0057015C" w:rsidRPr="00DC1BBB" w14:paraId="0F388C4D" w14:textId="77777777" w:rsidTr="006E4137">
        <w:trPr>
          <w:trHeight w:val="861"/>
          <w:jc w:val="center"/>
        </w:trPr>
        <w:tc>
          <w:tcPr>
            <w:tcW w:w="1159" w:type="pct"/>
            <w:vMerge/>
            <w:tcBorders>
              <w:left w:val="single" w:sz="2" w:space="0" w:color="auto"/>
              <w:bottom w:val="single" w:sz="2" w:space="0" w:color="auto"/>
              <w:right w:val="single" w:sz="2" w:space="0" w:color="auto"/>
            </w:tcBorders>
            <w:vAlign w:val="center"/>
          </w:tcPr>
          <w:p w14:paraId="5F7ED193" w14:textId="5DC59297" w:rsidR="0057015C" w:rsidRPr="006E4137" w:rsidRDefault="0057015C" w:rsidP="009B153D">
            <w:pPr>
              <w:pStyle w:val="Style"/>
              <w:ind w:left="72"/>
              <w:textAlignment w:val="baseline"/>
              <w:rPr>
                <w:rFonts w:asciiTheme="minorHAnsi" w:hAnsiTheme="minorHAnsi"/>
              </w:rPr>
            </w:pPr>
          </w:p>
        </w:tc>
        <w:tc>
          <w:tcPr>
            <w:tcW w:w="586" w:type="pct"/>
            <w:vMerge/>
            <w:tcBorders>
              <w:left w:val="single" w:sz="2" w:space="0" w:color="auto"/>
              <w:bottom w:val="single" w:sz="2" w:space="0" w:color="auto"/>
              <w:right w:val="single" w:sz="2" w:space="0" w:color="auto"/>
            </w:tcBorders>
            <w:vAlign w:val="center"/>
          </w:tcPr>
          <w:p w14:paraId="1F3ADDD4" w14:textId="742FCC1A" w:rsidR="0057015C" w:rsidRPr="006E4137" w:rsidRDefault="0057015C" w:rsidP="009B153D">
            <w:pPr>
              <w:pStyle w:val="Style"/>
              <w:ind w:left="125"/>
              <w:textAlignment w:val="baseline"/>
              <w:rPr>
                <w:rFonts w:asciiTheme="minorHAnsi" w:hAnsiTheme="minorHAnsi"/>
              </w:rPr>
            </w:pPr>
          </w:p>
        </w:tc>
        <w:tc>
          <w:tcPr>
            <w:tcW w:w="582" w:type="pct"/>
            <w:vMerge/>
            <w:tcBorders>
              <w:left w:val="single" w:sz="2" w:space="0" w:color="auto"/>
              <w:bottom w:val="single" w:sz="2" w:space="0" w:color="auto"/>
              <w:right w:val="single" w:sz="2" w:space="0" w:color="auto"/>
            </w:tcBorders>
            <w:vAlign w:val="center"/>
          </w:tcPr>
          <w:p w14:paraId="305CD74C" w14:textId="1B5CB60A" w:rsidR="0057015C" w:rsidRPr="006E4137" w:rsidRDefault="0057015C" w:rsidP="009B153D">
            <w:pPr>
              <w:pStyle w:val="Style"/>
              <w:ind w:right="437"/>
              <w:jc w:val="right"/>
              <w:textAlignment w:val="baseline"/>
              <w:rPr>
                <w:rFonts w:asciiTheme="minorHAnsi" w:hAnsiTheme="minorHAnsi"/>
              </w:rPr>
            </w:pPr>
          </w:p>
        </w:tc>
        <w:tc>
          <w:tcPr>
            <w:tcW w:w="589" w:type="pct"/>
            <w:tcBorders>
              <w:top w:val="single" w:sz="2" w:space="0" w:color="auto"/>
              <w:left w:val="single" w:sz="2" w:space="0" w:color="auto"/>
              <w:bottom w:val="single" w:sz="2" w:space="0" w:color="auto"/>
              <w:right w:val="single" w:sz="6" w:space="0" w:color="auto"/>
            </w:tcBorders>
            <w:vAlign w:val="center"/>
          </w:tcPr>
          <w:p w14:paraId="7DF98755" w14:textId="77777777" w:rsidR="0057015C" w:rsidRPr="006E4137" w:rsidRDefault="0057015C" w:rsidP="009B153D">
            <w:pPr>
              <w:pStyle w:val="Style"/>
              <w:ind w:left="130"/>
              <w:jc w:val="center"/>
              <w:textAlignment w:val="baseline"/>
              <w:rPr>
                <w:rFonts w:asciiTheme="minorHAnsi" w:hAnsiTheme="minorHAnsi"/>
              </w:rPr>
            </w:pPr>
            <w:r w:rsidRPr="006E4137">
              <w:rPr>
                <w:rFonts w:asciiTheme="minorHAnsi" w:hAnsiTheme="minorHAnsi"/>
                <w:b/>
                <w:sz w:val="21"/>
                <w:szCs w:val="21"/>
              </w:rPr>
              <w:t xml:space="preserve">PBO </w:t>
            </w:r>
          </w:p>
          <w:p w14:paraId="74BC4ACF" w14:textId="68C9CEF9" w:rsidR="0057015C" w:rsidRPr="006E4137" w:rsidRDefault="0057015C" w:rsidP="009B153D">
            <w:pPr>
              <w:pStyle w:val="Style"/>
              <w:ind w:left="130"/>
              <w:jc w:val="center"/>
              <w:textAlignment w:val="baseline"/>
              <w:rPr>
                <w:rFonts w:asciiTheme="minorHAnsi" w:hAnsiTheme="minorHAnsi"/>
              </w:rPr>
            </w:pPr>
            <w:r w:rsidRPr="006E4137">
              <w:rPr>
                <w:rFonts w:asciiTheme="minorHAnsi" w:hAnsiTheme="minorHAnsi"/>
                <w:b/>
                <w:sz w:val="21"/>
                <w:szCs w:val="21"/>
              </w:rPr>
              <w:t xml:space="preserve">n </w:t>
            </w:r>
            <w:r w:rsidRPr="006E4137">
              <w:rPr>
                <w:rFonts w:asciiTheme="minorHAnsi" w:eastAsia="Arial" w:hAnsiTheme="minorHAnsi" w:cs="Arial"/>
                <w:w w:val="114"/>
                <w:sz w:val="20"/>
                <w:szCs w:val="20"/>
              </w:rPr>
              <w:t xml:space="preserve">(%) </w:t>
            </w:r>
          </w:p>
        </w:tc>
        <w:tc>
          <w:tcPr>
            <w:tcW w:w="829" w:type="pct"/>
            <w:tcBorders>
              <w:top w:val="single" w:sz="6" w:space="0" w:color="auto"/>
              <w:left w:val="single" w:sz="6" w:space="0" w:color="auto"/>
              <w:bottom w:val="single" w:sz="2" w:space="0" w:color="auto"/>
              <w:right w:val="single" w:sz="2" w:space="0" w:color="auto"/>
            </w:tcBorders>
            <w:vAlign w:val="center"/>
          </w:tcPr>
          <w:p w14:paraId="3C8853B2" w14:textId="77777777" w:rsidR="0057015C" w:rsidRPr="006E4137" w:rsidRDefault="0057015C" w:rsidP="009B153D">
            <w:pPr>
              <w:pStyle w:val="Style"/>
              <w:ind w:left="168"/>
              <w:jc w:val="center"/>
              <w:textAlignment w:val="baseline"/>
              <w:rPr>
                <w:rFonts w:asciiTheme="minorHAnsi" w:hAnsiTheme="minorHAnsi"/>
              </w:rPr>
            </w:pPr>
            <w:r w:rsidRPr="006E4137">
              <w:rPr>
                <w:rFonts w:asciiTheme="minorHAnsi" w:hAnsiTheme="minorHAnsi"/>
                <w:b/>
                <w:sz w:val="21"/>
                <w:szCs w:val="21"/>
              </w:rPr>
              <w:t xml:space="preserve">BKZ </w:t>
            </w:r>
          </w:p>
          <w:p w14:paraId="768EDCFC" w14:textId="54FFB43F" w:rsidR="0057015C" w:rsidRPr="006E4137" w:rsidRDefault="0057015C" w:rsidP="009B153D">
            <w:pPr>
              <w:pStyle w:val="Style"/>
              <w:ind w:left="168"/>
              <w:jc w:val="center"/>
              <w:textAlignment w:val="baseline"/>
              <w:rPr>
                <w:rFonts w:asciiTheme="minorHAnsi" w:hAnsiTheme="minorHAnsi"/>
              </w:rPr>
            </w:pPr>
            <w:r w:rsidRPr="006E4137">
              <w:rPr>
                <w:rFonts w:asciiTheme="minorHAnsi" w:hAnsiTheme="minorHAnsi"/>
                <w:b/>
                <w:sz w:val="21"/>
                <w:szCs w:val="21"/>
              </w:rPr>
              <w:t xml:space="preserve">n </w:t>
            </w:r>
            <w:r w:rsidRPr="006E4137">
              <w:rPr>
                <w:rFonts w:asciiTheme="minorHAnsi" w:eastAsia="Arial" w:hAnsiTheme="minorHAnsi" w:cs="Arial"/>
                <w:w w:val="114"/>
                <w:sz w:val="20"/>
                <w:szCs w:val="20"/>
              </w:rPr>
              <w:t xml:space="preserve">(%) </w:t>
            </w:r>
          </w:p>
        </w:tc>
        <w:tc>
          <w:tcPr>
            <w:tcW w:w="648" w:type="pct"/>
            <w:vMerge/>
            <w:tcBorders>
              <w:left w:val="single" w:sz="2" w:space="0" w:color="auto"/>
              <w:bottom w:val="single" w:sz="2" w:space="0" w:color="auto"/>
              <w:right w:val="single" w:sz="2" w:space="0" w:color="auto"/>
            </w:tcBorders>
            <w:vAlign w:val="center"/>
          </w:tcPr>
          <w:p w14:paraId="61C09E10" w14:textId="3D0F0FF0" w:rsidR="0057015C" w:rsidRPr="006E4137" w:rsidRDefault="0057015C" w:rsidP="009B153D">
            <w:pPr>
              <w:pStyle w:val="Style"/>
              <w:ind w:right="283"/>
              <w:jc w:val="right"/>
              <w:textAlignment w:val="baseline"/>
              <w:rPr>
                <w:rFonts w:asciiTheme="minorHAnsi" w:hAnsiTheme="minorHAnsi"/>
              </w:rPr>
            </w:pPr>
          </w:p>
        </w:tc>
        <w:tc>
          <w:tcPr>
            <w:tcW w:w="607" w:type="pct"/>
            <w:vMerge/>
            <w:tcBorders>
              <w:left w:val="single" w:sz="2" w:space="0" w:color="auto"/>
              <w:bottom w:val="single" w:sz="2" w:space="0" w:color="auto"/>
              <w:right w:val="single" w:sz="2" w:space="0" w:color="auto"/>
            </w:tcBorders>
            <w:vAlign w:val="center"/>
          </w:tcPr>
          <w:p w14:paraId="357CC905" w14:textId="534A80DE" w:rsidR="0057015C" w:rsidRPr="006E4137" w:rsidRDefault="0057015C" w:rsidP="009B153D">
            <w:pPr>
              <w:pStyle w:val="Style"/>
              <w:ind w:right="202"/>
              <w:jc w:val="right"/>
              <w:textAlignment w:val="baseline"/>
              <w:rPr>
                <w:rFonts w:asciiTheme="minorHAnsi" w:hAnsiTheme="minorHAnsi"/>
              </w:rPr>
            </w:pPr>
          </w:p>
        </w:tc>
      </w:tr>
      <w:tr w:rsidR="0057015C" w:rsidRPr="00DC1BBB" w14:paraId="2117670E" w14:textId="77777777" w:rsidTr="0057015C">
        <w:trPr>
          <w:trHeight w:hRule="exact" w:val="451"/>
          <w:jc w:val="center"/>
        </w:trPr>
        <w:tc>
          <w:tcPr>
            <w:tcW w:w="5000" w:type="pct"/>
            <w:gridSpan w:val="7"/>
            <w:tcBorders>
              <w:top w:val="single" w:sz="2" w:space="0" w:color="auto"/>
              <w:left w:val="single" w:sz="6" w:space="0" w:color="auto"/>
              <w:bottom w:val="single" w:sz="2" w:space="0" w:color="auto"/>
              <w:right w:val="single" w:sz="2" w:space="0" w:color="auto"/>
            </w:tcBorders>
            <w:vAlign w:val="center"/>
          </w:tcPr>
          <w:p w14:paraId="20D4DC62" w14:textId="2D9C99F6" w:rsidR="0057015C" w:rsidRPr="006E4137" w:rsidRDefault="0057015C" w:rsidP="0057015C">
            <w:pPr>
              <w:pStyle w:val="Style"/>
              <w:textAlignment w:val="baseline"/>
              <w:rPr>
                <w:rFonts w:asciiTheme="minorHAnsi" w:hAnsiTheme="minorHAnsi"/>
              </w:rPr>
            </w:pPr>
          </w:p>
        </w:tc>
      </w:tr>
      <w:tr w:rsidR="008879AA" w:rsidRPr="00DC1BBB" w14:paraId="0C3D14BA" w14:textId="77777777" w:rsidTr="006E4137">
        <w:trPr>
          <w:trHeight w:val="1006"/>
          <w:jc w:val="center"/>
        </w:trPr>
        <w:tc>
          <w:tcPr>
            <w:tcW w:w="1159" w:type="pct"/>
            <w:tcBorders>
              <w:top w:val="single" w:sz="2" w:space="0" w:color="auto"/>
              <w:left w:val="single" w:sz="6" w:space="0" w:color="auto"/>
              <w:bottom w:val="single" w:sz="4" w:space="0" w:color="auto"/>
              <w:right w:val="single" w:sz="2" w:space="0" w:color="auto"/>
            </w:tcBorders>
            <w:vAlign w:val="center"/>
          </w:tcPr>
          <w:p w14:paraId="19D95A8E" w14:textId="31060A81" w:rsidR="008879AA" w:rsidRPr="006E4137" w:rsidRDefault="008879AA" w:rsidP="009B153D">
            <w:pPr>
              <w:pStyle w:val="Style"/>
              <w:ind w:left="72"/>
              <w:textAlignment w:val="baseline"/>
              <w:rPr>
                <w:rFonts w:asciiTheme="minorHAnsi" w:hAnsiTheme="minorHAnsi"/>
              </w:rPr>
            </w:pPr>
            <w:r w:rsidRPr="006E4137">
              <w:rPr>
                <w:rFonts w:asciiTheme="minorHAnsi" w:eastAsia="Arial" w:hAnsiTheme="minorHAnsi" w:cs="Arial"/>
                <w:b/>
                <w:w w:val="83"/>
                <w:sz w:val="20"/>
                <w:szCs w:val="20"/>
              </w:rPr>
              <w:t xml:space="preserve">#1: </w:t>
            </w:r>
            <w:r w:rsidRPr="006E4137">
              <w:rPr>
                <w:rFonts w:asciiTheme="minorHAnsi" w:hAnsiTheme="minorHAnsi"/>
                <w:sz w:val="21"/>
                <w:szCs w:val="21"/>
              </w:rPr>
              <w:t xml:space="preserve">BKZ 320 mg every 4 weeks </w:t>
            </w:r>
          </w:p>
          <w:p w14:paraId="4273C497" w14:textId="345CB791" w:rsidR="008879AA" w:rsidRPr="006E4137" w:rsidRDefault="008879AA" w:rsidP="009B153D">
            <w:pPr>
              <w:pStyle w:val="Style"/>
              <w:ind w:left="72"/>
              <w:textAlignment w:val="baseline"/>
              <w:rPr>
                <w:rFonts w:asciiTheme="minorHAnsi" w:hAnsiTheme="minorHAnsi"/>
              </w:rPr>
            </w:pPr>
            <w:r w:rsidRPr="006E4137">
              <w:rPr>
                <w:rFonts w:asciiTheme="minorHAnsi" w:hAnsiTheme="minorHAnsi"/>
                <w:sz w:val="21"/>
                <w:szCs w:val="21"/>
              </w:rPr>
              <w:t xml:space="preserve">versus PBO </w:t>
            </w:r>
          </w:p>
        </w:tc>
        <w:tc>
          <w:tcPr>
            <w:tcW w:w="586" w:type="pct"/>
            <w:tcBorders>
              <w:top w:val="single" w:sz="2" w:space="0" w:color="auto"/>
              <w:left w:val="single" w:sz="2" w:space="0" w:color="auto"/>
              <w:bottom w:val="single" w:sz="4" w:space="0" w:color="auto"/>
              <w:right w:val="single" w:sz="2" w:space="0" w:color="auto"/>
            </w:tcBorders>
            <w:vAlign w:val="center"/>
          </w:tcPr>
          <w:p w14:paraId="6E49A7E0" w14:textId="358A2F34" w:rsidR="008879AA" w:rsidRPr="006E4137" w:rsidRDefault="008879AA" w:rsidP="008879AA">
            <w:pPr>
              <w:pStyle w:val="Style"/>
              <w:ind w:left="125"/>
              <w:textAlignment w:val="baseline"/>
              <w:rPr>
                <w:rFonts w:asciiTheme="minorHAnsi" w:hAnsiTheme="minorHAnsi"/>
              </w:rPr>
            </w:pPr>
            <w:r w:rsidRPr="006E4137">
              <w:rPr>
                <w:rFonts w:asciiTheme="minorHAnsi" w:hAnsiTheme="minorHAnsi"/>
                <w:sz w:val="21"/>
                <w:szCs w:val="21"/>
              </w:rPr>
              <w:t>PASI 90</w:t>
            </w:r>
          </w:p>
        </w:tc>
        <w:tc>
          <w:tcPr>
            <w:tcW w:w="582" w:type="pct"/>
            <w:tcBorders>
              <w:top w:val="single" w:sz="2" w:space="0" w:color="auto"/>
              <w:left w:val="single" w:sz="2" w:space="0" w:color="auto"/>
              <w:bottom w:val="single" w:sz="4" w:space="0" w:color="auto"/>
              <w:right w:val="single" w:sz="2" w:space="0" w:color="auto"/>
            </w:tcBorders>
            <w:vAlign w:val="center"/>
          </w:tcPr>
          <w:p w14:paraId="1ABA201B" w14:textId="2EDE9F06" w:rsidR="008879AA" w:rsidRPr="006E4137" w:rsidRDefault="008879AA" w:rsidP="008879AA">
            <w:pPr>
              <w:pStyle w:val="Style"/>
              <w:ind w:right="230"/>
              <w:jc w:val="right"/>
              <w:textAlignment w:val="baseline"/>
              <w:rPr>
                <w:rFonts w:asciiTheme="minorHAnsi" w:hAnsiTheme="minorHAnsi"/>
              </w:rPr>
            </w:pPr>
            <w:r w:rsidRPr="006E4137">
              <w:rPr>
                <w:rFonts w:asciiTheme="minorHAnsi" w:hAnsiTheme="minorHAnsi"/>
                <w:sz w:val="21"/>
                <w:szCs w:val="21"/>
              </w:rPr>
              <w:t xml:space="preserve">Week 16 </w:t>
            </w:r>
          </w:p>
        </w:tc>
        <w:tc>
          <w:tcPr>
            <w:tcW w:w="589" w:type="pct"/>
            <w:tcBorders>
              <w:top w:val="single" w:sz="2" w:space="0" w:color="auto"/>
              <w:left w:val="single" w:sz="2" w:space="0" w:color="auto"/>
              <w:bottom w:val="single" w:sz="4" w:space="0" w:color="auto"/>
              <w:right w:val="single" w:sz="6" w:space="0" w:color="auto"/>
            </w:tcBorders>
            <w:vAlign w:val="center"/>
          </w:tcPr>
          <w:p w14:paraId="716E7CA7" w14:textId="48BA3B04" w:rsidR="008879AA" w:rsidRPr="006E4137" w:rsidRDefault="008879AA" w:rsidP="008879AA">
            <w:pPr>
              <w:pStyle w:val="Style"/>
              <w:ind w:left="130"/>
              <w:jc w:val="center"/>
              <w:textAlignment w:val="baseline"/>
              <w:rPr>
                <w:rFonts w:asciiTheme="minorHAnsi" w:hAnsiTheme="minorHAnsi"/>
              </w:rPr>
            </w:pPr>
            <w:r w:rsidRPr="006E4137">
              <w:rPr>
                <w:rFonts w:asciiTheme="minorHAnsi" w:eastAsia="Arial" w:hAnsiTheme="minorHAnsi" w:cs="Arial"/>
                <w:b/>
                <w:w w:val="83"/>
                <w:sz w:val="20"/>
                <w:szCs w:val="20"/>
              </w:rPr>
              <w:t xml:space="preserve">1 </w:t>
            </w:r>
            <w:r w:rsidRPr="006E4137">
              <w:rPr>
                <w:rFonts w:asciiTheme="minorHAnsi" w:eastAsia="Arial" w:hAnsiTheme="minorHAnsi" w:cs="Arial"/>
                <w:w w:val="83"/>
                <w:sz w:val="20"/>
                <w:szCs w:val="20"/>
              </w:rPr>
              <w:t>(1.2</w:t>
            </w:r>
            <w:r w:rsidRPr="006E4137">
              <w:rPr>
                <w:rFonts w:asciiTheme="minorHAnsi" w:hAnsiTheme="minorHAnsi"/>
                <w:sz w:val="21"/>
                <w:szCs w:val="21"/>
              </w:rPr>
              <w:t>)</w:t>
            </w:r>
          </w:p>
        </w:tc>
        <w:tc>
          <w:tcPr>
            <w:tcW w:w="829" w:type="pct"/>
            <w:tcBorders>
              <w:top w:val="single" w:sz="2" w:space="0" w:color="auto"/>
              <w:left w:val="single" w:sz="6" w:space="0" w:color="auto"/>
              <w:bottom w:val="single" w:sz="4" w:space="0" w:color="auto"/>
              <w:right w:val="single" w:sz="2" w:space="0" w:color="auto"/>
            </w:tcBorders>
            <w:vAlign w:val="center"/>
          </w:tcPr>
          <w:p w14:paraId="36B1127F" w14:textId="018D4877" w:rsidR="008879AA" w:rsidRPr="006E4137" w:rsidRDefault="008879AA" w:rsidP="008879AA">
            <w:pPr>
              <w:pStyle w:val="Style"/>
              <w:ind w:left="168"/>
              <w:jc w:val="center"/>
              <w:textAlignment w:val="baseline"/>
              <w:rPr>
                <w:rFonts w:asciiTheme="minorHAnsi" w:hAnsiTheme="minorHAnsi"/>
              </w:rPr>
            </w:pPr>
            <w:r w:rsidRPr="006E4137">
              <w:rPr>
                <w:rFonts w:asciiTheme="minorHAnsi" w:hAnsiTheme="minorHAnsi"/>
                <w:sz w:val="21"/>
                <w:szCs w:val="21"/>
              </w:rPr>
              <w:t>317 (90.8)</w:t>
            </w:r>
          </w:p>
        </w:tc>
        <w:tc>
          <w:tcPr>
            <w:tcW w:w="648" w:type="pct"/>
            <w:tcBorders>
              <w:top w:val="single" w:sz="2" w:space="0" w:color="auto"/>
              <w:left w:val="single" w:sz="2" w:space="0" w:color="auto"/>
              <w:bottom w:val="single" w:sz="4" w:space="0" w:color="auto"/>
              <w:right w:val="single" w:sz="2" w:space="0" w:color="auto"/>
            </w:tcBorders>
            <w:vAlign w:val="center"/>
          </w:tcPr>
          <w:p w14:paraId="421F677B" w14:textId="672A44B6" w:rsidR="008879AA" w:rsidRPr="006E4137" w:rsidRDefault="008879AA" w:rsidP="008879AA">
            <w:pPr>
              <w:pStyle w:val="Style"/>
              <w:ind w:right="283"/>
              <w:jc w:val="right"/>
              <w:textAlignment w:val="baseline"/>
              <w:rPr>
                <w:rFonts w:asciiTheme="minorHAnsi" w:hAnsiTheme="minorHAnsi"/>
              </w:rPr>
            </w:pPr>
            <w:r w:rsidRPr="006E4137">
              <w:rPr>
                <w:rFonts w:asciiTheme="minorHAnsi" w:hAnsiTheme="minorHAnsi"/>
                <w:sz w:val="21"/>
                <w:szCs w:val="21"/>
              </w:rPr>
              <w:t>&lt;</w:t>
            </w:r>
            <w:r w:rsidR="00DC1BBB">
              <w:rPr>
                <w:rFonts w:asciiTheme="minorHAnsi" w:hAnsiTheme="minorHAnsi"/>
                <w:sz w:val="21"/>
                <w:szCs w:val="21"/>
              </w:rPr>
              <w:t xml:space="preserve"> </w:t>
            </w:r>
            <w:r w:rsidRPr="006E4137">
              <w:rPr>
                <w:rFonts w:asciiTheme="minorHAnsi" w:hAnsiTheme="minorHAnsi"/>
                <w:sz w:val="21"/>
                <w:szCs w:val="21"/>
              </w:rPr>
              <w:t>0.001</w:t>
            </w:r>
          </w:p>
        </w:tc>
        <w:tc>
          <w:tcPr>
            <w:tcW w:w="607" w:type="pct"/>
            <w:tcBorders>
              <w:top w:val="single" w:sz="2" w:space="0" w:color="auto"/>
              <w:left w:val="single" w:sz="2" w:space="0" w:color="auto"/>
              <w:bottom w:val="single" w:sz="4" w:space="0" w:color="auto"/>
              <w:right w:val="single" w:sz="2" w:space="0" w:color="auto"/>
            </w:tcBorders>
            <w:vAlign w:val="center"/>
          </w:tcPr>
          <w:p w14:paraId="49D1AF40" w14:textId="298F5A98" w:rsidR="008879AA" w:rsidRPr="006E4137" w:rsidRDefault="008879AA" w:rsidP="008879AA">
            <w:pPr>
              <w:pStyle w:val="Style"/>
              <w:ind w:right="499"/>
              <w:jc w:val="right"/>
              <w:textAlignment w:val="baseline"/>
              <w:rPr>
                <w:rFonts w:asciiTheme="minorHAnsi" w:hAnsiTheme="minorHAnsi"/>
              </w:rPr>
            </w:pPr>
            <w:r w:rsidRPr="006E4137">
              <w:rPr>
                <w:rFonts w:asciiTheme="minorHAnsi" w:hAnsiTheme="minorHAnsi"/>
                <w:sz w:val="21"/>
                <w:szCs w:val="21"/>
              </w:rPr>
              <w:t>Yes</w:t>
            </w:r>
          </w:p>
        </w:tc>
      </w:tr>
      <w:tr w:rsidR="008879AA" w:rsidRPr="00DC1BBB" w14:paraId="65870AFA" w14:textId="77777777" w:rsidTr="006E4137">
        <w:trPr>
          <w:trHeight w:val="937"/>
          <w:jc w:val="center"/>
        </w:trPr>
        <w:tc>
          <w:tcPr>
            <w:tcW w:w="1159" w:type="pct"/>
            <w:tcBorders>
              <w:top w:val="single" w:sz="4" w:space="0" w:color="auto"/>
              <w:left w:val="single" w:sz="4" w:space="0" w:color="auto"/>
              <w:bottom w:val="single" w:sz="4" w:space="0" w:color="auto"/>
              <w:right w:val="single" w:sz="4" w:space="0" w:color="auto"/>
            </w:tcBorders>
            <w:vAlign w:val="center"/>
          </w:tcPr>
          <w:p w14:paraId="582F4D73" w14:textId="21FB0709" w:rsidR="008879AA" w:rsidRPr="006E4137" w:rsidRDefault="008879AA" w:rsidP="009B153D">
            <w:pPr>
              <w:pStyle w:val="Style"/>
              <w:ind w:left="72"/>
              <w:textAlignment w:val="baseline"/>
              <w:rPr>
                <w:rFonts w:asciiTheme="minorHAnsi" w:hAnsiTheme="minorHAnsi"/>
              </w:rPr>
            </w:pPr>
            <w:r w:rsidRPr="006E4137">
              <w:rPr>
                <w:rFonts w:asciiTheme="minorHAnsi" w:hAnsiTheme="minorHAnsi"/>
                <w:sz w:val="21"/>
                <w:szCs w:val="21"/>
              </w:rPr>
              <w:t xml:space="preserve">#2: BKZ 320 mg every 4 weeks </w:t>
            </w:r>
          </w:p>
          <w:p w14:paraId="29BB082D" w14:textId="63FAF789" w:rsidR="008879AA" w:rsidRPr="006E4137" w:rsidRDefault="008879AA" w:rsidP="009B153D">
            <w:pPr>
              <w:pStyle w:val="Style"/>
              <w:ind w:left="72"/>
              <w:textAlignment w:val="baseline"/>
              <w:rPr>
                <w:rFonts w:asciiTheme="minorHAnsi" w:hAnsiTheme="minorHAnsi"/>
              </w:rPr>
            </w:pPr>
            <w:r w:rsidRPr="006E4137">
              <w:rPr>
                <w:rFonts w:asciiTheme="minorHAnsi" w:hAnsiTheme="minorHAnsi"/>
                <w:sz w:val="21"/>
                <w:szCs w:val="21"/>
              </w:rPr>
              <w:t xml:space="preserve">versus PBO </w:t>
            </w:r>
          </w:p>
        </w:tc>
        <w:tc>
          <w:tcPr>
            <w:tcW w:w="586" w:type="pct"/>
            <w:tcBorders>
              <w:top w:val="single" w:sz="4" w:space="0" w:color="auto"/>
              <w:left w:val="single" w:sz="4" w:space="0" w:color="auto"/>
              <w:bottom w:val="single" w:sz="4" w:space="0" w:color="auto"/>
              <w:right w:val="single" w:sz="4" w:space="0" w:color="auto"/>
            </w:tcBorders>
            <w:vAlign w:val="center"/>
          </w:tcPr>
          <w:p w14:paraId="07356032" w14:textId="4631A216" w:rsidR="008879AA" w:rsidRPr="006E4137" w:rsidRDefault="008879AA" w:rsidP="008879AA">
            <w:pPr>
              <w:pStyle w:val="Style"/>
              <w:ind w:left="125"/>
              <w:textAlignment w:val="baseline"/>
              <w:rPr>
                <w:rFonts w:asciiTheme="minorHAnsi" w:hAnsiTheme="minorHAnsi"/>
              </w:rPr>
            </w:pPr>
            <w:r w:rsidRPr="006E4137">
              <w:rPr>
                <w:rFonts w:asciiTheme="minorHAnsi" w:hAnsiTheme="minorHAnsi"/>
                <w:sz w:val="21"/>
                <w:szCs w:val="21"/>
              </w:rPr>
              <w:t>IGA 0/1</w:t>
            </w:r>
          </w:p>
        </w:tc>
        <w:tc>
          <w:tcPr>
            <w:tcW w:w="582" w:type="pct"/>
            <w:tcBorders>
              <w:top w:val="single" w:sz="4" w:space="0" w:color="auto"/>
              <w:left w:val="single" w:sz="4" w:space="0" w:color="auto"/>
              <w:bottom w:val="single" w:sz="4" w:space="0" w:color="auto"/>
              <w:right w:val="single" w:sz="4" w:space="0" w:color="auto"/>
            </w:tcBorders>
            <w:vAlign w:val="center"/>
          </w:tcPr>
          <w:p w14:paraId="25B81A55" w14:textId="1466405E" w:rsidR="008879AA" w:rsidRPr="006E4137" w:rsidRDefault="008879AA" w:rsidP="008879AA">
            <w:pPr>
              <w:pStyle w:val="Style"/>
              <w:ind w:right="230"/>
              <w:jc w:val="right"/>
              <w:textAlignment w:val="baseline"/>
              <w:rPr>
                <w:rFonts w:asciiTheme="minorHAnsi" w:hAnsiTheme="minorHAnsi"/>
              </w:rPr>
            </w:pPr>
            <w:r w:rsidRPr="006E4137">
              <w:rPr>
                <w:rFonts w:asciiTheme="minorHAnsi" w:hAnsiTheme="minorHAnsi"/>
                <w:sz w:val="21"/>
                <w:szCs w:val="21"/>
              </w:rPr>
              <w:t>Week 16</w:t>
            </w:r>
          </w:p>
        </w:tc>
        <w:tc>
          <w:tcPr>
            <w:tcW w:w="589" w:type="pct"/>
            <w:tcBorders>
              <w:top w:val="single" w:sz="4" w:space="0" w:color="auto"/>
              <w:left w:val="single" w:sz="4" w:space="0" w:color="auto"/>
              <w:bottom w:val="single" w:sz="4" w:space="0" w:color="auto"/>
              <w:right w:val="single" w:sz="4" w:space="0" w:color="auto"/>
            </w:tcBorders>
            <w:vAlign w:val="center"/>
          </w:tcPr>
          <w:p w14:paraId="22D70340" w14:textId="0807769F" w:rsidR="008879AA" w:rsidRPr="006E4137" w:rsidRDefault="008879AA" w:rsidP="008879AA">
            <w:pPr>
              <w:pStyle w:val="Style"/>
              <w:ind w:left="130"/>
              <w:jc w:val="center"/>
              <w:textAlignment w:val="baseline"/>
              <w:rPr>
                <w:rFonts w:asciiTheme="minorHAnsi" w:hAnsiTheme="minorHAnsi"/>
              </w:rPr>
            </w:pPr>
            <w:r w:rsidRPr="006E4137">
              <w:rPr>
                <w:rFonts w:asciiTheme="minorHAnsi" w:eastAsia="Arial" w:hAnsiTheme="minorHAnsi" w:cs="Arial"/>
                <w:b/>
                <w:w w:val="83"/>
                <w:sz w:val="20"/>
                <w:szCs w:val="20"/>
              </w:rPr>
              <w:t xml:space="preserve">1 </w:t>
            </w:r>
            <w:r w:rsidRPr="006E4137">
              <w:rPr>
                <w:rFonts w:asciiTheme="minorHAnsi" w:eastAsia="Arial" w:hAnsiTheme="minorHAnsi" w:cs="Arial"/>
                <w:w w:val="83"/>
                <w:sz w:val="20"/>
                <w:szCs w:val="20"/>
              </w:rPr>
              <w:t>(1.2</w:t>
            </w:r>
            <w:r w:rsidRPr="006E4137">
              <w:rPr>
                <w:rFonts w:asciiTheme="minorHAnsi" w:hAnsiTheme="minorHAnsi"/>
                <w:sz w:val="21"/>
                <w:szCs w:val="21"/>
              </w:rPr>
              <w:t>)</w:t>
            </w:r>
          </w:p>
        </w:tc>
        <w:tc>
          <w:tcPr>
            <w:tcW w:w="829" w:type="pct"/>
            <w:tcBorders>
              <w:top w:val="single" w:sz="4" w:space="0" w:color="auto"/>
              <w:left w:val="single" w:sz="4" w:space="0" w:color="auto"/>
              <w:bottom w:val="single" w:sz="4" w:space="0" w:color="auto"/>
              <w:right w:val="single" w:sz="4" w:space="0" w:color="auto"/>
            </w:tcBorders>
            <w:vAlign w:val="center"/>
          </w:tcPr>
          <w:p w14:paraId="2DA475F5" w14:textId="71A98606" w:rsidR="008879AA" w:rsidRPr="006E4137" w:rsidRDefault="008879AA" w:rsidP="008879AA">
            <w:pPr>
              <w:pStyle w:val="Style"/>
              <w:ind w:left="168"/>
              <w:jc w:val="center"/>
              <w:textAlignment w:val="baseline"/>
              <w:rPr>
                <w:rFonts w:asciiTheme="minorHAnsi" w:hAnsiTheme="minorHAnsi"/>
              </w:rPr>
            </w:pPr>
            <w:r w:rsidRPr="006E4137">
              <w:rPr>
                <w:rFonts w:asciiTheme="minorHAnsi" w:hAnsiTheme="minorHAnsi"/>
                <w:sz w:val="21"/>
                <w:szCs w:val="21"/>
              </w:rPr>
              <w:t>323 (92.6)</w:t>
            </w:r>
          </w:p>
        </w:tc>
        <w:tc>
          <w:tcPr>
            <w:tcW w:w="648" w:type="pct"/>
            <w:tcBorders>
              <w:top w:val="single" w:sz="4" w:space="0" w:color="auto"/>
              <w:left w:val="single" w:sz="4" w:space="0" w:color="auto"/>
              <w:bottom w:val="single" w:sz="4" w:space="0" w:color="auto"/>
              <w:right w:val="single" w:sz="4" w:space="0" w:color="auto"/>
            </w:tcBorders>
            <w:vAlign w:val="center"/>
          </w:tcPr>
          <w:p w14:paraId="194E0B54" w14:textId="36DA82A3" w:rsidR="008879AA" w:rsidRPr="006E4137" w:rsidRDefault="008879AA" w:rsidP="008879AA">
            <w:pPr>
              <w:pStyle w:val="Style"/>
              <w:ind w:right="283"/>
              <w:jc w:val="right"/>
              <w:textAlignment w:val="baseline"/>
              <w:rPr>
                <w:rFonts w:asciiTheme="minorHAnsi" w:hAnsiTheme="minorHAnsi"/>
              </w:rPr>
            </w:pPr>
            <w:r w:rsidRPr="006E4137">
              <w:rPr>
                <w:rFonts w:asciiTheme="minorHAnsi" w:hAnsiTheme="minorHAnsi"/>
                <w:sz w:val="21"/>
                <w:szCs w:val="21"/>
              </w:rPr>
              <w:t>&lt;</w:t>
            </w:r>
            <w:r w:rsidR="00DC1BBB">
              <w:rPr>
                <w:rFonts w:asciiTheme="minorHAnsi" w:hAnsiTheme="minorHAnsi"/>
                <w:sz w:val="21"/>
                <w:szCs w:val="21"/>
              </w:rPr>
              <w:t xml:space="preserve"> </w:t>
            </w:r>
            <w:r w:rsidRPr="006E4137">
              <w:rPr>
                <w:rFonts w:asciiTheme="minorHAnsi" w:hAnsiTheme="minorHAnsi"/>
                <w:sz w:val="21"/>
                <w:szCs w:val="21"/>
              </w:rPr>
              <w:t>0.001</w:t>
            </w:r>
          </w:p>
        </w:tc>
        <w:tc>
          <w:tcPr>
            <w:tcW w:w="607" w:type="pct"/>
            <w:tcBorders>
              <w:top w:val="single" w:sz="4" w:space="0" w:color="auto"/>
              <w:left w:val="single" w:sz="4" w:space="0" w:color="auto"/>
              <w:bottom w:val="single" w:sz="4" w:space="0" w:color="auto"/>
              <w:right w:val="single" w:sz="4" w:space="0" w:color="auto"/>
            </w:tcBorders>
            <w:vAlign w:val="center"/>
          </w:tcPr>
          <w:p w14:paraId="62154864" w14:textId="63939560" w:rsidR="008879AA" w:rsidRPr="006E4137" w:rsidRDefault="008879AA" w:rsidP="008879AA">
            <w:pPr>
              <w:pStyle w:val="Style"/>
              <w:ind w:right="499"/>
              <w:jc w:val="right"/>
              <w:textAlignment w:val="baseline"/>
              <w:rPr>
                <w:rFonts w:asciiTheme="minorHAnsi" w:hAnsiTheme="minorHAnsi"/>
              </w:rPr>
            </w:pPr>
            <w:r w:rsidRPr="006E4137">
              <w:rPr>
                <w:rFonts w:asciiTheme="minorHAnsi" w:hAnsiTheme="minorHAnsi"/>
                <w:sz w:val="21"/>
                <w:szCs w:val="21"/>
              </w:rPr>
              <w:t>Yes</w:t>
            </w:r>
          </w:p>
        </w:tc>
      </w:tr>
    </w:tbl>
    <w:p w14:paraId="4B910950" w14:textId="733448E3" w:rsidR="008879AA" w:rsidRDefault="00DC1BBB" w:rsidP="008879AA">
      <w:pPr>
        <w:pStyle w:val="TableDescription"/>
      </w:pPr>
      <w:r>
        <w:t xml:space="preserve">Abbreviations: </w:t>
      </w:r>
      <w:r w:rsidR="008879AA">
        <w:t xml:space="preserve">BKZ = </w:t>
      </w:r>
      <w:proofErr w:type="spellStart"/>
      <w:r w:rsidR="008879AA">
        <w:t>bimekizumab</w:t>
      </w:r>
      <w:proofErr w:type="spellEnd"/>
      <w:r w:rsidR="008879AA">
        <w:t xml:space="preserve">; PBO = placebo; Q4W = every 4 </w:t>
      </w:r>
      <w:proofErr w:type="gramStart"/>
      <w:r w:rsidR="008879AA">
        <w:t>weeks;</w:t>
      </w:r>
      <w:proofErr w:type="gramEnd"/>
    </w:p>
    <w:p w14:paraId="23B4F57B" w14:textId="4A521F8C" w:rsidR="0057015C" w:rsidRDefault="001C3FED" w:rsidP="001C3FED">
      <w:pPr>
        <w:pStyle w:val="Heading6"/>
      </w:pPr>
      <w:r>
        <w:t>Initial treatment period s</w:t>
      </w:r>
      <w:r w:rsidR="0057015C">
        <w:t>econdary endpoints</w:t>
      </w:r>
    </w:p>
    <w:p w14:paraId="4DA22268" w14:textId="74602491" w:rsidR="0057015C" w:rsidRDefault="0057015C" w:rsidP="0057015C">
      <w:r>
        <w:t xml:space="preserve">The </w:t>
      </w:r>
      <w:proofErr w:type="spellStart"/>
      <w:r w:rsidR="008B40FD">
        <w:t>bimekizumab</w:t>
      </w:r>
      <w:proofErr w:type="spellEnd"/>
      <w:r>
        <w:t xml:space="preserve"> </w:t>
      </w:r>
      <w:r w:rsidR="001D2CFA">
        <w:t>320 mg</w:t>
      </w:r>
      <w:r>
        <w:t xml:space="preserve"> </w:t>
      </w:r>
      <w:r w:rsidR="00F23C97">
        <w:t>every 4 weeks</w:t>
      </w:r>
      <w:r>
        <w:t xml:space="preserve"> group had a higher PASI l00 response rate compared with the </w:t>
      </w:r>
      <w:r w:rsidR="004858E7">
        <w:t>placebo</w:t>
      </w:r>
      <w:r>
        <w:t xml:space="preserve"> group at Week 16</w:t>
      </w:r>
      <w:r w:rsidR="001C3FED">
        <w:t>. T</w:t>
      </w:r>
      <w:r>
        <w:t xml:space="preserve">his was statistically significant (68.2% </w:t>
      </w:r>
      <w:r w:rsidR="004858E7">
        <w:t>versus</w:t>
      </w:r>
      <w:r>
        <w:t xml:space="preserve"> 1.2%, respectively; p</w:t>
      </w:r>
      <w:r w:rsidR="008879AA">
        <w:t xml:space="preserve"> </w:t>
      </w:r>
      <w:r>
        <w:t>&lt;</w:t>
      </w:r>
      <w:r w:rsidR="008879AA">
        <w:t xml:space="preserve"> </w:t>
      </w:r>
      <w:r>
        <w:t>0.001)</w:t>
      </w:r>
      <w:r w:rsidR="008879AA">
        <w:t xml:space="preserve"> (</w:t>
      </w:r>
      <w:r w:rsidR="008879AA">
        <w:fldChar w:fldCharType="begin"/>
      </w:r>
      <w:r w:rsidR="008879AA">
        <w:instrText xml:space="preserve"> REF _Ref130203505 \h </w:instrText>
      </w:r>
      <w:r w:rsidR="008879AA">
        <w:fldChar w:fldCharType="separate"/>
      </w:r>
      <w:r w:rsidR="00B54079" w:rsidRPr="008879AA">
        <w:t xml:space="preserve">Table </w:t>
      </w:r>
      <w:r w:rsidR="00B54079">
        <w:rPr>
          <w:noProof/>
        </w:rPr>
        <w:t>38</w:t>
      </w:r>
      <w:r w:rsidR="008879AA">
        <w:fldChar w:fldCharType="end"/>
      </w:r>
      <w:r w:rsidR="008879AA">
        <w:t>)</w:t>
      </w:r>
      <w:r>
        <w:t>.</w:t>
      </w:r>
    </w:p>
    <w:p w14:paraId="4C1AE154" w14:textId="1A75695C" w:rsidR="0057015C" w:rsidRDefault="0057015C" w:rsidP="0057015C">
      <w:r>
        <w:t xml:space="preserve">The </w:t>
      </w:r>
      <w:proofErr w:type="spellStart"/>
      <w:r w:rsidR="008B40FD">
        <w:t>bimekizumab</w:t>
      </w:r>
      <w:proofErr w:type="spellEnd"/>
      <w:r>
        <w:t xml:space="preserve"> </w:t>
      </w:r>
      <w:r w:rsidR="001D2CFA">
        <w:t>320 mg</w:t>
      </w:r>
      <w:r>
        <w:t xml:space="preserve"> </w:t>
      </w:r>
      <w:r w:rsidR="00F23C97">
        <w:t>every 4 weeks</w:t>
      </w:r>
      <w:r>
        <w:t xml:space="preserve"> group had a higher IGA </w:t>
      </w:r>
      <w:r w:rsidR="008879AA">
        <w:t>0</w:t>
      </w:r>
      <w:r>
        <w:t>/1 response rate compared with the placebo group at Week 16</w:t>
      </w:r>
      <w:r w:rsidR="001C3FED">
        <w:t>. T</w:t>
      </w:r>
      <w:r>
        <w:t xml:space="preserve">his was statistically significant (69 .6% </w:t>
      </w:r>
      <w:r w:rsidR="004858E7">
        <w:t>versus</w:t>
      </w:r>
      <w:r>
        <w:t xml:space="preserve"> 1.2%, respectively; p</w:t>
      </w:r>
      <w:r w:rsidR="008879AA">
        <w:t xml:space="preserve"> </w:t>
      </w:r>
      <w:r>
        <w:t>&lt;</w:t>
      </w:r>
      <w:r w:rsidR="008879AA">
        <w:t xml:space="preserve"> </w:t>
      </w:r>
      <w:r>
        <w:t>0.001)</w:t>
      </w:r>
      <w:r w:rsidR="008879AA">
        <w:t xml:space="preserve"> (</w:t>
      </w:r>
      <w:r w:rsidR="008879AA">
        <w:fldChar w:fldCharType="begin"/>
      </w:r>
      <w:r w:rsidR="008879AA">
        <w:instrText xml:space="preserve"> REF _Ref130203505 \h </w:instrText>
      </w:r>
      <w:r w:rsidR="008879AA">
        <w:fldChar w:fldCharType="separate"/>
      </w:r>
      <w:r w:rsidR="00B54079" w:rsidRPr="008879AA">
        <w:t xml:space="preserve">Table </w:t>
      </w:r>
      <w:r w:rsidR="00B54079">
        <w:rPr>
          <w:noProof/>
        </w:rPr>
        <w:t>38</w:t>
      </w:r>
      <w:r w:rsidR="008879AA">
        <w:fldChar w:fldCharType="end"/>
      </w:r>
      <w:r w:rsidR="008879AA">
        <w:t>)</w:t>
      </w:r>
      <w:r>
        <w:t>.</w:t>
      </w:r>
    </w:p>
    <w:p w14:paraId="0AA5C427" w14:textId="35581549" w:rsidR="0057015C" w:rsidRDefault="0057015C" w:rsidP="0057015C">
      <w:r>
        <w:t xml:space="preserve">The </w:t>
      </w:r>
      <w:proofErr w:type="spellStart"/>
      <w:r w:rsidR="008B40FD">
        <w:t>bimekizumab</w:t>
      </w:r>
      <w:proofErr w:type="spellEnd"/>
      <w:r>
        <w:t xml:space="preserve"> </w:t>
      </w:r>
      <w:r w:rsidR="001D2CFA">
        <w:t>320 mg</w:t>
      </w:r>
      <w:r>
        <w:t xml:space="preserve"> </w:t>
      </w:r>
      <w:r w:rsidR="00F23C97">
        <w:t>every 4 weeks</w:t>
      </w:r>
      <w:r>
        <w:t xml:space="preserve"> group had a higher PASI75 response rate compared with the </w:t>
      </w:r>
      <w:r w:rsidR="004858E7">
        <w:t>placebo</w:t>
      </w:r>
      <w:r>
        <w:t xml:space="preserve"> group at Week 4 after only a single dose of </w:t>
      </w:r>
      <w:proofErr w:type="spellStart"/>
      <w:r w:rsidR="008B40FD">
        <w:t>bimekizumab</w:t>
      </w:r>
      <w:proofErr w:type="spellEnd"/>
      <w:r w:rsidR="001C3FED">
        <w:t>. T</w:t>
      </w:r>
      <w:r>
        <w:t xml:space="preserve">his was statistically significant (75.9% </w:t>
      </w:r>
      <w:r w:rsidR="004858E7">
        <w:t>versus</w:t>
      </w:r>
      <w:r>
        <w:t xml:space="preserve"> 1.2%, respectively; p</w:t>
      </w:r>
      <w:r w:rsidR="008879AA">
        <w:t xml:space="preserve"> </w:t>
      </w:r>
      <w:r>
        <w:t>&lt;</w:t>
      </w:r>
      <w:r w:rsidR="008879AA">
        <w:t xml:space="preserve"> </w:t>
      </w:r>
      <w:r>
        <w:t>0.001)</w:t>
      </w:r>
      <w:r w:rsidR="008879AA">
        <w:t xml:space="preserve"> (</w:t>
      </w:r>
      <w:r w:rsidR="008879AA">
        <w:fldChar w:fldCharType="begin"/>
      </w:r>
      <w:r w:rsidR="008879AA">
        <w:instrText xml:space="preserve"> REF _Ref130203505 \h </w:instrText>
      </w:r>
      <w:r w:rsidR="008879AA">
        <w:fldChar w:fldCharType="separate"/>
      </w:r>
      <w:r w:rsidR="00B54079" w:rsidRPr="008879AA">
        <w:t xml:space="preserve">Table </w:t>
      </w:r>
      <w:r w:rsidR="00B54079">
        <w:rPr>
          <w:noProof/>
        </w:rPr>
        <w:t>38</w:t>
      </w:r>
      <w:r w:rsidR="008879AA">
        <w:fldChar w:fldCharType="end"/>
      </w:r>
      <w:r w:rsidR="008879AA">
        <w:t>)</w:t>
      </w:r>
      <w:r>
        <w:t>.</w:t>
      </w:r>
    </w:p>
    <w:p w14:paraId="023432E2" w14:textId="071FF76C" w:rsidR="0057015C" w:rsidRDefault="0057015C" w:rsidP="0057015C">
      <w:r>
        <w:t xml:space="preserve">The </w:t>
      </w:r>
      <w:proofErr w:type="spellStart"/>
      <w:r w:rsidR="008B40FD">
        <w:t>bimekizumab</w:t>
      </w:r>
      <w:proofErr w:type="spellEnd"/>
      <w:r>
        <w:t xml:space="preserve"> </w:t>
      </w:r>
      <w:r w:rsidR="001D2CFA">
        <w:t>320 mg</w:t>
      </w:r>
      <w:r>
        <w:t xml:space="preserve"> </w:t>
      </w:r>
      <w:r w:rsidR="00F23C97">
        <w:t>every 4 weeks</w:t>
      </w:r>
      <w:r>
        <w:t xml:space="preserve"> group had higher PSD response rates based on pain, itch, and scaling item scores compared with the </w:t>
      </w:r>
      <w:r w:rsidR="004858E7">
        <w:t>placebo</w:t>
      </w:r>
      <w:r>
        <w:t xml:space="preserve"> group at Week 16</w:t>
      </w:r>
      <w:r w:rsidR="001C3FED">
        <w:t>. T</w:t>
      </w:r>
      <w:r>
        <w:t xml:space="preserve">hese were statistically significant (78.8% </w:t>
      </w:r>
      <w:r w:rsidR="004858E7">
        <w:t>versus</w:t>
      </w:r>
      <w:r>
        <w:t xml:space="preserve"> 9%, 75.5% </w:t>
      </w:r>
      <w:r w:rsidR="004858E7">
        <w:t>versus</w:t>
      </w:r>
      <w:r>
        <w:t xml:space="preserve"> 5.6%, and 78% </w:t>
      </w:r>
      <w:r w:rsidR="004858E7">
        <w:t>versus</w:t>
      </w:r>
      <w:r>
        <w:t xml:space="preserve"> 5.7%, respectively; p</w:t>
      </w:r>
      <w:r w:rsidR="001C3FED">
        <w:t xml:space="preserve"> </w:t>
      </w:r>
      <w:r>
        <w:t>&lt;</w:t>
      </w:r>
      <w:r w:rsidR="001C3FED">
        <w:t xml:space="preserve"> </w:t>
      </w:r>
      <w:r>
        <w:t>0.001 for all comparisons)</w:t>
      </w:r>
      <w:r w:rsidR="008879AA">
        <w:t xml:space="preserve"> (</w:t>
      </w:r>
      <w:r w:rsidR="008879AA">
        <w:fldChar w:fldCharType="begin"/>
      </w:r>
      <w:r w:rsidR="008879AA">
        <w:instrText xml:space="preserve"> REF _Ref130203505 \h </w:instrText>
      </w:r>
      <w:r w:rsidR="008879AA">
        <w:fldChar w:fldCharType="separate"/>
      </w:r>
      <w:r w:rsidR="00B54079" w:rsidRPr="008879AA">
        <w:t xml:space="preserve">Table </w:t>
      </w:r>
      <w:r w:rsidR="00B54079">
        <w:rPr>
          <w:noProof/>
        </w:rPr>
        <w:t>38</w:t>
      </w:r>
      <w:r w:rsidR="008879AA">
        <w:fldChar w:fldCharType="end"/>
      </w:r>
      <w:r w:rsidR="008879AA">
        <w:t>)</w:t>
      </w:r>
      <w:r>
        <w:t>.</w:t>
      </w:r>
    </w:p>
    <w:p w14:paraId="22F0A2CE" w14:textId="574EB733" w:rsidR="0057015C" w:rsidRDefault="0057015C" w:rsidP="0057015C">
      <w:r>
        <w:t xml:space="preserve">A scalp IGA 0/1 response was defined as </w:t>
      </w:r>
      <w:r w:rsidR="008879AA">
        <w:t>c</w:t>
      </w:r>
      <w:r>
        <w:t xml:space="preserve">lear (0) or </w:t>
      </w:r>
      <w:r w:rsidR="008879AA">
        <w:t>a</w:t>
      </w:r>
      <w:r>
        <w:t xml:space="preserve">lmost </w:t>
      </w:r>
      <w:r w:rsidR="008879AA">
        <w:t>c</w:t>
      </w:r>
      <w:r>
        <w:t xml:space="preserve">lear (1) with at least a </w:t>
      </w:r>
      <w:proofErr w:type="gramStart"/>
      <w:r w:rsidR="008879AA">
        <w:t xml:space="preserve">two </w:t>
      </w:r>
      <w:r>
        <w:t>category</w:t>
      </w:r>
      <w:proofErr w:type="gramEnd"/>
      <w:r>
        <w:t xml:space="preserve"> improvement from Baseline. Only study participants with a Baseline score of </w:t>
      </w:r>
      <w:r w:rsidR="008879AA">
        <w:t xml:space="preserve">greater than </w:t>
      </w:r>
      <w:r>
        <w:t>2 were included in the responder analysis</w:t>
      </w:r>
      <w:r w:rsidR="001C3FED">
        <w:t>. T</w:t>
      </w:r>
      <w:r>
        <w:t xml:space="preserve">he </w:t>
      </w:r>
      <w:proofErr w:type="spellStart"/>
      <w:r w:rsidR="008B40FD">
        <w:t>bimekizumab</w:t>
      </w:r>
      <w:proofErr w:type="spellEnd"/>
      <w:r>
        <w:t xml:space="preserve"> </w:t>
      </w:r>
      <w:r w:rsidR="001D2CFA">
        <w:t>320 mg</w:t>
      </w:r>
      <w:r>
        <w:t xml:space="preserve"> </w:t>
      </w:r>
      <w:r w:rsidR="00F23C97">
        <w:t>every 4</w:t>
      </w:r>
      <w:r w:rsidR="00DC1BBB">
        <w:t> </w:t>
      </w:r>
      <w:r w:rsidR="00F23C97">
        <w:t>weeks</w:t>
      </w:r>
      <w:r>
        <w:t xml:space="preserve"> group had a higher scalp IGA 0/1 response rate compared with the </w:t>
      </w:r>
      <w:r w:rsidR="004858E7">
        <w:t>placebo</w:t>
      </w:r>
      <w:r>
        <w:t xml:space="preserve"> group at Week 16, this was statistically significant (92.3% </w:t>
      </w:r>
      <w:r w:rsidR="004858E7">
        <w:t>versus</w:t>
      </w:r>
      <w:r w:rsidR="001C3FED">
        <w:t xml:space="preserve"> </w:t>
      </w:r>
      <w:r>
        <w:t>6.8%, respectively; p</w:t>
      </w:r>
      <w:r w:rsidR="001C3FED">
        <w:t xml:space="preserve"> </w:t>
      </w:r>
      <w:r>
        <w:t>&lt;</w:t>
      </w:r>
      <w:r w:rsidR="001C3FED">
        <w:t xml:space="preserve"> </w:t>
      </w:r>
      <w:r>
        <w:t>0.001).</w:t>
      </w:r>
    </w:p>
    <w:p w14:paraId="700E7AD2" w14:textId="68BBD2D8" w:rsidR="001C3FED" w:rsidRDefault="001C3FED" w:rsidP="008879AA">
      <w:pPr>
        <w:pStyle w:val="TableTitle"/>
      </w:pPr>
      <w:bookmarkStart w:id="115" w:name="_Ref130203505"/>
      <w:r w:rsidRPr="008879AA">
        <w:lastRenderedPageBreak/>
        <w:t xml:space="preserve">Table </w:t>
      </w:r>
      <w:r w:rsidR="00172397">
        <w:fldChar w:fldCharType="begin"/>
      </w:r>
      <w:r w:rsidR="00172397">
        <w:instrText xml:space="preserve"> SEQ Table \* ARABIC </w:instrText>
      </w:r>
      <w:r w:rsidR="00172397">
        <w:fldChar w:fldCharType="separate"/>
      </w:r>
      <w:r w:rsidR="00B54079">
        <w:rPr>
          <w:noProof/>
        </w:rPr>
        <w:t>38</w:t>
      </w:r>
      <w:r w:rsidR="00172397">
        <w:rPr>
          <w:noProof/>
        </w:rPr>
        <w:fldChar w:fldCharType="end"/>
      </w:r>
      <w:bookmarkEnd w:id="115"/>
      <w:r>
        <w:t xml:space="preserve">: </w:t>
      </w:r>
      <w:r w:rsidR="008879AA">
        <w:t xml:space="preserve">Study PS0013 </w:t>
      </w:r>
      <w:r w:rsidRPr="001C3FED">
        <w:t>Initial treatment period secondary endpoints</w:t>
      </w:r>
    </w:p>
    <w:p w14:paraId="5E76E16A" w14:textId="0BE5AADB" w:rsidR="001C3FED" w:rsidRDefault="001C3FED" w:rsidP="001C3FED">
      <w:r>
        <w:rPr>
          <w:noProof/>
          <w:lang w:val="en-GB" w:eastAsia="en-GB"/>
        </w:rPr>
        <w:drawing>
          <wp:inline distT="0" distB="0" distL="0" distR="0" wp14:anchorId="06FA19E2" wp14:editId="6199143B">
            <wp:extent cx="5106009" cy="4014416"/>
            <wp:effectExtent l="0" t="0" r="0" b="5715"/>
            <wp:docPr id="242" name="Picture 242" descr="Study PS0013 Initial treatment period secondary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descr="Study PS0013 Initial treatment period secondary endpoints"/>
                    <pic:cNvPicPr/>
                  </pic:nvPicPr>
                  <pic:blipFill rotWithShape="1">
                    <a:blip r:embed="rId45"/>
                    <a:srcRect l="1761" r="3682"/>
                    <a:stretch/>
                  </pic:blipFill>
                  <pic:spPr bwMode="auto">
                    <a:xfrm>
                      <a:off x="0" y="0"/>
                      <a:ext cx="5106154" cy="4014530"/>
                    </a:xfrm>
                    <a:prstGeom prst="rect">
                      <a:avLst/>
                    </a:prstGeom>
                    <a:ln>
                      <a:noFill/>
                    </a:ln>
                    <a:extLst>
                      <a:ext uri="{53640926-AAD7-44D8-BBD7-CCE9431645EC}">
                        <a14:shadowObscured xmlns:a14="http://schemas.microsoft.com/office/drawing/2010/main"/>
                      </a:ext>
                    </a:extLst>
                  </pic:spPr>
                </pic:pic>
              </a:graphicData>
            </a:graphic>
          </wp:inline>
        </w:drawing>
      </w:r>
    </w:p>
    <w:p w14:paraId="7B20D3CC" w14:textId="5D10E88F" w:rsidR="008879AA" w:rsidRPr="00DC1BBB" w:rsidRDefault="00DC1BBB">
      <w:pPr>
        <w:pStyle w:val="TableDescription"/>
      </w:pPr>
      <w:r>
        <w:t xml:space="preserve">Abbreviations: </w:t>
      </w:r>
      <w:r w:rsidR="008879AA" w:rsidRPr="00DC1BBB">
        <w:t xml:space="preserve">BKZ = </w:t>
      </w:r>
      <w:proofErr w:type="spellStart"/>
      <w:r w:rsidR="008879AA" w:rsidRPr="00DC1BBB">
        <w:t>bimekizumab</w:t>
      </w:r>
      <w:proofErr w:type="spellEnd"/>
      <w:r w:rsidR="008879AA" w:rsidRPr="00DC1BBB">
        <w:t>; IGA = Investigator’s Global Assessment; PASI = Psoriasis Area and Severity Index; PBO = placebo; PSD = Patient Symptom Diary; Q4W = every 4 weeks</w:t>
      </w:r>
    </w:p>
    <w:p w14:paraId="7AA7C2B6" w14:textId="0E1D9D2A" w:rsidR="00D824CA" w:rsidRPr="00D824CA" w:rsidRDefault="00D824CA" w:rsidP="00D824CA">
      <w:pPr>
        <w:pStyle w:val="Heading6"/>
      </w:pPr>
      <w:r w:rsidRPr="00D824CA">
        <w:t xml:space="preserve">Randomised </w:t>
      </w:r>
      <w:r>
        <w:t>w</w:t>
      </w:r>
      <w:r w:rsidRPr="00D824CA">
        <w:t xml:space="preserve">ithdrawal </w:t>
      </w:r>
      <w:r>
        <w:t>p</w:t>
      </w:r>
      <w:r w:rsidRPr="00D824CA">
        <w:t>eriod co-</w:t>
      </w:r>
      <w:r>
        <w:t>p</w:t>
      </w:r>
      <w:r w:rsidRPr="00D824CA">
        <w:t>rimary endpoints</w:t>
      </w:r>
    </w:p>
    <w:p w14:paraId="09A19BAC" w14:textId="38255463" w:rsidR="00D824CA" w:rsidRPr="00D824CA" w:rsidRDefault="00D824CA" w:rsidP="00D824CA">
      <w:r w:rsidRPr="00D824CA">
        <w:t xml:space="preserve">For the co-primary endpoint of PASI 90 response rate during the </w:t>
      </w:r>
      <w:r w:rsidR="008879AA">
        <w:t>randomised withdrawal period</w:t>
      </w:r>
      <w:r w:rsidRPr="00D824CA">
        <w:t xml:space="preserve">, as per </w:t>
      </w:r>
      <w:r w:rsidR="008879AA">
        <w:fldChar w:fldCharType="begin"/>
      </w:r>
      <w:r w:rsidR="008879AA">
        <w:instrText xml:space="preserve"> REF _Ref130203683 \h </w:instrText>
      </w:r>
      <w:r w:rsidR="008879AA">
        <w:fldChar w:fldCharType="separate"/>
      </w:r>
      <w:r w:rsidR="00B54079" w:rsidRPr="008879AA">
        <w:t xml:space="preserve">Table </w:t>
      </w:r>
      <w:r w:rsidR="00B54079">
        <w:rPr>
          <w:noProof/>
        </w:rPr>
        <w:t>39</w:t>
      </w:r>
      <w:r w:rsidR="008879AA">
        <w:fldChar w:fldCharType="end"/>
      </w:r>
      <w:r>
        <w:t>.</w:t>
      </w:r>
    </w:p>
    <w:p w14:paraId="018F8E23" w14:textId="31F60C37" w:rsidR="00D824CA" w:rsidRPr="00D824CA" w:rsidRDefault="00D824CA" w:rsidP="00D824CA">
      <w:r w:rsidRPr="00D824CA">
        <w:t xml:space="preserve">Among Week 16 PASI 90 responders, the </w:t>
      </w:r>
      <w:proofErr w:type="spellStart"/>
      <w:r w:rsidR="008B40FD">
        <w:t>bimekizumab</w:t>
      </w:r>
      <w:proofErr w:type="spellEnd"/>
      <w:r w:rsidRPr="00D824CA">
        <w:t xml:space="preserve"> </w:t>
      </w:r>
      <w:r w:rsidR="001D2CFA">
        <w:t>320 mg</w:t>
      </w:r>
      <w:r w:rsidRPr="00D824CA">
        <w:t xml:space="preserve"> </w:t>
      </w:r>
      <w:r w:rsidR="00F23C97">
        <w:t>every 4 weeks</w:t>
      </w:r>
      <w:r w:rsidRPr="00D824CA">
        <w:t>/</w:t>
      </w:r>
      <w:r w:rsidR="00F23C97">
        <w:t>every 4</w:t>
      </w:r>
      <w:r w:rsidR="00DC1BBB">
        <w:t> </w:t>
      </w:r>
      <w:r w:rsidR="00F23C97">
        <w:t>weeks</w:t>
      </w:r>
      <w:r w:rsidRPr="00D824CA">
        <w:t xml:space="preserve"> and </w:t>
      </w:r>
      <w:proofErr w:type="spellStart"/>
      <w:r w:rsidR="008B40FD">
        <w:t>bimekizumab</w:t>
      </w:r>
      <w:proofErr w:type="spellEnd"/>
      <w:r w:rsidRPr="00D824CA">
        <w:t xml:space="preserve"> 320 mg </w:t>
      </w:r>
      <w:r w:rsidR="00F23C97">
        <w:t>every 4 weeks</w:t>
      </w:r>
      <w:r w:rsidRPr="00D824CA">
        <w:t>/</w:t>
      </w:r>
      <w:r w:rsidR="00F23C97">
        <w:t>every 8 weeks</w:t>
      </w:r>
      <w:r w:rsidRPr="00D824CA">
        <w:t xml:space="preserve"> groups had a higher PASI</w:t>
      </w:r>
      <w:r w:rsidR="00DC1BBB">
        <w:t> </w:t>
      </w:r>
      <w:r w:rsidRPr="00D824CA">
        <w:t xml:space="preserve">90 response rate compared with the </w:t>
      </w:r>
      <w:proofErr w:type="spellStart"/>
      <w:r w:rsidR="008B40FD">
        <w:t>bimekizumab</w:t>
      </w:r>
      <w:proofErr w:type="spellEnd"/>
      <w:r w:rsidRPr="00D824CA">
        <w:t xml:space="preserve"> </w:t>
      </w:r>
      <w:r w:rsidR="001D2CFA">
        <w:t>320 mg</w:t>
      </w:r>
      <w:r w:rsidRPr="00D824CA">
        <w:t xml:space="preserve"> </w:t>
      </w:r>
      <w:r w:rsidR="00F23C97">
        <w:t>every 4 weeks</w:t>
      </w:r>
      <w:r w:rsidRPr="00D824CA">
        <w:t>/</w:t>
      </w:r>
      <w:r w:rsidR="004858E7">
        <w:t>placebo</w:t>
      </w:r>
      <w:r w:rsidRPr="00D824CA">
        <w:t xml:space="preserve"> group at Week 56, this was statistically significant (88.8% </w:t>
      </w:r>
      <w:r w:rsidR="004858E7">
        <w:t>versus</w:t>
      </w:r>
      <w:r w:rsidRPr="00D824CA">
        <w:t xml:space="preserve"> 16.2%, respectively; p</w:t>
      </w:r>
      <w:r w:rsidR="00DC1BBB">
        <w:t> </w:t>
      </w:r>
      <w:r w:rsidRPr="00D824CA">
        <w:t>&lt;</w:t>
      </w:r>
      <w:r w:rsidR="00DC1BBB">
        <w:t> </w:t>
      </w:r>
      <w:r w:rsidRPr="00D824CA">
        <w:t>0.001).</w:t>
      </w:r>
    </w:p>
    <w:p w14:paraId="59E67235" w14:textId="0CA61B25" w:rsidR="00D824CA" w:rsidRPr="00D824CA" w:rsidRDefault="00D824CA" w:rsidP="008879AA">
      <w:pPr>
        <w:pStyle w:val="TableTitle"/>
        <w:rPr>
          <w:lang w:eastAsia="ja-JP"/>
        </w:rPr>
      </w:pPr>
      <w:bookmarkStart w:id="116" w:name="_Ref130203683"/>
      <w:r w:rsidRPr="008879AA">
        <w:t xml:space="preserve">Table </w:t>
      </w:r>
      <w:r w:rsidR="00172397">
        <w:fldChar w:fldCharType="begin"/>
      </w:r>
      <w:r w:rsidR="00172397">
        <w:instrText xml:space="preserve"> SEQ Table \* ARABIC </w:instrText>
      </w:r>
      <w:r w:rsidR="00172397">
        <w:fldChar w:fldCharType="separate"/>
      </w:r>
      <w:r w:rsidR="00B54079">
        <w:rPr>
          <w:noProof/>
        </w:rPr>
        <w:t>39</w:t>
      </w:r>
      <w:r w:rsidR="00172397">
        <w:rPr>
          <w:noProof/>
        </w:rPr>
        <w:fldChar w:fldCharType="end"/>
      </w:r>
      <w:bookmarkEnd w:id="116"/>
      <w:r w:rsidR="008879AA">
        <w:rPr>
          <w:noProof/>
        </w:rPr>
        <w:t xml:space="preserve">: Study PS0013 </w:t>
      </w:r>
      <w:r w:rsidR="008879AA" w:rsidRPr="008879AA">
        <w:rPr>
          <w:noProof/>
        </w:rPr>
        <w:t>Randomised withdrawal period co-primary endpoints</w:t>
      </w:r>
    </w:p>
    <w:p w14:paraId="7B4C803F" w14:textId="38457D54" w:rsidR="00D824CA" w:rsidRDefault="00D824CA" w:rsidP="00D824CA">
      <w:pPr>
        <w:rPr>
          <w:lang w:eastAsia="ja-JP"/>
        </w:rPr>
      </w:pPr>
      <w:r w:rsidRPr="00617FC5">
        <w:rPr>
          <w:noProof/>
          <w:lang w:val="en-GB" w:eastAsia="en-GB"/>
        </w:rPr>
        <w:drawing>
          <wp:inline distT="0" distB="0" distL="0" distR="0" wp14:anchorId="02D2F1B9" wp14:editId="78D90CBB">
            <wp:extent cx="5105400" cy="723900"/>
            <wp:effectExtent l="0" t="0" r="0" b="0"/>
            <wp:docPr id="228" name="Picture 228" descr="Study PS0013 Randomised withdrawal period co-primary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Picture 228" descr="Study PS0013 Randomised withdrawal period co-primary endpoints"/>
                    <pic:cNvPicPr/>
                  </pic:nvPicPr>
                  <pic:blipFill rotWithShape="1">
                    <a:blip r:embed="rId46"/>
                    <a:srcRect l="1898" r="3500" b="8897"/>
                    <a:stretch/>
                  </pic:blipFill>
                  <pic:spPr bwMode="auto">
                    <a:xfrm>
                      <a:off x="0" y="0"/>
                      <a:ext cx="5108588" cy="724352"/>
                    </a:xfrm>
                    <a:prstGeom prst="rect">
                      <a:avLst/>
                    </a:prstGeom>
                    <a:ln>
                      <a:noFill/>
                    </a:ln>
                    <a:extLst>
                      <a:ext uri="{53640926-AAD7-44D8-BBD7-CCE9431645EC}">
                        <a14:shadowObscured xmlns:a14="http://schemas.microsoft.com/office/drawing/2010/main"/>
                      </a:ext>
                    </a:extLst>
                  </pic:spPr>
                </pic:pic>
              </a:graphicData>
            </a:graphic>
          </wp:inline>
        </w:drawing>
      </w:r>
    </w:p>
    <w:p w14:paraId="5CE5D77B" w14:textId="6A1F6E45" w:rsidR="008879AA" w:rsidRDefault="008879AA" w:rsidP="008879AA">
      <w:pPr>
        <w:pStyle w:val="TableDescription"/>
      </w:pPr>
      <w:r>
        <w:t xml:space="preserve">BKZ = </w:t>
      </w:r>
      <w:proofErr w:type="spellStart"/>
      <w:r>
        <w:t>bimekizumab</w:t>
      </w:r>
      <w:proofErr w:type="spellEnd"/>
      <w:r>
        <w:t>; IGA = Investigator’s Global Assessment; PASI = Psoriasis Area and Severity Index; PBO = placebo; Q4W = every 4 weeks</w:t>
      </w:r>
    </w:p>
    <w:p w14:paraId="11487DF5" w14:textId="0DB5FEEF" w:rsidR="00593EA8" w:rsidRDefault="00593EA8" w:rsidP="00593EA8">
      <w:pPr>
        <w:pStyle w:val="Heading6"/>
        <w:rPr>
          <w:lang w:eastAsia="ja-JP"/>
        </w:rPr>
      </w:pPr>
      <w:r>
        <w:rPr>
          <w:lang w:eastAsia="ja-JP"/>
        </w:rPr>
        <w:t>Escape treatment period endpoint</w:t>
      </w:r>
    </w:p>
    <w:p w14:paraId="116E4FBC" w14:textId="25418E15" w:rsidR="00593EA8" w:rsidRDefault="00593EA8" w:rsidP="00593EA8">
      <w:pPr>
        <w:rPr>
          <w:lang w:eastAsia="ja-JP"/>
        </w:rPr>
      </w:pPr>
      <w:r>
        <w:rPr>
          <w:lang w:eastAsia="ja-JP"/>
        </w:rPr>
        <w:t xml:space="preserve">For the co-primary endpoint of PASI 90 response rate regarding </w:t>
      </w:r>
      <w:r w:rsidR="008879AA">
        <w:rPr>
          <w:lang w:eastAsia="ja-JP"/>
        </w:rPr>
        <w:t>escape treatment period</w:t>
      </w:r>
      <w:r>
        <w:rPr>
          <w:lang w:eastAsia="ja-JP"/>
        </w:rPr>
        <w:t xml:space="preserve">, as per </w:t>
      </w:r>
      <w:r w:rsidR="008879AA">
        <w:rPr>
          <w:lang w:eastAsia="ja-JP"/>
        </w:rPr>
        <w:fldChar w:fldCharType="begin"/>
      </w:r>
      <w:r w:rsidR="008879AA">
        <w:rPr>
          <w:lang w:eastAsia="ja-JP"/>
        </w:rPr>
        <w:instrText xml:space="preserve"> REF _Ref130203771 \h </w:instrText>
      </w:r>
      <w:r w:rsidR="008879AA">
        <w:rPr>
          <w:lang w:eastAsia="ja-JP"/>
        </w:rPr>
      </w:r>
      <w:r w:rsidR="008879AA">
        <w:rPr>
          <w:lang w:eastAsia="ja-JP"/>
        </w:rPr>
        <w:fldChar w:fldCharType="separate"/>
      </w:r>
      <w:r w:rsidR="00B54079" w:rsidRPr="00DB17CD">
        <w:t xml:space="preserve">Table </w:t>
      </w:r>
      <w:r w:rsidR="00B54079">
        <w:rPr>
          <w:noProof/>
        </w:rPr>
        <w:t>40</w:t>
      </w:r>
      <w:r w:rsidR="008879AA">
        <w:rPr>
          <w:lang w:eastAsia="ja-JP"/>
        </w:rPr>
        <w:fldChar w:fldCharType="end"/>
      </w:r>
      <w:r w:rsidR="008879AA">
        <w:rPr>
          <w:lang w:eastAsia="ja-JP"/>
        </w:rPr>
        <w:t>.</w:t>
      </w:r>
    </w:p>
    <w:p w14:paraId="43E73609" w14:textId="79F6C3DC" w:rsidR="00593EA8" w:rsidRDefault="00593EA8" w:rsidP="00593EA8">
      <w:pPr>
        <w:rPr>
          <w:lang w:eastAsia="ja-JP"/>
        </w:rPr>
      </w:pPr>
      <w:r>
        <w:rPr>
          <w:lang w:eastAsia="ja-JP"/>
        </w:rPr>
        <w:t xml:space="preserve">The PASI 90 response rates of all the study participants group at </w:t>
      </w:r>
      <w:r w:rsidR="008879AA">
        <w:rPr>
          <w:lang w:eastAsia="ja-JP"/>
        </w:rPr>
        <w:t>e</w:t>
      </w:r>
      <w:r>
        <w:rPr>
          <w:lang w:eastAsia="ja-JP"/>
        </w:rPr>
        <w:t xml:space="preserve">scape </w:t>
      </w:r>
      <w:r w:rsidR="008879AA">
        <w:rPr>
          <w:lang w:eastAsia="ja-JP"/>
        </w:rPr>
        <w:t>b</w:t>
      </w:r>
      <w:r>
        <w:rPr>
          <w:lang w:eastAsia="ja-JP"/>
        </w:rPr>
        <w:t xml:space="preserve">aseline (0.5%) rapidly increased by the next assessment time point at </w:t>
      </w:r>
      <w:r w:rsidR="008879AA">
        <w:rPr>
          <w:lang w:eastAsia="ja-JP"/>
        </w:rPr>
        <w:t>e</w:t>
      </w:r>
      <w:r>
        <w:rPr>
          <w:lang w:eastAsia="ja-JP"/>
        </w:rPr>
        <w:t xml:space="preserve">scape Week 4 (50.5%) and continued to increase through </w:t>
      </w:r>
      <w:r w:rsidR="008879AA">
        <w:rPr>
          <w:lang w:eastAsia="ja-JP"/>
        </w:rPr>
        <w:t>e</w:t>
      </w:r>
      <w:r>
        <w:rPr>
          <w:lang w:eastAsia="ja-JP"/>
        </w:rPr>
        <w:t>scape Week 12 (78%)</w:t>
      </w:r>
      <w:r w:rsidR="008879AA">
        <w:rPr>
          <w:lang w:eastAsia="ja-JP"/>
        </w:rPr>
        <w:t xml:space="preserve"> (</w:t>
      </w:r>
      <w:r w:rsidR="008879AA">
        <w:rPr>
          <w:lang w:eastAsia="ja-JP"/>
        </w:rPr>
        <w:fldChar w:fldCharType="begin"/>
      </w:r>
      <w:r w:rsidR="008879AA">
        <w:rPr>
          <w:lang w:eastAsia="ja-JP"/>
        </w:rPr>
        <w:instrText xml:space="preserve"> REF _Ref130203771 \h </w:instrText>
      </w:r>
      <w:r w:rsidR="008879AA">
        <w:rPr>
          <w:lang w:eastAsia="ja-JP"/>
        </w:rPr>
      </w:r>
      <w:r w:rsidR="008879AA">
        <w:rPr>
          <w:lang w:eastAsia="ja-JP"/>
        </w:rPr>
        <w:fldChar w:fldCharType="separate"/>
      </w:r>
      <w:r w:rsidR="00B54079" w:rsidRPr="00DB17CD">
        <w:t xml:space="preserve">Table </w:t>
      </w:r>
      <w:r w:rsidR="00B54079">
        <w:rPr>
          <w:noProof/>
        </w:rPr>
        <w:t>40</w:t>
      </w:r>
      <w:r w:rsidR="008879AA">
        <w:rPr>
          <w:lang w:eastAsia="ja-JP"/>
        </w:rPr>
        <w:fldChar w:fldCharType="end"/>
      </w:r>
      <w:r w:rsidR="008879AA">
        <w:rPr>
          <w:lang w:eastAsia="ja-JP"/>
        </w:rPr>
        <w:t>)</w:t>
      </w:r>
      <w:r>
        <w:rPr>
          <w:lang w:eastAsia="ja-JP"/>
        </w:rPr>
        <w:t>.</w:t>
      </w:r>
    </w:p>
    <w:p w14:paraId="01050925" w14:textId="45706719" w:rsidR="00593EA8" w:rsidRDefault="00440166" w:rsidP="00593EA8">
      <w:pPr>
        <w:rPr>
          <w:lang w:eastAsia="ja-JP"/>
        </w:rPr>
      </w:pPr>
      <w:r>
        <w:rPr>
          <w:lang w:eastAsia="ja-JP"/>
        </w:rPr>
        <w:lastRenderedPageBreak/>
        <w:t>The Delegate commented that i</w:t>
      </w:r>
      <w:r w:rsidR="00593EA8">
        <w:rPr>
          <w:lang w:eastAsia="ja-JP"/>
        </w:rPr>
        <w:t xml:space="preserve">ncorrect escapers </w:t>
      </w:r>
      <w:r w:rsidR="00DC1BBB">
        <w:rPr>
          <w:lang w:eastAsia="ja-JP"/>
        </w:rPr>
        <w:t>(</w:t>
      </w:r>
      <w:r w:rsidR="001D2CFA">
        <w:rPr>
          <w:lang w:eastAsia="ja-JP"/>
        </w:rPr>
        <w:t xml:space="preserve">n = </w:t>
      </w:r>
      <w:r w:rsidR="00593EA8">
        <w:rPr>
          <w:lang w:eastAsia="ja-JP"/>
        </w:rPr>
        <w:t>6</w:t>
      </w:r>
      <w:r w:rsidR="00DC1BBB">
        <w:rPr>
          <w:lang w:eastAsia="ja-JP"/>
        </w:rPr>
        <w:t>)</w:t>
      </w:r>
      <w:r w:rsidR="00593EA8">
        <w:rPr>
          <w:lang w:eastAsia="ja-JP"/>
        </w:rPr>
        <w:t xml:space="preserve"> would probably account for the observed baseline PASI 90 recording of 0.5%</w:t>
      </w:r>
      <w:r>
        <w:rPr>
          <w:lang w:eastAsia="ja-JP"/>
        </w:rPr>
        <w:t xml:space="preserve">. </w:t>
      </w:r>
      <w:proofErr w:type="gramStart"/>
      <w:r w:rsidR="00593EA8">
        <w:rPr>
          <w:lang w:eastAsia="ja-JP"/>
        </w:rPr>
        <w:t>The majority of</w:t>
      </w:r>
      <w:proofErr w:type="gramEnd"/>
      <w:r w:rsidR="00593EA8">
        <w:rPr>
          <w:lang w:eastAsia="ja-JP"/>
        </w:rPr>
        <w:t xml:space="preserve"> study participants </w:t>
      </w:r>
      <w:r w:rsidR="00DC1BBB">
        <w:rPr>
          <w:lang w:eastAsia="ja-JP"/>
        </w:rPr>
        <w:t>(</w:t>
      </w:r>
      <w:r w:rsidR="00AB7BE9">
        <w:rPr>
          <w:lang w:eastAsia="ja-JP"/>
        </w:rPr>
        <w:t>N</w:t>
      </w:r>
      <w:r w:rsidR="001D2CFA">
        <w:rPr>
          <w:lang w:eastAsia="ja-JP"/>
        </w:rPr>
        <w:t xml:space="preserve"> = </w:t>
      </w:r>
      <w:r w:rsidR="00593EA8">
        <w:rPr>
          <w:lang w:eastAsia="ja-JP"/>
        </w:rPr>
        <w:t>81</w:t>
      </w:r>
      <w:r w:rsidR="00DC1BBB">
        <w:rPr>
          <w:lang w:eastAsia="ja-JP"/>
        </w:rPr>
        <w:t>)</w:t>
      </w:r>
      <w:r w:rsidR="00593EA8">
        <w:rPr>
          <w:lang w:eastAsia="ja-JP"/>
        </w:rPr>
        <w:t xml:space="preserve"> who received </w:t>
      </w:r>
      <w:r w:rsidR="004858E7">
        <w:rPr>
          <w:lang w:eastAsia="ja-JP"/>
        </w:rPr>
        <w:t>placebo</w:t>
      </w:r>
      <w:r w:rsidR="00593EA8">
        <w:rPr>
          <w:lang w:eastAsia="ja-JP"/>
        </w:rPr>
        <w:t xml:space="preserve"> in the </w:t>
      </w:r>
      <w:r w:rsidR="001D2CFA">
        <w:rPr>
          <w:lang w:eastAsia="ja-JP"/>
        </w:rPr>
        <w:t>initial treatment period</w:t>
      </w:r>
      <w:r w:rsidR="00593EA8">
        <w:rPr>
          <w:lang w:eastAsia="ja-JP"/>
        </w:rPr>
        <w:t xml:space="preserve"> and who were PASI 90 non responders at Week 16, achieved a PASI 90 response</w:t>
      </w:r>
      <w:r>
        <w:rPr>
          <w:lang w:eastAsia="ja-JP"/>
        </w:rPr>
        <w:t xml:space="preserve"> </w:t>
      </w:r>
      <w:r w:rsidR="00593EA8">
        <w:rPr>
          <w:lang w:eastAsia="ja-JP"/>
        </w:rPr>
        <w:t>by Escape Week 12 (85.2%)</w:t>
      </w:r>
      <w:r w:rsidR="00AB7BE9">
        <w:rPr>
          <w:lang w:eastAsia="ja-JP"/>
        </w:rPr>
        <w:t xml:space="preserve"> (</w:t>
      </w:r>
      <w:r w:rsidR="00AB7BE9">
        <w:rPr>
          <w:lang w:eastAsia="ja-JP"/>
        </w:rPr>
        <w:fldChar w:fldCharType="begin"/>
      </w:r>
      <w:r w:rsidR="00AB7BE9">
        <w:rPr>
          <w:lang w:eastAsia="ja-JP"/>
        </w:rPr>
        <w:instrText xml:space="preserve"> REF _Ref130203771 \h </w:instrText>
      </w:r>
      <w:r w:rsidR="00AB7BE9">
        <w:rPr>
          <w:lang w:eastAsia="ja-JP"/>
        </w:rPr>
      </w:r>
      <w:r w:rsidR="00AB7BE9">
        <w:rPr>
          <w:lang w:eastAsia="ja-JP"/>
        </w:rPr>
        <w:fldChar w:fldCharType="separate"/>
      </w:r>
      <w:r w:rsidR="00B54079" w:rsidRPr="00DB17CD">
        <w:t xml:space="preserve">Table </w:t>
      </w:r>
      <w:r w:rsidR="00B54079">
        <w:rPr>
          <w:noProof/>
        </w:rPr>
        <w:t>40</w:t>
      </w:r>
      <w:r w:rsidR="00AB7BE9">
        <w:rPr>
          <w:lang w:eastAsia="ja-JP"/>
        </w:rPr>
        <w:fldChar w:fldCharType="end"/>
      </w:r>
      <w:r w:rsidR="00AB7BE9">
        <w:rPr>
          <w:lang w:eastAsia="ja-JP"/>
        </w:rPr>
        <w:t>).</w:t>
      </w:r>
    </w:p>
    <w:p w14:paraId="6171B1C7" w14:textId="3CFDDD3F" w:rsidR="00593EA8" w:rsidRDefault="00593EA8" w:rsidP="00593EA8">
      <w:pPr>
        <w:rPr>
          <w:lang w:eastAsia="ja-JP"/>
        </w:rPr>
      </w:pPr>
      <w:r>
        <w:rPr>
          <w:lang w:eastAsia="ja-JP"/>
        </w:rPr>
        <w:t xml:space="preserve">In addition, </w:t>
      </w:r>
      <w:proofErr w:type="gramStart"/>
      <w:r>
        <w:rPr>
          <w:lang w:eastAsia="ja-JP"/>
        </w:rPr>
        <w:t>the majority of</w:t>
      </w:r>
      <w:proofErr w:type="gramEnd"/>
      <w:r>
        <w:rPr>
          <w:lang w:eastAsia="ja-JP"/>
        </w:rPr>
        <w:t xml:space="preserve"> study participants receiving </w:t>
      </w:r>
      <w:proofErr w:type="spellStart"/>
      <w:r w:rsidR="008B40FD">
        <w:rPr>
          <w:lang w:eastAsia="ja-JP"/>
        </w:rPr>
        <w:t>bimekizumab</w:t>
      </w:r>
      <w:proofErr w:type="spellEnd"/>
      <w:r>
        <w:rPr>
          <w:lang w:eastAsia="ja-JP"/>
        </w:rPr>
        <w:t xml:space="preserve"> </w:t>
      </w:r>
      <w:r w:rsidR="001D2CFA">
        <w:rPr>
          <w:lang w:eastAsia="ja-JP"/>
        </w:rPr>
        <w:t>320 mg</w:t>
      </w:r>
      <w:r>
        <w:rPr>
          <w:lang w:eastAsia="ja-JP"/>
        </w:rPr>
        <w:t xml:space="preserve"> </w:t>
      </w:r>
      <w:r w:rsidR="00F23C97">
        <w:rPr>
          <w:lang w:eastAsia="ja-JP"/>
        </w:rPr>
        <w:t>every 4</w:t>
      </w:r>
      <w:r w:rsidR="00DC1BBB">
        <w:rPr>
          <w:lang w:eastAsia="ja-JP"/>
        </w:rPr>
        <w:t> </w:t>
      </w:r>
      <w:r w:rsidR="00F23C97">
        <w:rPr>
          <w:lang w:eastAsia="ja-JP"/>
        </w:rPr>
        <w:t>weeks</w:t>
      </w:r>
      <w:r>
        <w:rPr>
          <w:lang w:eastAsia="ja-JP"/>
        </w:rPr>
        <w:t xml:space="preserve"> during the </w:t>
      </w:r>
      <w:r w:rsidR="001D2CFA">
        <w:rPr>
          <w:lang w:eastAsia="ja-JP"/>
        </w:rPr>
        <w:t>initial treatment period</w:t>
      </w:r>
      <w:r>
        <w:rPr>
          <w:lang w:eastAsia="ja-JP"/>
        </w:rPr>
        <w:t xml:space="preserve"> and who were PASI 90 non responders at Week</w:t>
      </w:r>
      <w:r w:rsidR="00DC1BBB">
        <w:rPr>
          <w:lang w:eastAsia="ja-JP"/>
        </w:rPr>
        <w:t> </w:t>
      </w:r>
      <w:r>
        <w:rPr>
          <w:lang w:eastAsia="ja-JP"/>
        </w:rPr>
        <w:t xml:space="preserve">16, achieved a PASI 90 response by </w:t>
      </w:r>
      <w:r w:rsidR="00AB7BE9">
        <w:rPr>
          <w:lang w:eastAsia="ja-JP"/>
        </w:rPr>
        <w:t>e</w:t>
      </w:r>
      <w:r>
        <w:rPr>
          <w:lang w:eastAsia="ja-JP"/>
        </w:rPr>
        <w:t>scape Week 12 (56.5%)</w:t>
      </w:r>
      <w:r w:rsidR="00DB17CD">
        <w:rPr>
          <w:lang w:eastAsia="ja-JP"/>
        </w:rPr>
        <w:t xml:space="preserve"> (</w:t>
      </w:r>
      <w:r w:rsidR="00DB17CD">
        <w:rPr>
          <w:lang w:eastAsia="ja-JP"/>
        </w:rPr>
        <w:fldChar w:fldCharType="begin"/>
      </w:r>
      <w:r w:rsidR="00DB17CD">
        <w:rPr>
          <w:lang w:eastAsia="ja-JP"/>
        </w:rPr>
        <w:instrText xml:space="preserve"> REF _Ref130203771 \h </w:instrText>
      </w:r>
      <w:r w:rsidR="00DB17CD">
        <w:rPr>
          <w:lang w:eastAsia="ja-JP"/>
        </w:rPr>
      </w:r>
      <w:r w:rsidR="00DB17CD">
        <w:rPr>
          <w:lang w:eastAsia="ja-JP"/>
        </w:rPr>
        <w:fldChar w:fldCharType="separate"/>
      </w:r>
      <w:r w:rsidR="00B54079" w:rsidRPr="00DB17CD">
        <w:t xml:space="preserve">Table </w:t>
      </w:r>
      <w:r w:rsidR="00B54079">
        <w:rPr>
          <w:noProof/>
        </w:rPr>
        <w:t>40</w:t>
      </w:r>
      <w:r w:rsidR="00DB17CD">
        <w:rPr>
          <w:lang w:eastAsia="ja-JP"/>
        </w:rPr>
        <w:fldChar w:fldCharType="end"/>
      </w:r>
      <w:r w:rsidR="00DB17CD">
        <w:rPr>
          <w:lang w:eastAsia="ja-JP"/>
        </w:rPr>
        <w:t>)</w:t>
      </w:r>
      <w:r w:rsidR="00AB7BE9">
        <w:rPr>
          <w:lang w:eastAsia="ja-JP"/>
        </w:rPr>
        <w:t>.</w:t>
      </w:r>
    </w:p>
    <w:p w14:paraId="0F5DC218" w14:textId="0812080B" w:rsidR="00AB7BE9" w:rsidRDefault="00593EA8" w:rsidP="00593EA8">
      <w:pPr>
        <w:rPr>
          <w:lang w:eastAsia="ja-JP"/>
        </w:rPr>
      </w:pPr>
      <w:r>
        <w:rPr>
          <w:lang w:eastAsia="ja-JP"/>
        </w:rPr>
        <w:t xml:space="preserve">Study participants </w:t>
      </w:r>
      <w:r w:rsidR="00440166">
        <w:rPr>
          <w:lang w:eastAsia="ja-JP"/>
        </w:rPr>
        <w:t>(</w:t>
      </w:r>
      <w:r w:rsidR="001D2CFA">
        <w:rPr>
          <w:lang w:eastAsia="ja-JP"/>
        </w:rPr>
        <w:t xml:space="preserve">N = </w:t>
      </w:r>
      <w:r>
        <w:rPr>
          <w:lang w:eastAsia="ja-JP"/>
        </w:rPr>
        <w:t>67</w:t>
      </w:r>
      <w:r w:rsidR="00440166">
        <w:rPr>
          <w:lang w:eastAsia="ja-JP"/>
        </w:rPr>
        <w:t>)</w:t>
      </w:r>
      <w:r>
        <w:rPr>
          <w:lang w:eastAsia="ja-JP"/>
        </w:rPr>
        <w:t xml:space="preserve"> who</w:t>
      </w:r>
      <w:r w:rsidR="00DC1BBB">
        <w:rPr>
          <w:lang w:eastAsia="ja-JP"/>
        </w:rPr>
        <w:t>:</w:t>
      </w:r>
    </w:p>
    <w:p w14:paraId="16BAD54B" w14:textId="77777777" w:rsidR="00AB7BE9" w:rsidRDefault="00593EA8" w:rsidP="00AB7BE9">
      <w:pPr>
        <w:pStyle w:val="ListBullet"/>
        <w:rPr>
          <w:lang w:eastAsia="ja-JP"/>
        </w:rPr>
      </w:pPr>
      <w:r>
        <w:rPr>
          <w:lang w:eastAsia="ja-JP"/>
        </w:rPr>
        <w:t>(</w:t>
      </w:r>
      <w:proofErr w:type="spellStart"/>
      <w:r>
        <w:rPr>
          <w:lang w:eastAsia="ja-JP"/>
        </w:rPr>
        <w:t>i</w:t>
      </w:r>
      <w:proofErr w:type="spellEnd"/>
      <w:r>
        <w:rPr>
          <w:lang w:eastAsia="ja-JP"/>
        </w:rPr>
        <w:t xml:space="preserve">) received </w:t>
      </w:r>
      <w:proofErr w:type="spellStart"/>
      <w:r w:rsidR="008B40FD">
        <w:rPr>
          <w:lang w:eastAsia="ja-JP"/>
        </w:rPr>
        <w:t>bimekizumab</w:t>
      </w:r>
      <w:proofErr w:type="spellEnd"/>
      <w:r>
        <w:rPr>
          <w:lang w:eastAsia="ja-JP"/>
        </w:rPr>
        <w:t xml:space="preserve"> </w:t>
      </w:r>
      <w:r w:rsidR="001D2CFA">
        <w:rPr>
          <w:lang w:eastAsia="ja-JP"/>
        </w:rPr>
        <w:t>320 mg</w:t>
      </w:r>
      <w:r>
        <w:rPr>
          <w:lang w:eastAsia="ja-JP"/>
        </w:rPr>
        <w:t xml:space="preserve"> </w:t>
      </w:r>
      <w:r w:rsidR="00F23C97">
        <w:rPr>
          <w:lang w:eastAsia="ja-JP"/>
        </w:rPr>
        <w:t>every 4 weeks</w:t>
      </w:r>
      <w:r>
        <w:rPr>
          <w:lang w:eastAsia="ja-JP"/>
        </w:rPr>
        <w:t xml:space="preserve"> in the </w:t>
      </w:r>
      <w:r w:rsidR="001D2CFA">
        <w:rPr>
          <w:lang w:eastAsia="ja-JP"/>
        </w:rPr>
        <w:t>initial treatment period</w:t>
      </w:r>
      <w:r>
        <w:rPr>
          <w:lang w:eastAsia="ja-JP"/>
        </w:rPr>
        <w:t>,</w:t>
      </w:r>
    </w:p>
    <w:p w14:paraId="318DF4DD" w14:textId="77777777" w:rsidR="00AB7BE9" w:rsidRDefault="00593EA8" w:rsidP="00AB7BE9">
      <w:pPr>
        <w:pStyle w:val="ListBullet"/>
        <w:rPr>
          <w:lang w:eastAsia="ja-JP"/>
        </w:rPr>
      </w:pPr>
      <w:r>
        <w:rPr>
          <w:lang w:eastAsia="ja-JP"/>
        </w:rPr>
        <w:t>(ii) were Week 16 PASI 90 responders,</w:t>
      </w:r>
    </w:p>
    <w:p w14:paraId="3A5DF09D" w14:textId="36CB515C" w:rsidR="00AB7BE9" w:rsidRDefault="00593EA8" w:rsidP="00AB7BE9">
      <w:pPr>
        <w:pStyle w:val="ListBullet"/>
        <w:rPr>
          <w:lang w:eastAsia="ja-JP"/>
        </w:rPr>
      </w:pPr>
      <w:r>
        <w:rPr>
          <w:lang w:eastAsia="ja-JP"/>
        </w:rPr>
        <w:t xml:space="preserve">(iii) were re- </w:t>
      </w:r>
      <w:r w:rsidR="001D2CFA">
        <w:rPr>
          <w:lang w:eastAsia="ja-JP"/>
        </w:rPr>
        <w:t>randomised</w:t>
      </w:r>
      <w:r>
        <w:rPr>
          <w:lang w:eastAsia="ja-JP"/>
        </w:rPr>
        <w:t xml:space="preserve"> to withdrawal from </w:t>
      </w:r>
      <w:proofErr w:type="spellStart"/>
      <w:r w:rsidR="008B40FD">
        <w:rPr>
          <w:lang w:eastAsia="ja-JP"/>
        </w:rPr>
        <w:t>bimekizumab</w:t>
      </w:r>
      <w:proofErr w:type="spellEnd"/>
      <w:r>
        <w:rPr>
          <w:lang w:eastAsia="ja-JP"/>
        </w:rPr>
        <w:t xml:space="preserve"> </w:t>
      </w:r>
      <w:r w:rsidR="001D2CFA">
        <w:rPr>
          <w:lang w:eastAsia="ja-JP"/>
        </w:rPr>
        <w:t>320 mg</w:t>
      </w:r>
      <w:r>
        <w:rPr>
          <w:lang w:eastAsia="ja-JP"/>
        </w:rPr>
        <w:t xml:space="preserve"> </w:t>
      </w:r>
      <w:r w:rsidR="00F23C97">
        <w:rPr>
          <w:lang w:eastAsia="ja-JP"/>
        </w:rPr>
        <w:t>every 4 weeks</w:t>
      </w:r>
      <w:r>
        <w:rPr>
          <w:lang w:eastAsia="ja-JP"/>
        </w:rPr>
        <w:t xml:space="preserve"> treatment (</w:t>
      </w:r>
      <w:r w:rsidR="004858E7">
        <w:rPr>
          <w:lang w:eastAsia="ja-JP"/>
        </w:rPr>
        <w:t>that is</w:t>
      </w:r>
      <w:r>
        <w:rPr>
          <w:lang w:eastAsia="ja-JP"/>
        </w:rPr>
        <w:t xml:space="preserve"> to receive </w:t>
      </w:r>
      <w:r w:rsidR="004858E7">
        <w:rPr>
          <w:lang w:eastAsia="ja-JP"/>
        </w:rPr>
        <w:t>placebo</w:t>
      </w:r>
      <w:r>
        <w:rPr>
          <w:lang w:eastAsia="ja-JP"/>
        </w:rPr>
        <w:t xml:space="preserve">, as in </w:t>
      </w:r>
      <w:proofErr w:type="spellStart"/>
      <w:r w:rsidR="008B40FD">
        <w:rPr>
          <w:lang w:eastAsia="ja-JP"/>
        </w:rPr>
        <w:t>bimekizumab</w:t>
      </w:r>
      <w:proofErr w:type="spellEnd"/>
      <w:r>
        <w:rPr>
          <w:lang w:eastAsia="ja-JP"/>
        </w:rPr>
        <w:t xml:space="preserve"> </w:t>
      </w:r>
      <w:r w:rsidR="001D2CFA">
        <w:rPr>
          <w:lang w:eastAsia="ja-JP"/>
        </w:rPr>
        <w:t>320 mg</w:t>
      </w:r>
      <w:r>
        <w:rPr>
          <w:lang w:eastAsia="ja-JP"/>
        </w:rPr>
        <w:t xml:space="preserve"> </w:t>
      </w:r>
      <w:r w:rsidR="00F23C97">
        <w:rPr>
          <w:lang w:eastAsia="ja-JP"/>
        </w:rPr>
        <w:t>every 4</w:t>
      </w:r>
      <w:r w:rsidR="00DC1BBB">
        <w:rPr>
          <w:lang w:eastAsia="ja-JP"/>
        </w:rPr>
        <w:t> </w:t>
      </w:r>
      <w:r w:rsidR="00F23C97">
        <w:rPr>
          <w:lang w:eastAsia="ja-JP"/>
        </w:rPr>
        <w:t>weeks</w:t>
      </w:r>
      <w:r>
        <w:rPr>
          <w:lang w:eastAsia="ja-JP"/>
        </w:rPr>
        <w:t>/</w:t>
      </w:r>
      <w:r w:rsidR="004858E7">
        <w:rPr>
          <w:lang w:eastAsia="ja-JP"/>
        </w:rPr>
        <w:t>placebo</w:t>
      </w:r>
      <w:r>
        <w:rPr>
          <w:lang w:eastAsia="ja-JP"/>
        </w:rPr>
        <w:t xml:space="preserve"> group) </w:t>
      </w:r>
      <w:proofErr w:type="gramStart"/>
      <w:r>
        <w:rPr>
          <w:lang w:eastAsia="ja-JP"/>
        </w:rPr>
        <w:t>and</w:t>
      </w:r>
      <w:r w:rsidR="00AB7BE9">
        <w:rPr>
          <w:lang w:eastAsia="ja-JP"/>
        </w:rPr>
        <w:t>;</w:t>
      </w:r>
      <w:proofErr w:type="gramEnd"/>
    </w:p>
    <w:p w14:paraId="5D9C4F84" w14:textId="55C91C1F" w:rsidR="00593EA8" w:rsidRDefault="00593EA8" w:rsidP="00AB7BE9">
      <w:pPr>
        <w:pStyle w:val="ListBullet"/>
        <w:rPr>
          <w:lang w:eastAsia="ja-JP"/>
        </w:rPr>
      </w:pPr>
      <w:r>
        <w:rPr>
          <w:lang w:eastAsia="ja-JP"/>
        </w:rPr>
        <w:t xml:space="preserve">(iv) relapsed, had comparable PASI 90 response rates after 12 weeks of escape treatment (83.6%), as those observed after 12 weeks of </w:t>
      </w:r>
      <w:proofErr w:type="spellStart"/>
      <w:r w:rsidR="008B40FD">
        <w:rPr>
          <w:lang w:eastAsia="ja-JP"/>
        </w:rPr>
        <w:t>bimekizumab</w:t>
      </w:r>
      <w:proofErr w:type="spellEnd"/>
      <w:r>
        <w:rPr>
          <w:lang w:eastAsia="ja-JP"/>
        </w:rPr>
        <w:t xml:space="preserve"> </w:t>
      </w:r>
      <w:r w:rsidR="001D2CFA">
        <w:rPr>
          <w:lang w:eastAsia="ja-JP"/>
        </w:rPr>
        <w:t>320 mg</w:t>
      </w:r>
      <w:r>
        <w:rPr>
          <w:lang w:eastAsia="ja-JP"/>
        </w:rPr>
        <w:t xml:space="preserve"> treatment</w:t>
      </w:r>
      <w:r w:rsidR="00440166">
        <w:rPr>
          <w:lang w:eastAsia="ja-JP"/>
        </w:rPr>
        <w:t xml:space="preserve"> </w:t>
      </w:r>
      <w:r>
        <w:rPr>
          <w:lang w:eastAsia="ja-JP"/>
        </w:rPr>
        <w:t xml:space="preserve">during the </w:t>
      </w:r>
      <w:r w:rsidR="001D2CFA">
        <w:rPr>
          <w:lang w:eastAsia="ja-JP"/>
        </w:rPr>
        <w:t>initial treatment period</w:t>
      </w:r>
      <w:r w:rsidR="00AB7BE9">
        <w:rPr>
          <w:lang w:eastAsia="ja-JP"/>
        </w:rPr>
        <w:t>.</w:t>
      </w:r>
    </w:p>
    <w:p w14:paraId="7A2D0199" w14:textId="60019196" w:rsidR="00593EA8" w:rsidRDefault="00593EA8" w:rsidP="00593EA8">
      <w:pPr>
        <w:rPr>
          <w:lang w:eastAsia="ja-JP"/>
        </w:rPr>
      </w:pPr>
      <w:r>
        <w:rPr>
          <w:lang w:eastAsia="ja-JP"/>
        </w:rPr>
        <w:t xml:space="preserve">Few study participants in the </w:t>
      </w:r>
      <w:proofErr w:type="spellStart"/>
      <w:r w:rsidR="008B40FD">
        <w:rPr>
          <w:lang w:eastAsia="ja-JP"/>
        </w:rPr>
        <w:t>bimekizumab</w:t>
      </w:r>
      <w:proofErr w:type="spellEnd"/>
      <w:r>
        <w:rPr>
          <w:lang w:eastAsia="ja-JP"/>
        </w:rPr>
        <w:t xml:space="preserve"> </w:t>
      </w:r>
      <w:r w:rsidR="001D2CFA">
        <w:rPr>
          <w:lang w:eastAsia="ja-JP"/>
        </w:rPr>
        <w:t>320 mg</w:t>
      </w:r>
      <w:r>
        <w:rPr>
          <w:lang w:eastAsia="ja-JP"/>
        </w:rPr>
        <w:t xml:space="preserve"> </w:t>
      </w:r>
      <w:r w:rsidR="00F23C97">
        <w:rPr>
          <w:lang w:eastAsia="ja-JP"/>
        </w:rPr>
        <w:t>every 4 weeks</w:t>
      </w:r>
      <w:r>
        <w:rPr>
          <w:lang w:eastAsia="ja-JP"/>
        </w:rPr>
        <w:t>/</w:t>
      </w:r>
      <w:r w:rsidR="00F23C97">
        <w:rPr>
          <w:lang w:eastAsia="ja-JP"/>
        </w:rPr>
        <w:t>every 4 weeks</w:t>
      </w:r>
      <w:r>
        <w:rPr>
          <w:lang w:eastAsia="ja-JP"/>
        </w:rPr>
        <w:t xml:space="preserve"> </w:t>
      </w:r>
      <w:r w:rsidR="00DC1BBB">
        <w:rPr>
          <w:lang w:eastAsia="ja-JP"/>
        </w:rPr>
        <w:t>(</w:t>
      </w:r>
      <w:r w:rsidR="001D2CFA">
        <w:rPr>
          <w:lang w:eastAsia="ja-JP"/>
        </w:rPr>
        <w:t xml:space="preserve">n = </w:t>
      </w:r>
      <w:r>
        <w:rPr>
          <w:lang w:eastAsia="ja-JP"/>
        </w:rPr>
        <w:t>7</w:t>
      </w:r>
      <w:r w:rsidR="00DC1BBB">
        <w:rPr>
          <w:lang w:eastAsia="ja-JP"/>
        </w:rPr>
        <w:t>)</w:t>
      </w:r>
      <w:r>
        <w:rPr>
          <w:lang w:eastAsia="ja-JP"/>
        </w:rPr>
        <w:t xml:space="preserve"> and </w:t>
      </w:r>
      <w:proofErr w:type="spellStart"/>
      <w:r w:rsidR="008B40FD">
        <w:rPr>
          <w:lang w:eastAsia="ja-JP"/>
        </w:rPr>
        <w:t>bimekizumab</w:t>
      </w:r>
      <w:proofErr w:type="spellEnd"/>
      <w:r>
        <w:rPr>
          <w:lang w:eastAsia="ja-JP"/>
        </w:rPr>
        <w:t xml:space="preserve"> </w:t>
      </w:r>
      <w:r w:rsidR="001D2CFA">
        <w:rPr>
          <w:lang w:eastAsia="ja-JP"/>
        </w:rPr>
        <w:t>320 mg</w:t>
      </w:r>
      <w:r>
        <w:rPr>
          <w:lang w:eastAsia="ja-JP"/>
        </w:rPr>
        <w:t xml:space="preserve"> </w:t>
      </w:r>
      <w:r w:rsidR="00F23C97">
        <w:rPr>
          <w:lang w:eastAsia="ja-JP"/>
        </w:rPr>
        <w:t>every 4 weeks</w:t>
      </w:r>
      <w:r>
        <w:rPr>
          <w:lang w:eastAsia="ja-JP"/>
        </w:rPr>
        <w:t>/</w:t>
      </w:r>
      <w:r w:rsidR="00F23C97">
        <w:rPr>
          <w:lang w:eastAsia="ja-JP"/>
        </w:rPr>
        <w:t>every 8 weeks</w:t>
      </w:r>
      <w:r>
        <w:rPr>
          <w:lang w:eastAsia="ja-JP"/>
        </w:rPr>
        <w:t xml:space="preserve"> </w:t>
      </w:r>
      <w:r w:rsidR="00DC1BBB">
        <w:rPr>
          <w:lang w:eastAsia="ja-JP"/>
        </w:rPr>
        <w:t>(</w:t>
      </w:r>
      <w:r w:rsidR="001D2CFA">
        <w:rPr>
          <w:lang w:eastAsia="ja-JP"/>
        </w:rPr>
        <w:t xml:space="preserve">n = </w:t>
      </w:r>
      <w:r>
        <w:rPr>
          <w:lang w:eastAsia="ja-JP"/>
        </w:rPr>
        <w:t>4</w:t>
      </w:r>
      <w:r w:rsidR="00DC1BBB">
        <w:rPr>
          <w:lang w:eastAsia="ja-JP"/>
        </w:rPr>
        <w:t>)</w:t>
      </w:r>
      <w:r>
        <w:rPr>
          <w:lang w:eastAsia="ja-JP"/>
        </w:rPr>
        <w:t xml:space="preserve"> groups relapsed during the </w:t>
      </w:r>
      <w:r w:rsidR="00AB7BE9">
        <w:rPr>
          <w:lang w:eastAsia="ja-JP"/>
        </w:rPr>
        <w:t>randomised withdrawal period</w:t>
      </w:r>
      <w:r>
        <w:rPr>
          <w:lang w:eastAsia="ja-JP"/>
        </w:rPr>
        <w:t xml:space="preserve"> and entered the </w:t>
      </w:r>
      <w:r w:rsidR="00AB7BE9">
        <w:rPr>
          <w:lang w:eastAsia="ja-JP"/>
        </w:rPr>
        <w:t>escape treatment period</w:t>
      </w:r>
      <w:r w:rsidR="00DB17CD">
        <w:rPr>
          <w:lang w:eastAsia="ja-JP"/>
        </w:rPr>
        <w:t xml:space="preserve"> (</w:t>
      </w:r>
      <w:r w:rsidR="00DB17CD">
        <w:rPr>
          <w:lang w:eastAsia="ja-JP"/>
        </w:rPr>
        <w:fldChar w:fldCharType="begin"/>
      </w:r>
      <w:r w:rsidR="00DB17CD">
        <w:rPr>
          <w:lang w:eastAsia="ja-JP"/>
        </w:rPr>
        <w:instrText xml:space="preserve"> REF _Ref130203771 \h </w:instrText>
      </w:r>
      <w:r w:rsidR="00DB17CD">
        <w:rPr>
          <w:lang w:eastAsia="ja-JP"/>
        </w:rPr>
      </w:r>
      <w:r w:rsidR="00DB17CD">
        <w:rPr>
          <w:lang w:eastAsia="ja-JP"/>
        </w:rPr>
        <w:fldChar w:fldCharType="separate"/>
      </w:r>
      <w:r w:rsidR="00B54079" w:rsidRPr="00DB17CD">
        <w:t xml:space="preserve">Table </w:t>
      </w:r>
      <w:r w:rsidR="00B54079">
        <w:rPr>
          <w:noProof/>
        </w:rPr>
        <w:t>40</w:t>
      </w:r>
      <w:r w:rsidR="00DB17CD">
        <w:rPr>
          <w:lang w:eastAsia="ja-JP"/>
        </w:rPr>
        <w:fldChar w:fldCharType="end"/>
      </w:r>
      <w:r w:rsidR="00DB17CD">
        <w:rPr>
          <w:lang w:eastAsia="ja-JP"/>
        </w:rPr>
        <w:t>)</w:t>
      </w:r>
      <w:r>
        <w:rPr>
          <w:lang w:eastAsia="ja-JP"/>
        </w:rPr>
        <w:t>.</w:t>
      </w:r>
    </w:p>
    <w:p w14:paraId="2BA34FCE" w14:textId="3E401BFD" w:rsidR="00593EA8" w:rsidRDefault="00440166" w:rsidP="00DB17CD">
      <w:pPr>
        <w:pStyle w:val="TableTitle"/>
      </w:pPr>
      <w:bookmarkStart w:id="117" w:name="_Ref130203771"/>
      <w:r w:rsidRPr="00DB17CD">
        <w:t xml:space="preserve">Table </w:t>
      </w:r>
      <w:r w:rsidR="00172397">
        <w:fldChar w:fldCharType="begin"/>
      </w:r>
      <w:r w:rsidR="00172397">
        <w:instrText xml:space="preserve"> SEQ Table \* ARABIC </w:instrText>
      </w:r>
      <w:r w:rsidR="00172397">
        <w:fldChar w:fldCharType="separate"/>
      </w:r>
      <w:r w:rsidR="00B54079">
        <w:rPr>
          <w:noProof/>
        </w:rPr>
        <w:t>40</w:t>
      </w:r>
      <w:r w:rsidR="00172397">
        <w:rPr>
          <w:noProof/>
        </w:rPr>
        <w:fldChar w:fldCharType="end"/>
      </w:r>
      <w:bookmarkEnd w:id="117"/>
      <w:r>
        <w:t>:</w:t>
      </w:r>
      <w:r w:rsidR="00DB17CD">
        <w:t xml:space="preserve">Study PS0013 </w:t>
      </w:r>
      <w:r w:rsidR="00DB17CD" w:rsidRPr="00DB17CD">
        <w:t>Escape treatment period endpoint</w:t>
      </w:r>
    </w:p>
    <w:tbl>
      <w:tblPr>
        <w:tblW w:w="5000" w:type="pct"/>
        <w:jc w:val="center"/>
        <w:tblCellMar>
          <w:left w:w="0" w:type="dxa"/>
          <w:right w:w="0" w:type="dxa"/>
        </w:tblCellMar>
        <w:tblLook w:val="0000" w:firstRow="0" w:lastRow="0" w:firstColumn="0" w:lastColumn="0" w:noHBand="0" w:noVBand="0"/>
      </w:tblPr>
      <w:tblGrid>
        <w:gridCol w:w="1256"/>
        <w:gridCol w:w="1040"/>
        <w:gridCol w:w="1100"/>
        <w:gridCol w:w="1212"/>
        <w:gridCol w:w="1355"/>
        <w:gridCol w:w="1250"/>
        <w:gridCol w:w="1275"/>
      </w:tblGrid>
      <w:tr w:rsidR="00440166" w:rsidRPr="00617FC5" w14:paraId="1A4B2480" w14:textId="77777777" w:rsidTr="009B153D">
        <w:trPr>
          <w:trHeight w:hRule="exact" w:val="296"/>
          <w:jc w:val="center"/>
        </w:trPr>
        <w:tc>
          <w:tcPr>
            <w:tcW w:w="772" w:type="pct"/>
            <w:vMerge w:val="restart"/>
            <w:tcBorders>
              <w:top w:val="single" w:sz="6" w:space="0" w:color="auto"/>
              <w:left w:val="single" w:sz="6" w:space="0" w:color="auto"/>
              <w:right w:val="single" w:sz="6" w:space="0" w:color="auto"/>
            </w:tcBorders>
            <w:vAlign w:val="center"/>
          </w:tcPr>
          <w:p w14:paraId="32F671C5" w14:textId="64CE3134" w:rsidR="00440166" w:rsidRPr="00617FC5" w:rsidRDefault="00440166" w:rsidP="00440166">
            <w:pPr>
              <w:pStyle w:val="Style"/>
              <w:textAlignment w:val="baseline"/>
              <w:rPr>
                <w:rFonts w:asciiTheme="minorHAnsi" w:hAnsiTheme="minorHAnsi"/>
                <w:sz w:val="22"/>
                <w:szCs w:val="22"/>
              </w:rPr>
            </w:pPr>
            <w:r w:rsidRPr="00617FC5">
              <w:rPr>
                <w:rFonts w:asciiTheme="minorHAnsi" w:hAnsiTheme="minorHAnsi"/>
                <w:sz w:val="22"/>
                <w:szCs w:val="22"/>
              </w:rPr>
              <w:t xml:space="preserve"> </w:t>
            </w:r>
          </w:p>
        </w:tc>
        <w:tc>
          <w:tcPr>
            <w:tcW w:w="1325" w:type="pct"/>
            <w:gridSpan w:val="2"/>
            <w:vMerge w:val="restart"/>
            <w:tcBorders>
              <w:top w:val="single" w:sz="6" w:space="0" w:color="auto"/>
              <w:left w:val="single" w:sz="6" w:space="0" w:color="auto"/>
              <w:right w:val="single" w:sz="6" w:space="0" w:color="auto"/>
            </w:tcBorders>
            <w:vAlign w:val="center"/>
          </w:tcPr>
          <w:p w14:paraId="047306E4" w14:textId="5132009F" w:rsidR="00440166" w:rsidRPr="00617FC5" w:rsidRDefault="005960C5" w:rsidP="00440166">
            <w:pPr>
              <w:pStyle w:val="Style"/>
              <w:textAlignment w:val="baseline"/>
              <w:rPr>
                <w:rFonts w:asciiTheme="minorHAnsi" w:hAnsiTheme="minorHAnsi"/>
                <w:sz w:val="22"/>
                <w:szCs w:val="22"/>
              </w:rPr>
            </w:pPr>
            <w:r>
              <w:rPr>
                <w:rFonts w:asciiTheme="minorHAnsi" w:hAnsiTheme="minorHAnsi"/>
                <w:b/>
                <w:sz w:val="22"/>
                <w:szCs w:val="22"/>
              </w:rPr>
              <w:t>PASI 90</w:t>
            </w:r>
            <w:r w:rsidR="00440166" w:rsidRPr="00617FC5">
              <w:rPr>
                <w:rFonts w:asciiTheme="minorHAnsi" w:hAnsiTheme="minorHAnsi"/>
                <w:b/>
                <w:sz w:val="22"/>
                <w:szCs w:val="22"/>
              </w:rPr>
              <w:t xml:space="preserve"> Nonresponse at Week 16 </w:t>
            </w:r>
          </w:p>
        </w:tc>
        <w:tc>
          <w:tcPr>
            <w:tcW w:w="2152" w:type="pct"/>
            <w:gridSpan w:val="3"/>
            <w:vMerge w:val="restart"/>
            <w:tcBorders>
              <w:top w:val="single" w:sz="6" w:space="0" w:color="auto"/>
              <w:left w:val="single" w:sz="6" w:space="0" w:color="auto"/>
              <w:right w:val="single" w:sz="6" w:space="0" w:color="auto"/>
            </w:tcBorders>
            <w:vAlign w:val="center"/>
          </w:tcPr>
          <w:p w14:paraId="323BED64" w14:textId="77777777" w:rsidR="00440166" w:rsidRPr="00617FC5" w:rsidRDefault="00440166" w:rsidP="009B153D">
            <w:pPr>
              <w:pStyle w:val="Style"/>
              <w:ind w:left="19"/>
              <w:jc w:val="center"/>
              <w:textAlignment w:val="baseline"/>
              <w:rPr>
                <w:rFonts w:asciiTheme="minorHAnsi" w:hAnsiTheme="minorHAnsi"/>
                <w:sz w:val="22"/>
                <w:szCs w:val="22"/>
              </w:rPr>
            </w:pPr>
            <w:r w:rsidRPr="00617FC5">
              <w:rPr>
                <w:rFonts w:asciiTheme="minorHAnsi" w:hAnsiTheme="minorHAnsi"/>
                <w:b/>
                <w:sz w:val="22"/>
                <w:szCs w:val="22"/>
              </w:rPr>
              <w:t xml:space="preserve">Relapse during the Randomized-Withdrawal Period </w:t>
            </w:r>
          </w:p>
          <w:p w14:paraId="4BDC1C7D" w14:textId="400EEF9E" w:rsidR="00440166" w:rsidRPr="00617FC5" w:rsidRDefault="00440166" w:rsidP="009B153D">
            <w:pPr>
              <w:pStyle w:val="Style"/>
              <w:ind w:left="19"/>
              <w:jc w:val="center"/>
              <w:textAlignment w:val="baseline"/>
              <w:rPr>
                <w:rFonts w:asciiTheme="minorHAnsi" w:hAnsiTheme="minorHAnsi"/>
                <w:sz w:val="22"/>
                <w:szCs w:val="22"/>
              </w:rPr>
            </w:pPr>
            <w:r w:rsidRPr="00DB17CD">
              <w:rPr>
                <w:rFonts w:asciiTheme="minorHAnsi" w:hAnsiTheme="minorHAnsi"/>
                <w:b/>
                <w:bCs/>
                <w:sz w:val="22"/>
                <w:szCs w:val="22"/>
              </w:rPr>
              <w:t>(</w:t>
            </w:r>
            <w:proofErr w:type="gramStart"/>
            <w:r w:rsidRPr="00DB17CD">
              <w:rPr>
                <w:rFonts w:asciiTheme="minorHAnsi" w:hAnsiTheme="minorHAnsi"/>
                <w:b/>
                <w:bCs/>
                <w:sz w:val="22"/>
                <w:szCs w:val="22"/>
              </w:rPr>
              <w:t>after</w:t>
            </w:r>
            <w:proofErr w:type="gramEnd"/>
            <w:r w:rsidRPr="00617FC5">
              <w:rPr>
                <w:rFonts w:asciiTheme="minorHAnsi" w:hAnsiTheme="minorHAnsi"/>
                <w:b/>
                <w:sz w:val="22"/>
                <w:szCs w:val="22"/>
              </w:rPr>
              <w:t xml:space="preserve"> achieving PASI 90 response at Week 16) </w:t>
            </w:r>
          </w:p>
        </w:tc>
        <w:tc>
          <w:tcPr>
            <w:tcW w:w="751" w:type="pct"/>
            <w:tcBorders>
              <w:top w:val="single" w:sz="6" w:space="0" w:color="auto"/>
              <w:left w:val="single" w:sz="6" w:space="0" w:color="auto"/>
              <w:bottom w:val="nil"/>
              <w:right w:val="single" w:sz="6" w:space="0" w:color="auto"/>
            </w:tcBorders>
            <w:vAlign w:val="center"/>
          </w:tcPr>
          <w:p w14:paraId="563DC213" w14:textId="77777777" w:rsidR="00440166" w:rsidRPr="00617FC5" w:rsidRDefault="00440166" w:rsidP="009B153D">
            <w:pPr>
              <w:pStyle w:val="Style"/>
              <w:textAlignment w:val="baseline"/>
              <w:rPr>
                <w:rFonts w:asciiTheme="minorHAnsi" w:hAnsiTheme="minorHAnsi"/>
                <w:sz w:val="22"/>
                <w:szCs w:val="22"/>
              </w:rPr>
            </w:pPr>
            <w:r w:rsidRPr="00617FC5">
              <w:rPr>
                <w:rFonts w:asciiTheme="minorHAnsi" w:hAnsiTheme="minorHAnsi"/>
                <w:sz w:val="22"/>
                <w:szCs w:val="22"/>
              </w:rPr>
              <w:t xml:space="preserve"> </w:t>
            </w:r>
          </w:p>
        </w:tc>
      </w:tr>
      <w:tr w:rsidR="00440166" w:rsidRPr="00617FC5" w14:paraId="75032944" w14:textId="77777777" w:rsidTr="00440166">
        <w:trPr>
          <w:trHeight w:hRule="exact" w:val="919"/>
          <w:jc w:val="center"/>
        </w:trPr>
        <w:tc>
          <w:tcPr>
            <w:tcW w:w="772" w:type="pct"/>
            <w:vMerge/>
            <w:tcBorders>
              <w:left w:val="single" w:sz="6" w:space="0" w:color="auto"/>
              <w:right w:val="single" w:sz="6" w:space="0" w:color="auto"/>
            </w:tcBorders>
            <w:vAlign w:val="center"/>
          </w:tcPr>
          <w:p w14:paraId="4FC414EC" w14:textId="291CC933" w:rsidR="00440166" w:rsidRPr="00617FC5" w:rsidRDefault="00440166" w:rsidP="009B153D">
            <w:pPr>
              <w:pStyle w:val="Style"/>
              <w:textAlignment w:val="baseline"/>
              <w:rPr>
                <w:rFonts w:asciiTheme="minorHAnsi" w:hAnsiTheme="minorHAnsi"/>
                <w:sz w:val="22"/>
                <w:szCs w:val="22"/>
              </w:rPr>
            </w:pPr>
          </w:p>
        </w:tc>
        <w:tc>
          <w:tcPr>
            <w:tcW w:w="1325" w:type="pct"/>
            <w:gridSpan w:val="2"/>
            <w:vMerge/>
            <w:tcBorders>
              <w:left w:val="single" w:sz="6" w:space="0" w:color="auto"/>
              <w:bottom w:val="single" w:sz="6" w:space="0" w:color="auto"/>
              <w:right w:val="single" w:sz="6" w:space="0" w:color="auto"/>
            </w:tcBorders>
            <w:vAlign w:val="center"/>
          </w:tcPr>
          <w:p w14:paraId="30637415" w14:textId="67AA2C5A" w:rsidR="00440166" w:rsidRPr="00617FC5" w:rsidRDefault="00440166" w:rsidP="009B153D">
            <w:pPr>
              <w:pStyle w:val="Style"/>
              <w:ind w:left="24"/>
              <w:jc w:val="center"/>
              <w:textAlignment w:val="baseline"/>
              <w:rPr>
                <w:rFonts w:asciiTheme="minorHAnsi" w:hAnsiTheme="minorHAnsi"/>
                <w:sz w:val="22"/>
                <w:szCs w:val="22"/>
              </w:rPr>
            </w:pPr>
          </w:p>
        </w:tc>
        <w:tc>
          <w:tcPr>
            <w:tcW w:w="2152" w:type="pct"/>
            <w:gridSpan w:val="3"/>
            <w:vMerge/>
            <w:tcBorders>
              <w:left w:val="single" w:sz="6" w:space="0" w:color="auto"/>
              <w:bottom w:val="single" w:sz="6" w:space="0" w:color="auto"/>
              <w:right w:val="single" w:sz="6" w:space="0" w:color="auto"/>
            </w:tcBorders>
            <w:vAlign w:val="center"/>
          </w:tcPr>
          <w:p w14:paraId="72691501" w14:textId="05B2AA4D" w:rsidR="00440166" w:rsidRPr="00617FC5" w:rsidRDefault="00440166" w:rsidP="009B153D">
            <w:pPr>
              <w:pStyle w:val="Style"/>
              <w:ind w:left="19"/>
              <w:jc w:val="center"/>
              <w:textAlignment w:val="baseline"/>
              <w:rPr>
                <w:rFonts w:asciiTheme="minorHAnsi" w:hAnsiTheme="minorHAnsi"/>
                <w:sz w:val="22"/>
                <w:szCs w:val="22"/>
              </w:rPr>
            </w:pPr>
          </w:p>
        </w:tc>
        <w:tc>
          <w:tcPr>
            <w:tcW w:w="751" w:type="pct"/>
            <w:tcBorders>
              <w:top w:val="nil"/>
              <w:left w:val="single" w:sz="6" w:space="0" w:color="auto"/>
              <w:bottom w:val="nil"/>
              <w:right w:val="single" w:sz="6" w:space="0" w:color="auto"/>
            </w:tcBorders>
            <w:vAlign w:val="center"/>
          </w:tcPr>
          <w:p w14:paraId="4457BD3A" w14:textId="77777777" w:rsidR="00440166" w:rsidRPr="00617FC5" w:rsidRDefault="00440166" w:rsidP="009B153D">
            <w:pPr>
              <w:pStyle w:val="Style"/>
              <w:textAlignment w:val="baseline"/>
              <w:rPr>
                <w:rFonts w:asciiTheme="minorHAnsi" w:hAnsiTheme="minorHAnsi"/>
                <w:sz w:val="22"/>
                <w:szCs w:val="22"/>
              </w:rPr>
            </w:pPr>
            <w:r w:rsidRPr="00617FC5">
              <w:rPr>
                <w:rFonts w:asciiTheme="minorHAnsi" w:hAnsiTheme="minorHAnsi"/>
                <w:sz w:val="22"/>
                <w:szCs w:val="22"/>
              </w:rPr>
              <w:t xml:space="preserve"> </w:t>
            </w:r>
          </w:p>
        </w:tc>
      </w:tr>
      <w:tr w:rsidR="00440166" w:rsidRPr="00617FC5" w14:paraId="178E78D3" w14:textId="77777777" w:rsidTr="009B153D">
        <w:trPr>
          <w:trHeight w:val="1275"/>
          <w:jc w:val="center"/>
        </w:trPr>
        <w:tc>
          <w:tcPr>
            <w:tcW w:w="772" w:type="pct"/>
            <w:vMerge/>
            <w:tcBorders>
              <w:left w:val="single" w:sz="6" w:space="0" w:color="auto"/>
              <w:right w:val="single" w:sz="6" w:space="0" w:color="auto"/>
            </w:tcBorders>
            <w:vAlign w:val="center"/>
          </w:tcPr>
          <w:p w14:paraId="155315AF" w14:textId="568189EE" w:rsidR="00440166" w:rsidRPr="00617FC5" w:rsidRDefault="00440166" w:rsidP="009B153D">
            <w:pPr>
              <w:pStyle w:val="Style"/>
              <w:textAlignment w:val="baseline"/>
              <w:rPr>
                <w:rFonts w:asciiTheme="minorHAnsi" w:hAnsiTheme="minorHAnsi"/>
                <w:sz w:val="22"/>
                <w:szCs w:val="22"/>
              </w:rPr>
            </w:pPr>
          </w:p>
        </w:tc>
        <w:tc>
          <w:tcPr>
            <w:tcW w:w="645" w:type="pct"/>
            <w:tcBorders>
              <w:top w:val="single" w:sz="6" w:space="0" w:color="auto"/>
              <w:left w:val="single" w:sz="6" w:space="0" w:color="auto"/>
              <w:right w:val="single" w:sz="6" w:space="0" w:color="auto"/>
            </w:tcBorders>
            <w:vAlign w:val="center"/>
          </w:tcPr>
          <w:p w14:paraId="53168CC4" w14:textId="77777777" w:rsidR="00440166" w:rsidRPr="00617FC5" w:rsidRDefault="00440166" w:rsidP="009B153D">
            <w:pPr>
              <w:pStyle w:val="Style"/>
              <w:textAlignment w:val="baseline"/>
              <w:rPr>
                <w:rFonts w:asciiTheme="minorHAnsi" w:hAnsiTheme="minorHAnsi"/>
                <w:sz w:val="22"/>
                <w:szCs w:val="22"/>
              </w:rPr>
            </w:pPr>
            <w:r w:rsidRPr="00617FC5">
              <w:rPr>
                <w:rFonts w:asciiTheme="minorHAnsi" w:hAnsiTheme="minorHAnsi"/>
                <w:sz w:val="22"/>
                <w:szCs w:val="22"/>
              </w:rPr>
              <w:t xml:space="preserve"> </w:t>
            </w:r>
          </w:p>
          <w:p w14:paraId="23230AB4" w14:textId="77777777" w:rsidR="00440166" w:rsidRPr="00617FC5" w:rsidRDefault="00440166" w:rsidP="009B153D">
            <w:pPr>
              <w:pStyle w:val="Style"/>
              <w:ind w:left="19"/>
              <w:jc w:val="center"/>
              <w:textAlignment w:val="baseline"/>
              <w:rPr>
                <w:rFonts w:asciiTheme="minorHAnsi" w:hAnsiTheme="minorHAnsi"/>
                <w:sz w:val="22"/>
                <w:szCs w:val="22"/>
              </w:rPr>
            </w:pPr>
            <w:r w:rsidRPr="00617FC5">
              <w:rPr>
                <w:rFonts w:asciiTheme="minorHAnsi" w:hAnsiTheme="minorHAnsi"/>
                <w:b/>
                <w:sz w:val="22"/>
                <w:szCs w:val="22"/>
              </w:rPr>
              <w:t xml:space="preserve">PBO </w:t>
            </w:r>
          </w:p>
          <w:p w14:paraId="125E6A85" w14:textId="03E9440B" w:rsidR="00440166" w:rsidRPr="00617FC5" w:rsidRDefault="001D2CFA" w:rsidP="009B153D">
            <w:pPr>
              <w:pStyle w:val="Style"/>
              <w:ind w:left="19"/>
              <w:jc w:val="center"/>
              <w:textAlignment w:val="baseline"/>
              <w:rPr>
                <w:rFonts w:asciiTheme="minorHAnsi" w:hAnsiTheme="minorHAnsi"/>
                <w:sz w:val="22"/>
                <w:szCs w:val="22"/>
              </w:rPr>
            </w:pPr>
            <w:r>
              <w:rPr>
                <w:rFonts w:asciiTheme="minorHAnsi" w:hAnsiTheme="minorHAnsi"/>
                <w:b/>
                <w:sz w:val="22"/>
                <w:szCs w:val="22"/>
              </w:rPr>
              <w:t xml:space="preserve">N = </w:t>
            </w:r>
            <w:r w:rsidR="00440166" w:rsidRPr="00617FC5">
              <w:rPr>
                <w:rFonts w:asciiTheme="minorHAnsi" w:hAnsiTheme="minorHAnsi"/>
                <w:b/>
                <w:sz w:val="22"/>
                <w:szCs w:val="22"/>
              </w:rPr>
              <w:t xml:space="preserve">81 </w:t>
            </w:r>
          </w:p>
          <w:p w14:paraId="2F739758" w14:textId="4B291C99" w:rsidR="00440166" w:rsidRPr="00617FC5" w:rsidRDefault="00440166" w:rsidP="009B153D">
            <w:pPr>
              <w:pStyle w:val="Style"/>
              <w:ind w:left="19"/>
              <w:jc w:val="center"/>
              <w:textAlignment w:val="baseline"/>
              <w:rPr>
                <w:rFonts w:asciiTheme="minorHAnsi" w:hAnsiTheme="minorHAnsi"/>
                <w:sz w:val="22"/>
                <w:szCs w:val="22"/>
              </w:rPr>
            </w:pPr>
            <w:r w:rsidRPr="00617FC5">
              <w:rPr>
                <w:rFonts w:asciiTheme="minorHAnsi" w:hAnsiTheme="minorHAnsi"/>
                <w:b/>
                <w:sz w:val="22"/>
                <w:szCs w:val="22"/>
              </w:rPr>
              <w:t xml:space="preserve">n </w:t>
            </w:r>
            <w:r w:rsidRPr="00617FC5">
              <w:rPr>
                <w:rFonts w:asciiTheme="minorHAnsi" w:eastAsia="Arial" w:hAnsiTheme="minorHAnsi" w:cs="Arial"/>
                <w:w w:val="114"/>
                <w:sz w:val="22"/>
                <w:szCs w:val="22"/>
              </w:rPr>
              <w:t xml:space="preserve">(%) </w:t>
            </w:r>
          </w:p>
        </w:tc>
        <w:tc>
          <w:tcPr>
            <w:tcW w:w="680" w:type="pct"/>
            <w:tcBorders>
              <w:top w:val="single" w:sz="6" w:space="0" w:color="auto"/>
              <w:left w:val="single" w:sz="6" w:space="0" w:color="auto"/>
              <w:right w:val="single" w:sz="6" w:space="0" w:color="auto"/>
            </w:tcBorders>
            <w:vAlign w:val="center"/>
          </w:tcPr>
          <w:p w14:paraId="28A604F1" w14:textId="085B64EA" w:rsidR="00440166" w:rsidRPr="00617FC5" w:rsidRDefault="00440166" w:rsidP="009B153D">
            <w:pPr>
              <w:pStyle w:val="Style"/>
              <w:ind w:left="19"/>
              <w:jc w:val="center"/>
              <w:textAlignment w:val="baseline"/>
              <w:rPr>
                <w:rFonts w:asciiTheme="minorHAnsi" w:hAnsiTheme="minorHAnsi"/>
                <w:sz w:val="22"/>
                <w:szCs w:val="22"/>
              </w:rPr>
            </w:pPr>
            <w:r w:rsidRPr="00617FC5">
              <w:rPr>
                <w:rFonts w:asciiTheme="minorHAnsi" w:hAnsiTheme="minorHAnsi"/>
                <w:b/>
                <w:sz w:val="22"/>
                <w:szCs w:val="22"/>
              </w:rPr>
              <w:t>BKZ</w:t>
            </w:r>
            <w:r w:rsidR="001D2CFA">
              <w:rPr>
                <w:rFonts w:asciiTheme="minorHAnsi" w:hAnsiTheme="minorHAnsi"/>
                <w:b/>
                <w:sz w:val="22"/>
                <w:szCs w:val="22"/>
              </w:rPr>
              <w:t>320 mg</w:t>
            </w:r>
            <w:r w:rsidRPr="00617FC5">
              <w:rPr>
                <w:rFonts w:asciiTheme="minorHAnsi" w:hAnsiTheme="minorHAnsi"/>
                <w:b/>
                <w:sz w:val="22"/>
                <w:szCs w:val="22"/>
              </w:rPr>
              <w:t xml:space="preserve"> </w:t>
            </w:r>
          </w:p>
          <w:p w14:paraId="04186BFE" w14:textId="51C38B87" w:rsidR="00440166" w:rsidRPr="00617FC5" w:rsidRDefault="00F23C97" w:rsidP="009B153D">
            <w:pPr>
              <w:pStyle w:val="Style"/>
              <w:ind w:left="19"/>
              <w:jc w:val="center"/>
              <w:textAlignment w:val="baseline"/>
              <w:rPr>
                <w:rFonts w:asciiTheme="minorHAnsi" w:hAnsiTheme="minorHAnsi"/>
                <w:sz w:val="22"/>
                <w:szCs w:val="22"/>
              </w:rPr>
            </w:pPr>
            <w:r>
              <w:rPr>
                <w:rFonts w:asciiTheme="minorHAnsi" w:hAnsiTheme="minorHAnsi"/>
                <w:b/>
                <w:sz w:val="22"/>
                <w:szCs w:val="22"/>
              </w:rPr>
              <w:t>every 4 weeks</w:t>
            </w:r>
            <w:r w:rsidR="00440166" w:rsidRPr="00617FC5">
              <w:rPr>
                <w:rFonts w:asciiTheme="minorHAnsi" w:hAnsiTheme="minorHAnsi"/>
                <w:b/>
                <w:sz w:val="22"/>
                <w:szCs w:val="22"/>
              </w:rPr>
              <w:t xml:space="preserve"> </w:t>
            </w:r>
          </w:p>
          <w:p w14:paraId="37F3ABF7" w14:textId="17BA378D" w:rsidR="00440166" w:rsidRPr="00617FC5" w:rsidRDefault="001D2CFA" w:rsidP="009B153D">
            <w:pPr>
              <w:pStyle w:val="Style"/>
              <w:ind w:left="19"/>
              <w:jc w:val="center"/>
              <w:textAlignment w:val="baseline"/>
              <w:rPr>
                <w:rFonts w:asciiTheme="minorHAnsi" w:hAnsiTheme="minorHAnsi"/>
                <w:sz w:val="22"/>
                <w:szCs w:val="22"/>
              </w:rPr>
            </w:pPr>
            <w:r>
              <w:rPr>
                <w:rFonts w:asciiTheme="minorHAnsi" w:hAnsiTheme="minorHAnsi"/>
                <w:b/>
                <w:sz w:val="22"/>
                <w:szCs w:val="22"/>
              </w:rPr>
              <w:t xml:space="preserve">N = </w:t>
            </w:r>
            <w:r w:rsidR="00440166" w:rsidRPr="00617FC5">
              <w:rPr>
                <w:rFonts w:asciiTheme="minorHAnsi" w:hAnsiTheme="minorHAnsi"/>
                <w:b/>
                <w:sz w:val="22"/>
                <w:szCs w:val="22"/>
              </w:rPr>
              <w:t xml:space="preserve">23 </w:t>
            </w:r>
          </w:p>
          <w:p w14:paraId="0081CA5D" w14:textId="1A190184" w:rsidR="00440166" w:rsidRPr="00617FC5" w:rsidRDefault="00440166" w:rsidP="009B153D">
            <w:pPr>
              <w:pStyle w:val="Style"/>
              <w:ind w:left="19"/>
              <w:jc w:val="center"/>
              <w:textAlignment w:val="baseline"/>
              <w:rPr>
                <w:rFonts w:asciiTheme="minorHAnsi" w:hAnsiTheme="minorHAnsi"/>
                <w:sz w:val="22"/>
                <w:szCs w:val="22"/>
              </w:rPr>
            </w:pPr>
            <w:r w:rsidRPr="00617FC5">
              <w:rPr>
                <w:rFonts w:asciiTheme="minorHAnsi" w:hAnsiTheme="minorHAnsi"/>
                <w:b/>
                <w:sz w:val="22"/>
                <w:szCs w:val="22"/>
              </w:rPr>
              <w:t xml:space="preserve">n </w:t>
            </w:r>
            <w:r w:rsidRPr="00617FC5">
              <w:rPr>
                <w:rFonts w:asciiTheme="minorHAnsi" w:eastAsia="Arial" w:hAnsiTheme="minorHAnsi" w:cs="Arial"/>
                <w:w w:val="114"/>
                <w:sz w:val="22"/>
                <w:szCs w:val="22"/>
              </w:rPr>
              <w:t xml:space="preserve">(%) </w:t>
            </w:r>
          </w:p>
        </w:tc>
        <w:tc>
          <w:tcPr>
            <w:tcW w:w="718" w:type="pct"/>
            <w:tcBorders>
              <w:top w:val="single" w:sz="6" w:space="0" w:color="auto"/>
              <w:left w:val="single" w:sz="6" w:space="0" w:color="auto"/>
              <w:right w:val="single" w:sz="6" w:space="0" w:color="auto"/>
            </w:tcBorders>
            <w:vAlign w:val="center"/>
          </w:tcPr>
          <w:p w14:paraId="69288FBC" w14:textId="396EA477" w:rsidR="00440166" w:rsidRPr="00617FC5" w:rsidRDefault="00440166" w:rsidP="009B153D">
            <w:pPr>
              <w:pStyle w:val="Style"/>
              <w:ind w:left="14"/>
              <w:jc w:val="center"/>
              <w:textAlignment w:val="baseline"/>
              <w:rPr>
                <w:rFonts w:asciiTheme="minorHAnsi" w:hAnsiTheme="minorHAnsi"/>
                <w:sz w:val="22"/>
                <w:szCs w:val="22"/>
              </w:rPr>
            </w:pPr>
            <w:r w:rsidRPr="00617FC5">
              <w:rPr>
                <w:rFonts w:asciiTheme="minorHAnsi" w:hAnsiTheme="minorHAnsi"/>
                <w:b/>
                <w:sz w:val="22"/>
                <w:szCs w:val="22"/>
              </w:rPr>
              <w:t>BKZ</w:t>
            </w:r>
            <w:r w:rsidR="001D2CFA">
              <w:rPr>
                <w:rFonts w:asciiTheme="minorHAnsi" w:hAnsiTheme="minorHAnsi"/>
                <w:b/>
                <w:sz w:val="22"/>
                <w:szCs w:val="22"/>
              </w:rPr>
              <w:t>320 mg</w:t>
            </w:r>
            <w:r w:rsidRPr="00617FC5">
              <w:rPr>
                <w:rFonts w:asciiTheme="minorHAnsi" w:hAnsiTheme="minorHAnsi"/>
                <w:b/>
                <w:sz w:val="22"/>
                <w:szCs w:val="22"/>
              </w:rPr>
              <w:t xml:space="preserve"> </w:t>
            </w:r>
          </w:p>
          <w:p w14:paraId="541F1F46" w14:textId="23CAFCDB" w:rsidR="00440166" w:rsidRPr="00617FC5" w:rsidRDefault="00F23C97" w:rsidP="009B153D">
            <w:pPr>
              <w:pStyle w:val="Style"/>
              <w:ind w:left="14"/>
              <w:jc w:val="center"/>
              <w:textAlignment w:val="baseline"/>
              <w:rPr>
                <w:rFonts w:asciiTheme="minorHAnsi" w:hAnsiTheme="minorHAnsi"/>
                <w:sz w:val="22"/>
                <w:szCs w:val="22"/>
              </w:rPr>
            </w:pPr>
            <w:r>
              <w:rPr>
                <w:rFonts w:asciiTheme="minorHAnsi" w:hAnsiTheme="minorHAnsi"/>
                <w:b/>
                <w:sz w:val="22"/>
                <w:szCs w:val="22"/>
              </w:rPr>
              <w:t>every 4 weeks</w:t>
            </w:r>
            <w:r w:rsidR="00440166" w:rsidRPr="00617FC5">
              <w:rPr>
                <w:rFonts w:asciiTheme="minorHAnsi" w:hAnsiTheme="minorHAnsi"/>
                <w:b/>
                <w:sz w:val="22"/>
                <w:szCs w:val="22"/>
              </w:rPr>
              <w:t xml:space="preserve">/PBO </w:t>
            </w:r>
          </w:p>
          <w:p w14:paraId="48FFA38F" w14:textId="237A1804" w:rsidR="00440166" w:rsidRPr="00617FC5" w:rsidRDefault="001D2CFA" w:rsidP="009B153D">
            <w:pPr>
              <w:pStyle w:val="Style"/>
              <w:ind w:left="14"/>
              <w:jc w:val="center"/>
              <w:textAlignment w:val="baseline"/>
              <w:rPr>
                <w:rFonts w:asciiTheme="minorHAnsi" w:hAnsiTheme="minorHAnsi"/>
                <w:sz w:val="22"/>
                <w:szCs w:val="22"/>
              </w:rPr>
            </w:pPr>
            <w:r>
              <w:rPr>
                <w:rFonts w:asciiTheme="minorHAnsi" w:hAnsiTheme="minorHAnsi"/>
                <w:b/>
                <w:sz w:val="22"/>
                <w:szCs w:val="22"/>
              </w:rPr>
              <w:t xml:space="preserve">N = </w:t>
            </w:r>
            <w:r w:rsidR="00440166" w:rsidRPr="00617FC5">
              <w:rPr>
                <w:rFonts w:asciiTheme="minorHAnsi" w:hAnsiTheme="minorHAnsi"/>
                <w:b/>
                <w:sz w:val="22"/>
                <w:szCs w:val="22"/>
              </w:rPr>
              <w:t xml:space="preserve">67 </w:t>
            </w:r>
          </w:p>
          <w:p w14:paraId="0E3CF887" w14:textId="12328AB4" w:rsidR="00440166" w:rsidRPr="00617FC5" w:rsidRDefault="00440166" w:rsidP="009B153D">
            <w:pPr>
              <w:pStyle w:val="Style"/>
              <w:ind w:left="14"/>
              <w:jc w:val="center"/>
              <w:textAlignment w:val="baseline"/>
              <w:rPr>
                <w:rFonts w:asciiTheme="minorHAnsi" w:hAnsiTheme="minorHAnsi"/>
                <w:sz w:val="22"/>
                <w:szCs w:val="22"/>
              </w:rPr>
            </w:pPr>
            <w:r w:rsidRPr="00617FC5">
              <w:rPr>
                <w:rFonts w:asciiTheme="minorHAnsi" w:hAnsiTheme="minorHAnsi"/>
                <w:b/>
                <w:sz w:val="22"/>
                <w:szCs w:val="22"/>
              </w:rPr>
              <w:t xml:space="preserve">n </w:t>
            </w:r>
            <w:r w:rsidRPr="00617FC5">
              <w:rPr>
                <w:rFonts w:asciiTheme="minorHAnsi" w:eastAsia="Arial" w:hAnsiTheme="minorHAnsi" w:cs="Arial"/>
                <w:w w:val="114"/>
                <w:sz w:val="22"/>
                <w:szCs w:val="22"/>
              </w:rPr>
              <w:t xml:space="preserve">(%) </w:t>
            </w:r>
          </w:p>
        </w:tc>
        <w:tc>
          <w:tcPr>
            <w:tcW w:w="718" w:type="pct"/>
            <w:tcBorders>
              <w:top w:val="single" w:sz="6" w:space="0" w:color="auto"/>
              <w:left w:val="single" w:sz="6" w:space="0" w:color="auto"/>
              <w:right w:val="single" w:sz="6" w:space="0" w:color="auto"/>
            </w:tcBorders>
            <w:vAlign w:val="center"/>
          </w:tcPr>
          <w:p w14:paraId="6E5D0F67" w14:textId="272D2F2F" w:rsidR="00440166" w:rsidRPr="00617FC5" w:rsidRDefault="00440166" w:rsidP="009B153D">
            <w:pPr>
              <w:pStyle w:val="Style"/>
              <w:ind w:left="19"/>
              <w:jc w:val="center"/>
              <w:textAlignment w:val="baseline"/>
              <w:rPr>
                <w:rFonts w:asciiTheme="minorHAnsi" w:hAnsiTheme="minorHAnsi"/>
                <w:sz w:val="22"/>
                <w:szCs w:val="22"/>
              </w:rPr>
            </w:pPr>
            <w:r w:rsidRPr="00617FC5">
              <w:rPr>
                <w:rFonts w:asciiTheme="minorHAnsi" w:hAnsiTheme="minorHAnsi"/>
                <w:b/>
                <w:sz w:val="22"/>
                <w:szCs w:val="22"/>
              </w:rPr>
              <w:t>BKZ</w:t>
            </w:r>
            <w:r w:rsidR="001D2CFA">
              <w:rPr>
                <w:rFonts w:asciiTheme="minorHAnsi" w:hAnsiTheme="minorHAnsi"/>
                <w:b/>
                <w:sz w:val="22"/>
                <w:szCs w:val="22"/>
              </w:rPr>
              <w:t>320 mg</w:t>
            </w:r>
            <w:r w:rsidRPr="00617FC5">
              <w:rPr>
                <w:rFonts w:asciiTheme="minorHAnsi" w:hAnsiTheme="minorHAnsi"/>
                <w:b/>
                <w:sz w:val="22"/>
                <w:szCs w:val="22"/>
              </w:rPr>
              <w:t xml:space="preserve"> </w:t>
            </w:r>
          </w:p>
          <w:p w14:paraId="0324DAE8" w14:textId="6DB6FC44" w:rsidR="00440166" w:rsidRPr="00617FC5" w:rsidRDefault="00F23C97" w:rsidP="009B153D">
            <w:pPr>
              <w:pStyle w:val="Style"/>
              <w:ind w:left="19"/>
              <w:jc w:val="center"/>
              <w:textAlignment w:val="baseline"/>
              <w:rPr>
                <w:rFonts w:asciiTheme="minorHAnsi" w:hAnsiTheme="minorHAnsi"/>
                <w:sz w:val="22"/>
                <w:szCs w:val="22"/>
              </w:rPr>
            </w:pPr>
            <w:r>
              <w:rPr>
                <w:rFonts w:asciiTheme="minorHAnsi" w:hAnsiTheme="minorHAnsi"/>
                <w:b/>
                <w:sz w:val="22"/>
                <w:szCs w:val="22"/>
              </w:rPr>
              <w:t>every 4 weeks</w:t>
            </w:r>
            <w:r w:rsidR="00440166" w:rsidRPr="00617FC5">
              <w:rPr>
                <w:rFonts w:asciiTheme="minorHAnsi" w:hAnsiTheme="minorHAnsi"/>
                <w:b/>
                <w:sz w:val="22"/>
                <w:szCs w:val="22"/>
              </w:rPr>
              <w:t>/</w:t>
            </w:r>
            <w:r>
              <w:rPr>
                <w:rFonts w:asciiTheme="minorHAnsi" w:hAnsiTheme="minorHAnsi"/>
                <w:b/>
                <w:sz w:val="22"/>
                <w:szCs w:val="22"/>
              </w:rPr>
              <w:t>every 8 weeks</w:t>
            </w:r>
            <w:r w:rsidR="00440166" w:rsidRPr="00617FC5">
              <w:rPr>
                <w:rFonts w:asciiTheme="minorHAnsi" w:hAnsiTheme="minorHAnsi"/>
                <w:b/>
                <w:sz w:val="22"/>
                <w:szCs w:val="22"/>
              </w:rPr>
              <w:t xml:space="preserve"> </w:t>
            </w:r>
          </w:p>
          <w:p w14:paraId="37EEACC1" w14:textId="52BBE3C6" w:rsidR="00440166" w:rsidRPr="00617FC5" w:rsidRDefault="001D2CFA" w:rsidP="009B153D">
            <w:pPr>
              <w:pStyle w:val="Style"/>
              <w:ind w:left="19"/>
              <w:jc w:val="center"/>
              <w:textAlignment w:val="baseline"/>
              <w:rPr>
                <w:rFonts w:asciiTheme="minorHAnsi" w:hAnsiTheme="minorHAnsi"/>
                <w:sz w:val="22"/>
                <w:szCs w:val="22"/>
              </w:rPr>
            </w:pPr>
            <w:r>
              <w:rPr>
                <w:rFonts w:asciiTheme="minorHAnsi" w:hAnsiTheme="minorHAnsi"/>
                <w:b/>
                <w:sz w:val="22"/>
                <w:szCs w:val="22"/>
              </w:rPr>
              <w:t xml:space="preserve">N = </w:t>
            </w:r>
            <w:r w:rsidR="00440166" w:rsidRPr="00617FC5">
              <w:rPr>
                <w:rFonts w:asciiTheme="minorHAnsi" w:hAnsiTheme="minorHAnsi"/>
                <w:b/>
                <w:sz w:val="22"/>
                <w:szCs w:val="22"/>
              </w:rPr>
              <w:t xml:space="preserve">4 </w:t>
            </w:r>
          </w:p>
          <w:p w14:paraId="541702FF" w14:textId="5A6643FA" w:rsidR="00440166" w:rsidRPr="00617FC5" w:rsidRDefault="00440166" w:rsidP="009B153D">
            <w:pPr>
              <w:pStyle w:val="Style"/>
              <w:ind w:left="19"/>
              <w:jc w:val="center"/>
              <w:textAlignment w:val="baseline"/>
              <w:rPr>
                <w:rFonts w:asciiTheme="minorHAnsi" w:hAnsiTheme="minorHAnsi"/>
                <w:sz w:val="22"/>
                <w:szCs w:val="22"/>
              </w:rPr>
            </w:pPr>
            <w:r w:rsidRPr="00617FC5">
              <w:rPr>
                <w:rFonts w:asciiTheme="minorHAnsi" w:hAnsiTheme="minorHAnsi"/>
                <w:b/>
                <w:sz w:val="22"/>
                <w:szCs w:val="22"/>
              </w:rPr>
              <w:t xml:space="preserve">n </w:t>
            </w:r>
            <w:r w:rsidRPr="00617FC5">
              <w:rPr>
                <w:rFonts w:asciiTheme="minorHAnsi" w:eastAsia="Arial" w:hAnsiTheme="minorHAnsi" w:cs="Arial"/>
                <w:w w:val="114"/>
                <w:sz w:val="22"/>
                <w:szCs w:val="22"/>
              </w:rPr>
              <w:t xml:space="preserve">(%) </w:t>
            </w:r>
          </w:p>
        </w:tc>
        <w:tc>
          <w:tcPr>
            <w:tcW w:w="716" w:type="pct"/>
            <w:tcBorders>
              <w:top w:val="single" w:sz="6" w:space="0" w:color="auto"/>
              <w:left w:val="single" w:sz="6" w:space="0" w:color="auto"/>
              <w:right w:val="single" w:sz="6" w:space="0" w:color="auto"/>
            </w:tcBorders>
            <w:vAlign w:val="center"/>
          </w:tcPr>
          <w:p w14:paraId="5EF856DC" w14:textId="146BBDD0" w:rsidR="00440166" w:rsidRPr="00617FC5" w:rsidRDefault="00440166" w:rsidP="009B153D">
            <w:pPr>
              <w:pStyle w:val="Style"/>
              <w:ind w:left="24"/>
              <w:jc w:val="center"/>
              <w:textAlignment w:val="baseline"/>
              <w:rPr>
                <w:rFonts w:asciiTheme="minorHAnsi" w:hAnsiTheme="minorHAnsi"/>
                <w:sz w:val="22"/>
                <w:szCs w:val="22"/>
              </w:rPr>
            </w:pPr>
            <w:r w:rsidRPr="00617FC5">
              <w:rPr>
                <w:rFonts w:asciiTheme="minorHAnsi" w:hAnsiTheme="minorHAnsi"/>
                <w:b/>
                <w:sz w:val="22"/>
                <w:szCs w:val="22"/>
              </w:rPr>
              <w:t>BKZ</w:t>
            </w:r>
            <w:r w:rsidR="001D2CFA">
              <w:rPr>
                <w:rFonts w:asciiTheme="minorHAnsi" w:hAnsiTheme="minorHAnsi"/>
                <w:b/>
                <w:sz w:val="22"/>
                <w:szCs w:val="22"/>
              </w:rPr>
              <w:t>320 mg</w:t>
            </w:r>
            <w:r w:rsidRPr="00617FC5">
              <w:rPr>
                <w:rFonts w:asciiTheme="minorHAnsi" w:hAnsiTheme="minorHAnsi"/>
                <w:b/>
                <w:sz w:val="22"/>
                <w:szCs w:val="22"/>
              </w:rPr>
              <w:t xml:space="preserve"> </w:t>
            </w:r>
          </w:p>
          <w:p w14:paraId="78292CD4" w14:textId="23308CA1" w:rsidR="00440166" w:rsidRPr="00617FC5" w:rsidRDefault="00F23C97" w:rsidP="009B153D">
            <w:pPr>
              <w:pStyle w:val="Style"/>
              <w:ind w:left="24"/>
              <w:jc w:val="center"/>
              <w:textAlignment w:val="baseline"/>
              <w:rPr>
                <w:rFonts w:asciiTheme="minorHAnsi" w:hAnsiTheme="minorHAnsi"/>
                <w:sz w:val="22"/>
                <w:szCs w:val="22"/>
              </w:rPr>
            </w:pPr>
            <w:r>
              <w:rPr>
                <w:rFonts w:asciiTheme="minorHAnsi" w:hAnsiTheme="minorHAnsi"/>
                <w:b/>
                <w:sz w:val="22"/>
                <w:szCs w:val="22"/>
              </w:rPr>
              <w:t>every 4 weeks</w:t>
            </w:r>
            <w:r w:rsidR="00440166" w:rsidRPr="00617FC5">
              <w:rPr>
                <w:rFonts w:asciiTheme="minorHAnsi" w:hAnsiTheme="minorHAnsi"/>
                <w:b/>
                <w:sz w:val="22"/>
                <w:szCs w:val="22"/>
              </w:rPr>
              <w:t xml:space="preserve">/Q4w </w:t>
            </w:r>
          </w:p>
          <w:p w14:paraId="5EA9CB55" w14:textId="5348B9CC" w:rsidR="00440166" w:rsidRPr="00617FC5" w:rsidRDefault="001D2CFA" w:rsidP="009B153D">
            <w:pPr>
              <w:pStyle w:val="Style"/>
              <w:ind w:left="24"/>
              <w:jc w:val="center"/>
              <w:textAlignment w:val="baseline"/>
              <w:rPr>
                <w:rFonts w:asciiTheme="minorHAnsi" w:hAnsiTheme="minorHAnsi"/>
                <w:sz w:val="22"/>
                <w:szCs w:val="22"/>
              </w:rPr>
            </w:pPr>
            <w:r>
              <w:rPr>
                <w:rFonts w:asciiTheme="minorHAnsi" w:hAnsiTheme="minorHAnsi"/>
                <w:b/>
                <w:sz w:val="22"/>
                <w:szCs w:val="22"/>
              </w:rPr>
              <w:t xml:space="preserve">N = </w:t>
            </w:r>
            <w:r w:rsidR="00440166" w:rsidRPr="00617FC5">
              <w:rPr>
                <w:rFonts w:asciiTheme="minorHAnsi" w:hAnsiTheme="minorHAnsi"/>
                <w:b/>
                <w:sz w:val="22"/>
                <w:szCs w:val="22"/>
              </w:rPr>
              <w:t xml:space="preserve">7 </w:t>
            </w:r>
          </w:p>
          <w:p w14:paraId="11DADF92" w14:textId="32EA61B5" w:rsidR="00440166" w:rsidRPr="00617FC5" w:rsidRDefault="00440166" w:rsidP="009B153D">
            <w:pPr>
              <w:pStyle w:val="Style"/>
              <w:ind w:left="24"/>
              <w:jc w:val="center"/>
              <w:textAlignment w:val="baseline"/>
              <w:rPr>
                <w:rFonts w:asciiTheme="minorHAnsi" w:hAnsiTheme="minorHAnsi"/>
                <w:sz w:val="22"/>
                <w:szCs w:val="22"/>
              </w:rPr>
            </w:pPr>
            <w:r w:rsidRPr="00617FC5">
              <w:rPr>
                <w:rFonts w:asciiTheme="minorHAnsi" w:hAnsiTheme="minorHAnsi"/>
                <w:b/>
                <w:sz w:val="22"/>
                <w:szCs w:val="22"/>
              </w:rPr>
              <w:t xml:space="preserve">n </w:t>
            </w:r>
            <w:r w:rsidRPr="00617FC5">
              <w:rPr>
                <w:rFonts w:asciiTheme="minorHAnsi" w:eastAsia="Arial" w:hAnsiTheme="minorHAnsi" w:cs="Arial"/>
                <w:w w:val="114"/>
                <w:sz w:val="22"/>
                <w:szCs w:val="22"/>
              </w:rPr>
              <w:t xml:space="preserve">(%) </w:t>
            </w:r>
          </w:p>
        </w:tc>
        <w:tc>
          <w:tcPr>
            <w:tcW w:w="751" w:type="pct"/>
            <w:tcBorders>
              <w:top w:val="nil"/>
              <w:left w:val="single" w:sz="6" w:space="0" w:color="auto"/>
              <w:right w:val="single" w:sz="6" w:space="0" w:color="auto"/>
            </w:tcBorders>
            <w:vAlign w:val="center"/>
          </w:tcPr>
          <w:p w14:paraId="72E27CD1" w14:textId="77777777" w:rsidR="00440166" w:rsidRPr="00617FC5" w:rsidRDefault="00440166" w:rsidP="009B153D">
            <w:pPr>
              <w:pStyle w:val="Style"/>
              <w:ind w:left="24"/>
              <w:jc w:val="center"/>
              <w:textAlignment w:val="baseline"/>
              <w:rPr>
                <w:rFonts w:asciiTheme="minorHAnsi" w:hAnsiTheme="minorHAnsi"/>
                <w:sz w:val="22"/>
                <w:szCs w:val="22"/>
              </w:rPr>
            </w:pPr>
            <w:r w:rsidRPr="00617FC5">
              <w:rPr>
                <w:rFonts w:asciiTheme="minorHAnsi" w:hAnsiTheme="minorHAnsi"/>
                <w:b/>
                <w:sz w:val="22"/>
                <w:szCs w:val="22"/>
              </w:rPr>
              <w:t xml:space="preserve">All study </w:t>
            </w:r>
          </w:p>
          <w:p w14:paraId="75DB5BF4" w14:textId="77777777" w:rsidR="00440166" w:rsidRPr="00617FC5" w:rsidRDefault="00440166" w:rsidP="009B153D">
            <w:pPr>
              <w:pStyle w:val="Style"/>
              <w:ind w:left="24"/>
              <w:jc w:val="center"/>
              <w:textAlignment w:val="baseline"/>
              <w:rPr>
                <w:rFonts w:asciiTheme="minorHAnsi" w:hAnsiTheme="minorHAnsi"/>
                <w:sz w:val="22"/>
                <w:szCs w:val="22"/>
              </w:rPr>
            </w:pPr>
            <w:r w:rsidRPr="00617FC5">
              <w:rPr>
                <w:rFonts w:asciiTheme="minorHAnsi" w:hAnsiTheme="minorHAnsi"/>
                <w:b/>
                <w:sz w:val="22"/>
                <w:szCs w:val="22"/>
              </w:rPr>
              <w:t xml:space="preserve">participants </w:t>
            </w:r>
          </w:p>
          <w:p w14:paraId="7B638D8F" w14:textId="085EF241" w:rsidR="00440166" w:rsidRPr="00617FC5" w:rsidRDefault="001D2CFA" w:rsidP="009B153D">
            <w:pPr>
              <w:pStyle w:val="Style"/>
              <w:ind w:left="24"/>
              <w:jc w:val="center"/>
              <w:textAlignment w:val="baseline"/>
              <w:rPr>
                <w:rFonts w:asciiTheme="minorHAnsi" w:hAnsiTheme="minorHAnsi"/>
                <w:sz w:val="22"/>
                <w:szCs w:val="22"/>
              </w:rPr>
            </w:pPr>
            <w:r>
              <w:rPr>
                <w:rFonts w:asciiTheme="minorHAnsi" w:hAnsiTheme="minorHAnsi"/>
                <w:b/>
                <w:sz w:val="22"/>
                <w:szCs w:val="22"/>
              </w:rPr>
              <w:t xml:space="preserve">N = </w:t>
            </w:r>
            <w:r w:rsidR="00440166" w:rsidRPr="00617FC5">
              <w:rPr>
                <w:rFonts w:asciiTheme="minorHAnsi" w:hAnsiTheme="minorHAnsi"/>
                <w:b/>
                <w:sz w:val="22"/>
                <w:szCs w:val="22"/>
              </w:rPr>
              <w:t xml:space="preserve">182 </w:t>
            </w:r>
          </w:p>
          <w:p w14:paraId="14BFA7A1" w14:textId="353A92C6" w:rsidR="00440166" w:rsidRPr="00617FC5" w:rsidRDefault="00440166" w:rsidP="009B153D">
            <w:pPr>
              <w:pStyle w:val="Style"/>
              <w:ind w:left="24"/>
              <w:jc w:val="center"/>
              <w:textAlignment w:val="baseline"/>
              <w:rPr>
                <w:rFonts w:asciiTheme="minorHAnsi" w:hAnsiTheme="minorHAnsi"/>
                <w:sz w:val="22"/>
                <w:szCs w:val="22"/>
              </w:rPr>
            </w:pPr>
            <w:r w:rsidRPr="00617FC5">
              <w:rPr>
                <w:rFonts w:asciiTheme="minorHAnsi" w:hAnsiTheme="minorHAnsi"/>
                <w:b/>
                <w:sz w:val="22"/>
                <w:szCs w:val="22"/>
              </w:rPr>
              <w:t xml:space="preserve">n </w:t>
            </w:r>
            <w:r w:rsidRPr="00617FC5">
              <w:rPr>
                <w:rFonts w:asciiTheme="minorHAnsi" w:eastAsia="Arial" w:hAnsiTheme="minorHAnsi" w:cs="Arial"/>
                <w:w w:val="114"/>
                <w:sz w:val="22"/>
                <w:szCs w:val="22"/>
              </w:rPr>
              <w:t xml:space="preserve">(%) </w:t>
            </w:r>
          </w:p>
        </w:tc>
      </w:tr>
      <w:tr w:rsidR="00440166" w:rsidRPr="00617FC5" w14:paraId="2A6B2567" w14:textId="77777777" w:rsidTr="00440166">
        <w:trPr>
          <w:trHeight w:hRule="exact" w:val="325"/>
          <w:jc w:val="center"/>
        </w:trPr>
        <w:tc>
          <w:tcPr>
            <w:tcW w:w="772" w:type="pct"/>
            <w:tcBorders>
              <w:top w:val="single" w:sz="6" w:space="0" w:color="auto"/>
              <w:left w:val="single" w:sz="6" w:space="0" w:color="auto"/>
              <w:bottom w:val="single" w:sz="6" w:space="0" w:color="auto"/>
              <w:right w:val="single" w:sz="6" w:space="0" w:color="auto"/>
            </w:tcBorders>
            <w:vAlign w:val="center"/>
          </w:tcPr>
          <w:p w14:paraId="6B5770EC" w14:textId="77777777" w:rsidR="00440166" w:rsidRPr="00617FC5" w:rsidRDefault="00440166" w:rsidP="009B153D">
            <w:pPr>
              <w:pStyle w:val="Style"/>
              <w:ind w:left="130"/>
              <w:textAlignment w:val="baseline"/>
              <w:rPr>
                <w:rFonts w:asciiTheme="minorHAnsi" w:hAnsiTheme="minorHAnsi"/>
                <w:sz w:val="22"/>
                <w:szCs w:val="22"/>
              </w:rPr>
            </w:pPr>
            <w:r w:rsidRPr="00617FC5">
              <w:rPr>
                <w:rFonts w:asciiTheme="minorHAnsi" w:hAnsiTheme="minorHAnsi"/>
                <w:sz w:val="22"/>
                <w:szCs w:val="22"/>
              </w:rPr>
              <w:t xml:space="preserve">Escape Baseline </w:t>
            </w:r>
          </w:p>
        </w:tc>
        <w:tc>
          <w:tcPr>
            <w:tcW w:w="645" w:type="pct"/>
            <w:tcBorders>
              <w:top w:val="single" w:sz="6" w:space="0" w:color="auto"/>
              <w:left w:val="single" w:sz="6" w:space="0" w:color="auto"/>
              <w:bottom w:val="single" w:sz="6" w:space="0" w:color="auto"/>
              <w:right w:val="single" w:sz="6" w:space="0" w:color="auto"/>
            </w:tcBorders>
            <w:vAlign w:val="center"/>
          </w:tcPr>
          <w:p w14:paraId="14940B78" w14:textId="77777777" w:rsidR="00440166" w:rsidRPr="00617FC5" w:rsidRDefault="00440166" w:rsidP="009B153D">
            <w:pPr>
              <w:pStyle w:val="Style"/>
              <w:ind w:left="19"/>
              <w:jc w:val="center"/>
              <w:textAlignment w:val="baseline"/>
              <w:rPr>
                <w:rFonts w:asciiTheme="minorHAnsi" w:hAnsiTheme="minorHAnsi"/>
                <w:sz w:val="22"/>
                <w:szCs w:val="22"/>
              </w:rPr>
            </w:pPr>
            <w:r w:rsidRPr="00617FC5">
              <w:rPr>
                <w:rFonts w:asciiTheme="minorHAnsi" w:hAnsiTheme="minorHAnsi"/>
                <w:sz w:val="22"/>
                <w:szCs w:val="22"/>
              </w:rPr>
              <w:t xml:space="preserve">0 </w:t>
            </w:r>
          </w:p>
        </w:tc>
        <w:tc>
          <w:tcPr>
            <w:tcW w:w="680" w:type="pct"/>
            <w:tcBorders>
              <w:top w:val="single" w:sz="6" w:space="0" w:color="auto"/>
              <w:left w:val="single" w:sz="6" w:space="0" w:color="auto"/>
              <w:bottom w:val="single" w:sz="6" w:space="0" w:color="auto"/>
              <w:right w:val="single" w:sz="6" w:space="0" w:color="auto"/>
            </w:tcBorders>
            <w:vAlign w:val="center"/>
          </w:tcPr>
          <w:p w14:paraId="0E88A648" w14:textId="77777777" w:rsidR="00440166" w:rsidRPr="00617FC5" w:rsidRDefault="00440166" w:rsidP="009B153D">
            <w:pPr>
              <w:pStyle w:val="Style"/>
              <w:ind w:left="19"/>
              <w:jc w:val="center"/>
              <w:textAlignment w:val="baseline"/>
              <w:rPr>
                <w:rFonts w:asciiTheme="minorHAnsi" w:hAnsiTheme="minorHAnsi"/>
                <w:sz w:val="22"/>
                <w:szCs w:val="22"/>
              </w:rPr>
            </w:pPr>
            <w:r w:rsidRPr="00617FC5">
              <w:rPr>
                <w:rFonts w:asciiTheme="minorHAnsi" w:hAnsiTheme="minorHAnsi"/>
                <w:sz w:val="22"/>
                <w:szCs w:val="22"/>
              </w:rPr>
              <w:t xml:space="preserve">1 (4.3) </w:t>
            </w:r>
          </w:p>
        </w:tc>
        <w:tc>
          <w:tcPr>
            <w:tcW w:w="718" w:type="pct"/>
            <w:tcBorders>
              <w:top w:val="single" w:sz="6" w:space="0" w:color="auto"/>
              <w:left w:val="single" w:sz="6" w:space="0" w:color="auto"/>
              <w:bottom w:val="single" w:sz="6" w:space="0" w:color="auto"/>
              <w:right w:val="single" w:sz="6" w:space="0" w:color="auto"/>
            </w:tcBorders>
            <w:vAlign w:val="center"/>
          </w:tcPr>
          <w:p w14:paraId="2B5FC7AA" w14:textId="77777777" w:rsidR="00440166" w:rsidRPr="00617FC5" w:rsidRDefault="00440166" w:rsidP="009B153D">
            <w:pPr>
              <w:pStyle w:val="Style"/>
              <w:ind w:left="14"/>
              <w:jc w:val="center"/>
              <w:textAlignment w:val="baseline"/>
              <w:rPr>
                <w:rFonts w:asciiTheme="minorHAnsi" w:hAnsiTheme="minorHAnsi"/>
                <w:sz w:val="22"/>
                <w:szCs w:val="22"/>
              </w:rPr>
            </w:pPr>
            <w:r w:rsidRPr="00617FC5">
              <w:rPr>
                <w:rFonts w:asciiTheme="minorHAnsi" w:hAnsiTheme="minorHAnsi"/>
                <w:sz w:val="22"/>
                <w:szCs w:val="22"/>
              </w:rPr>
              <w:t xml:space="preserve">0 </w:t>
            </w:r>
          </w:p>
        </w:tc>
        <w:tc>
          <w:tcPr>
            <w:tcW w:w="718" w:type="pct"/>
            <w:tcBorders>
              <w:top w:val="single" w:sz="6" w:space="0" w:color="auto"/>
              <w:left w:val="single" w:sz="6" w:space="0" w:color="auto"/>
              <w:bottom w:val="single" w:sz="6" w:space="0" w:color="auto"/>
              <w:right w:val="single" w:sz="6" w:space="0" w:color="auto"/>
            </w:tcBorders>
            <w:vAlign w:val="center"/>
          </w:tcPr>
          <w:p w14:paraId="147B7E61" w14:textId="77777777" w:rsidR="00440166" w:rsidRPr="00617FC5" w:rsidRDefault="00440166" w:rsidP="009B153D">
            <w:pPr>
              <w:pStyle w:val="Style"/>
              <w:ind w:left="19"/>
              <w:jc w:val="center"/>
              <w:textAlignment w:val="baseline"/>
              <w:rPr>
                <w:rFonts w:asciiTheme="minorHAnsi" w:hAnsiTheme="minorHAnsi"/>
                <w:sz w:val="22"/>
                <w:szCs w:val="22"/>
              </w:rPr>
            </w:pPr>
            <w:r w:rsidRPr="00617FC5">
              <w:rPr>
                <w:rFonts w:asciiTheme="minorHAnsi" w:hAnsiTheme="minorHAnsi"/>
                <w:sz w:val="22"/>
                <w:szCs w:val="22"/>
              </w:rPr>
              <w:t xml:space="preserve">0 </w:t>
            </w:r>
          </w:p>
        </w:tc>
        <w:tc>
          <w:tcPr>
            <w:tcW w:w="716" w:type="pct"/>
            <w:tcBorders>
              <w:top w:val="single" w:sz="6" w:space="0" w:color="auto"/>
              <w:left w:val="single" w:sz="6" w:space="0" w:color="auto"/>
              <w:bottom w:val="single" w:sz="6" w:space="0" w:color="auto"/>
              <w:right w:val="single" w:sz="6" w:space="0" w:color="auto"/>
            </w:tcBorders>
            <w:vAlign w:val="center"/>
          </w:tcPr>
          <w:p w14:paraId="60AC1CDD" w14:textId="77777777" w:rsidR="00440166" w:rsidRPr="00617FC5" w:rsidRDefault="00440166" w:rsidP="009B153D">
            <w:pPr>
              <w:pStyle w:val="Style"/>
              <w:ind w:left="24"/>
              <w:jc w:val="center"/>
              <w:textAlignment w:val="baseline"/>
              <w:rPr>
                <w:rFonts w:asciiTheme="minorHAnsi" w:hAnsiTheme="minorHAnsi"/>
                <w:sz w:val="22"/>
                <w:szCs w:val="22"/>
              </w:rPr>
            </w:pPr>
            <w:r w:rsidRPr="00617FC5">
              <w:rPr>
                <w:rFonts w:asciiTheme="minorHAnsi" w:hAnsiTheme="minorHAnsi"/>
                <w:sz w:val="22"/>
                <w:szCs w:val="22"/>
              </w:rPr>
              <w:t xml:space="preserve">0 </w:t>
            </w:r>
          </w:p>
        </w:tc>
        <w:tc>
          <w:tcPr>
            <w:tcW w:w="751" w:type="pct"/>
            <w:tcBorders>
              <w:top w:val="single" w:sz="6" w:space="0" w:color="auto"/>
              <w:left w:val="single" w:sz="6" w:space="0" w:color="auto"/>
              <w:bottom w:val="single" w:sz="6" w:space="0" w:color="auto"/>
              <w:right w:val="single" w:sz="6" w:space="0" w:color="auto"/>
            </w:tcBorders>
            <w:vAlign w:val="center"/>
          </w:tcPr>
          <w:p w14:paraId="45DC2B04" w14:textId="77777777" w:rsidR="00440166" w:rsidRPr="00617FC5" w:rsidRDefault="00440166" w:rsidP="009B153D">
            <w:pPr>
              <w:pStyle w:val="Style"/>
              <w:ind w:left="24"/>
              <w:jc w:val="center"/>
              <w:textAlignment w:val="baseline"/>
              <w:rPr>
                <w:rFonts w:asciiTheme="minorHAnsi" w:hAnsiTheme="minorHAnsi"/>
                <w:sz w:val="22"/>
                <w:szCs w:val="22"/>
              </w:rPr>
            </w:pPr>
            <w:r w:rsidRPr="00617FC5">
              <w:rPr>
                <w:rFonts w:asciiTheme="minorHAnsi" w:hAnsiTheme="minorHAnsi"/>
                <w:sz w:val="22"/>
                <w:szCs w:val="22"/>
              </w:rPr>
              <w:t xml:space="preserve">1 (0.5) </w:t>
            </w:r>
          </w:p>
        </w:tc>
      </w:tr>
      <w:tr w:rsidR="00440166" w:rsidRPr="00617FC5" w14:paraId="286C740A" w14:textId="77777777" w:rsidTr="00440166">
        <w:trPr>
          <w:trHeight w:hRule="exact" w:val="531"/>
          <w:jc w:val="center"/>
        </w:trPr>
        <w:tc>
          <w:tcPr>
            <w:tcW w:w="772" w:type="pct"/>
            <w:tcBorders>
              <w:top w:val="single" w:sz="6" w:space="0" w:color="auto"/>
              <w:left w:val="single" w:sz="6" w:space="0" w:color="auto"/>
              <w:bottom w:val="single" w:sz="6" w:space="0" w:color="auto"/>
              <w:right w:val="single" w:sz="6" w:space="0" w:color="auto"/>
            </w:tcBorders>
            <w:vAlign w:val="center"/>
          </w:tcPr>
          <w:p w14:paraId="6B8697F0" w14:textId="77777777" w:rsidR="00440166" w:rsidRPr="00617FC5" w:rsidRDefault="00440166" w:rsidP="009B153D">
            <w:pPr>
              <w:pStyle w:val="Style"/>
              <w:ind w:left="130"/>
              <w:textAlignment w:val="baseline"/>
              <w:rPr>
                <w:rFonts w:asciiTheme="minorHAnsi" w:hAnsiTheme="minorHAnsi"/>
                <w:sz w:val="22"/>
                <w:szCs w:val="22"/>
              </w:rPr>
            </w:pPr>
            <w:r w:rsidRPr="00617FC5">
              <w:rPr>
                <w:rFonts w:asciiTheme="minorHAnsi" w:hAnsiTheme="minorHAnsi"/>
                <w:sz w:val="22"/>
                <w:szCs w:val="22"/>
              </w:rPr>
              <w:t xml:space="preserve">Escape Week 4 </w:t>
            </w:r>
          </w:p>
        </w:tc>
        <w:tc>
          <w:tcPr>
            <w:tcW w:w="645" w:type="pct"/>
            <w:tcBorders>
              <w:top w:val="single" w:sz="6" w:space="0" w:color="auto"/>
              <w:left w:val="single" w:sz="6" w:space="0" w:color="auto"/>
              <w:bottom w:val="single" w:sz="6" w:space="0" w:color="auto"/>
              <w:right w:val="single" w:sz="6" w:space="0" w:color="auto"/>
            </w:tcBorders>
            <w:vAlign w:val="center"/>
          </w:tcPr>
          <w:p w14:paraId="257FC2E2" w14:textId="77777777" w:rsidR="00440166" w:rsidRPr="00617FC5" w:rsidRDefault="00440166" w:rsidP="009B153D">
            <w:pPr>
              <w:pStyle w:val="Style"/>
              <w:ind w:left="19"/>
              <w:jc w:val="center"/>
              <w:textAlignment w:val="baseline"/>
              <w:rPr>
                <w:rFonts w:asciiTheme="minorHAnsi" w:hAnsiTheme="minorHAnsi"/>
                <w:sz w:val="22"/>
                <w:szCs w:val="22"/>
              </w:rPr>
            </w:pPr>
            <w:r w:rsidRPr="00617FC5">
              <w:rPr>
                <w:rFonts w:asciiTheme="minorHAnsi" w:hAnsiTheme="minorHAnsi"/>
                <w:sz w:val="22"/>
                <w:szCs w:val="22"/>
              </w:rPr>
              <w:t xml:space="preserve">35 (43.2) </w:t>
            </w:r>
          </w:p>
        </w:tc>
        <w:tc>
          <w:tcPr>
            <w:tcW w:w="680" w:type="pct"/>
            <w:tcBorders>
              <w:top w:val="single" w:sz="6" w:space="0" w:color="auto"/>
              <w:left w:val="single" w:sz="6" w:space="0" w:color="auto"/>
              <w:bottom w:val="single" w:sz="6" w:space="0" w:color="auto"/>
              <w:right w:val="single" w:sz="6" w:space="0" w:color="auto"/>
            </w:tcBorders>
            <w:vAlign w:val="center"/>
          </w:tcPr>
          <w:p w14:paraId="316412C6" w14:textId="77777777" w:rsidR="00440166" w:rsidRPr="00617FC5" w:rsidRDefault="00440166" w:rsidP="009B153D">
            <w:pPr>
              <w:pStyle w:val="Style"/>
              <w:ind w:left="19"/>
              <w:jc w:val="center"/>
              <w:textAlignment w:val="baseline"/>
              <w:rPr>
                <w:rFonts w:asciiTheme="minorHAnsi" w:hAnsiTheme="minorHAnsi"/>
                <w:sz w:val="22"/>
                <w:szCs w:val="22"/>
              </w:rPr>
            </w:pPr>
            <w:r w:rsidRPr="00617FC5">
              <w:rPr>
                <w:rFonts w:asciiTheme="minorHAnsi" w:hAnsiTheme="minorHAnsi"/>
                <w:sz w:val="22"/>
                <w:szCs w:val="22"/>
              </w:rPr>
              <w:t xml:space="preserve">9(39.1) </w:t>
            </w:r>
          </w:p>
        </w:tc>
        <w:tc>
          <w:tcPr>
            <w:tcW w:w="718" w:type="pct"/>
            <w:tcBorders>
              <w:top w:val="single" w:sz="6" w:space="0" w:color="auto"/>
              <w:left w:val="single" w:sz="6" w:space="0" w:color="auto"/>
              <w:bottom w:val="single" w:sz="6" w:space="0" w:color="auto"/>
              <w:right w:val="single" w:sz="6" w:space="0" w:color="auto"/>
            </w:tcBorders>
            <w:vAlign w:val="center"/>
          </w:tcPr>
          <w:p w14:paraId="6730F205" w14:textId="77777777" w:rsidR="00440166" w:rsidRPr="00617FC5" w:rsidRDefault="00440166" w:rsidP="009B153D">
            <w:pPr>
              <w:pStyle w:val="Style"/>
              <w:ind w:left="14"/>
              <w:jc w:val="center"/>
              <w:textAlignment w:val="baseline"/>
              <w:rPr>
                <w:rFonts w:asciiTheme="minorHAnsi" w:hAnsiTheme="minorHAnsi"/>
                <w:sz w:val="22"/>
                <w:szCs w:val="22"/>
              </w:rPr>
            </w:pPr>
            <w:r w:rsidRPr="00617FC5">
              <w:rPr>
                <w:rFonts w:asciiTheme="minorHAnsi" w:hAnsiTheme="minorHAnsi"/>
                <w:sz w:val="22"/>
                <w:szCs w:val="22"/>
              </w:rPr>
              <w:t xml:space="preserve">44 (65.7) </w:t>
            </w:r>
          </w:p>
        </w:tc>
        <w:tc>
          <w:tcPr>
            <w:tcW w:w="718" w:type="pct"/>
            <w:tcBorders>
              <w:top w:val="single" w:sz="6" w:space="0" w:color="auto"/>
              <w:left w:val="single" w:sz="6" w:space="0" w:color="auto"/>
              <w:bottom w:val="single" w:sz="6" w:space="0" w:color="auto"/>
              <w:right w:val="single" w:sz="6" w:space="0" w:color="auto"/>
            </w:tcBorders>
            <w:vAlign w:val="center"/>
          </w:tcPr>
          <w:p w14:paraId="5BC19D94" w14:textId="77777777" w:rsidR="00440166" w:rsidRPr="00617FC5" w:rsidRDefault="00440166" w:rsidP="009B153D">
            <w:pPr>
              <w:pStyle w:val="Style"/>
              <w:ind w:left="19"/>
              <w:jc w:val="center"/>
              <w:textAlignment w:val="baseline"/>
              <w:rPr>
                <w:rFonts w:asciiTheme="minorHAnsi" w:hAnsiTheme="minorHAnsi"/>
                <w:sz w:val="22"/>
                <w:szCs w:val="22"/>
              </w:rPr>
            </w:pPr>
            <w:r w:rsidRPr="00617FC5">
              <w:rPr>
                <w:rFonts w:asciiTheme="minorHAnsi" w:hAnsiTheme="minorHAnsi"/>
                <w:sz w:val="22"/>
                <w:szCs w:val="22"/>
              </w:rPr>
              <w:t xml:space="preserve">2 (50.0) </w:t>
            </w:r>
          </w:p>
        </w:tc>
        <w:tc>
          <w:tcPr>
            <w:tcW w:w="716" w:type="pct"/>
            <w:tcBorders>
              <w:top w:val="single" w:sz="6" w:space="0" w:color="auto"/>
              <w:left w:val="single" w:sz="6" w:space="0" w:color="auto"/>
              <w:bottom w:val="single" w:sz="6" w:space="0" w:color="auto"/>
              <w:right w:val="single" w:sz="6" w:space="0" w:color="auto"/>
            </w:tcBorders>
            <w:vAlign w:val="center"/>
          </w:tcPr>
          <w:p w14:paraId="2DC728F5" w14:textId="77777777" w:rsidR="00440166" w:rsidRPr="00617FC5" w:rsidRDefault="00440166" w:rsidP="009B153D">
            <w:pPr>
              <w:pStyle w:val="Style"/>
              <w:ind w:left="24"/>
              <w:jc w:val="center"/>
              <w:textAlignment w:val="baseline"/>
              <w:rPr>
                <w:rFonts w:asciiTheme="minorHAnsi" w:hAnsiTheme="minorHAnsi"/>
                <w:sz w:val="22"/>
                <w:szCs w:val="22"/>
              </w:rPr>
            </w:pPr>
            <w:r w:rsidRPr="00617FC5">
              <w:rPr>
                <w:rFonts w:asciiTheme="minorHAnsi" w:hAnsiTheme="minorHAnsi"/>
                <w:sz w:val="22"/>
                <w:szCs w:val="22"/>
              </w:rPr>
              <w:t xml:space="preserve">2 (28.6) </w:t>
            </w:r>
          </w:p>
        </w:tc>
        <w:tc>
          <w:tcPr>
            <w:tcW w:w="751" w:type="pct"/>
            <w:tcBorders>
              <w:top w:val="single" w:sz="6" w:space="0" w:color="auto"/>
              <w:left w:val="single" w:sz="6" w:space="0" w:color="auto"/>
              <w:bottom w:val="single" w:sz="6" w:space="0" w:color="auto"/>
              <w:right w:val="single" w:sz="6" w:space="0" w:color="auto"/>
            </w:tcBorders>
            <w:vAlign w:val="center"/>
          </w:tcPr>
          <w:p w14:paraId="4C7B11F3" w14:textId="77777777" w:rsidR="00440166" w:rsidRPr="00617FC5" w:rsidRDefault="00440166" w:rsidP="009B153D">
            <w:pPr>
              <w:pStyle w:val="Style"/>
              <w:ind w:left="24"/>
              <w:jc w:val="center"/>
              <w:textAlignment w:val="baseline"/>
              <w:rPr>
                <w:rFonts w:asciiTheme="minorHAnsi" w:hAnsiTheme="minorHAnsi"/>
                <w:sz w:val="22"/>
                <w:szCs w:val="22"/>
              </w:rPr>
            </w:pPr>
            <w:r w:rsidRPr="00617FC5">
              <w:rPr>
                <w:rFonts w:asciiTheme="minorHAnsi" w:hAnsiTheme="minorHAnsi"/>
                <w:sz w:val="22"/>
                <w:szCs w:val="22"/>
              </w:rPr>
              <w:t xml:space="preserve">92 (50.5) </w:t>
            </w:r>
          </w:p>
        </w:tc>
      </w:tr>
      <w:tr w:rsidR="00440166" w:rsidRPr="00617FC5" w14:paraId="0BE29A8F" w14:textId="77777777" w:rsidTr="00440166">
        <w:trPr>
          <w:trHeight w:hRule="exact" w:val="621"/>
          <w:jc w:val="center"/>
        </w:trPr>
        <w:tc>
          <w:tcPr>
            <w:tcW w:w="772" w:type="pct"/>
            <w:tcBorders>
              <w:top w:val="single" w:sz="6" w:space="0" w:color="auto"/>
              <w:left w:val="single" w:sz="6" w:space="0" w:color="auto"/>
              <w:bottom w:val="single" w:sz="6" w:space="0" w:color="auto"/>
              <w:right w:val="single" w:sz="6" w:space="0" w:color="auto"/>
            </w:tcBorders>
            <w:vAlign w:val="center"/>
          </w:tcPr>
          <w:p w14:paraId="63AC7886" w14:textId="77777777" w:rsidR="00440166" w:rsidRPr="00617FC5" w:rsidRDefault="00440166" w:rsidP="009B153D">
            <w:pPr>
              <w:pStyle w:val="Style"/>
              <w:ind w:left="130"/>
              <w:textAlignment w:val="baseline"/>
              <w:rPr>
                <w:rFonts w:asciiTheme="minorHAnsi" w:hAnsiTheme="minorHAnsi"/>
                <w:sz w:val="22"/>
                <w:szCs w:val="22"/>
              </w:rPr>
            </w:pPr>
            <w:r w:rsidRPr="00617FC5">
              <w:rPr>
                <w:rFonts w:asciiTheme="minorHAnsi" w:hAnsiTheme="minorHAnsi"/>
                <w:sz w:val="22"/>
                <w:szCs w:val="22"/>
              </w:rPr>
              <w:t xml:space="preserve">Escape Week 8 </w:t>
            </w:r>
          </w:p>
        </w:tc>
        <w:tc>
          <w:tcPr>
            <w:tcW w:w="645" w:type="pct"/>
            <w:tcBorders>
              <w:top w:val="single" w:sz="6" w:space="0" w:color="auto"/>
              <w:left w:val="single" w:sz="6" w:space="0" w:color="auto"/>
              <w:bottom w:val="single" w:sz="6" w:space="0" w:color="auto"/>
              <w:right w:val="single" w:sz="6" w:space="0" w:color="auto"/>
            </w:tcBorders>
            <w:vAlign w:val="center"/>
          </w:tcPr>
          <w:p w14:paraId="6A98A529" w14:textId="77777777" w:rsidR="00440166" w:rsidRPr="00617FC5" w:rsidRDefault="00440166" w:rsidP="009B153D">
            <w:pPr>
              <w:pStyle w:val="Style"/>
              <w:ind w:left="19"/>
              <w:jc w:val="center"/>
              <w:textAlignment w:val="baseline"/>
              <w:rPr>
                <w:rFonts w:asciiTheme="minorHAnsi" w:hAnsiTheme="minorHAnsi"/>
                <w:sz w:val="22"/>
                <w:szCs w:val="22"/>
              </w:rPr>
            </w:pPr>
            <w:r w:rsidRPr="00617FC5">
              <w:rPr>
                <w:rFonts w:asciiTheme="minorHAnsi" w:hAnsiTheme="minorHAnsi"/>
                <w:sz w:val="22"/>
                <w:szCs w:val="22"/>
              </w:rPr>
              <w:t xml:space="preserve">63 (77.8) </w:t>
            </w:r>
          </w:p>
        </w:tc>
        <w:tc>
          <w:tcPr>
            <w:tcW w:w="680" w:type="pct"/>
            <w:tcBorders>
              <w:top w:val="single" w:sz="6" w:space="0" w:color="auto"/>
              <w:left w:val="single" w:sz="6" w:space="0" w:color="auto"/>
              <w:bottom w:val="single" w:sz="6" w:space="0" w:color="auto"/>
              <w:right w:val="single" w:sz="6" w:space="0" w:color="auto"/>
            </w:tcBorders>
            <w:vAlign w:val="center"/>
          </w:tcPr>
          <w:p w14:paraId="7D051917" w14:textId="77777777" w:rsidR="00440166" w:rsidRPr="00617FC5" w:rsidRDefault="00440166" w:rsidP="009B153D">
            <w:pPr>
              <w:pStyle w:val="Style"/>
              <w:ind w:left="19"/>
              <w:jc w:val="center"/>
              <w:textAlignment w:val="baseline"/>
              <w:rPr>
                <w:rFonts w:asciiTheme="minorHAnsi" w:hAnsiTheme="minorHAnsi"/>
                <w:sz w:val="22"/>
                <w:szCs w:val="22"/>
              </w:rPr>
            </w:pPr>
            <w:r w:rsidRPr="00617FC5">
              <w:rPr>
                <w:rFonts w:asciiTheme="minorHAnsi" w:hAnsiTheme="minorHAnsi"/>
                <w:sz w:val="22"/>
                <w:szCs w:val="22"/>
              </w:rPr>
              <w:t xml:space="preserve">14 (60.9) </w:t>
            </w:r>
          </w:p>
        </w:tc>
        <w:tc>
          <w:tcPr>
            <w:tcW w:w="718" w:type="pct"/>
            <w:tcBorders>
              <w:top w:val="single" w:sz="6" w:space="0" w:color="auto"/>
              <w:left w:val="single" w:sz="6" w:space="0" w:color="auto"/>
              <w:bottom w:val="single" w:sz="6" w:space="0" w:color="auto"/>
              <w:right w:val="single" w:sz="6" w:space="0" w:color="auto"/>
            </w:tcBorders>
            <w:vAlign w:val="center"/>
          </w:tcPr>
          <w:p w14:paraId="47A08995" w14:textId="77777777" w:rsidR="00440166" w:rsidRPr="00617FC5" w:rsidRDefault="00440166" w:rsidP="009B153D">
            <w:pPr>
              <w:pStyle w:val="Style"/>
              <w:ind w:left="14"/>
              <w:jc w:val="center"/>
              <w:textAlignment w:val="baseline"/>
              <w:rPr>
                <w:rFonts w:asciiTheme="minorHAnsi" w:hAnsiTheme="minorHAnsi"/>
                <w:sz w:val="22"/>
                <w:szCs w:val="22"/>
              </w:rPr>
            </w:pPr>
            <w:r w:rsidRPr="00617FC5">
              <w:rPr>
                <w:rFonts w:asciiTheme="minorHAnsi" w:hAnsiTheme="minorHAnsi"/>
                <w:sz w:val="22"/>
                <w:szCs w:val="22"/>
              </w:rPr>
              <w:t xml:space="preserve">56 (83.6) </w:t>
            </w:r>
          </w:p>
        </w:tc>
        <w:tc>
          <w:tcPr>
            <w:tcW w:w="718" w:type="pct"/>
            <w:tcBorders>
              <w:top w:val="single" w:sz="6" w:space="0" w:color="auto"/>
              <w:left w:val="single" w:sz="6" w:space="0" w:color="auto"/>
              <w:bottom w:val="single" w:sz="6" w:space="0" w:color="auto"/>
              <w:right w:val="single" w:sz="6" w:space="0" w:color="auto"/>
            </w:tcBorders>
            <w:vAlign w:val="center"/>
          </w:tcPr>
          <w:p w14:paraId="74CAE747" w14:textId="77777777" w:rsidR="00440166" w:rsidRPr="00617FC5" w:rsidRDefault="00440166" w:rsidP="009B153D">
            <w:pPr>
              <w:pStyle w:val="Style"/>
              <w:ind w:left="19"/>
              <w:jc w:val="center"/>
              <w:textAlignment w:val="baseline"/>
              <w:rPr>
                <w:rFonts w:asciiTheme="minorHAnsi" w:hAnsiTheme="minorHAnsi"/>
                <w:sz w:val="22"/>
                <w:szCs w:val="22"/>
              </w:rPr>
            </w:pPr>
            <w:r w:rsidRPr="00617FC5">
              <w:rPr>
                <w:rFonts w:asciiTheme="minorHAnsi" w:hAnsiTheme="minorHAnsi"/>
                <w:sz w:val="22"/>
                <w:szCs w:val="22"/>
              </w:rPr>
              <w:t xml:space="preserve">1 (25.0) </w:t>
            </w:r>
          </w:p>
        </w:tc>
        <w:tc>
          <w:tcPr>
            <w:tcW w:w="716" w:type="pct"/>
            <w:tcBorders>
              <w:top w:val="single" w:sz="6" w:space="0" w:color="auto"/>
              <w:left w:val="single" w:sz="6" w:space="0" w:color="auto"/>
              <w:bottom w:val="single" w:sz="6" w:space="0" w:color="auto"/>
              <w:right w:val="single" w:sz="6" w:space="0" w:color="auto"/>
            </w:tcBorders>
            <w:vAlign w:val="center"/>
          </w:tcPr>
          <w:p w14:paraId="271779F1" w14:textId="77777777" w:rsidR="00440166" w:rsidRPr="00617FC5" w:rsidRDefault="00440166" w:rsidP="009B153D">
            <w:pPr>
              <w:pStyle w:val="Style"/>
              <w:ind w:left="24"/>
              <w:jc w:val="center"/>
              <w:textAlignment w:val="baseline"/>
              <w:rPr>
                <w:rFonts w:asciiTheme="minorHAnsi" w:hAnsiTheme="minorHAnsi"/>
                <w:sz w:val="22"/>
                <w:szCs w:val="22"/>
              </w:rPr>
            </w:pPr>
            <w:r w:rsidRPr="00617FC5">
              <w:rPr>
                <w:rFonts w:asciiTheme="minorHAnsi" w:hAnsiTheme="minorHAnsi"/>
                <w:sz w:val="22"/>
                <w:szCs w:val="22"/>
              </w:rPr>
              <w:t xml:space="preserve">5 (71.4) </w:t>
            </w:r>
          </w:p>
        </w:tc>
        <w:tc>
          <w:tcPr>
            <w:tcW w:w="751" w:type="pct"/>
            <w:tcBorders>
              <w:top w:val="single" w:sz="6" w:space="0" w:color="auto"/>
              <w:left w:val="single" w:sz="6" w:space="0" w:color="auto"/>
              <w:bottom w:val="single" w:sz="6" w:space="0" w:color="auto"/>
              <w:right w:val="single" w:sz="6" w:space="0" w:color="auto"/>
            </w:tcBorders>
            <w:vAlign w:val="center"/>
          </w:tcPr>
          <w:p w14:paraId="4AADE2CC" w14:textId="77777777" w:rsidR="00440166" w:rsidRPr="00617FC5" w:rsidRDefault="00440166" w:rsidP="009B153D">
            <w:pPr>
              <w:pStyle w:val="Style"/>
              <w:ind w:left="24"/>
              <w:jc w:val="center"/>
              <w:textAlignment w:val="baseline"/>
              <w:rPr>
                <w:rFonts w:asciiTheme="minorHAnsi" w:hAnsiTheme="minorHAnsi"/>
                <w:sz w:val="22"/>
                <w:szCs w:val="22"/>
              </w:rPr>
            </w:pPr>
            <w:r w:rsidRPr="00617FC5">
              <w:rPr>
                <w:rFonts w:asciiTheme="minorHAnsi" w:hAnsiTheme="minorHAnsi"/>
                <w:sz w:val="22"/>
                <w:szCs w:val="22"/>
              </w:rPr>
              <w:t xml:space="preserve">139 (76.4) </w:t>
            </w:r>
          </w:p>
        </w:tc>
      </w:tr>
      <w:tr w:rsidR="00440166" w:rsidRPr="00617FC5" w14:paraId="32CBE4A7" w14:textId="77777777" w:rsidTr="00440166">
        <w:trPr>
          <w:trHeight w:hRule="exact" w:val="582"/>
          <w:jc w:val="center"/>
        </w:trPr>
        <w:tc>
          <w:tcPr>
            <w:tcW w:w="772" w:type="pct"/>
            <w:tcBorders>
              <w:top w:val="single" w:sz="6" w:space="0" w:color="auto"/>
              <w:left w:val="single" w:sz="6" w:space="0" w:color="auto"/>
              <w:bottom w:val="single" w:sz="6" w:space="0" w:color="auto"/>
              <w:right w:val="single" w:sz="6" w:space="0" w:color="auto"/>
            </w:tcBorders>
            <w:vAlign w:val="center"/>
          </w:tcPr>
          <w:p w14:paraId="0F500963" w14:textId="77777777" w:rsidR="00440166" w:rsidRPr="00617FC5" w:rsidRDefault="00440166" w:rsidP="009B153D">
            <w:pPr>
              <w:pStyle w:val="Style"/>
              <w:ind w:left="130"/>
              <w:textAlignment w:val="baseline"/>
              <w:rPr>
                <w:rFonts w:asciiTheme="minorHAnsi" w:hAnsiTheme="minorHAnsi"/>
                <w:sz w:val="22"/>
                <w:szCs w:val="22"/>
              </w:rPr>
            </w:pPr>
            <w:r w:rsidRPr="00617FC5">
              <w:rPr>
                <w:rFonts w:asciiTheme="minorHAnsi" w:hAnsiTheme="minorHAnsi"/>
                <w:sz w:val="22"/>
                <w:szCs w:val="22"/>
              </w:rPr>
              <w:t xml:space="preserve">Escape Week 12 </w:t>
            </w:r>
          </w:p>
        </w:tc>
        <w:tc>
          <w:tcPr>
            <w:tcW w:w="645" w:type="pct"/>
            <w:tcBorders>
              <w:top w:val="single" w:sz="6" w:space="0" w:color="auto"/>
              <w:left w:val="single" w:sz="6" w:space="0" w:color="auto"/>
              <w:bottom w:val="single" w:sz="6" w:space="0" w:color="auto"/>
              <w:right w:val="single" w:sz="6" w:space="0" w:color="auto"/>
            </w:tcBorders>
            <w:vAlign w:val="center"/>
          </w:tcPr>
          <w:p w14:paraId="0C84DF9A" w14:textId="77777777" w:rsidR="00440166" w:rsidRPr="00617FC5" w:rsidRDefault="00440166" w:rsidP="009B153D">
            <w:pPr>
              <w:pStyle w:val="Style"/>
              <w:ind w:left="19"/>
              <w:jc w:val="center"/>
              <w:textAlignment w:val="baseline"/>
              <w:rPr>
                <w:rFonts w:asciiTheme="minorHAnsi" w:hAnsiTheme="minorHAnsi"/>
                <w:sz w:val="22"/>
                <w:szCs w:val="22"/>
              </w:rPr>
            </w:pPr>
            <w:r w:rsidRPr="00617FC5">
              <w:rPr>
                <w:rFonts w:asciiTheme="minorHAnsi" w:hAnsiTheme="minorHAnsi"/>
                <w:sz w:val="22"/>
                <w:szCs w:val="22"/>
              </w:rPr>
              <w:t xml:space="preserve">69 (85.2) </w:t>
            </w:r>
          </w:p>
        </w:tc>
        <w:tc>
          <w:tcPr>
            <w:tcW w:w="680" w:type="pct"/>
            <w:tcBorders>
              <w:top w:val="single" w:sz="6" w:space="0" w:color="auto"/>
              <w:left w:val="single" w:sz="6" w:space="0" w:color="auto"/>
              <w:bottom w:val="single" w:sz="6" w:space="0" w:color="auto"/>
              <w:right w:val="single" w:sz="6" w:space="0" w:color="auto"/>
            </w:tcBorders>
            <w:vAlign w:val="center"/>
          </w:tcPr>
          <w:p w14:paraId="6082D91B" w14:textId="77777777" w:rsidR="00440166" w:rsidRPr="00617FC5" w:rsidRDefault="00440166" w:rsidP="009B153D">
            <w:pPr>
              <w:pStyle w:val="Style"/>
              <w:ind w:left="19"/>
              <w:jc w:val="center"/>
              <w:textAlignment w:val="baseline"/>
              <w:rPr>
                <w:rFonts w:asciiTheme="minorHAnsi" w:hAnsiTheme="minorHAnsi"/>
                <w:sz w:val="22"/>
                <w:szCs w:val="22"/>
              </w:rPr>
            </w:pPr>
            <w:r w:rsidRPr="00617FC5">
              <w:rPr>
                <w:rFonts w:asciiTheme="minorHAnsi" w:hAnsiTheme="minorHAnsi"/>
                <w:sz w:val="22"/>
                <w:szCs w:val="22"/>
              </w:rPr>
              <w:t xml:space="preserve">13 (56.5) </w:t>
            </w:r>
          </w:p>
        </w:tc>
        <w:tc>
          <w:tcPr>
            <w:tcW w:w="718" w:type="pct"/>
            <w:tcBorders>
              <w:top w:val="single" w:sz="6" w:space="0" w:color="auto"/>
              <w:left w:val="single" w:sz="6" w:space="0" w:color="auto"/>
              <w:bottom w:val="single" w:sz="6" w:space="0" w:color="auto"/>
              <w:right w:val="single" w:sz="6" w:space="0" w:color="auto"/>
            </w:tcBorders>
            <w:vAlign w:val="center"/>
          </w:tcPr>
          <w:p w14:paraId="16CFC990" w14:textId="77777777" w:rsidR="00440166" w:rsidRPr="00617FC5" w:rsidRDefault="00440166" w:rsidP="009B153D">
            <w:pPr>
              <w:pStyle w:val="Style"/>
              <w:ind w:left="14"/>
              <w:jc w:val="center"/>
              <w:textAlignment w:val="baseline"/>
              <w:rPr>
                <w:rFonts w:asciiTheme="minorHAnsi" w:hAnsiTheme="minorHAnsi"/>
                <w:sz w:val="22"/>
                <w:szCs w:val="22"/>
              </w:rPr>
            </w:pPr>
            <w:r w:rsidRPr="00617FC5">
              <w:rPr>
                <w:rFonts w:asciiTheme="minorHAnsi" w:hAnsiTheme="minorHAnsi"/>
                <w:sz w:val="22"/>
                <w:szCs w:val="22"/>
              </w:rPr>
              <w:t xml:space="preserve">56 (83.6) </w:t>
            </w:r>
          </w:p>
        </w:tc>
        <w:tc>
          <w:tcPr>
            <w:tcW w:w="718" w:type="pct"/>
            <w:tcBorders>
              <w:top w:val="single" w:sz="6" w:space="0" w:color="auto"/>
              <w:left w:val="single" w:sz="6" w:space="0" w:color="auto"/>
              <w:bottom w:val="single" w:sz="6" w:space="0" w:color="auto"/>
              <w:right w:val="single" w:sz="6" w:space="0" w:color="auto"/>
            </w:tcBorders>
            <w:vAlign w:val="center"/>
          </w:tcPr>
          <w:p w14:paraId="3C744A3E" w14:textId="77777777" w:rsidR="00440166" w:rsidRPr="00617FC5" w:rsidRDefault="00440166" w:rsidP="009B153D">
            <w:pPr>
              <w:pStyle w:val="Style"/>
              <w:ind w:left="19"/>
              <w:jc w:val="center"/>
              <w:textAlignment w:val="baseline"/>
              <w:rPr>
                <w:rFonts w:asciiTheme="minorHAnsi" w:hAnsiTheme="minorHAnsi"/>
                <w:sz w:val="22"/>
                <w:szCs w:val="22"/>
              </w:rPr>
            </w:pPr>
            <w:r w:rsidRPr="00617FC5">
              <w:rPr>
                <w:rFonts w:asciiTheme="minorHAnsi" w:hAnsiTheme="minorHAnsi"/>
                <w:sz w:val="22"/>
                <w:szCs w:val="22"/>
              </w:rPr>
              <w:t xml:space="preserve">1 (25.0) </w:t>
            </w:r>
          </w:p>
        </w:tc>
        <w:tc>
          <w:tcPr>
            <w:tcW w:w="716" w:type="pct"/>
            <w:tcBorders>
              <w:top w:val="single" w:sz="6" w:space="0" w:color="auto"/>
              <w:left w:val="single" w:sz="6" w:space="0" w:color="auto"/>
              <w:bottom w:val="single" w:sz="6" w:space="0" w:color="auto"/>
              <w:right w:val="single" w:sz="6" w:space="0" w:color="auto"/>
            </w:tcBorders>
            <w:vAlign w:val="center"/>
          </w:tcPr>
          <w:p w14:paraId="5450F773" w14:textId="77777777" w:rsidR="00440166" w:rsidRPr="00617FC5" w:rsidRDefault="00440166" w:rsidP="009B153D">
            <w:pPr>
              <w:pStyle w:val="Style"/>
              <w:ind w:left="24"/>
              <w:jc w:val="center"/>
              <w:textAlignment w:val="baseline"/>
              <w:rPr>
                <w:rFonts w:asciiTheme="minorHAnsi" w:hAnsiTheme="minorHAnsi"/>
                <w:sz w:val="22"/>
                <w:szCs w:val="22"/>
              </w:rPr>
            </w:pPr>
            <w:r w:rsidRPr="00617FC5">
              <w:rPr>
                <w:rFonts w:asciiTheme="minorHAnsi" w:hAnsiTheme="minorHAnsi"/>
                <w:sz w:val="22"/>
                <w:szCs w:val="22"/>
              </w:rPr>
              <w:t xml:space="preserve">3 (42.9) </w:t>
            </w:r>
          </w:p>
        </w:tc>
        <w:tc>
          <w:tcPr>
            <w:tcW w:w="751" w:type="pct"/>
            <w:tcBorders>
              <w:top w:val="single" w:sz="6" w:space="0" w:color="auto"/>
              <w:left w:val="single" w:sz="6" w:space="0" w:color="auto"/>
              <w:bottom w:val="single" w:sz="6" w:space="0" w:color="auto"/>
              <w:right w:val="single" w:sz="6" w:space="0" w:color="auto"/>
            </w:tcBorders>
            <w:vAlign w:val="center"/>
          </w:tcPr>
          <w:p w14:paraId="4131E931" w14:textId="77777777" w:rsidR="00440166" w:rsidRPr="00617FC5" w:rsidRDefault="00440166" w:rsidP="009B153D">
            <w:pPr>
              <w:pStyle w:val="Style"/>
              <w:ind w:left="24"/>
              <w:jc w:val="center"/>
              <w:textAlignment w:val="baseline"/>
              <w:rPr>
                <w:rFonts w:asciiTheme="minorHAnsi" w:hAnsiTheme="minorHAnsi"/>
                <w:sz w:val="22"/>
                <w:szCs w:val="22"/>
              </w:rPr>
            </w:pPr>
            <w:r w:rsidRPr="00617FC5">
              <w:rPr>
                <w:rFonts w:asciiTheme="minorHAnsi" w:hAnsiTheme="minorHAnsi"/>
                <w:sz w:val="22"/>
                <w:szCs w:val="22"/>
              </w:rPr>
              <w:t xml:space="preserve">142 (78.0) </w:t>
            </w:r>
          </w:p>
        </w:tc>
      </w:tr>
    </w:tbl>
    <w:p w14:paraId="2ACD211B" w14:textId="30D28651" w:rsidR="00440166" w:rsidRDefault="00440166" w:rsidP="00440166">
      <w:pPr>
        <w:rPr>
          <w:lang w:eastAsia="ja-JP"/>
        </w:rPr>
      </w:pPr>
      <w:r>
        <w:rPr>
          <w:lang w:eastAsia="ja-JP"/>
        </w:rPr>
        <w:t>For the time to relapse:</w:t>
      </w:r>
    </w:p>
    <w:p w14:paraId="6A146428" w14:textId="24B6B5F6" w:rsidR="00440166" w:rsidRDefault="00440166" w:rsidP="000C50A5">
      <w:pPr>
        <w:pStyle w:val="ListBullet"/>
        <w:rPr>
          <w:lang w:eastAsia="ja-JP"/>
        </w:rPr>
      </w:pPr>
      <w:r>
        <w:rPr>
          <w:lang w:eastAsia="ja-JP"/>
        </w:rPr>
        <w:t>The study participants who were re-</w:t>
      </w:r>
      <w:r w:rsidR="001D2CFA">
        <w:rPr>
          <w:lang w:eastAsia="ja-JP"/>
        </w:rPr>
        <w:t>randomised</w:t>
      </w:r>
      <w:r>
        <w:rPr>
          <w:lang w:eastAsia="ja-JP"/>
        </w:rPr>
        <w:t xml:space="preserve"> to withdrawal into </w:t>
      </w:r>
      <w:r w:rsidR="004858E7">
        <w:rPr>
          <w:lang w:eastAsia="ja-JP"/>
        </w:rPr>
        <w:t>placebo</w:t>
      </w:r>
      <w:r>
        <w:rPr>
          <w:lang w:eastAsia="ja-JP"/>
        </w:rPr>
        <w:t xml:space="preserve"> from </w:t>
      </w:r>
      <w:proofErr w:type="spellStart"/>
      <w:r w:rsidR="008B40FD">
        <w:rPr>
          <w:lang w:eastAsia="ja-JP"/>
        </w:rPr>
        <w:t>bimekizumab</w:t>
      </w:r>
      <w:proofErr w:type="spellEnd"/>
      <w:r>
        <w:rPr>
          <w:lang w:eastAsia="ja-JP"/>
        </w:rPr>
        <w:t xml:space="preserve"> </w:t>
      </w:r>
      <w:r w:rsidR="001D2CFA">
        <w:rPr>
          <w:lang w:eastAsia="ja-JP"/>
        </w:rPr>
        <w:t>320 mg</w:t>
      </w:r>
      <w:r>
        <w:rPr>
          <w:lang w:eastAsia="ja-JP"/>
        </w:rPr>
        <w:t xml:space="preserve"> treatment, relapsed more rapidly than study participants continuing to receive </w:t>
      </w:r>
      <w:proofErr w:type="spellStart"/>
      <w:r w:rsidR="008B40FD">
        <w:rPr>
          <w:lang w:eastAsia="ja-JP"/>
        </w:rPr>
        <w:t>bimekizumab</w:t>
      </w:r>
      <w:proofErr w:type="spellEnd"/>
      <w:r>
        <w:rPr>
          <w:lang w:eastAsia="ja-JP"/>
        </w:rPr>
        <w:t xml:space="preserve"> </w:t>
      </w:r>
      <w:r w:rsidR="001D2CFA">
        <w:rPr>
          <w:lang w:eastAsia="ja-JP"/>
        </w:rPr>
        <w:t>320 mg</w:t>
      </w:r>
      <w:r>
        <w:rPr>
          <w:lang w:eastAsia="ja-JP"/>
        </w:rPr>
        <w:t xml:space="preserve"> either </w:t>
      </w:r>
      <w:r w:rsidR="00F23C97">
        <w:rPr>
          <w:lang w:eastAsia="ja-JP"/>
        </w:rPr>
        <w:t>every 4 weeks</w:t>
      </w:r>
      <w:r>
        <w:rPr>
          <w:lang w:eastAsia="ja-JP"/>
        </w:rPr>
        <w:t xml:space="preserve"> or </w:t>
      </w:r>
      <w:r w:rsidR="00F23C97">
        <w:rPr>
          <w:lang w:eastAsia="ja-JP"/>
        </w:rPr>
        <w:t xml:space="preserve">every 8 </w:t>
      </w:r>
      <w:proofErr w:type="gramStart"/>
      <w:r w:rsidR="00F23C97">
        <w:rPr>
          <w:lang w:eastAsia="ja-JP"/>
        </w:rPr>
        <w:t>weeks</w:t>
      </w:r>
      <w:r>
        <w:rPr>
          <w:lang w:eastAsia="ja-JP"/>
        </w:rPr>
        <w:t>;</w:t>
      </w:r>
      <w:proofErr w:type="gramEnd"/>
    </w:p>
    <w:p w14:paraId="4864B946" w14:textId="73EFDE47" w:rsidR="00440166" w:rsidRDefault="00440166" w:rsidP="000C50A5">
      <w:pPr>
        <w:pStyle w:val="ListBullet"/>
        <w:rPr>
          <w:lang w:eastAsia="ja-JP"/>
        </w:rPr>
      </w:pPr>
      <w:r>
        <w:rPr>
          <w:lang w:eastAsia="ja-JP"/>
        </w:rPr>
        <w:t>The median time to relapse after re-randomi</w:t>
      </w:r>
      <w:r w:rsidR="00DC1BBB">
        <w:rPr>
          <w:lang w:eastAsia="ja-JP"/>
        </w:rPr>
        <w:t>s</w:t>
      </w:r>
      <w:r>
        <w:rPr>
          <w:lang w:eastAsia="ja-JP"/>
        </w:rPr>
        <w:t xml:space="preserve">ation was 197 days (95% CI: 170,224) for the </w:t>
      </w:r>
      <w:proofErr w:type="spellStart"/>
      <w:r w:rsidR="008B40FD">
        <w:rPr>
          <w:lang w:eastAsia="ja-JP"/>
        </w:rPr>
        <w:t>bimekizumab</w:t>
      </w:r>
      <w:proofErr w:type="spellEnd"/>
      <w:r>
        <w:rPr>
          <w:lang w:eastAsia="ja-JP"/>
        </w:rPr>
        <w:t xml:space="preserve"> </w:t>
      </w:r>
      <w:r w:rsidR="001D2CFA">
        <w:rPr>
          <w:lang w:eastAsia="ja-JP"/>
        </w:rPr>
        <w:t>320 mg</w:t>
      </w:r>
      <w:r>
        <w:rPr>
          <w:lang w:eastAsia="ja-JP"/>
        </w:rPr>
        <w:t xml:space="preserve"> </w:t>
      </w:r>
      <w:r w:rsidR="00F23C97">
        <w:rPr>
          <w:lang w:eastAsia="ja-JP"/>
        </w:rPr>
        <w:t>every 4 weeks</w:t>
      </w:r>
      <w:r>
        <w:rPr>
          <w:lang w:eastAsia="ja-JP"/>
        </w:rPr>
        <w:t>/</w:t>
      </w:r>
      <w:r w:rsidR="004858E7">
        <w:rPr>
          <w:lang w:eastAsia="ja-JP"/>
        </w:rPr>
        <w:t>placebo</w:t>
      </w:r>
      <w:r>
        <w:rPr>
          <w:lang w:eastAsia="ja-JP"/>
        </w:rPr>
        <w:t xml:space="preserve"> group and not calculable for the combined </w:t>
      </w:r>
      <w:proofErr w:type="spellStart"/>
      <w:r w:rsidR="00DB17CD">
        <w:rPr>
          <w:lang w:eastAsia="ja-JP"/>
        </w:rPr>
        <w:t>bimekizumab</w:t>
      </w:r>
      <w:proofErr w:type="spellEnd"/>
      <w:r>
        <w:rPr>
          <w:lang w:eastAsia="ja-JP"/>
        </w:rPr>
        <w:t xml:space="preserve"> </w:t>
      </w:r>
      <w:r w:rsidR="001D2CFA">
        <w:rPr>
          <w:lang w:eastAsia="ja-JP"/>
        </w:rPr>
        <w:t>320 mg</w:t>
      </w:r>
      <w:r>
        <w:rPr>
          <w:lang w:eastAsia="ja-JP"/>
        </w:rPr>
        <w:t xml:space="preserve"> </w:t>
      </w:r>
      <w:r w:rsidR="00F23C97">
        <w:rPr>
          <w:lang w:eastAsia="ja-JP"/>
        </w:rPr>
        <w:t>every 4 weeks</w:t>
      </w:r>
      <w:r>
        <w:rPr>
          <w:lang w:eastAsia="ja-JP"/>
        </w:rPr>
        <w:t>/</w:t>
      </w:r>
      <w:r w:rsidR="00F23C97">
        <w:rPr>
          <w:lang w:eastAsia="ja-JP"/>
        </w:rPr>
        <w:t>every 4 weeks</w:t>
      </w:r>
      <w:r>
        <w:rPr>
          <w:lang w:eastAsia="ja-JP"/>
        </w:rPr>
        <w:t xml:space="preserve"> and </w:t>
      </w:r>
      <w:r w:rsidR="00F23C97">
        <w:rPr>
          <w:lang w:eastAsia="ja-JP"/>
        </w:rPr>
        <w:t>every 4 weeks</w:t>
      </w:r>
      <w:r>
        <w:rPr>
          <w:lang w:eastAsia="ja-JP"/>
        </w:rPr>
        <w:t>/</w:t>
      </w:r>
      <w:r w:rsidR="00DC1BBB">
        <w:rPr>
          <w:lang w:eastAsia="ja-JP"/>
        </w:rPr>
        <w:t xml:space="preserve"> </w:t>
      </w:r>
      <w:r w:rsidR="00F23C97">
        <w:rPr>
          <w:lang w:eastAsia="ja-JP"/>
        </w:rPr>
        <w:t>every 8 weeks</w:t>
      </w:r>
      <w:r>
        <w:rPr>
          <w:lang w:eastAsia="ja-JP"/>
        </w:rPr>
        <w:t xml:space="preserve"> groups.</w:t>
      </w:r>
    </w:p>
    <w:p w14:paraId="029C6CAA" w14:textId="717A7FD6" w:rsidR="00440166" w:rsidRDefault="000C50A5" w:rsidP="00440166">
      <w:pPr>
        <w:rPr>
          <w:lang w:eastAsia="ja-JP"/>
        </w:rPr>
      </w:pPr>
      <w:r>
        <w:rPr>
          <w:lang w:eastAsia="ja-JP"/>
        </w:rPr>
        <w:lastRenderedPageBreak/>
        <w:t xml:space="preserve">The </w:t>
      </w:r>
      <w:r w:rsidR="00DC1BBB">
        <w:rPr>
          <w:bCs/>
        </w:rPr>
        <w:t xml:space="preserve">TGA’s clinical evaluation noted </w:t>
      </w:r>
      <w:r>
        <w:rPr>
          <w:lang w:eastAsia="ja-JP"/>
        </w:rPr>
        <w:t xml:space="preserve">that the </w:t>
      </w:r>
      <w:r w:rsidR="00440166">
        <w:rPr>
          <w:lang w:eastAsia="ja-JP"/>
        </w:rPr>
        <w:t>co-primary endpoint was relevant for patients with moderate to severe psoriasis and consistent with adopted guidelines;</w:t>
      </w:r>
      <w:r w:rsidR="00DB17CD">
        <w:rPr>
          <w:lang w:eastAsia="ja-JP"/>
        </w:rPr>
        <w:fldChar w:fldCharType="begin"/>
      </w:r>
      <w:r w:rsidR="00DB17CD">
        <w:rPr>
          <w:lang w:eastAsia="ja-JP"/>
        </w:rPr>
        <w:instrText xml:space="preserve"> NOTEREF _Ref129858909 \f \h </w:instrText>
      </w:r>
      <w:r w:rsidR="00DB17CD">
        <w:rPr>
          <w:lang w:eastAsia="ja-JP"/>
        </w:rPr>
      </w:r>
      <w:r w:rsidR="00DB17CD">
        <w:rPr>
          <w:lang w:eastAsia="ja-JP"/>
        </w:rPr>
        <w:fldChar w:fldCharType="separate"/>
      </w:r>
      <w:r w:rsidR="00B54079" w:rsidRPr="00B54079">
        <w:rPr>
          <w:rStyle w:val="FootnoteReference"/>
        </w:rPr>
        <w:t>30</w:t>
      </w:r>
      <w:r w:rsidR="00DB17CD">
        <w:rPr>
          <w:lang w:eastAsia="ja-JP"/>
        </w:rPr>
        <w:fldChar w:fldCharType="end"/>
      </w:r>
    </w:p>
    <w:p w14:paraId="2B361387" w14:textId="1968C47E" w:rsidR="00440166" w:rsidRDefault="00440166" w:rsidP="00440166">
      <w:pPr>
        <w:pStyle w:val="ListBullet"/>
        <w:rPr>
          <w:lang w:eastAsia="ja-JP"/>
        </w:rPr>
      </w:pPr>
      <w:r>
        <w:rPr>
          <w:lang w:eastAsia="ja-JP"/>
        </w:rPr>
        <w:t xml:space="preserve">Treatment with </w:t>
      </w:r>
      <w:proofErr w:type="spellStart"/>
      <w:r w:rsidR="008B40FD">
        <w:rPr>
          <w:lang w:eastAsia="ja-JP"/>
        </w:rPr>
        <w:t>bimekizumab</w:t>
      </w:r>
      <w:proofErr w:type="spellEnd"/>
      <w:r>
        <w:rPr>
          <w:lang w:eastAsia="ja-JP"/>
        </w:rPr>
        <w:t xml:space="preserve"> resulted in a statistically and clinically significant reduction in the</w:t>
      </w:r>
      <w:r w:rsidR="000C50A5">
        <w:rPr>
          <w:lang w:eastAsia="ja-JP"/>
        </w:rPr>
        <w:t xml:space="preserve"> </w:t>
      </w:r>
      <w:r>
        <w:rPr>
          <w:lang w:eastAsia="ja-JP"/>
        </w:rPr>
        <w:t xml:space="preserve">disease burden of psoriasis as measured by PASI and IGA versus patients treated with placebo; the reduction was sustained throughout the </w:t>
      </w:r>
      <w:proofErr w:type="gramStart"/>
      <w:r>
        <w:rPr>
          <w:lang w:eastAsia="ja-JP"/>
        </w:rPr>
        <w:t>study;</w:t>
      </w:r>
      <w:proofErr w:type="gramEnd"/>
    </w:p>
    <w:p w14:paraId="62FD9D6C" w14:textId="2CD1975D" w:rsidR="00440166" w:rsidRDefault="00440166" w:rsidP="00440166">
      <w:pPr>
        <w:pStyle w:val="ListBullet"/>
        <w:rPr>
          <w:lang w:eastAsia="ja-JP"/>
        </w:rPr>
      </w:pPr>
      <w:r>
        <w:rPr>
          <w:lang w:eastAsia="ja-JP"/>
        </w:rPr>
        <w:t xml:space="preserve">Continued treatment with </w:t>
      </w:r>
      <w:proofErr w:type="spellStart"/>
      <w:r w:rsidR="008B40FD">
        <w:rPr>
          <w:lang w:eastAsia="ja-JP"/>
        </w:rPr>
        <w:t>bimekizumab</w:t>
      </w:r>
      <w:proofErr w:type="spellEnd"/>
      <w:r>
        <w:rPr>
          <w:lang w:eastAsia="ja-JP"/>
        </w:rPr>
        <w:t xml:space="preserve"> maintained the improvements observed in plaques</w:t>
      </w:r>
      <w:r w:rsidR="000C50A5">
        <w:rPr>
          <w:lang w:eastAsia="ja-JP"/>
        </w:rPr>
        <w:t xml:space="preserve"> </w:t>
      </w:r>
      <w:r>
        <w:rPr>
          <w:lang w:eastAsia="ja-JP"/>
        </w:rPr>
        <w:t xml:space="preserve">psoriasis as measured by </w:t>
      </w:r>
      <w:proofErr w:type="gramStart"/>
      <w:r>
        <w:rPr>
          <w:lang w:eastAsia="ja-JP"/>
        </w:rPr>
        <w:t>PASI;</w:t>
      </w:r>
      <w:proofErr w:type="gramEnd"/>
    </w:p>
    <w:p w14:paraId="5F8D76F5" w14:textId="74F73C87" w:rsidR="00440166" w:rsidRDefault="00440166" w:rsidP="00440166">
      <w:pPr>
        <w:pStyle w:val="ListBullet"/>
        <w:rPr>
          <w:lang w:eastAsia="ja-JP"/>
        </w:rPr>
      </w:pPr>
      <w:r>
        <w:rPr>
          <w:lang w:eastAsia="ja-JP"/>
        </w:rPr>
        <w:t xml:space="preserve">The use of </w:t>
      </w:r>
      <w:r w:rsidR="004858E7">
        <w:rPr>
          <w:lang w:eastAsia="ja-JP"/>
        </w:rPr>
        <w:t>placebo</w:t>
      </w:r>
      <w:r>
        <w:rPr>
          <w:lang w:eastAsia="ja-JP"/>
        </w:rPr>
        <w:t xml:space="preserve"> was associated with a higher allocation to escape treatment in the </w:t>
      </w:r>
      <w:r w:rsidR="000C50A5">
        <w:rPr>
          <w:lang w:eastAsia="ja-JP"/>
        </w:rPr>
        <w:t>s</w:t>
      </w:r>
      <w:r>
        <w:rPr>
          <w:lang w:eastAsia="ja-JP"/>
        </w:rPr>
        <w:t>tudy.</w:t>
      </w:r>
    </w:p>
    <w:p w14:paraId="0B082DFD" w14:textId="2C81199D" w:rsidR="00440166" w:rsidRPr="00440166" w:rsidRDefault="000C50A5" w:rsidP="00440166">
      <w:pPr>
        <w:rPr>
          <w:lang w:eastAsia="ja-JP"/>
        </w:rPr>
      </w:pPr>
      <w:r>
        <w:rPr>
          <w:lang w:eastAsia="ja-JP"/>
        </w:rPr>
        <w:t>The Delegate commented that n</w:t>
      </w:r>
      <w:r w:rsidR="00440166">
        <w:rPr>
          <w:lang w:eastAsia="ja-JP"/>
        </w:rPr>
        <w:t xml:space="preserve">ot all the initial 320 patients randomised to </w:t>
      </w:r>
      <w:proofErr w:type="spellStart"/>
      <w:r w:rsidR="008B40FD">
        <w:rPr>
          <w:lang w:eastAsia="ja-JP"/>
        </w:rPr>
        <w:t>bimekizumab</w:t>
      </w:r>
      <w:proofErr w:type="spellEnd"/>
      <w:r w:rsidR="00440166">
        <w:rPr>
          <w:lang w:eastAsia="ja-JP"/>
        </w:rPr>
        <w:t xml:space="preserve"> </w:t>
      </w:r>
      <w:r w:rsidR="001D2CFA">
        <w:rPr>
          <w:lang w:eastAsia="ja-JP"/>
        </w:rPr>
        <w:t>320</w:t>
      </w:r>
      <w:r w:rsidR="00DB17CD">
        <w:rPr>
          <w:lang w:eastAsia="ja-JP"/>
        </w:rPr>
        <w:t> </w:t>
      </w:r>
      <w:r w:rsidR="001D2CFA">
        <w:rPr>
          <w:lang w:eastAsia="ja-JP"/>
        </w:rPr>
        <w:t>mg</w:t>
      </w:r>
      <w:r w:rsidR="00440166">
        <w:rPr>
          <w:lang w:eastAsia="ja-JP"/>
        </w:rPr>
        <w:t xml:space="preserve"> </w:t>
      </w:r>
      <w:r w:rsidR="00F23C97">
        <w:rPr>
          <w:lang w:eastAsia="ja-JP"/>
        </w:rPr>
        <w:t>every 4 weeks</w:t>
      </w:r>
      <w:r w:rsidR="00440166">
        <w:rPr>
          <w:lang w:eastAsia="ja-JP"/>
        </w:rPr>
        <w:t xml:space="preserve"> </w:t>
      </w:r>
      <w:r>
        <w:rPr>
          <w:lang w:eastAsia="ja-JP"/>
        </w:rPr>
        <w:t>r</w:t>
      </w:r>
      <w:r w:rsidR="00440166">
        <w:rPr>
          <w:lang w:eastAsia="ja-JP"/>
        </w:rPr>
        <w:t>eached PASI 90, post the initial treatment period at Week 16</w:t>
      </w:r>
      <w:r>
        <w:rPr>
          <w:lang w:eastAsia="ja-JP"/>
        </w:rPr>
        <w:t>, and n</w:t>
      </w:r>
      <w:r w:rsidR="00440166">
        <w:rPr>
          <w:lang w:eastAsia="ja-JP"/>
        </w:rPr>
        <w:t xml:space="preserve">ot all those randomised to </w:t>
      </w:r>
      <w:proofErr w:type="spellStart"/>
      <w:r w:rsidR="008B40FD">
        <w:rPr>
          <w:lang w:eastAsia="ja-JP"/>
        </w:rPr>
        <w:t>bimekizumab</w:t>
      </w:r>
      <w:proofErr w:type="spellEnd"/>
      <w:r w:rsidR="00440166">
        <w:rPr>
          <w:lang w:eastAsia="ja-JP"/>
        </w:rPr>
        <w:t xml:space="preserve"> </w:t>
      </w:r>
      <w:r w:rsidR="001D2CFA">
        <w:rPr>
          <w:lang w:eastAsia="ja-JP"/>
        </w:rPr>
        <w:t>320 mg</w:t>
      </w:r>
      <w:r w:rsidR="00440166">
        <w:rPr>
          <w:lang w:eastAsia="ja-JP"/>
        </w:rPr>
        <w:t xml:space="preserve"> </w:t>
      </w:r>
      <w:r w:rsidR="00F23C97">
        <w:rPr>
          <w:lang w:eastAsia="ja-JP"/>
        </w:rPr>
        <w:t>every 4 weeks</w:t>
      </w:r>
      <w:r w:rsidR="00440166">
        <w:rPr>
          <w:lang w:eastAsia="ja-JP"/>
        </w:rPr>
        <w:t xml:space="preserve"> or </w:t>
      </w:r>
      <w:proofErr w:type="spellStart"/>
      <w:r w:rsidR="008B40FD">
        <w:rPr>
          <w:lang w:eastAsia="ja-JP"/>
        </w:rPr>
        <w:t>bimekizumab</w:t>
      </w:r>
      <w:proofErr w:type="spellEnd"/>
      <w:r w:rsidR="00440166">
        <w:rPr>
          <w:lang w:eastAsia="ja-JP"/>
        </w:rPr>
        <w:t xml:space="preserve"> </w:t>
      </w:r>
      <w:r w:rsidR="001D2CFA">
        <w:rPr>
          <w:lang w:eastAsia="ja-JP"/>
        </w:rPr>
        <w:t>320</w:t>
      </w:r>
      <w:r w:rsidR="00DB17CD">
        <w:rPr>
          <w:lang w:eastAsia="ja-JP"/>
        </w:rPr>
        <w:t> </w:t>
      </w:r>
      <w:r w:rsidR="001D2CFA">
        <w:rPr>
          <w:lang w:eastAsia="ja-JP"/>
        </w:rPr>
        <w:t>mg</w:t>
      </w:r>
      <w:r w:rsidR="00440166">
        <w:rPr>
          <w:lang w:eastAsia="ja-JP"/>
        </w:rPr>
        <w:t xml:space="preserve"> </w:t>
      </w:r>
      <w:r w:rsidR="00F23C97">
        <w:rPr>
          <w:lang w:eastAsia="ja-JP"/>
        </w:rPr>
        <w:t>every 8 weeks</w:t>
      </w:r>
      <w:r w:rsidR="00440166">
        <w:rPr>
          <w:lang w:eastAsia="ja-JP"/>
        </w:rPr>
        <w:t xml:space="preserve"> in the randomised-withdrawal period reached PASI 75, not alone PASI 90</w:t>
      </w:r>
      <w:r>
        <w:rPr>
          <w:lang w:eastAsia="ja-JP"/>
        </w:rPr>
        <w:t>. In addition, t</w:t>
      </w:r>
      <w:r w:rsidR="00440166">
        <w:rPr>
          <w:lang w:eastAsia="ja-JP"/>
        </w:rPr>
        <w:t xml:space="preserve">he </w:t>
      </w:r>
      <w:r w:rsidR="00DB17CD">
        <w:rPr>
          <w:lang w:eastAsia="ja-JP"/>
        </w:rPr>
        <w:t>escape treatment period</w:t>
      </w:r>
      <w:r w:rsidR="00440166">
        <w:rPr>
          <w:lang w:eastAsia="ja-JP"/>
        </w:rPr>
        <w:t xml:space="preserve"> is a </w:t>
      </w:r>
      <w:proofErr w:type="gramStart"/>
      <w:r w:rsidR="00440166">
        <w:rPr>
          <w:lang w:eastAsia="ja-JP"/>
        </w:rPr>
        <w:t>12</w:t>
      </w:r>
      <w:r w:rsidR="00DB17CD">
        <w:rPr>
          <w:lang w:eastAsia="ja-JP"/>
        </w:rPr>
        <w:t xml:space="preserve"> </w:t>
      </w:r>
      <w:r w:rsidR="00440166">
        <w:rPr>
          <w:lang w:eastAsia="ja-JP"/>
        </w:rPr>
        <w:t>week</w:t>
      </w:r>
      <w:proofErr w:type="gramEnd"/>
      <w:r w:rsidR="00440166">
        <w:rPr>
          <w:lang w:eastAsia="ja-JP"/>
        </w:rPr>
        <w:t xml:space="preserve"> open label trial study and therefore, has its limitations</w:t>
      </w:r>
      <w:r>
        <w:rPr>
          <w:lang w:eastAsia="ja-JP"/>
        </w:rPr>
        <w:t xml:space="preserve"> </w:t>
      </w:r>
      <w:r w:rsidR="00440166">
        <w:rPr>
          <w:lang w:eastAsia="ja-JP"/>
        </w:rPr>
        <w:t>with regard to efficacy outcome</w:t>
      </w:r>
      <w:r w:rsidR="00322C46">
        <w:rPr>
          <w:lang w:eastAsia="ja-JP"/>
        </w:rPr>
        <w:t>.</w:t>
      </w:r>
    </w:p>
    <w:p w14:paraId="4EB62F44" w14:textId="1C4C8F76" w:rsidR="00D824CA" w:rsidRDefault="00991579" w:rsidP="00991579">
      <w:pPr>
        <w:pStyle w:val="Heading5"/>
        <w:rPr>
          <w:lang w:eastAsia="ja-JP"/>
        </w:rPr>
      </w:pPr>
      <w:r>
        <w:rPr>
          <w:lang w:eastAsia="ja-JP"/>
        </w:rPr>
        <w:t>Study PS0014</w:t>
      </w:r>
    </w:p>
    <w:p w14:paraId="3402AFB8" w14:textId="35E8C55E" w:rsidR="00991579" w:rsidRDefault="00991579" w:rsidP="00991579">
      <w:pPr>
        <w:rPr>
          <w:lang w:eastAsia="ja-JP"/>
        </w:rPr>
      </w:pPr>
      <w:r>
        <w:rPr>
          <w:lang w:eastAsia="ja-JP"/>
        </w:rPr>
        <w:t>Study PS0014 is an ongoing, open</w:t>
      </w:r>
      <w:r w:rsidR="00DB17CD">
        <w:rPr>
          <w:lang w:eastAsia="ja-JP"/>
        </w:rPr>
        <w:t xml:space="preserve"> </w:t>
      </w:r>
      <w:r>
        <w:rPr>
          <w:lang w:eastAsia="ja-JP"/>
        </w:rPr>
        <w:t xml:space="preserve">label multicentre study to assess the </w:t>
      </w:r>
      <w:proofErr w:type="gramStart"/>
      <w:r>
        <w:rPr>
          <w:lang w:eastAsia="ja-JP"/>
        </w:rPr>
        <w:t>long</w:t>
      </w:r>
      <w:r w:rsidR="00DB17CD">
        <w:rPr>
          <w:lang w:eastAsia="ja-JP"/>
        </w:rPr>
        <w:t xml:space="preserve"> </w:t>
      </w:r>
      <w:r>
        <w:rPr>
          <w:lang w:eastAsia="ja-JP"/>
        </w:rPr>
        <w:t>term</w:t>
      </w:r>
      <w:proofErr w:type="gramEnd"/>
      <w:r>
        <w:rPr>
          <w:lang w:eastAsia="ja-JP"/>
        </w:rPr>
        <w:t xml:space="preserve"> safety, tolerability, and efficacy of </w:t>
      </w:r>
      <w:proofErr w:type="spellStart"/>
      <w:r>
        <w:rPr>
          <w:lang w:eastAsia="ja-JP"/>
        </w:rPr>
        <w:t>bimekizumab</w:t>
      </w:r>
      <w:proofErr w:type="spellEnd"/>
      <w:r>
        <w:rPr>
          <w:lang w:eastAsia="ja-JP"/>
        </w:rPr>
        <w:t xml:space="preserve"> in eligible adult study participants with moderate to severe plaque psoriasis who complete one of the Phase III feeder studies (</w:t>
      </w:r>
      <w:r w:rsidR="00DB17CD">
        <w:rPr>
          <w:lang w:eastAsia="ja-JP"/>
        </w:rPr>
        <w:t>Studies</w:t>
      </w:r>
      <w:r w:rsidR="00DC1BBB">
        <w:rPr>
          <w:lang w:eastAsia="ja-JP"/>
        </w:rPr>
        <w:t> </w:t>
      </w:r>
      <w:r>
        <w:rPr>
          <w:lang w:eastAsia="ja-JP"/>
        </w:rPr>
        <w:t xml:space="preserve">PS0008, PS0009, or PS0013). </w:t>
      </w:r>
      <w:r w:rsidRPr="00991579">
        <w:rPr>
          <w:lang w:eastAsia="ja-JP"/>
        </w:rPr>
        <w:t xml:space="preserve">Study participants will receive either </w:t>
      </w:r>
      <w:proofErr w:type="spellStart"/>
      <w:r w:rsidR="008B40FD">
        <w:rPr>
          <w:lang w:eastAsia="ja-JP"/>
        </w:rPr>
        <w:t>bimekizumab</w:t>
      </w:r>
      <w:proofErr w:type="spellEnd"/>
      <w:r w:rsidRPr="00991579">
        <w:rPr>
          <w:lang w:eastAsia="ja-JP"/>
        </w:rPr>
        <w:t xml:space="preserve"> </w:t>
      </w:r>
      <w:r w:rsidR="001D2CFA">
        <w:rPr>
          <w:lang w:eastAsia="ja-JP"/>
        </w:rPr>
        <w:t>320</w:t>
      </w:r>
      <w:r w:rsidR="00DB17CD">
        <w:rPr>
          <w:lang w:eastAsia="ja-JP"/>
        </w:rPr>
        <w:t> </w:t>
      </w:r>
      <w:r w:rsidR="001D2CFA">
        <w:rPr>
          <w:lang w:eastAsia="ja-JP"/>
        </w:rPr>
        <w:t>mg</w:t>
      </w:r>
      <w:r w:rsidRPr="00991579">
        <w:rPr>
          <w:lang w:eastAsia="ja-JP"/>
        </w:rPr>
        <w:t xml:space="preserve"> </w:t>
      </w:r>
      <w:r w:rsidR="00F23C97">
        <w:rPr>
          <w:lang w:eastAsia="ja-JP"/>
        </w:rPr>
        <w:t>every 4 weeks</w:t>
      </w:r>
      <w:r w:rsidRPr="00991579">
        <w:rPr>
          <w:lang w:eastAsia="ja-JP"/>
        </w:rPr>
        <w:t xml:space="preserve"> or </w:t>
      </w:r>
      <w:r w:rsidR="001D2CFA">
        <w:rPr>
          <w:lang w:eastAsia="ja-JP"/>
        </w:rPr>
        <w:t>320</w:t>
      </w:r>
      <w:r w:rsidR="00DB17CD">
        <w:rPr>
          <w:lang w:eastAsia="ja-JP"/>
        </w:rPr>
        <w:t> </w:t>
      </w:r>
      <w:r w:rsidR="001D2CFA">
        <w:rPr>
          <w:lang w:eastAsia="ja-JP"/>
        </w:rPr>
        <w:t>mg</w:t>
      </w:r>
      <w:r w:rsidRPr="00991579">
        <w:rPr>
          <w:lang w:eastAsia="ja-JP"/>
        </w:rPr>
        <w:t xml:space="preserve"> </w:t>
      </w:r>
      <w:r w:rsidR="00F23C97">
        <w:rPr>
          <w:lang w:eastAsia="ja-JP"/>
        </w:rPr>
        <w:t>every 8 weeks</w:t>
      </w:r>
      <w:r w:rsidRPr="00991579">
        <w:rPr>
          <w:lang w:eastAsia="ja-JP"/>
        </w:rPr>
        <w:t>, based on their treatment regimen and PASI response in the feeder study.</w:t>
      </w:r>
    </w:p>
    <w:p w14:paraId="1B109455" w14:textId="56075D1D" w:rsidR="00991579" w:rsidRDefault="00991579" w:rsidP="00DB17CD">
      <w:pPr>
        <w:pStyle w:val="FigureTitle"/>
      </w:pPr>
      <w:r w:rsidRPr="00DB17CD">
        <w:t xml:space="preserve">Figure </w:t>
      </w:r>
      <w:r w:rsidR="00172397">
        <w:fldChar w:fldCharType="begin"/>
      </w:r>
      <w:r w:rsidR="00172397">
        <w:instrText xml:space="preserve"> SEQ Figure \* ARABIC </w:instrText>
      </w:r>
      <w:r w:rsidR="00172397">
        <w:fldChar w:fldCharType="separate"/>
      </w:r>
      <w:r w:rsidR="00B54079">
        <w:rPr>
          <w:noProof/>
        </w:rPr>
        <w:t>20</w:t>
      </w:r>
      <w:r w:rsidR="00172397">
        <w:rPr>
          <w:noProof/>
        </w:rPr>
        <w:fldChar w:fldCharType="end"/>
      </w:r>
      <w:r w:rsidRPr="00DB17CD">
        <w:t>:</w:t>
      </w:r>
      <w:r>
        <w:t xml:space="preserve"> </w:t>
      </w:r>
      <w:r w:rsidRPr="00991579">
        <w:t>Study PS0014</w:t>
      </w:r>
      <w:r w:rsidR="00DC1BBB">
        <w:t xml:space="preserve"> </w:t>
      </w:r>
      <w:r w:rsidR="00DC1BBB" w:rsidRPr="00991579">
        <w:t>Schematic diagram</w:t>
      </w:r>
    </w:p>
    <w:p w14:paraId="1E872F2A" w14:textId="4FD42781" w:rsidR="00991579" w:rsidRDefault="00991579" w:rsidP="00991579">
      <w:r w:rsidRPr="00FB172D">
        <w:rPr>
          <w:noProof/>
          <w:lang w:val="en-GB" w:eastAsia="en-GB"/>
        </w:rPr>
        <w:drawing>
          <wp:inline distT="0" distB="0" distL="0" distR="0" wp14:anchorId="579D7203" wp14:editId="10587348">
            <wp:extent cx="5120307" cy="3186303"/>
            <wp:effectExtent l="0" t="0" r="4445" b="0"/>
            <wp:docPr id="17" name="Picture 17" descr="Schematic diagram of Study PS0014&#10;Study PS0014 is an ongoing, open label multicentre study to assess the long term safety, tolerability, and efficacy of bimekizumab in eligible adult study participants with moderate to severe plaque psoriasis who complete one of the Phase III feeder studies (Studies PS0008, PS0009, or PS0013). Study participants will receive either bimekizumab 320 mg every 4 weeks or 320 mg every 8 weeks, based on their treatment regimen and PASI response in the feeder stu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hematic diagram of Study PS0014&#10;Study PS0014 is an ongoing, open label multicentre study to assess the long term safety, tolerability, and efficacy of bimekizumab in eligible adult study participants with moderate to severe plaque psoriasis who complete one of the Phase III feeder studies (Studies PS0008, PS0009, or PS0013). Study participants will receive either bimekizumab 320 mg every 4 weeks or 320 mg every 8 weeks, based on their treatment regimen and PASI response in the feeder study."/>
                    <pic:cNvPicPr>
                      <a:picLocks noChangeAspect="1" noChangeArrowheads="1"/>
                    </pic:cNvPicPr>
                  </pic:nvPicPr>
                  <pic:blipFill rotWithShape="1">
                    <a:blip r:embed="rId47">
                      <a:extLst>
                        <a:ext uri="{28A0092B-C50C-407E-A947-70E740481C1C}">
                          <a14:useLocalDpi xmlns:a14="http://schemas.microsoft.com/office/drawing/2010/main" val="0"/>
                        </a:ext>
                      </a:extLst>
                    </a:blip>
                    <a:srcRect t="2244" r="835"/>
                    <a:stretch/>
                  </pic:blipFill>
                  <pic:spPr bwMode="auto">
                    <a:xfrm>
                      <a:off x="0" y="0"/>
                      <a:ext cx="5126148" cy="3189938"/>
                    </a:xfrm>
                    <a:prstGeom prst="rect">
                      <a:avLst/>
                    </a:prstGeom>
                    <a:noFill/>
                    <a:ln>
                      <a:noFill/>
                    </a:ln>
                    <a:extLst>
                      <a:ext uri="{53640926-AAD7-44D8-BBD7-CCE9431645EC}">
                        <a14:shadowObscured xmlns:a14="http://schemas.microsoft.com/office/drawing/2010/main"/>
                      </a:ext>
                    </a:extLst>
                  </pic:spPr>
                </pic:pic>
              </a:graphicData>
            </a:graphic>
          </wp:inline>
        </w:drawing>
      </w:r>
    </w:p>
    <w:p w14:paraId="18FC5BF4" w14:textId="735F260B" w:rsidR="00991579" w:rsidRDefault="00991579" w:rsidP="00991579">
      <w:r>
        <w:t>Study PS0014 is still ongoing and efficacy data are not presented.</w:t>
      </w:r>
    </w:p>
    <w:p w14:paraId="244374A6" w14:textId="01241BF2" w:rsidR="00991579" w:rsidRDefault="00991579" w:rsidP="00991579">
      <w:pPr>
        <w:pStyle w:val="Heading5"/>
      </w:pPr>
      <w:r>
        <w:t>Studies DV0002 and DV0006</w:t>
      </w:r>
    </w:p>
    <w:p w14:paraId="6150D35A" w14:textId="69B4D290" w:rsidR="00991579" w:rsidRDefault="00991579" w:rsidP="00991579">
      <w:r>
        <w:t xml:space="preserve">Studies DV0002 and DV0006 </w:t>
      </w:r>
      <w:r w:rsidRPr="00991579">
        <w:t xml:space="preserve">were conducted to evaluate the safe and effective self-injection of </w:t>
      </w:r>
      <w:proofErr w:type="spellStart"/>
      <w:r w:rsidR="008B40FD">
        <w:t>bimekizumab</w:t>
      </w:r>
      <w:proofErr w:type="spellEnd"/>
      <w:r w:rsidRPr="00991579">
        <w:t xml:space="preserve"> with </w:t>
      </w:r>
      <w:r>
        <w:t>two</w:t>
      </w:r>
      <w:r w:rsidRPr="00991579">
        <w:t xml:space="preserve"> device presentations, a single-use, 1mL safety syringe </w:t>
      </w:r>
      <w:r w:rsidR="00DB17CD">
        <w:t>(</w:t>
      </w:r>
      <w:r w:rsidR="008B40FD">
        <w:t>bimekizumab</w:t>
      </w:r>
      <w:r w:rsidRPr="00991579">
        <w:t>-SS-1mL) and a single-use 1mL auto-injector (</w:t>
      </w:r>
      <w:r w:rsidR="008B40FD">
        <w:t>bimekizumab</w:t>
      </w:r>
      <w:r w:rsidRPr="00991579">
        <w:t xml:space="preserve">-AI-1mL), in </w:t>
      </w:r>
      <w:r w:rsidRPr="00991579">
        <w:lastRenderedPageBreak/>
        <w:t xml:space="preserve">study participants with </w:t>
      </w:r>
      <w:r w:rsidR="008B40FD">
        <w:t>psoriasis</w:t>
      </w:r>
      <w:r w:rsidRPr="00991579">
        <w:t xml:space="preserve"> who were enrolled in </w:t>
      </w:r>
      <w:r>
        <w:t xml:space="preserve">Study </w:t>
      </w:r>
      <w:r w:rsidRPr="00991579">
        <w:t>PS0014. Both studies were open label.</w:t>
      </w:r>
    </w:p>
    <w:p w14:paraId="2BDD08FB" w14:textId="6FC9B06A" w:rsidR="00E964FE" w:rsidRDefault="00E964FE" w:rsidP="00E964FE">
      <w:pPr>
        <w:pStyle w:val="Heading6"/>
      </w:pPr>
      <w:r>
        <w:t>S</w:t>
      </w:r>
      <w:r w:rsidR="00991579" w:rsidRPr="00572572">
        <w:t>tudy design</w:t>
      </w:r>
    </w:p>
    <w:p w14:paraId="0B7959BA" w14:textId="2755C9F7" w:rsidR="00991579" w:rsidRPr="00572572" w:rsidRDefault="00991579" w:rsidP="00E964FE">
      <w:pPr>
        <w:rPr>
          <w:lang w:eastAsia="ja-JP"/>
        </w:rPr>
      </w:pPr>
      <w:r w:rsidRPr="00572572">
        <w:rPr>
          <w:lang w:eastAsia="ja-JP"/>
        </w:rPr>
        <w:t xml:space="preserve">The safe and effective use of the </w:t>
      </w:r>
      <w:r w:rsidR="008B40FD">
        <w:rPr>
          <w:lang w:eastAsia="ja-JP"/>
        </w:rPr>
        <w:t>bimekizumab</w:t>
      </w:r>
      <w:r w:rsidRPr="00572572">
        <w:rPr>
          <w:lang w:eastAsia="ja-JP"/>
        </w:rPr>
        <w:t xml:space="preserve">-SS-1mL </w:t>
      </w:r>
      <w:r w:rsidR="00DC1BBB">
        <w:rPr>
          <w:lang w:eastAsia="ja-JP"/>
        </w:rPr>
        <w:t xml:space="preserve">(safety syringe) </w:t>
      </w:r>
      <w:r w:rsidRPr="00572572">
        <w:rPr>
          <w:lang w:eastAsia="ja-JP"/>
        </w:rPr>
        <w:t xml:space="preserve">and </w:t>
      </w:r>
      <w:r w:rsidR="008B40FD">
        <w:rPr>
          <w:lang w:eastAsia="ja-JP"/>
        </w:rPr>
        <w:t>bimekizumab</w:t>
      </w:r>
      <w:r w:rsidR="00DC1BBB">
        <w:rPr>
          <w:lang w:eastAsia="ja-JP"/>
        </w:rPr>
        <w:noBreakHyphen/>
      </w:r>
      <w:r w:rsidRPr="00572572">
        <w:rPr>
          <w:lang w:eastAsia="ja-JP"/>
        </w:rPr>
        <w:t xml:space="preserve">AI-1mL </w:t>
      </w:r>
      <w:r w:rsidR="00DC1BBB">
        <w:rPr>
          <w:lang w:eastAsia="ja-JP"/>
        </w:rPr>
        <w:t>(</w:t>
      </w:r>
      <w:proofErr w:type="spellStart"/>
      <w:r w:rsidR="00DC1BBB">
        <w:rPr>
          <w:lang w:eastAsia="ja-JP"/>
        </w:rPr>
        <w:t>autoi</w:t>
      </w:r>
      <w:proofErr w:type="spellEnd"/>
      <w:r w:rsidR="002C3647">
        <w:rPr>
          <w:lang w:eastAsia="ja-JP"/>
        </w:rPr>
        <w:t>-i</w:t>
      </w:r>
      <w:r w:rsidR="00DC1BBB">
        <w:rPr>
          <w:lang w:eastAsia="ja-JP"/>
        </w:rPr>
        <w:t xml:space="preserve">njector </w:t>
      </w:r>
      <w:r w:rsidRPr="00572572">
        <w:rPr>
          <w:lang w:eastAsia="ja-JP"/>
        </w:rPr>
        <w:t>device</w:t>
      </w:r>
      <w:r w:rsidR="002C3647">
        <w:rPr>
          <w:lang w:eastAsia="ja-JP"/>
        </w:rPr>
        <w:t>)</w:t>
      </w:r>
      <w:r w:rsidRPr="00572572">
        <w:rPr>
          <w:lang w:eastAsia="ja-JP"/>
        </w:rPr>
        <w:t xml:space="preserve"> presentations by study participants</w:t>
      </w:r>
      <w:r>
        <w:rPr>
          <w:lang w:eastAsia="ja-JP"/>
        </w:rPr>
        <w:t>,</w:t>
      </w:r>
      <w:r w:rsidRPr="00572572">
        <w:rPr>
          <w:lang w:eastAsia="ja-JP"/>
        </w:rPr>
        <w:t xml:space="preserve"> was evaluated at Baseline and at Week 8. Safe and effective self-injection was evaluated by the study personnel and</w:t>
      </w:r>
      <w:r>
        <w:rPr>
          <w:lang w:eastAsia="ja-JP"/>
        </w:rPr>
        <w:t>,</w:t>
      </w:r>
      <w:r w:rsidRPr="00572572">
        <w:rPr>
          <w:lang w:eastAsia="ja-JP"/>
        </w:rPr>
        <w:t xml:space="preserve"> was defined as complete dose delivery (confirmed by a visual inspection of the investigational device presentation) and no adverse device effects that precluded continued use of the investigational</w:t>
      </w:r>
      <w:r w:rsidR="002C3647">
        <w:rPr>
          <w:lang w:eastAsia="ja-JP"/>
        </w:rPr>
        <w:t xml:space="preserve"> device.</w:t>
      </w:r>
    </w:p>
    <w:p w14:paraId="4973FAED" w14:textId="4A4A109F" w:rsidR="00991579" w:rsidRPr="00E964FE" w:rsidRDefault="00E964FE" w:rsidP="00E964FE">
      <w:pPr>
        <w:pStyle w:val="Heading6"/>
      </w:pPr>
      <w:r w:rsidRPr="00E964FE">
        <w:t>P</w:t>
      </w:r>
      <w:r w:rsidR="00991579" w:rsidRPr="00E964FE">
        <w:t>rimary endpoint</w:t>
      </w:r>
    </w:p>
    <w:p w14:paraId="63BD16EE" w14:textId="48472CA2" w:rsidR="00991579" w:rsidRPr="00302338" w:rsidRDefault="00E964FE" w:rsidP="00E964FE">
      <w:pPr>
        <w:rPr>
          <w:lang w:eastAsia="ja-JP"/>
        </w:rPr>
      </w:pPr>
      <w:r>
        <w:rPr>
          <w:lang w:eastAsia="ja-JP"/>
        </w:rPr>
        <w:t xml:space="preserve">Primary endpoint is the </w:t>
      </w:r>
      <w:r w:rsidR="00991579" w:rsidRPr="00EF18B9">
        <w:rPr>
          <w:lang w:eastAsia="ja-JP"/>
        </w:rPr>
        <w:t xml:space="preserve">percentage of study participants able to self-administer safe and effective injections using the </w:t>
      </w:r>
      <w:r w:rsidR="00991579" w:rsidRPr="00D90761">
        <w:rPr>
          <w:lang w:eastAsia="ja-JP"/>
        </w:rPr>
        <w:t xml:space="preserve">investigational device presentations at Week 8. Safe and </w:t>
      </w:r>
      <w:r w:rsidR="00991579" w:rsidRPr="00302338">
        <w:rPr>
          <w:lang w:eastAsia="ja-JP"/>
        </w:rPr>
        <w:t>effective self-injection was evaluated by the study personnel and was defined as:</w:t>
      </w:r>
    </w:p>
    <w:p w14:paraId="6825A105" w14:textId="2131C5A6" w:rsidR="00991579" w:rsidRPr="00E964FE" w:rsidRDefault="00991579" w:rsidP="00E964FE">
      <w:pPr>
        <w:pStyle w:val="ListBullet"/>
      </w:pPr>
      <w:r w:rsidRPr="00E964FE">
        <w:t xml:space="preserve">Complete dose delivery: Study participant self-injected the complete dose of </w:t>
      </w:r>
      <w:proofErr w:type="spellStart"/>
      <w:r w:rsidRPr="00E964FE">
        <w:t>bimekizumab</w:t>
      </w:r>
      <w:proofErr w:type="spellEnd"/>
      <w:r w:rsidRPr="00E964FE">
        <w:t xml:space="preserve"> as confirmed by a visual inspection of the investigational device presentation, which showed that the </w:t>
      </w:r>
      <w:r w:rsidR="002C3647">
        <w:t>investigational medical product</w:t>
      </w:r>
      <w:r w:rsidR="002C3647" w:rsidRPr="00E964FE">
        <w:t xml:space="preserve"> </w:t>
      </w:r>
      <w:r w:rsidRPr="00E964FE">
        <w:t>was delivered completely (</w:t>
      </w:r>
      <w:r w:rsidR="004858E7">
        <w:t>that is</w:t>
      </w:r>
      <w:r w:rsidRPr="00E964FE">
        <w:t xml:space="preserve"> container was empty).</w:t>
      </w:r>
    </w:p>
    <w:p w14:paraId="425807AA" w14:textId="7E17C013" w:rsidR="00E964FE" w:rsidRDefault="00991579" w:rsidP="00E964FE">
      <w:pPr>
        <w:pStyle w:val="ListBullet"/>
      </w:pPr>
      <w:r w:rsidRPr="00E964FE">
        <w:t>No adverse device effects that precluded continued use of the investigational device presentation for self-injection (</w:t>
      </w:r>
      <w:r w:rsidR="004858E7">
        <w:t>that is</w:t>
      </w:r>
      <w:r w:rsidRPr="00E964FE">
        <w:t xml:space="preserve"> no serious adverse device effects and/or </w:t>
      </w:r>
      <w:r w:rsidR="00DB17CD" w:rsidRPr="00E964FE">
        <w:t>adverse device effects</w:t>
      </w:r>
      <w:r w:rsidRPr="00E964FE">
        <w:t xml:space="preserve"> that led to withdrawal from the sub study).</w:t>
      </w:r>
    </w:p>
    <w:p w14:paraId="041997DA" w14:textId="0D783EA2" w:rsidR="00991579" w:rsidRDefault="00E964FE" w:rsidP="00E964FE">
      <w:r w:rsidRPr="00E964FE">
        <w:t xml:space="preserve">The </w:t>
      </w:r>
      <w:r w:rsidR="002C3647">
        <w:rPr>
          <w:bCs/>
        </w:rPr>
        <w:t>TGA’s clinical evaluation</w:t>
      </w:r>
      <w:r w:rsidR="002C3647" w:rsidRPr="00E964FE" w:rsidDel="002C3647">
        <w:t xml:space="preserve"> </w:t>
      </w:r>
      <w:r w:rsidR="002C3647">
        <w:t xml:space="preserve">noted </w:t>
      </w:r>
      <w:r w:rsidRPr="00E964FE">
        <w:t>that b</w:t>
      </w:r>
      <w:r w:rsidR="00991579" w:rsidRPr="00E964FE">
        <w:t>oth studies met their primary endpoints and participants were able to safely self-administer medication following an 8-week training period.</w:t>
      </w:r>
    </w:p>
    <w:p w14:paraId="135A1520" w14:textId="6386E55B" w:rsidR="00991579" w:rsidRDefault="00E964FE" w:rsidP="00E964FE">
      <w:r w:rsidRPr="00E964FE">
        <w:t xml:space="preserve">The Delegate commented that </w:t>
      </w:r>
      <w:bookmarkStart w:id="118" w:name="_Hlk88819015"/>
      <w:r w:rsidRPr="00E964FE">
        <w:t>w</w:t>
      </w:r>
      <w:r w:rsidR="00991579" w:rsidRPr="00E964FE">
        <w:t xml:space="preserve">hile patients can be trained to use either of the two delivery mechanisms to self- administer </w:t>
      </w:r>
      <w:proofErr w:type="spellStart"/>
      <w:r w:rsidR="008B40FD">
        <w:t>bimekizumab</w:t>
      </w:r>
      <w:proofErr w:type="spellEnd"/>
      <w:r w:rsidR="00991579" w:rsidRPr="00E964FE">
        <w:t>, the crux of the matter is that only the pre-filled syringe (</w:t>
      </w:r>
      <w:r w:rsidR="008B40FD">
        <w:t>bimekizumab</w:t>
      </w:r>
      <w:r w:rsidR="00991579" w:rsidRPr="00E964FE">
        <w:t>-SS-1mL) was used in the evaluated clinical trials.</w:t>
      </w:r>
    </w:p>
    <w:p w14:paraId="7C5D6611" w14:textId="457C9B9D" w:rsidR="00ED4138" w:rsidRDefault="00ED4138" w:rsidP="00ED4138">
      <w:pPr>
        <w:pStyle w:val="Heading5"/>
      </w:pPr>
      <w:r>
        <w:t>P</w:t>
      </w:r>
      <w:r w:rsidRPr="00ED4138">
        <w:t>ooled and meta</w:t>
      </w:r>
      <w:r w:rsidR="002C3647">
        <w:t>-</w:t>
      </w:r>
      <w:r w:rsidRPr="00ED4138">
        <w:t>analyses</w:t>
      </w:r>
    </w:p>
    <w:p w14:paraId="66D414C3" w14:textId="491AD732" w:rsidR="00ED4138" w:rsidRDefault="00ED4138" w:rsidP="00DB17CD">
      <w:pPr>
        <w:pStyle w:val="TableTitle"/>
      </w:pPr>
      <w:bookmarkStart w:id="119" w:name="_Ref130205038"/>
      <w:r w:rsidRPr="00DB17CD">
        <w:t xml:space="preserve">Table </w:t>
      </w:r>
      <w:r w:rsidR="00172397">
        <w:fldChar w:fldCharType="begin"/>
      </w:r>
      <w:r w:rsidR="00172397">
        <w:instrText xml:space="preserve"> SEQ Table \* ARABIC </w:instrText>
      </w:r>
      <w:r w:rsidR="00172397">
        <w:fldChar w:fldCharType="separate"/>
      </w:r>
      <w:r w:rsidR="00B54079">
        <w:rPr>
          <w:noProof/>
        </w:rPr>
        <w:t>41</w:t>
      </w:r>
      <w:r w:rsidR="00172397">
        <w:rPr>
          <w:noProof/>
        </w:rPr>
        <w:fldChar w:fldCharType="end"/>
      </w:r>
      <w:bookmarkEnd w:id="119"/>
      <w:r>
        <w:t xml:space="preserve">: </w:t>
      </w:r>
      <w:r w:rsidRPr="00ED4138">
        <w:t>Overview of pooled analyses for efficacy</w:t>
      </w:r>
    </w:p>
    <w:tbl>
      <w:tblPr>
        <w:tblStyle w:val="TableTGAblue"/>
        <w:tblW w:w="8720" w:type="dxa"/>
        <w:tblLayout w:type="fixed"/>
        <w:tblLook w:val="0020" w:firstRow="1" w:lastRow="0" w:firstColumn="0" w:lastColumn="0" w:noHBand="0" w:noVBand="0"/>
      </w:tblPr>
      <w:tblGrid>
        <w:gridCol w:w="951"/>
        <w:gridCol w:w="1270"/>
        <w:gridCol w:w="2269"/>
        <w:gridCol w:w="2160"/>
        <w:gridCol w:w="2070"/>
      </w:tblGrid>
      <w:tr w:rsidR="002C3647" w:rsidRPr="002C3647" w14:paraId="151DBC2F" w14:textId="77777777" w:rsidTr="006E4137">
        <w:trPr>
          <w:cnfStyle w:val="100000000000" w:firstRow="1" w:lastRow="0" w:firstColumn="0" w:lastColumn="0" w:oddVBand="0" w:evenVBand="0" w:oddHBand="0" w:evenHBand="0" w:firstRowFirstColumn="0" w:firstRowLastColumn="0" w:lastRowFirstColumn="0" w:lastRowLastColumn="0"/>
          <w:trHeight w:val="873"/>
        </w:trPr>
        <w:tc>
          <w:tcPr>
            <w:tcW w:w="951" w:type="dxa"/>
          </w:tcPr>
          <w:p w14:paraId="1EA84AEC" w14:textId="4A3A1DA7" w:rsidR="002C3647" w:rsidRPr="002072C9" w:rsidRDefault="002C3647" w:rsidP="006E4137">
            <w:r w:rsidRPr="002C3647">
              <w:t xml:space="preserve">Pool </w:t>
            </w:r>
            <w:r w:rsidRPr="006E4137">
              <w:rPr>
                <w:szCs w:val="22"/>
                <w:lang w:eastAsia="en-US"/>
              </w:rPr>
              <w:t xml:space="preserve">name </w:t>
            </w:r>
          </w:p>
        </w:tc>
        <w:tc>
          <w:tcPr>
            <w:tcW w:w="1270" w:type="dxa"/>
          </w:tcPr>
          <w:p w14:paraId="394EEFD7" w14:textId="67D0A18B" w:rsidR="002C3647" w:rsidRPr="002072C9" w:rsidRDefault="002C3647" w:rsidP="006E4137">
            <w:r w:rsidRPr="002C3647">
              <w:t xml:space="preserve">Studies included </w:t>
            </w:r>
            <w:r w:rsidRPr="006E4137">
              <w:rPr>
                <w:szCs w:val="22"/>
                <w:lang w:eastAsia="en-US"/>
              </w:rPr>
              <w:t xml:space="preserve">in pool </w:t>
            </w:r>
          </w:p>
        </w:tc>
        <w:tc>
          <w:tcPr>
            <w:tcW w:w="2269" w:type="dxa"/>
          </w:tcPr>
          <w:p w14:paraId="2453D61C" w14:textId="2480F29B" w:rsidR="002C3647" w:rsidRPr="002072C9" w:rsidRDefault="002C3647" w:rsidP="006E4137">
            <w:r w:rsidRPr="002C3647">
              <w:t xml:space="preserve"> Treatment groups </w:t>
            </w:r>
            <w:r w:rsidRPr="006E4137">
              <w:rPr>
                <w:szCs w:val="22"/>
                <w:lang w:eastAsia="en-US"/>
              </w:rPr>
              <w:t xml:space="preserve">included in pool </w:t>
            </w:r>
          </w:p>
        </w:tc>
        <w:tc>
          <w:tcPr>
            <w:tcW w:w="2160" w:type="dxa"/>
          </w:tcPr>
          <w:p w14:paraId="3F49C331" w14:textId="2D622341" w:rsidR="002C3647" w:rsidRPr="002072C9" w:rsidRDefault="002C3647" w:rsidP="006E4137">
            <w:r w:rsidRPr="002C3647">
              <w:t>Treatment Periods</w:t>
            </w:r>
            <w:r>
              <w:t xml:space="preserve"> </w:t>
            </w:r>
            <w:r w:rsidRPr="006E4137">
              <w:rPr>
                <w:szCs w:val="22"/>
                <w:lang w:eastAsia="en-US"/>
              </w:rPr>
              <w:t xml:space="preserve">included in pool </w:t>
            </w:r>
          </w:p>
        </w:tc>
        <w:tc>
          <w:tcPr>
            <w:tcW w:w="2070" w:type="dxa"/>
          </w:tcPr>
          <w:p w14:paraId="0BD21289" w14:textId="04EA6011" w:rsidR="002C3647" w:rsidRPr="002072C9" w:rsidRDefault="002C3647" w:rsidP="006E4137">
            <w:r w:rsidRPr="002C3647">
              <w:t xml:space="preserve"> </w:t>
            </w:r>
            <w:r w:rsidRPr="006E4137">
              <w:rPr>
                <w:szCs w:val="22"/>
                <w:lang w:eastAsia="en-US"/>
              </w:rPr>
              <w:t xml:space="preserve">Purpose of pool </w:t>
            </w:r>
          </w:p>
        </w:tc>
      </w:tr>
      <w:tr w:rsidR="002C3647" w:rsidRPr="002C3647" w14:paraId="7146BCC4" w14:textId="77777777" w:rsidTr="006E4137">
        <w:trPr>
          <w:trHeight w:val="1401"/>
        </w:trPr>
        <w:tc>
          <w:tcPr>
            <w:tcW w:w="0" w:type="dxa"/>
            <w:vAlign w:val="center"/>
          </w:tcPr>
          <w:p w14:paraId="3D2430E4" w14:textId="2E7413AA" w:rsidR="00ED4138" w:rsidRPr="006E4137" w:rsidRDefault="00ED4138" w:rsidP="006E4137">
            <w:pPr>
              <w:jc w:val="right"/>
              <w:rPr>
                <w:b/>
              </w:rPr>
            </w:pPr>
            <w:r w:rsidRPr="006E4137">
              <w:rPr>
                <w:b/>
                <w:szCs w:val="22"/>
                <w:lang w:eastAsia="en-US"/>
              </w:rPr>
              <w:t>E</w:t>
            </w:r>
            <w:r w:rsidR="000A42AE" w:rsidRPr="006E4137">
              <w:rPr>
                <w:b/>
                <w:szCs w:val="22"/>
                <w:lang w:eastAsia="en-US"/>
              </w:rPr>
              <w:t>1</w:t>
            </w:r>
          </w:p>
        </w:tc>
        <w:tc>
          <w:tcPr>
            <w:tcW w:w="0" w:type="dxa"/>
            <w:vAlign w:val="center"/>
          </w:tcPr>
          <w:p w14:paraId="307463E2" w14:textId="77777777" w:rsidR="00ED4138" w:rsidRPr="002072C9" w:rsidRDefault="00ED4138" w:rsidP="006E4137">
            <w:r w:rsidRPr="006E4137">
              <w:rPr>
                <w:szCs w:val="22"/>
                <w:lang w:eastAsia="en-US"/>
              </w:rPr>
              <w:t xml:space="preserve">PS0009 </w:t>
            </w:r>
          </w:p>
          <w:p w14:paraId="307EC885" w14:textId="4917D07B" w:rsidR="00ED4138" w:rsidRPr="002072C9" w:rsidRDefault="00ED4138" w:rsidP="006E4137">
            <w:r w:rsidRPr="006E4137">
              <w:rPr>
                <w:szCs w:val="22"/>
                <w:lang w:eastAsia="en-US"/>
              </w:rPr>
              <w:t>PS0013</w:t>
            </w:r>
          </w:p>
        </w:tc>
        <w:tc>
          <w:tcPr>
            <w:tcW w:w="2269" w:type="dxa"/>
            <w:vAlign w:val="center"/>
          </w:tcPr>
          <w:p w14:paraId="37F88A8D" w14:textId="11B7BC00" w:rsidR="00ED4138" w:rsidRPr="002072C9" w:rsidRDefault="00ED4138" w:rsidP="006E4137">
            <w:r w:rsidRPr="006E4137">
              <w:rPr>
                <w:szCs w:val="22"/>
                <w:lang w:eastAsia="en-US"/>
              </w:rPr>
              <w:t xml:space="preserve">Study participants </w:t>
            </w:r>
            <w:r w:rsidR="001D2CFA" w:rsidRPr="006E4137">
              <w:rPr>
                <w:szCs w:val="22"/>
                <w:lang w:eastAsia="en-US"/>
              </w:rPr>
              <w:t>randomised</w:t>
            </w:r>
            <w:r w:rsidRPr="006E4137">
              <w:rPr>
                <w:szCs w:val="22"/>
                <w:lang w:eastAsia="en-US"/>
              </w:rPr>
              <w:t xml:space="preserve"> to </w:t>
            </w:r>
            <w:r w:rsidR="004858E7" w:rsidRPr="006E4137">
              <w:rPr>
                <w:szCs w:val="22"/>
                <w:lang w:eastAsia="en-US"/>
              </w:rPr>
              <w:t>placebo</w:t>
            </w:r>
            <w:r w:rsidRPr="006E4137">
              <w:rPr>
                <w:szCs w:val="22"/>
                <w:lang w:eastAsia="en-US"/>
              </w:rPr>
              <w:t xml:space="preserve"> </w:t>
            </w:r>
            <w:r w:rsidR="00F23C97" w:rsidRPr="006E4137">
              <w:rPr>
                <w:szCs w:val="22"/>
                <w:lang w:eastAsia="en-US"/>
              </w:rPr>
              <w:t>every 4</w:t>
            </w:r>
            <w:r w:rsidR="002C3647">
              <w:t> </w:t>
            </w:r>
            <w:r w:rsidR="00F23C97" w:rsidRPr="006E4137">
              <w:rPr>
                <w:szCs w:val="22"/>
                <w:lang w:eastAsia="en-US"/>
              </w:rPr>
              <w:t>weeks</w:t>
            </w:r>
            <w:r w:rsidRPr="006E4137">
              <w:rPr>
                <w:szCs w:val="22"/>
                <w:lang w:eastAsia="en-US"/>
              </w:rPr>
              <w:t xml:space="preserve"> in PS0009 and PS0013 plus </w:t>
            </w:r>
            <w:r w:rsidR="002C3647">
              <w:t>s</w:t>
            </w:r>
            <w:r w:rsidRPr="006E4137">
              <w:rPr>
                <w:szCs w:val="22"/>
                <w:lang w:eastAsia="en-US"/>
              </w:rPr>
              <w:t xml:space="preserve">tudy participants </w:t>
            </w:r>
            <w:r w:rsidR="001D2CFA" w:rsidRPr="006E4137">
              <w:rPr>
                <w:szCs w:val="22"/>
                <w:lang w:eastAsia="en-US"/>
              </w:rPr>
              <w:t>randomised</w:t>
            </w:r>
            <w:r w:rsidRPr="006E4137">
              <w:rPr>
                <w:szCs w:val="22"/>
                <w:lang w:eastAsia="en-US"/>
              </w:rPr>
              <w:t xml:space="preserve"> to BKZ </w:t>
            </w:r>
            <w:r w:rsidR="001D2CFA" w:rsidRPr="006E4137">
              <w:rPr>
                <w:szCs w:val="22"/>
                <w:lang w:eastAsia="en-US"/>
              </w:rPr>
              <w:t>320 mg</w:t>
            </w:r>
            <w:r w:rsidRPr="006E4137">
              <w:rPr>
                <w:szCs w:val="22"/>
                <w:lang w:eastAsia="en-US"/>
              </w:rPr>
              <w:t xml:space="preserve"> </w:t>
            </w:r>
            <w:r w:rsidR="00F23C97" w:rsidRPr="006E4137">
              <w:rPr>
                <w:szCs w:val="22"/>
                <w:lang w:eastAsia="en-US"/>
              </w:rPr>
              <w:t>every 4</w:t>
            </w:r>
            <w:r w:rsidR="002C3647">
              <w:t> </w:t>
            </w:r>
            <w:r w:rsidR="00F23C97" w:rsidRPr="006E4137">
              <w:rPr>
                <w:szCs w:val="22"/>
                <w:lang w:eastAsia="en-US"/>
              </w:rPr>
              <w:t>weeks</w:t>
            </w:r>
            <w:r w:rsidRPr="006E4137">
              <w:rPr>
                <w:szCs w:val="22"/>
                <w:lang w:eastAsia="en-US"/>
              </w:rPr>
              <w:t xml:space="preserve"> in PS0013. </w:t>
            </w:r>
          </w:p>
          <w:p w14:paraId="54E80D07" w14:textId="77777777" w:rsidR="00ED4138" w:rsidRPr="002072C9" w:rsidRDefault="00ED4138" w:rsidP="006E4137"/>
        </w:tc>
        <w:tc>
          <w:tcPr>
            <w:tcW w:w="2160" w:type="dxa"/>
            <w:vAlign w:val="center"/>
          </w:tcPr>
          <w:p w14:paraId="65489C28" w14:textId="77777777" w:rsidR="00ED4138" w:rsidRPr="002072C9" w:rsidRDefault="00ED4138" w:rsidP="006E4137">
            <w:r w:rsidRPr="006E4137">
              <w:rPr>
                <w:szCs w:val="22"/>
                <w:lang w:eastAsia="en-US"/>
              </w:rPr>
              <w:t xml:space="preserve">Initial Treatment Period </w:t>
            </w:r>
          </w:p>
          <w:p w14:paraId="38FAAED7" w14:textId="19F13AB2" w:rsidR="00ED4138" w:rsidRPr="002072C9" w:rsidRDefault="00ED4138" w:rsidP="006E4137">
            <w:r w:rsidRPr="006E4137">
              <w:rPr>
                <w:szCs w:val="22"/>
                <w:lang w:eastAsia="en-US"/>
              </w:rPr>
              <w:t xml:space="preserve">(Weeks 0 to 16) </w:t>
            </w:r>
          </w:p>
        </w:tc>
        <w:tc>
          <w:tcPr>
            <w:tcW w:w="0" w:type="dxa"/>
            <w:vAlign w:val="center"/>
          </w:tcPr>
          <w:p w14:paraId="04123DC2" w14:textId="77777777" w:rsidR="00ED4138" w:rsidRPr="002072C9" w:rsidRDefault="00ED4138" w:rsidP="006E4137">
            <w:r w:rsidRPr="006E4137">
              <w:rPr>
                <w:szCs w:val="22"/>
                <w:lang w:eastAsia="en-US"/>
              </w:rPr>
              <w:t xml:space="preserve">Investigate subgroups. </w:t>
            </w:r>
          </w:p>
          <w:p w14:paraId="597272C0" w14:textId="50B41594" w:rsidR="00ED4138" w:rsidRPr="002072C9" w:rsidRDefault="00ED4138" w:rsidP="006E4137">
            <w:r w:rsidRPr="006E4137">
              <w:rPr>
                <w:szCs w:val="22"/>
                <w:lang w:eastAsia="en-US"/>
              </w:rPr>
              <w:t xml:space="preserve">add precision to treatment effect (BKZ </w:t>
            </w:r>
            <w:r w:rsidR="004858E7" w:rsidRPr="006E4137">
              <w:rPr>
                <w:szCs w:val="22"/>
                <w:lang w:eastAsia="en-US"/>
              </w:rPr>
              <w:t>versus</w:t>
            </w:r>
            <w:r w:rsidRPr="006E4137">
              <w:rPr>
                <w:szCs w:val="22"/>
                <w:lang w:eastAsia="en-US"/>
              </w:rPr>
              <w:t xml:space="preserve"> PBO) </w:t>
            </w:r>
          </w:p>
          <w:p w14:paraId="7000FF15" w14:textId="27EF3B69" w:rsidR="00ED4138" w:rsidRPr="002072C9" w:rsidRDefault="00ED4138" w:rsidP="006E4137">
            <w:r w:rsidRPr="006E4137">
              <w:rPr>
                <w:szCs w:val="22"/>
                <w:lang w:eastAsia="en-US"/>
              </w:rPr>
              <w:t xml:space="preserve">through Week 16 in applicable Phase </w:t>
            </w:r>
            <w:r w:rsidR="002C3647">
              <w:t>III</w:t>
            </w:r>
            <w:r w:rsidRPr="006E4137">
              <w:rPr>
                <w:szCs w:val="22"/>
                <w:lang w:eastAsia="en-US"/>
              </w:rPr>
              <w:t xml:space="preserve"> studies </w:t>
            </w:r>
          </w:p>
        </w:tc>
      </w:tr>
      <w:tr w:rsidR="002C3647" w:rsidRPr="002C3647" w14:paraId="5F1C2DFC" w14:textId="77777777" w:rsidTr="006E4137">
        <w:trPr>
          <w:trHeight w:val="1978"/>
        </w:trPr>
        <w:tc>
          <w:tcPr>
            <w:tcW w:w="0" w:type="dxa"/>
            <w:vAlign w:val="center"/>
          </w:tcPr>
          <w:p w14:paraId="00F3395D" w14:textId="7B3A7BBE" w:rsidR="00ED4138" w:rsidRPr="006E4137" w:rsidRDefault="00ED4138" w:rsidP="006E4137">
            <w:pPr>
              <w:jc w:val="center"/>
              <w:rPr>
                <w:b/>
              </w:rPr>
            </w:pPr>
            <w:r w:rsidRPr="006E4137">
              <w:rPr>
                <w:b/>
                <w:szCs w:val="22"/>
                <w:lang w:eastAsia="en-US"/>
              </w:rPr>
              <w:lastRenderedPageBreak/>
              <w:t>E2</w:t>
            </w:r>
          </w:p>
        </w:tc>
        <w:tc>
          <w:tcPr>
            <w:tcW w:w="0" w:type="dxa"/>
            <w:vAlign w:val="center"/>
          </w:tcPr>
          <w:p w14:paraId="0DEC647A" w14:textId="77777777" w:rsidR="00ED4138" w:rsidRPr="002072C9" w:rsidRDefault="00ED4138" w:rsidP="006E4137">
            <w:r w:rsidRPr="006E4137">
              <w:rPr>
                <w:szCs w:val="22"/>
                <w:lang w:eastAsia="en-US"/>
              </w:rPr>
              <w:t xml:space="preserve">PS0008 </w:t>
            </w:r>
          </w:p>
          <w:p w14:paraId="40D75EEF" w14:textId="77777777" w:rsidR="00ED4138" w:rsidRPr="002072C9" w:rsidRDefault="00ED4138" w:rsidP="006E4137">
            <w:r w:rsidRPr="006E4137">
              <w:rPr>
                <w:szCs w:val="22"/>
                <w:lang w:eastAsia="en-US"/>
              </w:rPr>
              <w:t xml:space="preserve">PS0009 </w:t>
            </w:r>
          </w:p>
          <w:p w14:paraId="6EC05AF5" w14:textId="6BF86625" w:rsidR="00ED4138" w:rsidRPr="002072C9" w:rsidRDefault="00ED4138" w:rsidP="006E4137">
            <w:r w:rsidRPr="006E4137">
              <w:rPr>
                <w:szCs w:val="22"/>
                <w:lang w:eastAsia="en-US"/>
              </w:rPr>
              <w:t>PS0013</w:t>
            </w:r>
          </w:p>
        </w:tc>
        <w:tc>
          <w:tcPr>
            <w:tcW w:w="2269" w:type="dxa"/>
            <w:vAlign w:val="center"/>
          </w:tcPr>
          <w:p w14:paraId="7B0BE4E5" w14:textId="1FC6F4CD" w:rsidR="00ED4138" w:rsidRPr="006E4137" w:rsidRDefault="00ED4138" w:rsidP="006E4137">
            <w:r w:rsidRPr="006E4137">
              <w:rPr>
                <w:szCs w:val="22"/>
                <w:lang w:eastAsia="en-US"/>
              </w:rPr>
              <w:t xml:space="preserve">Maintenance dose regimens depicting treatment </w:t>
            </w:r>
            <w:proofErr w:type="gramStart"/>
            <w:r w:rsidRPr="006E4137">
              <w:rPr>
                <w:szCs w:val="22"/>
                <w:lang w:eastAsia="en-US"/>
              </w:rPr>
              <w:t>with :</w:t>
            </w:r>
            <w:proofErr w:type="gramEnd"/>
            <w:r w:rsidRPr="006E4137">
              <w:rPr>
                <w:szCs w:val="22"/>
                <w:lang w:eastAsia="en-US"/>
              </w:rPr>
              <w:t xml:space="preserve"> </w:t>
            </w:r>
          </w:p>
          <w:p w14:paraId="125915BD" w14:textId="6622A964" w:rsidR="00ED4138" w:rsidRPr="006E4137" w:rsidRDefault="00ED4138" w:rsidP="006E4137">
            <w:r w:rsidRPr="006E4137">
              <w:rPr>
                <w:szCs w:val="22"/>
                <w:lang w:eastAsia="en-US"/>
              </w:rPr>
              <w:t xml:space="preserve">BKZ </w:t>
            </w:r>
            <w:r w:rsidR="001D2CFA" w:rsidRPr="006E4137">
              <w:rPr>
                <w:szCs w:val="22"/>
                <w:lang w:eastAsia="en-US"/>
              </w:rPr>
              <w:t>320 mg</w:t>
            </w:r>
            <w:r w:rsidRPr="006E4137">
              <w:rPr>
                <w:szCs w:val="22"/>
                <w:lang w:eastAsia="en-US"/>
              </w:rPr>
              <w:t xml:space="preserve"> </w:t>
            </w:r>
            <w:r w:rsidR="00F23C97" w:rsidRPr="006E4137">
              <w:rPr>
                <w:szCs w:val="22"/>
                <w:lang w:eastAsia="en-US"/>
              </w:rPr>
              <w:t>every 4 weeks</w:t>
            </w:r>
            <w:r w:rsidRPr="006E4137">
              <w:rPr>
                <w:szCs w:val="22"/>
                <w:lang w:eastAsia="en-US"/>
              </w:rPr>
              <w:t xml:space="preserve"> </w:t>
            </w:r>
          </w:p>
          <w:p w14:paraId="7EA3A08A" w14:textId="77AA32DD" w:rsidR="00ED4138" w:rsidRPr="006E4137" w:rsidRDefault="00ED4138" w:rsidP="006E4137">
            <w:r w:rsidRPr="006E4137">
              <w:rPr>
                <w:szCs w:val="22"/>
                <w:lang w:eastAsia="en-US"/>
              </w:rPr>
              <w:t xml:space="preserve">BKZ </w:t>
            </w:r>
            <w:r w:rsidR="001D2CFA" w:rsidRPr="006E4137">
              <w:rPr>
                <w:szCs w:val="22"/>
                <w:lang w:eastAsia="en-US"/>
              </w:rPr>
              <w:t>320 mg</w:t>
            </w:r>
            <w:r w:rsidRPr="006E4137">
              <w:rPr>
                <w:szCs w:val="22"/>
                <w:lang w:eastAsia="en-US"/>
              </w:rPr>
              <w:t xml:space="preserve"> </w:t>
            </w:r>
            <w:r w:rsidR="00F23C97" w:rsidRPr="006E4137">
              <w:rPr>
                <w:szCs w:val="22"/>
                <w:lang w:eastAsia="en-US"/>
              </w:rPr>
              <w:t>every 8 weeks</w:t>
            </w:r>
            <w:r w:rsidRPr="006E4137">
              <w:rPr>
                <w:szCs w:val="22"/>
                <w:lang w:eastAsia="en-US"/>
              </w:rPr>
              <w:t xml:space="preserve"> </w:t>
            </w:r>
          </w:p>
          <w:p w14:paraId="6652C6C4" w14:textId="3C361CB6" w:rsidR="00ED4138" w:rsidRPr="006E4137" w:rsidRDefault="00ED4138" w:rsidP="006E4137">
            <w:r w:rsidRPr="006E4137">
              <w:rPr>
                <w:szCs w:val="22"/>
                <w:lang w:eastAsia="en-US"/>
              </w:rPr>
              <w:t xml:space="preserve">BKZ </w:t>
            </w:r>
            <w:r w:rsidR="001D2CFA" w:rsidRPr="006E4137">
              <w:rPr>
                <w:szCs w:val="22"/>
                <w:lang w:eastAsia="en-US"/>
              </w:rPr>
              <w:t>320 mg</w:t>
            </w:r>
            <w:r w:rsidRPr="006E4137">
              <w:rPr>
                <w:szCs w:val="22"/>
                <w:lang w:eastAsia="en-US"/>
              </w:rPr>
              <w:t xml:space="preserve"> </w:t>
            </w:r>
            <w:r w:rsidR="00F23C97" w:rsidRPr="006E4137">
              <w:rPr>
                <w:szCs w:val="22"/>
                <w:lang w:eastAsia="en-US"/>
              </w:rPr>
              <w:t>every 8 weeks</w:t>
            </w:r>
            <w:r w:rsidRPr="006E4137">
              <w:rPr>
                <w:szCs w:val="22"/>
                <w:lang w:eastAsia="en-US"/>
              </w:rPr>
              <w:t xml:space="preserve"> </w:t>
            </w:r>
          </w:p>
          <w:p w14:paraId="10A03821" w14:textId="77777777" w:rsidR="00ED4138" w:rsidRPr="006E4137" w:rsidRDefault="00ED4138" w:rsidP="006E4137">
            <w:r w:rsidRPr="006E4137">
              <w:rPr>
                <w:szCs w:val="22"/>
                <w:lang w:eastAsia="en-US"/>
              </w:rPr>
              <w:t xml:space="preserve"> </w:t>
            </w:r>
          </w:p>
        </w:tc>
        <w:tc>
          <w:tcPr>
            <w:tcW w:w="2160" w:type="dxa"/>
            <w:vAlign w:val="center"/>
          </w:tcPr>
          <w:p w14:paraId="69D7051E" w14:textId="50602A59" w:rsidR="00ED4138" w:rsidRPr="002072C9" w:rsidRDefault="00ED4138" w:rsidP="006E4137">
            <w:r w:rsidRPr="006E4137">
              <w:rPr>
                <w:szCs w:val="22"/>
                <w:lang w:eastAsia="en-US"/>
              </w:rPr>
              <w:t xml:space="preserve">Maintenance Treatment Period (Weeks 16 to 52) </w:t>
            </w:r>
          </w:p>
          <w:p w14:paraId="19AE3BD1" w14:textId="31A5D0CE" w:rsidR="00ED4138" w:rsidRPr="002072C9" w:rsidRDefault="00ED4138" w:rsidP="006E4137"/>
        </w:tc>
        <w:tc>
          <w:tcPr>
            <w:tcW w:w="0" w:type="dxa"/>
            <w:vAlign w:val="center"/>
          </w:tcPr>
          <w:p w14:paraId="3AF4DF02" w14:textId="2BA0DD09" w:rsidR="00ED4138" w:rsidRPr="002072C9" w:rsidRDefault="00ED4138" w:rsidP="006E4137">
            <w:r w:rsidRPr="006E4137">
              <w:rPr>
                <w:szCs w:val="22"/>
                <w:lang w:eastAsia="en-US"/>
              </w:rPr>
              <w:t>Assess maintenance of response through to</w:t>
            </w:r>
            <w:r w:rsidR="002C3647">
              <w:t xml:space="preserve"> </w:t>
            </w:r>
            <w:r w:rsidRPr="006E4137">
              <w:rPr>
                <w:szCs w:val="22"/>
                <w:lang w:eastAsia="en-US"/>
              </w:rPr>
              <w:t>Week 52 on 2 BKZ dose</w:t>
            </w:r>
            <w:r w:rsidR="002C3647">
              <w:t xml:space="preserve"> </w:t>
            </w:r>
            <w:r w:rsidRPr="006E4137">
              <w:rPr>
                <w:szCs w:val="22"/>
                <w:lang w:eastAsia="en-US"/>
              </w:rPr>
              <w:t>regimens among study participants with an initial response at Week</w:t>
            </w:r>
            <w:r w:rsidR="002C3647">
              <w:t> </w:t>
            </w:r>
            <w:r w:rsidRPr="006E4137">
              <w:rPr>
                <w:szCs w:val="22"/>
                <w:lang w:eastAsia="en-US"/>
              </w:rPr>
              <w:t xml:space="preserve">16 </w:t>
            </w:r>
          </w:p>
        </w:tc>
      </w:tr>
      <w:tr w:rsidR="002C3647" w:rsidRPr="002C3647" w14:paraId="46C7B179" w14:textId="77777777" w:rsidTr="006E4137">
        <w:trPr>
          <w:trHeight w:val="2854"/>
        </w:trPr>
        <w:tc>
          <w:tcPr>
            <w:tcW w:w="0" w:type="dxa"/>
            <w:vAlign w:val="center"/>
          </w:tcPr>
          <w:p w14:paraId="59764785" w14:textId="41802DD0" w:rsidR="002C3647" w:rsidRPr="006E4137" w:rsidRDefault="002C3647" w:rsidP="006E4137">
            <w:pPr>
              <w:jc w:val="center"/>
              <w:rPr>
                <w:b/>
              </w:rPr>
            </w:pPr>
            <w:r w:rsidRPr="006E4137">
              <w:rPr>
                <w:b/>
                <w:szCs w:val="22"/>
                <w:lang w:eastAsia="en-US"/>
              </w:rPr>
              <w:t>E3</w:t>
            </w:r>
          </w:p>
        </w:tc>
        <w:tc>
          <w:tcPr>
            <w:tcW w:w="0" w:type="dxa"/>
            <w:vAlign w:val="center"/>
          </w:tcPr>
          <w:p w14:paraId="29A2A810" w14:textId="77777777" w:rsidR="002C3647" w:rsidRPr="002072C9" w:rsidRDefault="002C3647" w:rsidP="006E4137">
            <w:r w:rsidRPr="006E4137">
              <w:rPr>
                <w:szCs w:val="22"/>
                <w:lang w:eastAsia="en-US"/>
              </w:rPr>
              <w:t xml:space="preserve">PS0008 </w:t>
            </w:r>
          </w:p>
          <w:p w14:paraId="798E424D" w14:textId="4282D49B" w:rsidR="002C3647" w:rsidRPr="002072C9" w:rsidRDefault="002C3647" w:rsidP="006E4137">
            <w:r w:rsidRPr="006E4137">
              <w:rPr>
                <w:szCs w:val="22"/>
                <w:lang w:eastAsia="en-US"/>
              </w:rPr>
              <w:t xml:space="preserve">PS0009 </w:t>
            </w:r>
          </w:p>
        </w:tc>
        <w:tc>
          <w:tcPr>
            <w:tcW w:w="0" w:type="dxa"/>
            <w:vAlign w:val="center"/>
          </w:tcPr>
          <w:p w14:paraId="4BAF1210" w14:textId="554C70DE" w:rsidR="002C3647" w:rsidRPr="002072C9" w:rsidRDefault="002C3647" w:rsidP="006E4137">
            <w:r w:rsidRPr="006E4137">
              <w:rPr>
                <w:szCs w:val="22"/>
                <w:lang w:eastAsia="en-US"/>
              </w:rPr>
              <w:t xml:space="preserve">Study participants randomised to: </w:t>
            </w:r>
          </w:p>
          <w:p w14:paraId="4C788C78" w14:textId="4E249F42" w:rsidR="002C3647" w:rsidRPr="002072C9" w:rsidRDefault="002C3647" w:rsidP="006E4137">
            <w:r w:rsidRPr="006E4137">
              <w:rPr>
                <w:szCs w:val="22"/>
                <w:lang w:eastAsia="en-US"/>
              </w:rPr>
              <w:t>BKZ 320 mg every</w:t>
            </w:r>
            <w:r>
              <w:t xml:space="preserve"> </w:t>
            </w:r>
            <w:r w:rsidRPr="006E4137">
              <w:rPr>
                <w:szCs w:val="22"/>
                <w:lang w:eastAsia="en-US"/>
              </w:rPr>
              <w:t>4 weeks (</w:t>
            </w:r>
            <w:r>
              <w:t>Study </w:t>
            </w:r>
            <w:r w:rsidRPr="006E4137">
              <w:rPr>
                <w:szCs w:val="22"/>
                <w:lang w:eastAsia="en-US"/>
              </w:rPr>
              <w:t xml:space="preserve">PS0009) </w:t>
            </w:r>
          </w:p>
          <w:p w14:paraId="0A23FC24" w14:textId="6DFE89CE" w:rsidR="002C3647" w:rsidRPr="002072C9" w:rsidRDefault="002C3647" w:rsidP="006E4137">
            <w:r w:rsidRPr="006E4137">
              <w:rPr>
                <w:szCs w:val="22"/>
                <w:lang w:eastAsia="en-US"/>
              </w:rPr>
              <w:t>BKZ 320 mg every 4 weeks (</w:t>
            </w:r>
            <w:r>
              <w:t>Study </w:t>
            </w:r>
            <w:r w:rsidRPr="006E4137">
              <w:rPr>
                <w:szCs w:val="22"/>
                <w:lang w:eastAsia="en-US"/>
              </w:rPr>
              <w:t xml:space="preserve">PS0008) </w:t>
            </w:r>
          </w:p>
        </w:tc>
        <w:tc>
          <w:tcPr>
            <w:tcW w:w="0" w:type="dxa"/>
            <w:vAlign w:val="center"/>
          </w:tcPr>
          <w:p w14:paraId="218CB2DE" w14:textId="77777777" w:rsidR="002C3647" w:rsidRPr="002072C9" w:rsidRDefault="002C3647" w:rsidP="006E4137">
            <w:r w:rsidRPr="006E4137">
              <w:rPr>
                <w:szCs w:val="22"/>
                <w:lang w:eastAsia="en-US"/>
              </w:rPr>
              <w:t xml:space="preserve">Initial and Maintenance </w:t>
            </w:r>
          </w:p>
          <w:p w14:paraId="2DB6B48F" w14:textId="77777777" w:rsidR="002C3647" w:rsidRPr="002072C9" w:rsidRDefault="002C3647" w:rsidP="006E4137">
            <w:r w:rsidRPr="006E4137">
              <w:rPr>
                <w:szCs w:val="22"/>
                <w:lang w:eastAsia="en-US"/>
              </w:rPr>
              <w:t xml:space="preserve">Treatment Periods </w:t>
            </w:r>
          </w:p>
          <w:p w14:paraId="20387F99" w14:textId="493E8B85" w:rsidR="002C3647" w:rsidRPr="002072C9" w:rsidRDefault="002C3647" w:rsidP="006E4137">
            <w:r w:rsidRPr="006E4137">
              <w:rPr>
                <w:szCs w:val="22"/>
                <w:lang w:eastAsia="en-US"/>
              </w:rPr>
              <w:t xml:space="preserve">(Weeks 0 to 52) </w:t>
            </w:r>
          </w:p>
        </w:tc>
        <w:tc>
          <w:tcPr>
            <w:tcW w:w="0" w:type="dxa"/>
            <w:vAlign w:val="center"/>
          </w:tcPr>
          <w:p w14:paraId="6D168CD0" w14:textId="65815889" w:rsidR="002C3647" w:rsidRPr="002072C9" w:rsidRDefault="002C3647" w:rsidP="006E4137">
            <w:r w:rsidRPr="006E4137">
              <w:rPr>
                <w:szCs w:val="22"/>
                <w:lang w:eastAsia="en-US"/>
              </w:rPr>
              <w:t xml:space="preserve">Obtain pooled estimates of efficacy after </w:t>
            </w:r>
            <w:r>
              <w:t xml:space="preserve">one </w:t>
            </w:r>
            <w:r w:rsidRPr="006E4137">
              <w:rPr>
                <w:szCs w:val="22"/>
                <w:lang w:eastAsia="en-US"/>
              </w:rPr>
              <w:t xml:space="preserve">year on BKZ 320 mg every 4 weeks based on the ITT principle </w:t>
            </w:r>
          </w:p>
          <w:p w14:paraId="588F6450" w14:textId="77777777" w:rsidR="002C3647" w:rsidRPr="002C3647" w:rsidRDefault="002C3647">
            <w:pPr>
              <w:ind w:left="0"/>
            </w:pPr>
            <w:r w:rsidRPr="002C3647">
              <w:t xml:space="preserve"> </w:t>
            </w:r>
          </w:p>
          <w:p w14:paraId="1524FB41" w14:textId="10083445" w:rsidR="002C3647" w:rsidRPr="002072C9" w:rsidRDefault="002C3647" w:rsidP="006E4137">
            <w:r w:rsidRPr="006E4137">
              <w:rPr>
                <w:szCs w:val="22"/>
                <w:lang w:eastAsia="en-US"/>
              </w:rPr>
              <w:t xml:space="preserve"> </w:t>
            </w:r>
          </w:p>
        </w:tc>
      </w:tr>
    </w:tbl>
    <w:p w14:paraId="429EF37E" w14:textId="7ADE6938" w:rsidR="00ED4138" w:rsidRDefault="00ED4138" w:rsidP="00ED4138">
      <w:r>
        <w:t>The applicant developed three analysis pools vi</w:t>
      </w:r>
      <w:r w:rsidR="006E4137">
        <w:t>z</w:t>
      </w:r>
      <w:r>
        <w:t xml:space="preserve">: E1, E2 </w:t>
      </w:r>
      <w:r w:rsidR="002C3647">
        <w:t>and</w:t>
      </w:r>
      <w:r>
        <w:t xml:space="preserve"> E3</w:t>
      </w:r>
      <w:r w:rsidR="004377F2">
        <w:t xml:space="preserve"> (</w:t>
      </w:r>
      <w:r w:rsidR="004377F2">
        <w:fldChar w:fldCharType="begin"/>
      </w:r>
      <w:r w:rsidR="004377F2">
        <w:instrText xml:space="preserve"> REF _Ref130205038 \h </w:instrText>
      </w:r>
      <w:r w:rsidR="004377F2">
        <w:fldChar w:fldCharType="separate"/>
      </w:r>
      <w:r w:rsidR="00B54079" w:rsidRPr="00DB17CD">
        <w:t xml:space="preserve">Table </w:t>
      </w:r>
      <w:r w:rsidR="00B54079">
        <w:rPr>
          <w:noProof/>
        </w:rPr>
        <w:t>41</w:t>
      </w:r>
      <w:r w:rsidR="004377F2">
        <w:fldChar w:fldCharType="end"/>
      </w:r>
      <w:r w:rsidR="004377F2">
        <w:t>).</w:t>
      </w:r>
    </w:p>
    <w:p w14:paraId="66F00D40" w14:textId="292EC1F2" w:rsidR="00ED4138" w:rsidRDefault="00ED4138" w:rsidP="004377F2">
      <w:pPr>
        <w:pStyle w:val="Heading6"/>
      </w:pPr>
      <w:r>
        <w:t>E1</w:t>
      </w:r>
      <w:r w:rsidR="000A42AE">
        <w:t xml:space="preserve"> pooled population</w:t>
      </w:r>
    </w:p>
    <w:p w14:paraId="22394058" w14:textId="3831B0DE" w:rsidR="00ED4138" w:rsidRDefault="00ED4138" w:rsidP="00ED4138">
      <w:r>
        <w:t>Pooling of data was undertaken to investigate results in subgroups in Pool E1.</w:t>
      </w:r>
    </w:p>
    <w:p w14:paraId="09663F9F" w14:textId="03C956F0" w:rsidR="00ED4138" w:rsidRDefault="00ED4138" w:rsidP="00ED4138">
      <w:pPr>
        <w:pStyle w:val="ListBullet"/>
      </w:pPr>
      <w:r>
        <w:t>There were no notable differences in PASI 90 or IGA 0/1 responder rates in the key subgroups of disease severity (PASI</w:t>
      </w:r>
      <w:r w:rsidR="004377F2">
        <w:t xml:space="preserve"> less than </w:t>
      </w:r>
      <w:r>
        <w:t>20, PASI</w:t>
      </w:r>
      <w:r w:rsidR="004377F2">
        <w:t xml:space="preserve"> greater or equal to </w:t>
      </w:r>
      <w:r>
        <w:t>20) or weight, and no notable difference in PASI</w:t>
      </w:r>
      <w:r w:rsidR="004377F2">
        <w:t xml:space="preserve"> </w:t>
      </w:r>
      <w:r>
        <w:t>100 responder rates with disease severity (PASI</w:t>
      </w:r>
      <w:r w:rsidR="004377F2">
        <w:t xml:space="preserve"> less than </w:t>
      </w:r>
      <w:r>
        <w:t>20, PASI</w:t>
      </w:r>
      <w:r w:rsidR="004377F2">
        <w:t xml:space="preserve"> greater or equal to </w:t>
      </w:r>
      <w:r>
        <w:t>20</w:t>
      </w:r>
      <w:proofErr w:type="gramStart"/>
      <w:r>
        <w:t>);</w:t>
      </w:r>
      <w:proofErr w:type="gramEnd"/>
    </w:p>
    <w:p w14:paraId="32A36D76" w14:textId="6B06B995" w:rsidR="00ED4138" w:rsidRDefault="00ED4138" w:rsidP="00ED4138">
      <w:pPr>
        <w:pStyle w:val="ListBullet"/>
      </w:pPr>
      <w:r>
        <w:t xml:space="preserve">Importantly the presence of </w:t>
      </w:r>
      <w:r w:rsidR="004377F2">
        <w:t>neutralising antibodies</w:t>
      </w:r>
      <w:r>
        <w:t xml:space="preserve"> had no clinically significant impact on efficacy.</w:t>
      </w:r>
    </w:p>
    <w:p w14:paraId="42AB1245" w14:textId="2A5E62B0" w:rsidR="00ED4138" w:rsidRDefault="00ED4138" w:rsidP="004377F2">
      <w:pPr>
        <w:pStyle w:val="Heading6"/>
      </w:pPr>
      <w:bookmarkStart w:id="120" w:name="_Ref132626345"/>
      <w:r>
        <w:t>E2</w:t>
      </w:r>
      <w:r w:rsidR="000A42AE">
        <w:t xml:space="preserve"> pooled population</w:t>
      </w:r>
      <w:bookmarkEnd w:id="120"/>
    </w:p>
    <w:p w14:paraId="37E8C911" w14:textId="7C0A795E" w:rsidR="00ED4138" w:rsidRDefault="00ED4138" w:rsidP="00ED4138">
      <w:r>
        <w:t>Pooling of data was undertaken to investigate maintenance treatment response in Pool E2.</w:t>
      </w:r>
    </w:p>
    <w:p w14:paraId="78766F82" w14:textId="48CC4AB9" w:rsidR="00ED4138" w:rsidRDefault="00ED4138" w:rsidP="00ED4138">
      <w:pPr>
        <w:pStyle w:val="ListBullet"/>
      </w:pPr>
      <w:r>
        <w:t xml:space="preserve">Following the initial treatment response at Week 16, study participants in both the </w:t>
      </w:r>
      <w:proofErr w:type="spellStart"/>
      <w:r>
        <w:t>bimekizumab</w:t>
      </w:r>
      <w:proofErr w:type="spellEnd"/>
      <w:r>
        <w:t xml:space="preserve"> </w:t>
      </w:r>
      <w:r w:rsidR="001D2CFA">
        <w:t>320 mg</w:t>
      </w:r>
      <w:r>
        <w:t xml:space="preserve"> </w:t>
      </w:r>
      <w:r w:rsidR="00F23C97">
        <w:t>every 4 weeks</w:t>
      </w:r>
      <w:r>
        <w:t xml:space="preserve"> and </w:t>
      </w:r>
      <w:proofErr w:type="spellStart"/>
      <w:r>
        <w:t>bimekizumab</w:t>
      </w:r>
      <w:proofErr w:type="spellEnd"/>
      <w:r>
        <w:t xml:space="preserve"> </w:t>
      </w:r>
      <w:r w:rsidR="001D2CFA">
        <w:t>320 mg</w:t>
      </w:r>
      <w:r>
        <w:t xml:space="preserve"> </w:t>
      </w:r>
      <w:r w:rsidR="00F23C97">
        <w:t>every 8 weeks</w:t>
      </w:r>
      <w:r>
        <w:t xml:space="preserve"> maintenance treatment </w:t>
      </w:r>
      <w:proofErr w:type="gramStart"/>
      <w:r>
        <w:t>groups maintained</w:t>
      </w:r>
      <w:proofErr w:type="gramEnd"/>
      <w:r>
        <w:t xml:space="preserve"> response for the co-primary efficacy endpoints of </w:t>
      </w:r>
      <w:r w:rsidR="005960C5">
        <w:t>PASI 90</w:t>
      </w:r>
      <w:r>
        <w:t xml:space="preserve"> and IGA 0/1 and the key secondary efficacy endpoints of PASI</w:t>
      </w:r>
      <w:r w:rsidR="004377F2">
        <w:t> </w:t>
      </w:r>
      <w:r>
        <w:t>100 and IGA 0 through Week 52;</w:t>
      </w:r>
    </w:p>
    <w:p w14:paraId="72A0C25D" w14:textId="73FDF532" w:rsidR="00ED4138" w:rsidRDefault="00ED4138" w:rsidP="00ED4138">
      <w:pPr>
        <w:pStyle w:val="ListBullet"/>
      </w:pPr>
      <w:r>
        <w:t xml:space="preserve">In the </w:t>
      </w:r>
      <w:r w:rsidR="004377F2">
        <w:t>m</w:t>
      </w:r>
      <w:r>
        <w:t xml:space="preserve">aintenance </w:t>
      </w:r>
      <w:r w:rsidR="004377F2">
        <w:t>t</w:t>
      </w:r>
      <w:r>
        <w:t xml:space="preserve">reatment </w:t>
      </w:r>
      <w:r w:rsidR="004377F2">
        <w:t>p</w:t>
      </w:r>
      <w:r>
        <w:t xml:space="preserve">eriod, efficacy results through Week 52 were similar for both the </w:t>
      </w:r>
      <w:proofErr w:type="spellStart"/>
      <w:r>
        <w:t>bimekizumab</w:t>
      </w:r>
      <w:proofErr w:type="spellEnd"/>
      <w:r>
        <w:t xml:space="preserve"> </w:t>
      </w:r>
      <w:r w:rsidR="001D2CFA">
        <w:t>320 mg</w:t>
      </w:r>
      <w:r>
        <w:t xml:space="preserve"> </w:t>
      </w:r>
      <w:r w:rsidR="00F23C97">
        <w:t>every 4 weeks</w:t>
      </w:r>
      <w:r>
        <w:t xml:space="preserve"> and </w:t>
      </w:r>
      <w:proofErr w:type="spellStart"/>
      <w:r>
        <w:t>bimekizumab</w:t>
      </w:r>
      <w:proofErr w:type="spellEnd"/>
      <w:r>
        <w:t xml:space="preserve"> </w:t>
      </w:r>
      <w:r w:rsidR="001D2CFA">
        <w:t>320</w:t>
      </w:r>
      <w:r w:rsidR="004377F2">
        <w:t> </w:t>
      </w:r>
      <w:r w:rsidR="001D2CFA">
        <w:t>mg</w:t>
      </w:r>
      <w:r>
        <w:t xml:space="preserve"> </w:t>
      </w:r>
      <w:r w:rsidR="00F23C97">
        <w:t xml:space="preserve">every </w:t>
      </w:r>
      <w:r w:rsidR="00F23C97">
        <w:lastRenderedPageBreak/>
        <w:t>8</w:t>
      </w:r>
      <w:r w:rsidR="004377F2">
        <w:t> </w:t>
      </w:r>
      <w:r w:rsidR="00F23C97">
        <w:t>weeks</w:t>
      </w:r>
      <w:r>
        <w:t xml:space="preserve"> maintenance treatment groups. No notable differences were observed between the treatment groups at any time point for all </w:t>
      </w:r>
      <w:proofErr w:type="gramStart"/>
      <w:r>
        <w:t>outcomes;</w:t>
      </w:r>
      <w:proofErr w:type="gramEnd"/>
    </w:p>
    <w:p w14:paraId="1C4D589B" w14:textId="7E54A801" w:rsidR="00ED4138" w:rsidRDefault="00ED4138" w:rsidP="00ED4138">
      <w:pPr>
        <w:pStyle w:val="ListBullet"/>
      </w:pPr>
      <w:r>
        <w:t xml:space="preserve">Regarding </w:t>
      </w:r>
      <w:r w:rsidR="002C3647">
        <w:t>neutralising antibody (</w:t>
      </w:r>
      <w:r>
        <w:t>N</w:t>
      </w:r>
      <w:r w:rsidR="002C3647">
        <w:t>a</w:t>
      </w:r>
      <w:r>
        <w:t>b</w:t>
      </w:r>
      <w:r w:rsidR="002C3647">
        <w:t>)</w:t>
      </w:r>
      <w:r>
        <w:t xml:space="preserve"> status:</w:t>
      </w:r>
    </w:p>
    <w:p w14:paraId="5E4CFEA9" w14:textId="0F1644F6" w:rsidR="00ED4138" w:rsidRDefault="00ED4138" w:rsidP="00ED4138">
      <w:pPr>
        <w:pStyle w:val="ListBullet2"/>
      </w:pPr>
      <w:r>
        <w:t xml:space="preserve">In Pool E2 Week 16 responders, </w:t>
      </w:r>
      <w:proofErr w:type="spellStart"/>
      <w:proofErr w:type="gramStart"/>
      <w:r>
        <w:t>NAb</w:t>
      </w:r>
      <w:proofErr w:type="spellEnd"/>
      <w:proofErr w:type="gramEnd"/>
      <w:r>
        <w:t xml:space="preserve"> status had no impact on efficacy;</w:t>
      </w:r>
    </w:p>
    <w:p w14:paraId="4AD276C1" w14:textId="1CAEBFFD" w:rsidR="00ED4138" w:rsidRDefault="00ED4138" w:rsidP="00ED4138">
      <w:pPr>
        <w:pStyle w:val="ListBullet2"/>
      </w:pPr>
      <w:r>
        <w:t xml:space="preserve">Higher PASI 90 and IGA 0/1 response rates at Week 52 were noted in </w:t>
      </w:r>
      <w:proofErr w:type="spellStart"/>
      <w:r>
        <w:t>NAb</w:t>
      </w:r>
      <w:proofErr w:type="spellEnd"/>
      <w:r>
        <w:t xml:space="preserve">-positive study participants compared to </w:t>
      </w:r>
      <w:proofErr w:type="spellStart"/>
      <w:r>
        <w:t>NAb</w:t>
      </w:r>
      <w:proofErr w:type="spellEnd"/>
      <w:r>
        <w:t xml:space="preserve">-negative participants in the </w:t>
      </w:r>
      <w:proofErr w:type="spellStart"/>
      <w:r>
        <w:t>bimekizumab</w:t>
      </w:r>
      <w:proofErr w:type="spellEnd"/>
      <w:r>
        <w:t xml:space="preserve"> </w:t>
      </w:r>
      <w:r w:rsidR="001D2CFA">
        <w:t>320 mg</w:t>
      </w:r>
      <w:r>
        <w:t xml:space="preserve"> </w:t>
      </w:r>
      <w:r w:rsidR="00F23C97">
        <w:t>every 4 weeks</w:t>
      </w:r>
      <w:r>
        <w:t xml:space="preserve"> group, whereas a smaller opposite trend was observed in the </w:t>
      </w:r>
      <w:proofErr w:type="spellStart"/>
      <w:r>
        <w:t>bimekizumab</w:t>
      </w:r>
      <w:proofErr w:type="spellEnd"/>
      <w:r>
        <w:t xml:space="preserve"> </w:t>
      </w:r>
      <w:r w:rsidR="001D2CFA">
        <w:t>320 mg</w:t>
      </w:r>
      <w:r>
        <w:t xml:space="preserve"> </w:t>
      </w:r>
      <w:r w:rsidR="00F23C97">
        <w:t>every 8 weeks</w:t>
      </w:r>
      <w:r>
        <w:t xml:space="preserve"> </w:t>
      </w:r>
      <w:proofErr w:type="gramStart"/>
      <w:r>
        <w:t>group;</w:t>
      </w:r>
      <w:proofErr w:type="gramEnd"/>
    </w:p>
    <w:p w14:paraId="0722B065" w14:textId="3BF09FAC" w:rsidR="00ED4138" w:rsidRDefault="00ED4138" w:rsidP="00ED4138">
      <w:pPr>
        <w:pStyle w:val="ListBullet2"/>
      </w:pPr>
      <w:r>
        <w:t>There were no notable differences noted in the PASI</w:t>
      </w:r>
      <w:r w:rsidR="004377F2">
        <w:t xml:space="preserve"> </w:t>
      </w:r>
      <w:r>
        <w:t xml:space="preserve">100 </w:t>
      </w:r>
      <w:r w:rsidR="004377F2">
        <w:t>neutralising antibodies</w:t>
      </w:r>
      <w:r>
        <w:t xml:space="preserve"> subgroup analyses.</w:t>
      </w:r>
    </w:p>
    <w:p w14:paraId="58D5C3D8" w14:textId="2D487E1A" w:rsidR="00ED4138" w:rsidRDefault="00ED4138" w:rsidP="004377F2">
      <w:pPr>
        <w:pStyle w:val="Heading6"/>
      </w:pPr>
      <w:r>
        <w:t>E3</w:t>
      </w:r>
      <w:r w:rsidR="000A42AE">
        <w:t xml:space="preserve"> pooled population</w:t>
      </w:r>
    </w:p>
    <w:p w14:paraId="1BC7154E" w14:textId="469AE302" w:rsidR="00ED4138" w:rsidRDefault="00ED4138" w:rsidP="00ED4138">
      <w:r>
        <w:t xml:space="preserve">Evaluated persistence of efficacy and estimated efficacy, over </w:t>
      </w:r>
      <w:r w:rsidR="004377F2">
        <w:t xml:space="preserve">one </w:t>
      </w:r>
      <w:r>
        <w:t>year.</w:t>
      </w:r>
    </w:p>
    <w:p w14:paraId="6E9CD98B" w14:textId="3D3F23B2" w:rsidR="00EB3BAB" w:rsidRDefault="00ED4138" w:rsidP="00EB3BAB">
      <w:pPr>
        <w:pStyle w:val="ListBullet"/>
      </w:pPr>
      <w:r>
        <w:t>The analyses demonstrated that study participants achieved a response for all primary (</w:t>
      </w:r>
      <w:r w:rsidR="005960C5">
        <w:t>PASI 90</w:t>
      </w:r>
      <w:r>
        <w:t xml:space="preserve"> and IGA 0/1) and secondary (PASI</w:t>
      </w:r>
      <w:r w:rsidR="004377F2">
        <w:t xml:space="preserve"> </w:t>
      </w:r>
      <w:r>
        <w:t>100, IGA 0, scalp IGA 0/1) outcomes, at 4</w:t>
      </w:r>
      <w:r w:rsidR="004377F2">
        <w:t> </w:t>
      </w:r>
      <w:r>
        <w:t>weeks and that, the response was sustained through Week 52.</w:t>
      </w:r>
    </w:p>
    <w:p w14:paraId="3386DA27" w14:textId="2961C8F2" w:rsidR="00EB3BAB" w:rsidRDefault="00EB3BAB" w:rsidP="00EB3BAB">
      <w:pPr>
        <w:pStyle w:val="ListBullet"/>
        <w:numPr>
          <w:ilvl w:val="0"/>
          <w:numId w:val="0"/>
        </w:numPr>
      </w:pPr>
      <w:r>
        <w:t>Overall summary on clinical efficacy</w:t>
      </w:r>
    </w:p>
    <w:p w14:paraId="576BD146" w14:textId="6BE29426" w:rsidR="00EB3BAB" w:rsidRDefault="00EB3BAB" w:rsidP="00EB3BAB">
      <w:pPr>
        <w:pStyle w:val="ListBullet"/>
      </w:pPr>
      <w:r>
        <w:t xml:space="preserve">The main efficacy analyses are based on three large pivotal Phase III trials, with patients randomised to </w:t>
      </w:r>
      <w:proofErr w:type="spellStart"/>
      <w:r>
        <w:t>bimekizumab</w:t>
      </w:r>
      <w:proofErr w:type="spellEnd"/>
      <w:r>
        <w:t xml:space="preserve">, placebo, adalimumab or </w:t>
      </w:r>
      <w:proofErr w:type="spellStart"/>
      <w:proofErr w:type="gramStart"/>
      <w:r>
        <w:t>ustekinumab</w:t>
      </w:r>
      <w:proofErr w:type="spellEnd"/>
      <w:r>
        <w:t>;</w:t>
      </w:r>
      <w:proofErr w:type="gramEnd"/>
    </w:p>
    <w:p w14:paraId="179AA3C8" w14:textId="4AED392F" w:rsidR="00EB3BAB" w:rsidRDefault="00EB3BAB" w:rsidP="00EB3BAB">
      <w:pPr>
        <w:pStyle w:val="ListBullet"/>
      </w:pPr>
      <w:r>
        <w:t xml:space="preserve">The study design and efficacy endpoints of the Phase II and III studies complied with the CHMP guidelines for evaluation of systemic treatments for psoriasis, as adopted by the </w:t>
      </w:r>
      <w:proofErr w:type="gramStart"/>
      <w:r>
        <w:t>TGA;</w:t>
      </w:r>
      <w:proofErr w:type="gramEnd"/>
    </w:p>
    <w:p w14:paraId="2053F015" w14:textId="3A49369C" w:rsidR="00EB3BAB" w:rsidRDefault="00EB3BAB" w:rsidP="00EB3BAB">
      <w:pPr>
        <w:pStyle w:val="ListBullet"/>
      </w:pPr>
      <w:r>
        <w:t xml:space="preserve">The Phase II program allowed for appropriate dose and regimen selection for the Phase III </w:t>
      </w:r>
      <w:proofErr w:type="gramStart"/>
      <w:r>
        <w:t>studies;</w:t>
      </w:r>
      <w:proofErr w:type="gramEnd"/>
    </w:p>
    <w:p w14:paraId="56D7A0CB" w14:textId="72AF0637" w:rsidR="00EB3BAB" w:rsidRDefault="00EB3BAB" w:rsidP="00EB3BAB">
      <w:pPr>
        <w:pStyle w:val="ListBullet"/>
      </w:pPr>
      <w:r>
        <w:t xml:space="preserve">The population studied in Phase II and III was in line with precedent and health authority recommendations and reflective of the proposed target </w:t>
      </w:r>
      <w:proofErr w:type="gramStart"/>
      <w:r w:rsidR="004377F2">
        <w:t>p</w:t>
      </w:r>
      <w:r>
        <w:t>opulation;</w:t>
      </w:r>
      <w:proofErr w:type="gramEnd"/>
    </w:p>
    <w:p w14:paraId="5DCF60B2" w14:textId="77777777" w:rsidR="00EB3BAB" w:rsidRDefault="00EB3BAB" w:rsidP="00EB3BAB">
      <w:pPr>
        <w:pStyle w:val="ListBullet"/>
      </w:pPr>
      <w:r>
        <w:t xml:space="preserve">The pivotal Phase III program demonstrated the responder rates to PASI 90 and IGA 0 to be statistically significantly different from placebo in all studies, in favour of </w:t>
      </w:r>
      <w:proofErr w:type="spellStart"/>
      <w:proofErr w:type="gramStart"/>
      <w:r>
        <w:t>bimekizumab</w:t>
      </w:r>
      <w:proofErr w:type="spellEnd"/>
      <w:r>
        <w:t>;</w:t>
      </w:r>
      <w:proofErr w:type="gramEnd"/>
    </w:p>
    <w:p w14:paraId="0AC2E454" w14:textId="54B10611" w:rsidR="00EB3BAB" w:rsidRDefault="00EB3BAB" w:rsidP="00EB3BAB">
      <w:pPr>
        <w:pStyle w:val="ListBullet"/>
      </w:pPr>
      <w:proofErr w:type="spellStart"/>
      <w:r>
        <w:t>Bimekizumab</w:t>
      </w:r>
      <w:proofErr w:type="spellEnd"/>
      <w:r>
        <w:t xml:space="preserve"> demonstrated superior efficacy over placebo for the treatment of patients with moderate to severe plaque psoriasis on both co-primary endpoints (PASI</w:t>
      </w:r>
      <w:r w:rsidR="004377F2">
        <w:t> </w:t>
      </w:r>
      <w:r>
        <w:t xml:space="preserve">90 and IGA 0/1), and secondary </w:t>
      </w:r>
      <w:proofErr w:type="gramStart"/>
      <w:r>
        <w:t>endpoints;</w:t>
      </w:r>
      <w:proofErr w:type="gramEnd"/>
    </w:p>
    <w:p w14:paraId="66BE6A6D" w14:textId="2175B528" w:rsidR="00EB3BAB" w:rsidRDefault="00EB3BAB" w:rsidP="00EB3BAB">
      <w:pPr>
        <w:pStyle w:val="ListBullet"/>
      </w:pPr>
      <w:r>
        <w:t>A treatment response was seen at 4</w:t>
      </w:r>
      <w:r w:rsidR="004377F2">
        <w:t xml:space="preserve"> </w:t>
      </w:r>
      <w:r>
        <w:t>weeks and was sustained for up to 48</w:t>
      </w:r>
      <w:r w:rsidR="004377F2">
        <w:t xml:space="preserve"> </w:t>
      </w:r>
      <w:r>
        <w:t xml:space="preserve">weeks of treatment. Pooled analyses estimation suggested continued response out to 1-year of </w:t>
      </w:r>
      <w:proofErr w:type="gramStart"/>
      <w:r>
        <w:t>treatment;</w:t>
      </w:r>
      <w:proofErr w:type="gramEnd"/>
    </w:p>
    <w:p w14:paraId="202CDF16" w14:textId="3BB378ED" w:rsidR="00EB3BAB" w:rsidRDefault="00EB3BAB" w:rsidP="00EB3BAB">
      <w:pPr>
        <w:pStyle w:val="ListBullet"/>
      </w:pPr>
      <w:r>
        <w:t xml:space="preserve">Relapse was demonstrated on withdrawal of </w:t>
      </w:r>
      <w:proofErr w:type="spellStart"/>
      <w:r>
        <w:t>bimekizumab</w:t>
      </w:r>
      <w:proofErr w:type="spellEnd"/>
      <w:r>
        <w:t xml:space="preserve"> in PS0013 with a medium time to relapse of 197-days (approximately 28-weeks) which is similar to other monoclonal antibodies for the treatment of plaque </w:t>
      </w:r>
      <w:proofErr w:type="gramStart"/>
      <w:r>
        <w:t>psoriasis;</w:t>
      </w:r>
      <w:proofErr w:type="gramEnd"/>
    </w:p>
    <w:p w14:paraId="4F9412C0" w14:textId="4E4F2518" w:rsidR="00EB3BAB" w:rsidRDefault="00EB3BAB" w:rsidP="00EB3BAB">
      <w:pPr>
        <w:pStyle w:val="ListBullet"/>
      </w:pPr>
      <w:r>
        <w:t xml:space="preserve">The efficacy of </w:t>
      </w:r>
      <w:proofErr w:type="spellStart"/>
      <w:r>
        <w:t>bimekizumab</w:t>
      </w:r>
      <w:proofErr w:type="spellEnd"/>
      <w:r>
        <w:t xml:space="preserve"> was similar when administered </w:t>
      </w:r>
      <w:r w:rsidR="004377F2">
        <w:t>every 8 weeks</w:t>
      </w:r>
      <w:r>
        <w:t xml:space="preserve"> versus </w:t>
      </w:r>
      <w:r w:rsidR="004377F2">
        <w:t>every 4 weeks</w:t>
      </w:r>
      <w:r>
        <w:t xml:space="preserve"> following an initial 16-week </w:t>
      </w:r>
      <w:r w:rsidR="004377F2">
        <w:t>every 4 weeks</w:t>
      </w:r>
      <w:r>
        <w:t xml:space="preserve"> loading period.</w:t>
      </w:r>
    </w:p>
    <w:p w14:paraId="221486C0" w14:textId="4447CA06" w:rsidR="00EB3BAB" w:rsidRDefault="00EB3BAB" w:rsidP="00EB3BAB">
      <w:pPr>
        <w:pStyle w:val="ListBullet"/>
      </w:pPr>
      <w:r>
        <w:t>Subgroup analysis did not find a difference, based on body weight. However, in the proposed PI, the applicant puts forward the following dosing instructions:</w:t>
      </w:r>
    </w:p>
    <w:p w14:paraId="08822ECC" w14:textId="64C01ECF" w:rsidR="00EB3BAB" w:rsidRDefault="00EB3BAB" w:rsidP="00EB3BAB">
      <w:pPr>
        <w:pStyle w:val="ListBullet2"/>
      </w:pPr>
      <w:r>
        <w:t xml:space="preserve">The recommended dose of </w:t>
      </w:r>
      <w:proofErr w:type="spellStart"/>
      <w:r>
        <w:t>Bimzelx</w:t>
      </w:r>
      <w:proofErr w:type="spellEnd"/>
      <w:r>
        <w:t xml:space="preserve"> for adult patients with plaque psoriasis is 320</w:t>
      </w:r>
      <w:r w:rsidR="004377F2">
        <w:t> </w:t>
      </w:r>
      <w:r>
        <w:t xml:space="preserve">mg (given as </w:t>
      </w:r>
      <w:r w:rsidR="004377F2">
        <w:t>two</w:t>
      </w:r>
      <w:r>
        <w:t xml:space="preserve"> subcutaneous injections of 160 mg each) at Week 0, 4, 8, 12, 16 and every 8 weeks thereafter.</w:t>
      </w:r>
    </w:p>
    <w:p w14:paraId="054A00AF" w14:textId="1EF9103F" w:rsidR="00EB3BAB" w:rsidRDefault="00EB3BAB" w:rsidP="00EB3BAB">
      <w:pPr>
        <w:pStyle w:val="ListBullet2"/>
      </w:pPr>
      <w:r>
        <w:lastRenderedPageBreak/>
        <w:t xml:space="preserve">For some patients with a body weight </w:t>
      </w:r>
      <w:r w:rsidR="004377F2">
        <w:t xml:space="preserve">greater or equal to </w:t>
      </w:r>
      <w:r>
        <w:t>120 kg, 320 mg every 4</w:t>
      </w:r>
      <w:r w:rsidR="004377F2">
        <w:t> </w:t>
      </w:r>
      <w:r>
        <w:t>weeks after Week 16 may be considered.</w:t>
      </w:r>
    </w:p>
    <w:p w14:paraId="0946F437" w14:textId="037F498B" w:rsidR="00EB3BAB" w:rsidRDefault="00EB3BAB" w:rsidP="00EB3BAB">
      <w:pPr>
        <w:pStyle w:val="ListBullet"/>
      </w:pPr>
      <w:r>
        <w:t xml:space="preserve">The proposed dosing regimen suggesting a </w:t>
      </w:r>
      <w:r w:rsidR="00F23C97">
        <w:t>every 4 weeks</w:t>
      </w:r>
      <w:r>
        <w:t xml:space="preserve"> frequency may be needed (after 16-weeks) according to increased body eight appears to be based solely on PK/PD modelling.</w:t>
      </w:r>
      <w:r w:rsidR="00D41BC7">
        <w:t xml:space="preserve"> </w:t>
      </w:r>
      <w:r>
        <w:t>Given that the subgroup analysis for the pivotal studies did not appear to find differences based on body weight</w:t>
      </w:r>
      <w:r w:rsidR="004377F2">
        <w:t>.</w:t>
      </w:r>
    </w:p>
    <w:p w14:paraId="517047C3" w14:textId="25DB4460" w:rsidR="00EB3BAB" w:rsidRDefault="00D41BC7" w:rsidP="00D41BC7">
      <w:r>
        <w:t xml:space="preserve">The Delegate commented that sponsor should submit the </w:t>
      </w:r>
      <w:r w:rsidR="00EB3BAB">
        <w:t xml:space="preserve">outcome of </w:t>
      </w:r>
      <w:r>
        <w:t xml:space="preserve">Study </w:t>
      </w:r>
      <w:proofErr w:type="gramStart"/>
      <w:r w:rsidR="00EB3BAB">
        <w:t>PS0014</w:t>
      </w:r>
      <w:proofErr w:type="gramEnd"/>
      <w:r w:rsidR="00EB3BAB">
        <w:t xml:space="preserve"> and the </w:t>
      </w:r>
      <w:r>
        <w:t xml:space="preserve">safety follow up studies to TGA </w:t>
      </w:r>
      <w:r w:rsidR="00EB3BAB">
        <w:t>when available</w:t>
      </w:r>
      <w:r>
        <w:t>.</w:t>
      </w:r>
    </w:p>
    <w:p w14:paraId="67DADD61" w14:textId="38544AF8" w:rsidR="00D41BC7" w:rsidRDefault="00D41BC7" w:rsidP="00D41BC7">
      <w:pPr>
        <w:pStyle w:val="Heading4"/>
      </w:pPr>
      <w:r>
        <w:t>Safety</w:t>
      </w:r>
    </w:p>
    <w:p w14:paraId="212989B4" w14:textId="090C5337" w:rsidR="00D41BC7" w:rsidRDefault="00D41BC7" w:rsidP="00551EFF">
      <w:r>
        <w:t xml:space="preserve">The safety profile for </w:t>
      </w:r>
      <w:proofErr w:type="spellStart"/>
      <w:r>
        <w:t>bimekizumab</w:t>
      </w:r>
      <w:proofErr w:type="spellEnd"/>
      <w:r>
        <w:t xml:space="preserve"> 320 mg administered </w:t>
      </w:r>
      <w:r w:rsidR="004377F2">
        <w:t>subcutaneously</w:t>
      </w:r>
      <w:r>
        <w:t xml:space="preserve"> is derived from a clinical development program in which exposure is extensive and of an adequate duration for a product intended for long-term use</w:t>
      </w:r>
      <w:r w:rsidR="00551EFF">
        <w:t>.</w:t>
      </w:r>
    </w:p>
    <w:p w14:paraId="303F297A" w14:textId="0C186B16" w:rsidR="00EA20FE" w:rsidRDefault="00D41BC7" w:rsidP="00551EFF">
      <w:r>
        <w:t xml:space="preserve">The safety profile of </w:t>
      </w:r>
      <w:proofErr w:type="spellStart"/>
      <w:r>
        <w:t>bimekizumab</w:t>
      </w:r>
      <w:proofErr w:type="spellEnd"/>
      <w:r>
        <w:t xml:space="preserve"> is by-and-large consistent with IL-17 inhibitors that are approved for the treatment of moderate to severe plaque psoriasis.</w:t>
      </w:r>
    </w:p>
    <w:p w14:paraId="1FD0E091" w14:textId="414FC4A6" w:rsidR="00EA20FE" w:rsidRDefault="00EA20FE" w:rsidP="006E4137">
      <w:pPr>
        <w:pStyle w:val="Heading5"/>
      </w:pPr>
      <w:r>
        <w:t>Adverse events</w:t>
      </w:r>
    </w:p>
    <w:p w14:paraId="487F10B2" w14:textId="2C072E1D" w:rsidR="00D41BC7" w:rsidRDefault="00D41BC7" w:rsidP="00551EFF">
      <w:r>
        <w:t xml:space="preserve">As may be expected for an IL-17 inhibitor, the commonest </w:t>
      </w:r>
      <w:r w:rsidR="00EA20FE">
        <w:t xml:space="preserve">adverse events (AEs) </w:t>
      </w:r>
      <w:r>
        <w:t>are related to infection of which, local fungal infections are the most frequent</w:t>
      </w:r>
      <w:r w:rsidR="00551EFF">
        <w:t>.</w:t>
      </w:r>
    </w:p>
    <w:p w14:paraId="298EBC14" w14:textId="11F31188" w:rsidR="00D41BC7" w:rsidRDefault="00D41BC7" w:rsidP="00551EFF">
      <w:r>
        <w:t xml:space="preserve">Neutropenia is observed with </w:t>
      </w:r>
      <w:proofErr w:type="spellStart"/>
      <w:r>
        <w:t>bimekizumab</w:t>
      </w:r>
      <w:proofErr w:type="spellEnd"/>
      <w:r w:rsidR="00EA20FE">
        <w:t>. I</w:t>
      </w:r>
      <w:r>
        <w:t xml:space="preserve">t is generally mild and </w:t>
      </w:r>
      <w:r w:rsidR="00EA20FE">
        <w:t xml:space="preserve">isn’t </w:t>
      </w:r>
      <w:r>
        <w:t>associated with severe infection</w:t>
      </w:r>
      <w:r w:rsidR="00551EFF">
        <w:t>.</w:t>
      </w:r>
    </w:p>
    <w:p w14:paraId="63D20A0E" w14:textId="34F45A4F" w:rsidR="00D41BC7" w:rsidRDefault="00D41BC7" w:rsidP="00551EFF">
      <w:r>
        <w:t xml:space="preserve">An increased rate of hypersensitivity reaction was associated with treatment with </w:t>
      </w:r>
      <w:proofErr w:type="spellStart"/>
      <w:r>
        <w:t>bimekizumab</w:t>
      </w:r>
      <w:proofErr w:type="spellEnd"/>
      <w:r>
        <w:t>, no anaphylactic reactions were observed. The hypersensitivity reactions manifested as rash or dermatitis</w:t>
      </w:r>
      <w:r w:rsidR="00EA20FE">
        <w:t>;</w:t>
      </w:r>
      <w:r>
        <w:t xml:space="preserve"> the majority were mild to moderate in nature and did not result in discontinuation of medication</w:t>
      </w:r>
      <w:r w:rsidR="00551EFF">
        <w:t>.</w:t>
      </w:r>
    </w:p>
    <w:p w14:paraId="10124B8C" w14:textId="68FB22A7" w:rsidR="00D41BC7" w:rsidRDefault="00D41BC7" w:rsidP="00551EFF">
      <w:r>
        <w:t xml:space="preserve">In </w:t>
      </w:r>
      <w:r w:rsidR="00EA20FE">
        <w:t xml:space="preserve">the </w:t>
      </w:r>
      <w:r>
        <w:t>pooled analysis, the rate of major adverse cardiovascular event</w:t>
      </w:r>
      <w:r w:rsidR="00EA20FE">
        <w:t>s</w:t>
      </w:r>
      <w:r>
        <w:t xml:space="preserve"> was very low</w:t>
      </w:r>
      <w:r w:rsidR="00551EFF">
        <w:t>.</w:t>
      </w:r>
    </w:p>
    <w:p w14:paraId="0BE2C289" w14:textId="06EF2E8A" w:rsidR="00D41BC7" w:rsidRDefault="00D41BC7" w:rsidP="00D41BC7">
      <w:r>
        <w:t xml:space="preserve">In </w:t>
      </w:r>
      <w:r w:rsidR="00EA20FE">
        <w:t>the</w:t>
      </w:r>
      <w:r>
        <w:t xml:space="preserve"> S2</w:t>
      </w:r>
      <w:r w:rsidR="00EA20FE">
        <w:t xml:space="preserve"> safety pool</w:t>
      </w:r>
      <w:r>
        <w:t xml:space="preserve">, approximately 1% </w:t>
      </w:r>
      <w:r w:rsidR="00EA20FE">
        <w:t>(99</w:t>
      </w:r>
      <w:r>
        <w:t xml:space="preserve"> study participants</w:t>
      </w:r>
      <w:r w:rsidR="00EA20FE">
        <w:t>)</w:t>
      </w:r>
      <w:r>
        <w:t xml:space="preserve"> experienced hepatic </w:t>
      </w:r>
      <w:r w:rsidR="004377F2">
        <w:t>t</w:t>
      </w:r>
      <w:r w:rsidR="004377F2" w:rsidRPr="004377F2">
        <w:t>reatment</w:t>
      </w:r>
      <w:r w:rsidR="00EA20FE">
        <w:noBreakHyphen/>
      </w:r>
      <w:r w:rsidR="004377F2" w:rsidRPr="004377F2">
        <w:t>emergent adverse events</w:t>
      </w:r>
      <w:r w:rsidR="004377F2">
        <w:t xml:space="preserve"> (TEAE)</w:t>
      </w:r>
      <w:r w:rsidR="00EA20FE">
        <w:t>; of these</w:t>
      </w:r>
      <w:r>
        <w:t>:</w:t>
      </w:r>
    </w:p>
    <w:p w14:paraId="154DC9C7" w14:textId="20D90C72" w:rsidR="00D41BC7" w:rsidRDefault="00EA20FE" w:rsidP="00551EFF">
      <w:pPr>
        <w:pStyle w:val="ListBullet"/>
      </w:pPr>
      <w:r>
        <w:t>23</w:t>
      </w:r>
      <w:r w:rsidR="00D41BC7">
        <w:t xml:space="preserve"> subjects who experienced hepatic TEAEs discontinued study medication</w:t>
      </w:r>
      <w:r w:rsidR="00551EFF">
        <w:t>.</w:t>
      </w:r>
    </w:p>
    <w:p w14:paraId="6442A01F" w14:textId="611EA0A6" w:rsidR="00D41BC7" w:rsidRDefault="00EA20FE" w:rsidP="00551EFF">
      <w:pPr>
        <w:pStyle w:val="ListBullet"/>
      </w:pPr>
      <w:r>
        <w:t xml:space="preserve">26 </w:t>
      </w:r>
      <w:r w:rsidR="00D41BC7">
        <w:t>had drug</w:t>
      </w:r>
      <w:r>
        <w:t>-</w:t>
      </w:r>
      <w:r w:rsidR="00D41BC7">
        <w:t>related hepatic TEAEs</w:t>
      </w:r>
      <w:r w:rsidR="00551EFF">
        <w:t>.</w:t>
      </w:r>
    </w:p>
    <w:p w14:paraId="6B05B461" w14:textId="4F6099E7" w:rsidR="00D41BC7" w:rsidRDefault="00D41BC7" w:rsidP="00551EFF">
      <w:pPr>
        <w:pStyle w:val="ListBullet"/>
      </w:pPr>
      <w:r>
        <w:t>12 study participants had severe hepatic TEAEs.</w:t>
      </w:r>
    </w:p>
    <w:p w14:paraId="54B2606F" w14:textId="532131AA" w:rsidR="00D41BC7" w:rsidRDefault="00D41BC7" w:rsidP="00D41BC7">
      <w:r>
        <w:t xml:space="preserve">Although the rates of hepatic TEAEs between placebo and </w:t>
      </w:r>
      <w:proofErr w:type="spellStart"/>
      <w:r>
        <w:t>bimekizumab</w:t>
      </w:r>
      <w:proofErr w:type="spellEnd"/>
      <w:r>
        <w:t xml:space="preserve"> were similar in </w:t>
      </w:r>
      <w:r w:rsidR="00551EFF">
        <w:t>W</w:t>
      </w:r>
      <w:r>
        <w:t xml:space="preserve">eeks 0 to 16, the data raised a signal that </w:t>
      </w:r>
      <w:proofErr w:type="spellStart"/>
      <w:r>
        <w:t>bimekizumab</w:t>
      </w:r>
      <w:proofErr w:type="spellEnd"/>
      <w:r>
        <w:t xml:space="preserve"> is linked to hepatic dysfunction over the longer term, notably increases in hepatic enzymes, and this should be included in the product information.</w:t>
      </w:r>
    </w:p>
    <w:p w14:paraId="14CCCB43" w14:textId="7D5F2218" w:rsidR="00D41BC7" w:rsidRPr="00D41BC7" w:rsidRDefault="00D41BC7" w:rsidP="00D41BC7">
      <w:r>
        <w:t xml:space="preserve">The </w:t>
      </w:r>
      <w:r w:rsidR="00551EFF">
        <w:t>s</w:t>
      </w:r>
      <w:r>
        <w:t xml:space="preserve">afety profile for </w:t>
      </w:r>
      <w:proofErr w:type="spellStart"/>
      <w:r>
        <w:t>bimekizumab</w:t>
      </w:r>
      <w:proofErr w:type="spellEnd"/>
      <w:r>
        <w:t xml:space="preserve"> has been adequately characterised </w:t>
      </w:r>
      <w:proofErr w:type="gramStart"/>
      <w:r>
        <w:t>in order to</w:t>
      </w:r>
      <w:proofErr w:type="gramEnd"/>
      <w:r>
        <w:t xml:space="preserve"> undertake an evaluation of benefit versus risk.</w:t>
      </w:r>
    </w:p>
    <w:p w14:paraId="2A4C64D1" w14:textId="77777777" w:rsidR="008E7846" w:rsidRDefault="00386150" w:rsidP="007B6132">
      <w:pPr>
        <w:pStyle w:val="Heading3"/>
        <w:rPr>
          <w:lang w:eastAsia="en-AU"/>
        </w:rPr>
      </w:pPr>
      <w:bookmarkStart w:id="121" w:name="_Toc132726795"/>
      <w:bookmarkEnd w:id="118"/>
      <w:r>
        <w:rPr>
          <w:lang w:eastAsia="en-AU"/>
        </w:rPr>
        <w:t>Risk m</w:t>
      </w:r>
      <w:r w:rsidR="008E7846">
        <w:rPr>
          <w:lang w:eastAsia="en-AU"/>
        </w:rPr>
        <w:t xml:space="preserve">anagement </w:t>
      </w:r>
      <w:r>
        <w:rPr>
          <w:lang w:eastAsia="en-AU"/>
        </w:rPr>
        <w:t>p</w:t>
      </w:r>
      <w:r w:rsidR="008E7846">
        <w:rPr>
          <w:lang w:eastAsia="en-AU"/>
        </w:rPr>
        <w:t>lan</w:t>
      </w:r>
      <w:bookmarkEnd w:id="57"/>
      <w:bookmarkEnd w:id="121"/>
    </w:p>
    <w:p w14:paraId="007DAB0D" w14:textId="0B3EF5CB" w:rsidR="00121615" w:rsidRDefault="00121615" w:rsidP="0074163C">
      <w:bookmarkStart w:id="122" w:name="_Toc247691531"/>
      <w:bookmarkStart w:id="123" w:name="_Toc314842515"/>
      <w:bookmarkStart w:id="124" w:name="_Toc196046505"/>
      <w:bookmarkStart w:id="125" w:name="_Toc196046949"/>
      <w:r>
        <w:t>The sponsor</w:t>
      </w:r>
      <w:r w:rsidRPr="00121615">
        <w:t xml:space="preserve"> has submitted EU-</w:t>
      </w:r>
      <w:r>
        <w:t>risk management plan (</w:t>
      </w:r>
      <w:r w:rsidRPr="00121615">
        <w:t>RMP</w:t>
      </w:r>
      <w:r>
        <w:t>)</w:t>
      </w:r>
      <w:r w:rsidRPr="00121615">
        <w:t xml:space="preserve"> version 0.1 (date 26 June 2020; </w:t>
      </w:r>
      <w:r>
        <w:t>data lock point (</w:t>
      </w:r>
      <w:r w:rsidRPr="00121615">
        <w:t>DLP</w:t>
      </w:r>
      <w:r>
        <w:t>)</w:t>
      </w:r>
      <w:r w:rsidRPr="00121615">
        <w:t xml:space="preserve"> 1 November 2019) and </w:t>
      </w:r>
      <w:r>
        <w:t>Australia specific annex (</w:t>
      </w:r>
      <w:r w:rsidRPr="00121615">
        <w:t>ASA</w:t>
      </w:r>
      <w:r>
        <w:t>)</w:t>
      </w:r>
      <w:r w:rsidRPr="00121615">
        <w:t xml:space="preserve"> version 1.0 (date 18 January 2021) in support of this application. At </w:t>
      </w:r>
      <w:r>
        <w:t>second round of RMP evaluation,</w:t>
      </w:r>
      <w:r w:rsidRPr="00121615">
        <w:t xml:space="preserve"> the sponsor submitted EU-RMP version 1.0 (date 26 August 2021; DLP 1 November 2019) and ASA version 2.0 (date 13 September 2021).</w:t>
      </w:r>
    </w:p>
    <w:p w14:paraId="3FD3BA79" w14:textId="5909C54C" w:rsidR="0074163C" w:rsidRDefault="0074163C" w:rsidP="0074163C">
      <w:r>
        <w:lastRenderedPageBreak/>
        <w:t xml:space="preserve">The summary of safety concerns and their associated risk monitoring and mitigation strategies are summarised in </w:t>
      </w:r>
      <w:r w:rsidR="004377F2">
        <w:fldChar w:fldCharType="begin"/>
      </w:r>
      <w:r w:rsidR="004377F2">
        <w:instrText xml:space="preserve"> REF _Ref97629131 \h </w:instrText>
      </w:r>
      <w:r w:rsidR="004377F2">
        <w:fldChar w:fldCharType="separate"/>
      </w:r>
      <w:r w:rsidR="00B54079">
        <w:t xml:space="preserve">Table </w:t>
      </w:r>
      <w:r w:rsidR="00B54079">
        <w:rPr>
          <w:noProof/>
        </w:rPr>
        <w:t>42</w:t>
      </w:r>
      <w:r w:rsidR="004377F2">
        <w:fldChar w:fldCharType="end"/>
      </w:r>
      <w:r>
        <w:t xml:space="preserve">. Further information regarding </w:t>
      </w:r>
      <w:r w:rsidR="00CC5044">
        <w:t>the TGA</w:t>
      </w:r>
      <w:r w:rsidR="00BF7063">
        <w:t>’</w:t>
      </w:r>
      <w:r w:rsidR="00CC5044">
        <w:t>s r</w:t>
      </w:r>
      <w:r>
        <w:t xml:space="preserve">isk management approach can be found </w:t>
      </w:r>
      <w:r w:rsidR="00EA20FE">
        <w:t xml:space="preserve">in </w:t>
      </w:r>
      <w:hyperlink r:id="rId48" w:history="1">
        <w:r w:rsidRPr="0023444E">
          <w:rPr>
            <w:rStyle w:val="Hyperlink"/>
          </w:rPr>
          <w:t>the TGA's risk management approach</w:t>
        </w:r>
      </w:hyperlink>
      <w:r>
        <w:t>.</w:t>
      </w:r>
    </w:p>
    <w:p w14:paraId="40865BA0" w14:textId="714C6E4B" w:rsidR="00EA20FE" w:rsidRDefault="00EA20FE" w:rsidP="006E4137">
      <w:pPr>
        <w:spacing w:before="0" w:after="200" w:line="0" w:lineRule="auto"/>
      </w:pPr>
      <w:r>
        <w:br w:type="page"/>
      </w:r>
    </w:p>
    <w:p w14:paraId="38A57957" w14:textId="2104A1C3" w:rsidR="0074163C" w:rsidRDefault="0074163C" w:rsidP="0074163C">
      <w:pPr>
        <w:pStyle w:val="TableTitle"/>
      </w:pPr>
      <w:bookmarkStart w:id="126" w:name="_Ref97629131"/>
      <w:r>
        <w:lastRenderedPageBreak/>
        <w:t xml:space="preserve">Table </w:t>
      </w:r>
      <w:r w:rsidR="00172397">
        <w:fldChar w:fldCharType="begin"/>
      </w:r>
      <w:r w:rsidR="00172397">
        <w:instrText xml:space="preserve"> SEQ Table \* ARABIC </w:instrText>
      </w:r>
      <w:r w:rsidR="00172397">
        <w:fldChar w:fldCharType="separate"/>
      </w:r>
      <w:r w:rsidR="00B54079">
        <w:rPr>
          <w:noProof/>
        </w:rPr>
        <w:t>42</w:t>
      </w:r>
      <w:r w:rsidR="00172397">
        <w:rPr>
          <w:noProof/>
        </w:rPr>
        <w:fldChar w:fldCharType="end"/>
      </w:r>
      <w:bookmarkEnd w:id="126"/>
      <w:r>
        <w:t>: Summary of safety concerns</w:t>
      </w:r>
    </w:p>
    <w:tbl>
      <w:tblPr>
        <w:tblStyle w:val="TableTGAblue"/>
        <w:tblW w:w="5000" w:type="pct"/>
        <w:tblLook w:val="04A0" w:firstRow="1" w:lastRow="0" w:firstColumn="1" w:lastColumn="0" w:noHBand="0" w:noVBand="1"/>
      </w:tblPr>
      <w:tblGrid>
        <w:gridCol w:w="1612"/>
        <w:gridCol w:w="2512"/>
        <w:gridCol w:w="992"/>
        <w:gridCol w:w="1193"/>
        <w:gridCol w:w="992"/>
        <w:gridCol w:w="1193"/>
      </w:tblGrid>
      <w:tr w:rsidR="00121615" w:rsidRPr="00BF52F4" w14:paraId="29990FB2" w14:textId="77777777" w:rsidTr="00121615">
        <w:trPr>
          <w:cnfStyle w:val="100000000000" w:firstRow="1" w:lastRow="0" w:firstColumn="0" w:lastColumn="0" w:oddVBand="0" w:evenVBand="0" w:oddHBand="0" w:evenHBand="0" w:firstRowFirstColumn="0" w:firstRowLastColumn="0" w:lastRowFirstColumn="0" w:lastRowLastColumn="0"/>
          <w:trHeight w:val="131"/>
        </w:trPr>
        <w:tc>
          <w:tcPr>
            <w:tcW w:w="2428" w:type="pct"/>
            <w:gridSpan w:val="2"/>
            <w:vMerge w:val="restart"/>
            <w:tcBorders>
              <w:top w:val="single" w:sz="4" w:space="0" w:color="auto"/>
              <w:left w:val="single" w:sz="4" w:space="0" w:color="auto"/>
              <w:bottom w:val="single" w:sz="4" w:space="0" w:color="auto"/>
              <w:right w:val="single" w:sz="4" w:space="0" w:color="auto"/>
            </w:tcBorders>
          </w:tcPr>
          <w:p w14:paraId="153B815D" w14:textId="77777777" w:rsidR="00121615" w:rsidRPr="00BF52F4" w:rsidRDefault="00121615" w:rsidP="009B153D">
            <w:pPr>
              <w:pStyle w:val="Tabletext"/>
              <w:rPr>
                <w:b w:val="0"/>
              </w:rPr>
            </w:pPr>
            <w:r w:rsidRPr="00BF52F4">
              <w:t>Summary of safety concerns</w:t>
            </w:r>
          </w:p>
        </w:tc>
        <w:tc>
          <w:tcPr>
            <w:tcW w:w="1286" w:type="pct"/>
            <w:gridSpan w:val="2"/>
            <w:tcBorders>
              <w:top w:val="single" w:sz="4" w:space="0" w:color="auto"/>
              <w:left w:val="single" w:sz="4" w:space="0" w:color="auto"/>
              <w:bottom w:val="single" w:sz="4" w:space="0" w:color="auto"/>
              <w:right w:val="single" w:sz="4" w:space="0" w:color="auto"/>
            </w:tcBorders>
          </w:tcPr>
          <w:p w14:paraId="26DE929F" w14:textId="77777777" w:rsidR="00121615" w:rsidRPr="00BF52F4" w:rsidRDefault="00121615" w:rsidP="009B153D">
            <w:pPr>
              <w:pStyle w:val="Tabletext"/>
              <w:rPr>
                <w:b w:val="0"/>
                <w:sz w:val="18"/>
              </w:rPr>
            </w:pPr>
            <w:r w:rsidRPr="00BF52F4">
              <w:rPr>
                <w:sz w:val="18"/>
              </w:rPr>
              <w:t>Pharmacovigilance</w:t>
            </w:r>
          </w:p>
        </w:tc>
        <w:tc>
          <w:tcPr>
            <w:tcW w:w="1286" w:type="pct"/>
            <w:gridSpan w:val="2"/>
            <w:tcBorders>
              <w:top w:val="single" w:sz="4" w:space="0" w:color="auto"/>
              <w:left w:val="single" w:sz="4" w:space="0" w:color="auto"/>
              <w:bottom w:val="single" w:sz="4" w:space="0" w:color="auto"/>
              <w:right w:val="single" w:sz="4" w:space="0" w:color="auto"/>
            </w:tcBorders>
          </w:tcPr>
          <w:p w14:paraId="43AB9C54" w14:textId="77777777" w:rsidR="00121615" w:rsidRPr="00BF52F4" w:rsidRDefault="00121615" w:rsidP="009B153D">
            <w:pPr>
              <w:pStyle w:val="Tabletext"/>
              <w:rPr>
                <w:b w:val="0"/>
                <w:sz w:val="18"/>
              </w:rPr>
            </w:pPr>
            <w:r w:rsidRPr="00BF52F4">
              <w:rPr>
                <w:sz w:val="18"/>
              </w:rPr>
              <w:t>Risk Minimisation</w:t>
            </w:r>
          </w:p>
        </w:tc>
      </w:tr>
      <w:tr w:rsidR="00121615" w:rsidRPr="00BF52F4" w14:paraId="2164E308" w14:textId="77777777" w:rsidTr="00121615">
        <w:trPr>
          <w:trHeight w:val="150"/>
        </w:trPr>
        <w:tc>
          <w:tcPr>
            <w:tcW w:w="2428" w:type="pct"/>
            <w:gridSpan w:val="2"/>
            <w:vMerge/>
            <w:tcBorders>
              <w:top w:val="single" w:sz="4" w:space="0" w:color="auto"/>
              <w:left w:val="single" w:sz="4" w:space="0" w:color="auto"/>
              <w:bottom w:val="single" w:sz="4" w:space="0" w:color="auto"/>
              <w:right w:val="single" w:sz="4" w:space="0" w:color="auto"/>
            </w:tcBorders>
          </w:tcPr>
          <w:p w14:paraId="6FFBD695" w14:textId="77777777" w:rsidR="00121615" w:rsidRPr="00BF52F4" w:rsidRDefault="00121615" w:rsidP="009B153D">
            <w:pPr>
              <w:pStyle w:val="Tabletext"/>
              <w:rPr>
                <w:b/>
              </w:rPr>
            </w:pPr>
          </w:p>
        </w:tc>
        <w:tc>
          <w:tcPr>
            <w:tcW w:w="584" w:type="pct"/>
            <w:tcBorders>
              <w:top w:val="single" w:sz="4" w:space="0" w:color="auto"/>
              <w:left w:val="single" w:sz="4" w:space="0" w:color="auto"/>
              <w:bottom w:val="single" w:sz="4" w:space="0" w:color="auto"/>
              <w:right w:val="single" w:sz="4" w:space="0" w:color="auto"/>
            </w:tcBorders>
            <w:shd w:val="clear" w:color="auto" w:fill="006DA7"/>
          </w:tcPr>
          <w:p w14:paraId="2B6417CD" w14:textId="560D6FDD" w:rsidR="00121615" w:rsidRPr="00121615" w:rsidRDefault="00121615" w:rsidP="00121615">
            <w:pPr>
              <w:pStyle w:val="Tabletext"/>
              <w:ind w:left="0"/>
              <w:rPr>
                <w:color w:val="FFFFFF" w:themeColor="background1"/>
                <w:sz w:val="18"/>
              </w:rPr>
            </w:pPr>
            <w:r w:rsidRPr="00121615">
              <w:rPr>
                <w:color w:val="FFFFFF" w:themeColor="background1"/>
                <w:sz w:val="18"/>
              </w:rPr>
              <w:t>Routine</w:t>
            </w:r>
          </w:p>
        </w:tc>
        <w:tc>
          <w:tcPr>
            <w:tcW w:w="702" w:type="pct"/>
            <w:tcBorders>
              <w:top w:val="single" w:sz="4" w:space="0" w:color="auto"/>
              <w:left w:val="single" w:sz="4" w:space="0" w:color="auto"/>
              <w:bottom w:val="single" w:sz="4" w:space="0" w:color="auto"/>
              <w:right w:val="single" w:sz="4" w:space="0" w:color="auto"/>
            </w:tcBorders>
            <w:shd w:val="clear" w:color="auto" w:fill="006DA7"/>
          </w:tcPr>
          <w:p w14:paraId="39F1EF1C" w14:textId="1C86801B" w:rsidR="00121615" w:rsidRPr="00121615" w:rsidRDefault="00121615" w:rsidP="00121615">
            <w:pPr>
              <w:pStyle w:val="Tabletext"/>
              <w:ind w:left="0"/>
              <w:rPr>
                <w:color w:val="FFFFFF" w:themeColor="background1"/>
                <w:sz w:val="18"/>
              </w:rPr>
            </w:pPr>
            <w:r w:rsidRPr="00121615">
              <w:rPr>
                <w:color w:val="FFFFFF" w:themeColor="background1"/>
                <w:sz w:val="18"/>
              </w:rPr>
              <w:t>Additional</w:t>
            </w:r>
          </w:p>
        </w:tc>
        <w:tc>
          <w:tcPr>
            <w:tcW w:w="584" w:type="pct"/>
            <w:tcBorders>
              <w:top w:val="single" w:sz="4" w:space="0" w:color="auto"/>
              <w:left w:val="single" w:sz="4" w:space="0" w:color="auto"/>
              <w:bottom w:val="single" w:sz="4" w:space="0" w:color="auto"/>
              <w:right w:val="single" w:sz="4" w:space="0" w:color="auto"/>
            </w:tcBorders>
            <w:shd w:val="clear" w:color="auto" w:fill="006DA7"/>
          </w:tcPr>
          <w:p w14:paraId="116EE4A2" w14:textId="77777777" w:rsidR="00121615" w:rsidRPr="00121615" w:rsidRDefault="00121615" w:rsidP="00121615">
            <w:pPr>
              <w:pStyle w:val="Tabletext"/>
              <w:ind w:left="0"/>
              <w:rPr>
                <w:color w:val="FFFFFF" w:themeColor="background1"/>
                <w:sz w:val="18"/>
              </w:rPr>
            </w:pPr>
            <w:r w:rsidRPr="00121615">
              <w:rPr>
                <w:color w:val="FFFFFF" w:themeColor="background1"/>
                <w:sz w:val="18"/>
              </w:rPr>
              <w:t>Routine</w:t>
            </w:r>
          </w:p>
        </w:tc>
        <w:tc>
          <w:tcPr>
            <w:tcW w:w="702" w:type="pct"/>
            <w:tcBorders>
              <w:top w:val="single" w:sz="4" w:space="0" w:color="auto"/>
              <w:left w:val="single" w:sz="4" w:space="0" w:color="auto"/>
              <w:bottom w:val="single" w:sz="4" w:space="0" w:color="auto"/>
              <w:right w:val="single" w:sz="4" w:space="0" w:color="auto"/>
            </w:tcBorders>
            <w:shd w:val="clear" w:color="auto" w:fill="006DA7"/>
          </w:tcPr>
          <w:p w14:paraId="6645DE0F" w14:textId="77777777" w:rsidR="00121615" w:rsidRPr="00121615" w:rsidRDefault="00121615" w:rsidP="00121615">
            <w:pPr>
              <w:pStyle w:val="Tabletext"/>
              <w:ind w:left="0"/>
              <w:rPr>
                <w:color w:val="FFFFFF" w:themeColor="background1"/>
                <w:sz w:val="18"/>
              </w:rPr>
            </w:pPr>
            <w:r w:rsidRPr="00121615">
              <w:rPr>
                <w:color w:val="FFFFFF" w:themeColor="background1"/>
                <w:sz w:val="18"/>
              </w:rPr>
              <w:t>Additional</w:t>
            </w:r>
          </w:p>
        </w:tc>
      </w:tr>
      <w:tr w:rsidR="00121615" w:rsidRPr="00BF52F4" w14:paraId="0970E8F3" w14:textId="77777777" w:rsidTr="00121615">
        <w:trPr>
          <w:trHeight w:val="159"/>
        </w:trPr>
        <w:tc>
          <w:tcPr>
            <w:tcW w:w="949" w:type="pct"/>
            <w:tcBorders>
              <w:top w:val="single" w:sz="4" w:space="0" w:color="auto"/>
            </w:tcBorders>
          </w:tcPr>
          <w:p w14:paraId="36666DDE" w14:textId="77777777" w:rsidR="00121615" w:rsidRPr="00121615" w:rsidRDefault="00121615" w:rsidP="009B153D">
            <w:pPr>
              <w:pStyle w:val="Tabletext"/>
              <w:rPr>
                <w:b/>
                <w:color w:val="auto"/>
              </w:rPr>
            </w:pPr>
            <w:r w:rsidRPr="00121615">
              <w:rPr>
                <w:b/>
                <w:color w:val="auto"/>
              </w:rPr>
              <w:t>Important identified risks</w:t>
            </w:r>
          </w:p>
        </w:tc>
        <w:tc>
          <w:tcPr>
            <w:tcW w:w="1479" w:type="pct"/>
            <w:tcBorders>
              <w:top w:val="single" w:sz="4" w:space="0" w:color="auto"/>
            </w:tcBorders>
          </w:tcPr>
          <w:p w14:paraId="1291ADD3" w14:textId="77777777" w:rsidR="00121615" w:rsidRPr="00121615" w:rsidRDefault="00121615" w:rsidP="009B153D">
            <w:pPr>
              <w:pStyle w:val="Tabletext"/>
              <w:rPr>
                <w:color w:val="auto"/>
              </w:rPr>
            </w:pPr>
            <w:r w:rsidRPr="00121615">
              <w:rPr>
                <w:color w:val="auto"/>
              </w:rPr>
              <w:t>Serious infections</w:t>
            </w:r>
          </w:p>
        </w:tc>
        <w:tc>
          <w:tcPr>
            <w:tcW w:w="584" w:type="pct"/>
            <w:tcBorders>
              <w:top w:val="single" w:sz="4" w:space="0" w:color="auto"/>
            </w:tcBorders>
          </w:tcPr>
          <w:p w14:paraId="79C638C3" w14:textId="77777777" w:rsidR="00121615" w:rsidRPr="00121615" w:rsidRDefault="00121615" w:rsidP="009B153D">
            <w:pPr>
              <w:pStyle w:val="Tabletext"/>
              <w:jc w:val="center"/>
              <w:rPr>
                <w:color w:val="auto"/>
              </w:rPr>
            </w:pPr>
            <w:r w:rsidRPr="00121615">
              <w:rPr>
                <w:color w:val="auto"/>
              </w:rPr>
              <w:sym w:font="Wingdings" w:char="F0FC"/>
            </w:r>
          </w:p>
        </w:tc>
        <w:tc>
          <w:tcPr>
            <w:tcW w:w="702" w:type="pct"/>
            <w:tcBorders>
              <w:top w:val="single" w:sz="4" w:space="0" w:color="auto"/>
            </w:tcBorders>
          </w:tcPr>
          <w:p w14:paraId="447C8B1F" w14:textId="77777777" w:rsidR="00121615" w:rsidRPr="00121615" w:rsidRDefault="00121615" w:rsidP="009B153D">
            <w:pPr>
              <w:pStyle w:val="Tabletext"/>
              <w:jc w:val="center"/>
              <w:rPr>
                <w:color w:val="auto"/>
              </w:rPr>
            </w:pPr>
            <w:r w:rsidRPr="00121615">
              <w:rPr>
                <w:color w:val="auto"/>
              </w:rPr>
              <w:sym w:font="Wingdings" w:char="F0FC"/>
            </w:r>
            <w:r w:rsidRPr="00121615">
              <w:rPr>
                <w:color w:val="auto"/>
              </w:rPr>
              <w:t>*§</w:t>
            </w:r>
          </w:p>
        </w:tc>
        <w:tc>
          <w:tcPr>
            <w:tcW w:w="584" w:type="pct"/>
            <w:tcBorders>
              <w:top w:val="single" w:sz="4" w:space="0" w:color="auto"/>
            </w:tcBorders>
          </w:tcPr>
          <w:p w14:paraId="78F20EE2" w14:textId="77777777" w:rsidR="00121615" w:rsidRPr="00121615" w:rsidRDefault="00121615" w:rsidP="009B153D">
            <w:pPr>
              <w:pStyle w:val="Tabletext"/>
              <w:jc w:val="center"/>
              <w:rPr>
                <w:color w:val="auto"/>
              </w:rPr>
            </w:pPr>
            <w:r w:rsidRPr="00121615">
              <w:rPr>
                <w:color w:val="auto"/>
              </w:rPr>
              <w:sym w:font="Wingdings" w:char="F0FC"/>
            </w:r>
          </w:p>
        </w:tc>
        <w:tc>
          <w:tcPr>
            <w:tcW w:w="702" w:type="pct"/>
            <w:tcBorders>
              <w:top w:val="single" w:sz="4" w:space="0" w:color="auto"/>
            </w:tcBorders>
          </w:tcPr>
          <w:p w14:paraId="7931E025" w14:textId="77777777" w:rsidR="00121615" w:rsidRPr="00121615" w:rsidRDefault="00121615" w:rsidP="009B153D">
            <w:pPr>
              <w:pStyle w:val="Tabletext"/>
              <w:jc w:val="center"/>
              <w:rPr>
                <w:color w:val="auto"/>
              </w:rPr>
            </w:pPr>
            <w:r w:rsidRPr="00121615">
              <w:rPr>
                <w:color w:val="auto"/>
              </w:rPr>
              <w:t>–</w:t>
            </w:r>
          </w:p>
        </w:tc>
      </w:tr>
      <w:tr w:rsidR="00121615" w:rsidRPr="00BF52F4" w14:paraId="254BDC04" w14:textId="77777777" w:rsidTr="00121615">
        <w:trPr>
          <w:trHeight w:val="159"/>
        </w:trPr>
        <w:tc>
          <w:tcPr>
            <w:tcW w:w="949" w:type="pct"/>
            <w:vMerge w:val="restart"/>
          </w:tcPr>
          <w:p w14:paraId="4BA56F58" w14:textId="77777777" w:rsidR="00121615" w:rsidRPr="00121615" w:rsidRDefault="00121615" w:rsidP="009B153D">
            <w:pPr>
              <w:pStyle w:val="Tabletext"/>
              <w:rPr>
                <w:b/>
                <w:color w:val="auto"/>
              </w:rPr>
            </w:pPr>
            <w:r w:rsidRPr="00121615">
              <w:rPr>
                <w:b/>
                <w:color w:val="auto"/>
              </w:rPr>
              <w:t>Important potential risks</w:t>
            </w:r>
          </w:p>
        </w:tc>
        <w:tc>
          <w:tcPr>
            <w:tcW w:w="1479" w:type="pct"/>
          </w:tcPr>
          <w:p w14:paraId="24AD5E3C" w14:textId="77777777" w:rsidR="00121615" w:rsidRPr="00121615" w:rsidRDefault="00121615" w:rsidP="009B153D">
            <w:pPr>
              <w:pStyle w:val="Tabletext"/>
              <w:rPr>
                <w:color w:val="auto"/>
              </w:rPr>
            </w:pPr>
            <w:r w:rsidRPr="00121615">
              <w:rPr>
                <w:color w:val="auto"/>
              </w:rPr>
              <w:t>Serious hypersensitivity reactions</w:t>
            </w:r>
          </w:p>
        </w:tc>
        <w:tc>
          <w:tcPr>
            <w:tcW w:w="584" w:type="pct"/>
          </w:tcPr>
          <w:p w14:paraId="2A04E06A" w14:textId="77777777" w:rsidR="00121615" w:rsidRPr="00121615" w:rsidRDefault="00121615" w:rsidP="009B153D">
            <w:pPr>
              <w:pStyle w:val="Tabletext"/>
              <w:jc w:val="center"/>
              <w:rPr>
                <w:color w:val="auto"/>
              </w:rPr>
            </w:pPr>
            <w:r w:rsidRPr="00121615">
              <w:rPr>
                <w:color w:val="auto"/>
              </w:rPr>
              <w:sym w:font="Wingdings" w:char="F0FC"/>
            </w:r>
          </w:p>
        </w:tc>
        <w:tc>
          <w:tcPr>
            <w:tcW w:w="702" w:type="pct"/>
          </w:tcPr>
          <w:p w14:paraId="18221A54" w14:textId="77777777" w:rsidR="00121615" w:rsidRPr="00121615" w:rsidRDefault="00121615" w:rsidP="009B153D">
            <w:pPr>
              <w:pStyle w:val="Tabletext"/>
              <w:jc w:val="center"/>
              <w:rPr>
                <w:color w:val="auto"/>
              </w:rPr>
            </w:pPr>
            <w:r w:rsidRPr="00121615">
              <w:rPr>
                <w:color w:val="auto"/>
              </w:rPr>
              <w:sym w:font="Wingdings" w:char="F0FC"/>
            </w:r>
            <w:r w:rsidRPr="00121615">
              <w:rPr>
                <w:color w:val="auto"/>
              </w:rPr>
              <w:t>*§</w:t>
            </w:r>
          </w:p>
        </w:tc>
        <w:tc>
          <w:tcPr>
            <w:tcW w:w="584" w:type="pct"/>
          </w:tcPr>
          <w:p w14:paraId="6F58B77E" w14:textId="77777777" w:rsidR="00121615" w:rsidRPr="00121615" w:rsidRDefault="00121615" w:rsidP="009B153D">
            <w:pPr>
              <w:pStyle w:val="Tabletext"/>
              <w:jc w:val="center"/>
              <w:rPr>
                <w:color w:val="auto"/>
              </w:rPr>
            </w:pPr>
            <w:r w:rsidRPr="00121615">
              <w:rPr>
                <w:color w:val="auto"/>
              </w:rPr>
              <w:sym w:font="Wingdings" w:char="F0FC"/>
            </w:r>
          </w:p>
        </w:tc>
        <w:tc>
          <w:tcPr>
            <w:tcW w:w="702" w:type="pct"/>
          </w:tcPr>
          <w:p w14:paraId="398458B5" w14:textId="77777777" w:rsidR="00121615" w:rsidRPr="00121615" w:rsidRDefault="00121615" w:rsidP="009B153D">
            <w:pPr>
              <w:pStyle w:val="Tabletext"/>
              <w:jc w:val="center"/>
              <w:rPr>
                <w:color w:val="auto"/>
              </w:rPr>
            </w:pPr>
            <w:r w:rsidRPr="00121615">
              <w:rPr>
                <w:color w:val="auto"/>
              </w:rPr>
              <w:t>–</w:t>
            </w:r>
          </w:p>
        </w:tc>
      </w:tr>
      <w:tr w:rsidR="00121615" w:rsidRPr="00BF52F4" w14:paraId="795FA6C7" w14:textId="77777777" w:rsidTr="00121615">
        <w:trPr>
          <w:trHeight w:val="122"/>
        </w:trPr>
        <w:tc>
          <w:tcPr>
            <w:tcW w:w="949" w:type="pct"/>
            <w:vMerge/>
          </w:tcPr>
          <w:p w14:paraId="6A444B22" w14:textId="77777777" w:rsidR="00121615" w:rsidRPr="00121615" w:rsidRDefault="00121615" w:rsidP="009B153D">
            <w:pPr>
              <w:pStyle w:val="Tabletext"/>
              <w:rPr>
                <w:b/>
                <w:color w:val="auto"/>
              </w:rPr>
            </w:pPr>
          </w:p>
        </w:tc>
        <w:tc>
          <w:tcPr>
            <w:tcW w:w="1479" w:type="pct"/>
          </w:tcPr>
          <w:p w14:paraId="590354B5" w14:textId="77777777" w:rsidR="00121615" w:rsidRPr="00121615" w:rsidRDefault="00121615" w:rsidP="009B153D">
            <w:pPr>
              <w:pStyle w:val="Tabletext"/>
              <w:rPr>
                <w:color w:val="auto"/>
              </w:rPr>
            </w:pPr>
            <w:r w:rsidRPr="00121615">
              <w:rPr>
                <w:color w:val="auto"/>
              </w:rPr>
              <w:t>Inflammatory bowel disease (Crohn’s disease and ulcerative colitis)</w:t>
            </w:r>
          </w:p>
        </w:tc>
        <w:tc>
          <w:tcPr>
            <w:tcW w:w="584" w:type="pct"/>
          </w:tcPr>
          <w:p w14:paraId="6FD5792B" w14:textId="77777777" w:rsidR="00121615" w:rsidRPr="00121615" w:rsidRDefault="00121615" w:rsidP="009B153D">
            <w:pPr>
              <w:pStyle w:val="Tabletext"/>
              <w:jc w:val="center"/>
              <w:rPr>
                <w:color w:val="auto"/>
              </w:rPr>
            </w:pPr>
            <w:r w:rsidRPr="00121615">
              <w:rPr>
                <w:color w:val="auto"/>
              </w:rPr>
              <w:sym w:font="Wingdings" w:char="F0FC"/>
            </w:r>
          </w:p>
        </w:tc>
        <w:tc>
          <w:tcPr>
            <w:tcW w:w="702" w:type="pct"/>
          </w:tcPr>
          <w:p w14:paraId="6B966985" w14:textId="77777777" w:rsidR="00121615" w:rsidRPr="00121615" w:rsidRDefault="00121615" w:rsidP="009B153D">
            <w:pPr>
              <w:pStyle w:val="Tabletext"/>
              <w:jc w:val="center"/>
              <w:rPr>
                <w:color w:val="auto"/>
              </w:rPr>
            </w:pPr>
            <w:r w:rsidRPr="00121615">
              <w:rPr>
                <w:color w:val="auto"/>
              </w:rPr>
              <w:sym w:font="Wingdings" w:char="F0FC"/>
            </w:r>
            <w:r w:rsidRPr="00121615">
              <w:rPr>
                <w:color w:val="auto"/>
              </w:rPr>
              <w:t>*§</w:t>
            </w:r>
          </w:p>
        </w:tc>
        <w:tc>
          <w:tcPr>
            <w:tcW w:w="584" w:type="pct"/>
          </w:tcPr>
          <w:p w14:paraId="045AF9BF" w14:textId="77777777" w:rsidR="00121615" w:rsidRPr="00121615" w:rsidRDefault="00121615" w:rsidP="009B153D">
            <w:pPr>
              <w:pStyle w:val="Tabletext"/>
              <w:jc w:val="center"/>
              <w:rPr>
                <w:color w:val="auto"/>
              </w:rPr>
            </w:pPr>
            <w:r w:rsidRPr="00121615">
              <w:rPr>
                <w:color w:val="auto"/>
              </w:rPr>
              <w:sym w:font="Wingdings" w:char="F0FC"/>
            </w:r>
          </w:p>
        </w:tc>
        <w:tc>
          <w:tcPr>
            <w:tcW w:w="702" w:type="pct"/>
          </w:tcPr>
          <w:p w14:paraId="312BD38D" w14:textId="77777777" w:rsidR="00121615" w:rsidRPr="00121615" w:rsidRDefault="00121615" w:rsidP="009B153D">
            <w:pPr>
              <w:pStyle w:val="Tabletext"/>
              <w:jc w:val="center"/>
              <w:rPr>
                <w:color w:val="auto"/>
              </w:rPr>
            </w:pPr>
            <w:r w:rsidRPr="00121615">
              <w:rPr>
                <w:color w:val="auto"/>
              </w:rPr>
              <w:t>–</w:t>
            </w:r>
          </w:p>
        </w:tc>
      </w:tr>
      <w:tr w:rsidR="00121615" w:rsidRPr="00BF52F4" w14:paraId="2B0D39C8" w14:textId="77777777" w:rsidTr="00121615">
        <w:trPr>
          <w:trHeight w:val="122"/>
        </w:trPr>
        <w:tc>
          <w:tcPr>
            <w:tcW w:w="949" w:type="pct"/>
            <w:vMerge/>
          </w:tcPr>
          <w:p w14:paraId="658E2956" w14:textId="77777777" w:rsidR="00121615" w:rsidRPr="00121615" w:rsidRDefault="00121615" w:rsidP="009B153D">
            <w:pPr>
              <w:pStyle w:val="Tabletext"/>
              <w:rPr>
                <w:b/>
                <w:color w:val="auto"/>
              </w:rPr>
            </w:pPr>
          </w:p>
        </w:tc>
        <w:tc>
          <w:tcPr>
            <w:tcW w:w="1479" w:type="pct"/>
          </w:tcPr>
          <w:p w14:paraId="19D4AAA0" w14:textId="77777777" w:rsidR="00121615" w:rsidRPr="00121615" w:rsidRDefault="00121615" w:rsidP="009B153D">
            <w:pPr>
              <w:pStyle w:val="Tabletext"/>
              <w:rPr>
                <w:color w:val="auto"/>
              </w:rPr>
            </w:pPr>
            <w:r w:rsidRPr="00121615">
              <w:rPr>
                <w:color w:val="auto"/>
              </w:rPr>
              <w:t>Major adverse cardiovascular events (MACE)</w:t>
            </w:r>
          </w:p>
        </w:tc>
        <w:tc>
          <w:tcPr>
            <w:tcW w:w="584" w:type="pct"/>
          </w:tcPr>
          <w:p w14:paraId="0EA28290" w14:textId="77777777" w:rsidR="00121615" w:rsidRPr="00121615" w:rsidRDefault="00121615" w:rsidP="009B153D">
            <w:pPr>
              <w:pStyle w:val="Tabletext"/>
              <w:jc w:val="center"/>
              <w:rPr>
                <w:color w:val="auto"/>
              </w:rPr>
            </w:pPr>
            <w:r w:rsidRPr="00121615">
              <w:rPr>
                <w:color w:val="auto"/>
              </w:rPr>
              <w:sym w:font="Wingdings" w:char="F0FC"/>
            </w:r>
          </w:p>
        </w:tc>
        <w:tc>
          <w:tcPr>
            <w:tcW w:w="702" w:type="pct"/>
          </w:tcPr>
          <w:p w14:paraId="0B7777E7" w14:textId="77777777" w:rsidR="00121615" w:rsidRPr="00121615" w:rsidRDefault="00121615" w:rsidP="009B153D">
            <w:pPr>
              <w:pStyle w:val="Tabletext"/>
              <w:jc w:val="center"/>
              <w:rPr>
                <w:color w:val="auto"/>
              </w:rPr>
            </w:pPr>
            <w:r w:rsidRPr="00121615">
              <w:rPr>
                <w:color w:val="auto"/>
              </w:rPr>
              <w:sym w:font="Wingdings" w:char="F0FC"/>
            </w:r>
            <w:r w:rsidRPr="00121615">
              <w:rPr>
                <w:color w:val="auto"/>
              </w:rPr>
              <w:t>*§</w:t>
            </w:r>
          </w:p>
        </w:tc>
        <w:tc>
          <w:tcPr>
            <w:tcW w:w="584" w:type="pct"/>
          </w:tcPr>
          <w:p w14:paraId="013F8521" w14:textId="77777777" w:rsidR="00121615" w:rsidRPr="00121615" w:rsidRDefault="00121615" w:rsidP="009B153D">
            <w:pPr>
              <w:pStyle w:val="Tabletext"/>
              <w:jc w:val="center"/>
              <w:rPr>
                <w:color w:val="auto"/>
              </w:rPr>
            </w:pPr>
            <w:r w:rsidRPr="00121615">
              <w:rPr>
                <w:color w:val="auto"/>
              </w:rPr>
              <w:t>–</w:t>
            </w:r>
          </w:p>
        </w:tc>
        <w:tc>
          <w:tcPr>
            <w:tcW w:w="702" w:type="pct"/>
          </w:tcPr>
          <w:p w14:paraId="7CE2FCE8" w14:textId="77777777" w:rsidR="00121615" w:rsidRPr="00121615" w:rsidRDefault="00121615" w:rsidP="009B153D">
            <w:pPr>
              <w:pStyle w:val="Tabletext"/>
              <w:jc w:val="center"/>
              <w:rPr>
                <w:color w:val="auto"/>
              </w:rPr>
            </w:pPr>
            <w:r w:rsidRPr="00121615">
              <w:rPr>
                <w:color w:val="auto"/>
              </w:rPr>
              <w:t>–</w:t>
            </w:r>
          </w:p>
        </w:tc>
      </w:tr>
      <w:tr w:rsidR="00121615" w:rsidRPr="00BF52F4" w14:paraId="4E1847F1" w14:textId="77777777" w:rsidTr="00121615">
        <w:trPr>
          <w:trHeight w:val="112"/>
        </w:trPr>
        <w:tc>
          <w:tcPr>
            <w:tcW w:w="949" w:type="pct"/>
            <w:vMerge/>
          </w:tcPr>
          <w:p w14:paraId="356E8972" w14:textId="77777777" w:rsidR="00121615" w:rsidRPr="00121615" w:rsidRDefault="00121615" w:rsidP="009B153D">
            <w:pPr>
              <w:pStyle w:val="Tabletext"/>
              <w:rPr>
                <w:b/>
                <w:color w:val="auto"/>
              </w:rPr>
            </w:pPr>
          </w:p>
        </w:tc>
        <w:tc>
          <w:tcPr>
            <w:tcW w:w="1479" w:type="pct"/>
          </w:tcPr>
          <w:p w14:paraId="6C9BA172" w14:textId="77777777" w:rsidR="00121615" w:rsidRPr="00121615" w:rsidRDefault="00121615" w:rsidP="009B153D">
            <w:pPr>
              <w:pStyle w:val="Tabletext"/>
              <w:rPr>
                <w:color w:val="auto"/>
              </w:rPr>
            </w:pPr>
            <w:r w:rsidRPr="00121615">
              <w:rPr>
                <w:color w:val="auto"/>
              </w:rPr>
              <w:t>Malignancy</w:t>
            </w:r>
          </w:p>
        </w:tc>
        <w:tc>
          <w:tcPr>
            <w:tcW w:w="584" w:type="pct"/>
          </w:tcPr>
          <w:p w14:paraId="298D73BF" w14:textId="77777777" w:rsidR="00121615" w:rsidRPr="00121615" w:rsidRDefault="00121615" w:rsidP="009B153D">
            <w:pPr>
              <w:pStyle w:val="Tabletext"/>
              <w:jc w:val="center"/>
              <w:rPr>
                <w:color w:val="auto"/>
              </w:rPr>
            </w:pPr>
            <w:r w:rsidRPr="00121615">
              <w:rPr>
                <w:color w:val="auto"/>
              </w:rPr>
              <w:sym w:font="Wingdings" w:char="F0FC"/>
            </w:r>
          </w:p>
        </w:tc>
        <w:tc>
          <w:tcPr>
            <w:tcW w:w="702" w:type="pct"/>
          </w:tcPr>
          <w:p w14:paraId="329E3E6E" w14:textId="77777777" w:rsidR="00121615" w:rsidRPr="00121615" w:rsidRDefault="00121615" w:rsidP="009B153D">
            <w:pPr>
              <w:pStyle w:val="Tabletext"/>
              <w:jc w:val="center"/>
              <w:rPr>
                <w:color w:val="auto"/>
              </w:rPr>
            </w:pPr>
            <w:r w:rsidRPr="00121615">
              <w:rPr>
                <w:color w:val="auto"/>
              </w:rPr>
              <w:sym w:font="Wingdings" w:char="F0FC"/>
            </w:r>
            <w:r w:rsidRPr="00121615">
              <w:rPr>
                <w:color w:val="auto"/>
              </w:rPr>
              <w:t>*§</w:t>
            </w:r>
          </w:p>
        </w:tc>
        <w:tc>
          <w:tcPr>
            <w:tcW w:w="584" w:type="pct"/>
          </w:tcPr>
          <w:p w14:paraId="7BCDC5D8" w14:textId="77777777" w:rsidR="00121615" w:rsidRPr="00121615" w:rsidRDefault="00121615" w:rsidP="009B153D">
            <w:pPr>
              <w:pStyle w:val="Tabletext"/>
              <w:jc w:val="center"/>
              <w:rPr>
                <w:color w:val="auto"/>
              </w:rPr>
            </w:pPr>
            <w:r w:rsidRPr="00121615">
              <w:rPr>
                <w:color w:val="auto"/>
              </w:rPr>
              <w:t>–</w:t>
            </w:r>
          </w:p>
        </w:tc>
        <w:tc>
          <w:tcPr>
            <w:tcW w:w="702" w:type="pct"/>
          </w:tcPr>
          <w:p w14:paraId="202BDF0A" w14:textId="77777777" w:rsidR="00121615" w:rsidRPr="00121615" w:rsidRDefault="00121615" w:rsidP="009B153D">
            <w:pPr>
              <w:pStyle w:val="Tabletext"/>
              <w:jc w:val="center"/>
              <w:rPr>
                <w:color w:val="auto"/>
              </w:rPr>
            </w:pPr>
            <w:r w:rsidRPr="00121615">
              <w:rPr>
                <w:color w:val="auto"/>
              </w:rPr>
              <w:t>–</w:t>
            </w:r>
          </w:p>
        </w:tc>
      </w:tr>
      <w:tr w:rsidR="00121615" w:rsidRPr="00BF52F4" w14:paraId="13CAA5CF" w14:textId="77777777" w:rsidTr="00121615">
        <w:trPr>
          <w:trHeight w:val="178"/>
        </w:trPr>
        <w:tc>
          <w:tcPr>
            <w:tcW w:w="949" w:type="pct"/>
            <w:vMerge w:val="restart"/>
          </w:tcPr>
          <w:p w14:paraId="148CC311" w14:textId="77777777" w:rsidR="00121615" w:rsidRPr="00121615" w:rsidRDefault="00121615" w:rsidP="009B153D">
            <w:pPr>
              <w:pStyle w:val="Tabletext"/>
              <w:rPr>
                <w:b/>
                <w:color w:val="auto"/>
              </w:rPr>
            </w:pPr>
            <w:r w:rsidRPr="00121615">
              <w:rPr>
                <w:b/>
                <w:color w:val="auto"/>
              </w:rPr>
              <w:t>Missing information</w:t>
            </w:r>
          </w:p>
        </w:tc>
        <w:tc>
          <w:tcPr>
            <w:tcW w:w="1479" w:type="pct"/>
          </w:tcPr>
          <w:p w14:paraId="772426D5" w14:textId="77777777" w:rsidR="00121615" w:rsidRPr="00121615" w:rsidRDefault="00121615" w:rsidP="009B153D">
            <w:pPr>
              <w:pStyle w:val="Tabletext"/>
              <w:rPr>
                <w:color w:val="auto"/>
              </w:rPr>
            </w:pPr>
            <w:r w:rsidRPr="00121615">
              <w:rPr>
                <w:color w:val="auto"/>
              </w:rPr>
              <w:t>Use during pregnancy and lactation</w:t>
            </w:r>
          </w:p>
        </w:tc>
        <w:tc>
          <w:tcPr>
            <w:tcW w:w="584" w:type="pct"/>
          </w:tcPr>
          <w:p w14:paraId="40F2BA68" w14:textId="77777777" w:rsidR="00121615" w:rsidRPr="00121615" w:rsidRDefault="00121615" w:rsidP="009B153D">
            <w:pPr>
              <w:pStyle w:val="Tabletext"/>
              <w:jc w:val="center"/>
              <w:rPr>
                <w:color w:val="auto"/>
              </w:rPr>
            </w:pPr>
            <w:r w:rsidRPr="00121615">
              <w:rPr>
                <w:color w:val="auto"/>
              </w:rPr>
              <w:sym w:font="Wingdings" w:char="F0FC"/>
            </w:r>
          </w:p>
        </w:tc>
        <w:tc>
          <w:tcPr>
            <w:tcW w:w="702" w:type="pct"/>
          </w:tcPr>
          <w:p w14:paraId="3AE5F987" w14:textId="77777777" w:rsidR="00121615" w:rsidRPr="00121615" w:rsidRDefault="00121615" w:rsidP="009B153D">
            <w:pPr>
              <w:pStyle w:val="Tabletext"/>
              <w:jc w:val="center"/>
              <w:rPr>
                <w:color w:val="auto"/>
              </w:rPr>
            </w:pPr>
            <w:r w:rsidRPr="00121615">
              <w:rPr>
                <w:color w:val="auto"/>
              </w:rPr>
              <w:sym w:font="Wingdings" w:char="F0FC"/>
            </w:r>
            <w:r w:rsidRPr="00121615">
              <w:rPr>
                <w:color w:val="auto"/>
              </w:rPr>
              <w:t>†‡</w:t>
            </w:r>
          </w:p>
        </w:tc>
        <w:tc>
          <w:tcPr>
            <w:tcW w:w="584" w:type="pct"/>
          </w:tcPr>
          <w:p w14:paraId="23A29067" w14:textId="77777777" w:rsidR="00121615" w:rsidRPr="00121615" w:rsidRDefault="00121615" w:rsidP="009B153D">
            <w:pPr>
              <w:pStyle w:val="Tabletext"/>
              <w:jc w:val="center"/>
              <w:rPr>
                <w:color w:val="auto"/>
              </w:rPr>
            </w:pPr>
            <w:r w:rsidRPr="00121615">
              <w:rPr>
                <w:color w:val="auto"/>
              </w:rPr>
              <w:sym w:font="Wingdings" w:char="F0FC"/>
            </w:r>
          </w:p>
        </w:tc>
        <w:tc>
          <w:tcPr>
            <w:tcW w:w="702" w:type="pct"/>
          </w:tcPr>
          <w:p w14:paraId="2E8A8986" w14:textId="77777777" w:rsidR="00121615" w:rsidRPr="00121615" w:rsidRDefault="00121615" w:rsidP="009B153D">
            <w:pPr>
              <w:pStyle w:val="Tabletext"/>
              <w:jc w:val="center"/>
              <w:rPr>
                <w:color w:val="auto"/>
              </w:rPr>
            </w:pPr>
            <w:r w:rsidRPr="00121615">
              <w:rPr>
                <w:color w:val="auto"/>
              </w:rPr>
              <w:t>–</w:t>
            </w:r>
          </w:p>
        </w:tc>
      </w:tr>
      <w:tr w:rsidR="00121615" w:rsidRPr="00BF52F4" w14:paraId="6E425563" w14:textId="77777777" w:rsidTr="00121615">
        <w:trPr>
          <w:trHeight w:val="140"/>
        </w:trPr>
        <w:tc>
          <w:tcPr>
            <w:tcW w:w="949" w:type="pct"/>
            <w:vMerge/>
          </w:tcPr>
          <w:p w14:paraId="6047BEA7" w14:textId="77777777" w:rsidR="00121615" w:rsidRPr="00BF52F4" w:rsidRDefault="00121615" w:rsidP="009B153D">
            <w:pPr>
              <w:pStyle w:val="Tabletext"/>
            </w:pPr>
          </w:p>
        </w:tc>
        <w:tc>
          <w:tcPr>
            <w:tcW w:w="1479" w:type="pct"/>
          </w:tcPr>
          <w:p w14:paraId="3B69FF4F" w14:textId="77777777" w:rsidR="00121615" w:rsidRPr="00BF52F4" w:rsidRDefault="00121615" w:rsidP="009B153D">
            <w:pPr>
              <w:pStyle w:val="Tabletext"/>
            </w:pPr>
            <w:r>
              <w:t xml:space="preserve">Long term safety </w:t>
            </w:r>
            <w:r w:rsidRPr="00121615">
              <w:rPr>
                <w:color w:val="auto"/>
              </w:rPr>
              <w:t>data</w:t>
            </w:r>
          </w:p>
        </w:tc>
        <w:tc>
          <w:tcPr>
            <w:tcW w:w="584" w:type="pct"/>
          </w:tcPr>
          <w:p w14:paraId="6C745017" w14:textId="77777777" w:rsidR="00121615" w:rsidRPr="00833147" w:rsidRDefault="00121615" w:rsidP="009B153D">
            <w:pPr>
              <w:pStyle w:val="Tabletext"/>
              <w:jc w:val="center"/>
            </w:pPr>
            <w:r w:rsidRPr="00833147">
              <w:sym w:font="Wingdings" w:char="F0FC"/>
            </w:r>
          </w:p>
        </w:tc>
        <w:tc>
          <w:tcPr>
            <w:tcW w:w="702" w:type="pct"/>
          </w:tcPr>
          <w:p w14:paraId="45316CC1" w14:textId="77777777" w:rsidR="00121615" w:rsidRPr="00833147" w:rsidRDefault="00121615" w:rsidP="009B153D">
            <w:pPr>
              <w:pStyle w:val="Tabletext"/>
              <w:jc w:val="center"/>
            </w:pPr>
            <w:r w:rsidRPr="00833147">
              <w:sym w:font="Wingdings" w:char="F0FC"/>
            </w:r>
            <w:r w:rsidRPr="00447132">
              <w:t>§</w:t>
            </w:r>
          </w:p>
        </w:tc>
        <w:tc>
          <w:tcPr>
            <w:tcW w:w="584" w:type="pct"/>
          </w:tcPr>
          <w:p w14:paraId="1425FF42" w14:textId="77777777" w:rsidR="00121615" w:rsidRPr="00833147" w:rsidRDefault="00121615" w:rsidP="009B153D">
            <w:pPr>
              <w:pStyle w:val="Tabletext"/>
              <w:jc w:val="center"/>
            </w:pPr>
            <w:r w:rsidRPr="00833147">
              <w:t>–</w:t>
            </w:r>
          </w:p>
        </w:tc>
        <w:tc>
          <w:tcPr>
            <w:tcW w:w="702" w:type="pct"/>
          </w:tcPr>
          <w:p w14:paraId="10BE43F9" w14:textId="77777777" w:rsidR="00121615" w:rsidRPr="00833147" w:rsidRDefault="00121615" w:rsidP="009B153D">
            <w:pPr>
              <w:pStyle w:val="Tabletext"/>
              <w:jc w:val="center"/>
            </w:pPr>
            <w:r w:rsidRPr="00833147">
              <w:t>–</w:t>
            </w:r>
          </w:p>
        </w:tc>
      </w:tr>
    </w:tbl>
    <w:p w14:paraId="33DD498D" w14:textId="77777777" w:rsidR="00121615" w:rsidRDefault="00121615" w:rsidP="00121615">
      <w:pPr>
        <w:pStyle w:val="TableDescription"/>
      </w:pPr>
      <w:r>
        <w:t>* Real world outcomes study (planned)</w:t>
      </w:r>
    </w:p>
    <w:p w14:paraId="4B5B7AE4" w14:textId="77777777" w:rsidR="00121615" w:rsidRDefault="00121615" w:rsidP="00121615">
      <w:pPr>
        <w:pStyle w:val="TableDescription"/>
      </w:pPr>
      <w:r>
        <w:t>† Pregnancy registry</w:t>
      </w:r>
    </w:p>
    <w:p w14:paraId="0F866069" w14:textId="77777777" w:rsidR="00121615" w:rsidRDefault="00121615" w:rsidP="00121615">
      <w:pPr>
        <w:pStyle w:val="TableDescription"/>
      </w:pPr>
      <w:r>
        <w:t>‡ Exposure during pregnancy study</w:t>
      </w:r>
    </w:p>
    <w:p w14:paraId="30284DC0" w14:textId="470C27A7" w:rsidR="00121615" w:rsidRPr="00121615" w:rsidRDefault="00121615" w:rsidP="00121615">
      <w:pPr>
        <w:pStyle w:val="TableDescription"/>
      </w:pPr>
      <w:r>
        <w:t xml:space="preserve">§ Ongoing studies </w:t>
      </w:r>
      <w:r w:rsidR="00EA20FE">
        <w:t xml:space="preserve">(Studies </w:t>
      </w:r>
      <w:r>
        <w:t>PS0014</w:t>
      </w:r>
      <w:r w:rsidR="00EA20FE">
        <w:t xml:space="preserve"> and</w:t>
      </w:r>
      <w:r>
        <w:t xml:space="preserve"> PS0015</w:t>
      </w:r>
      <w:r w:rsidR="00EA20FE">
        <w:t>)</w:t>
      </w:r>
    </w:p>
    <w:p w14:paraId="721D7476" w14:textId="77777777" w:rsidR="00EA20FE" w:rsidRDefault="00121615" w:rsidP="00121615">
      <w:r w:rsidRPr="00121615">
        <w:t>The summary of safety concerns in the ASA aligns with the EU-RMP. The sponsor is requested to add ‘</w:t>
      </w:r>
      <w:r w:rsidRPr="00121615">
        <w:rPr>
          <w:i/>
          <w:iCs/>
        </w:rPr>
        <w:t>deranged hepatic function/liver injury</w:t>
      </w:r>
      <w:r w:rsidRPr="00121615">
        <w:t>’ as an important potential risk as requested by the clinical evaluator, and to reclassify ‘</w:t>
      </w:r>
      <w:r w:rsidRPr="00121615">
        <w:rPr>
          <w:i/>
          <w:iCs/>
        </w:rPr>
        <w:t>serious infections</w:t>
      </w:r>
      <w:r w:rsidRPr="00121615">
        <w:t>’ to an important identified risk rather than an important potential risk.</w:t>
      </w:r>
    </w:p>
    <w:p w14:paraId="5D0FAD57" w14:textId="60254FEE" w:rsidR="00EA20FE" w:rsidRDefault="00121615" w:rsidP="00121615">
      <w:r w:rsidRPr="00121615">
        <w:t xml:space="preserve">At </w:t>
      </w:r>
      <w:r w:rsidR="00EA20FE">
        <w:t xml:space="preserve">the </w:t>
      </w:r>
      <w:r w:rsidR="000253D0">
        <w:t>second round of RMP evaluation,</w:t>
      </w:r>
      <w:r w:rsidRPr="00121615">
        <w:t xml:space="preserve"> the sponsor </w:t>
      </w:r>
      <w:r w:rsidR="00EA20FE">
        <w:t>did</w:t>
      </w:r>
      <w:r w:rsidR="00EA20FE" w:rsidRPr="00121615">
        <w:t xml:space="preserve"> </w:t>
      </w:r>
      <w:r w:rsidRPr="00121615">
        <w:t xml:space="preserve">not agree to add a liver injury safety concern, with justification approved by the </w:t>
      </w:r>
      <w:r w:rsidR="00EA20FE">
        <w:t>TGA’s clinical evaluation</w:t>
      </w:r>
      <w:r w:rsidRPr="00121615">
        <w:t xml:space="preserve"> but has upgraded ‘</w:t>
      </w:r>
      <w:r w:rsidRPr="006E4137">
        <w:rPr>
          <w:i/>
        </w:rPr>
        <w:t>serious infections’</w:t>
      </w:r>
      <w:r w:rsidRPr="00121615">
        <w:t xml:space="preserve"> to an important identified risk.</w:t>
      </w:r>
    </w:p>
    <w:p w14:paraId="747840AD" w14:textId="1278404B" w:rsidR="00121615" w:rsidRPr="00121615" w:rsidRDefault="00121615" w:rsidP="00121615">
      <w:r w:rsidRPr="00121615">
        <w:t>Missing information ‘</w:t>
      </w:r>
      <w:r w:rsidRPr="006E4137">
        <w:rPr>
          <w:i/>
        </w:rPr>
        <w:t>Administration of live vaccines’</w:t>
      </w:r>
      <w:r w:rsidRPr="00121615">
        <w:t xml:space="preserve"> and ‘</w:t>
      </w:r>
      <w:r w:rsidRPr="006E4137">
        <w:rPr>
          <w:i/>
        </w:rPr>
        <w:t>Use in patients with hepatitis B, hepatitis C, or human immunodeficiency virus infection</w:t>
      </w:r>
      <w:r w:rsidRPr="00121615">
        <w:t xml:space="preserve">’ has been removed from the ASA to align with the EU-RMP. The summary of safety concerns is acceptable. </w:t>
      </w:r>
    </w:p>
    <w:p w14:paraId="40ABE4F1" w14:textId="77777777" w:rsidR="00C90F11" w:rsidRDefault="00121615" w:rsidP="00121615">
      <w:r w:rsidRPr="00121615">
        <w:t xml:space="preserve">Routine pharmacovigilance is proposed for all safety concerns. Additional pharmacovigilance has been included for </w:t>
      </w:r>
      <w:proofErr w:type="gramStart"/>
      <w:r w:rsidRPr="00121615">
        <w:t>all of</w:t>
      </w:r>
      <w:proofErr w:type="gramEnd"/>
      <w:r w:rsidRPr="00121615">
        <w:t xml:space="preserve"> the proposed important identified risks, and the missing information ‘</w:t>
      </w:r>
      <w:r w:rsidRPr="000253D0">
        <w:rPr>
          <w:i/>
          <w:iCs/>
        </w:rPr>
        <w:t>use in pregnancy</w:t>
      </w:r>
      <w:r w:rsidRPr="00121615">
        <w:t>’ and ‘</w:t>
      </w:r>
      <w:r w:rsidRPr="000253D0">
        <w:rPr>
          <w:i/>
          <w:iCs/>
        </w:rPr>
        <w:t>long term safety</w:t>
      </w:r>
      <w:r w:rsidRPr="00121615">
        <w:t>’. Australian patients are included in long term safety studies.</w:t>
      </w:r>
    </w:p>
    <w:p w14:paraId="00D36293" w14:textId="0B807437" w:rsidR="00C90F11" w:rsidRDefault="00121615" w:rsidP="00121615">
      <w:r w:rsidRPr="00121615">
        <w:t xml:space="preserve">The pharmacovigilance plan </w:t>
      </w:r>
      <w:r w:rsidR="00C90F11">
        <w:t>was</w:t>
      </w:r>
      <w:r w:rsidR="00C90F11" w:rsidRPr="00121615">
        <w:t xml:space="preserve"> </w:t>
      </w:r>
      <w:r w:rsidRPr="00121615">
        <w:t xml:space="preserve">acceptable at </w:t>
      </w:r>
      <w:r w:rsidR="000253D0">
        <w:t>first round of RMP evaluation</w:t>
      </w:r>
      <w:r w:rsidRPr="00121615">
        <w:t>.</w:t>
      </w:r>
    </w:p>
    <w:p w14:paraId="4456172C" w14:textId="6F3A1172" w:rsidR="00121615" w:rsidRPr="00121615" w:rsidRDefault="00121615" w:rsidP="00121615">
      <w:r w:rsidRPr="00121615">
        <w:t xml:space="preserve">At </w:t>
      </w:r>
      <w:r w:rsidR="00C90F11">
        <w:t xml:space="preserve">the </w:t>
      </w:r>
      <w:r w:rsidR="000253D0">
        <w:t>second round of RMP evaluation,</w:t>
      </w:r>
      <w:r w:rsidRPr="00121615">
        <w:t xml:space="preserve"> the pharmacovigilance plan has been updated to add a wider range of safety concerns to ongoing studies. With these minor changes, the pharmacovigilance plan remains acceptable.</w:t>
      </w:r>
    </w:p>
    <w:p w14:paraId="7CE08556" w14:textId="21BC483D" w:rsidR="00C90F11" w:rsidRDefault="00121615" w:rsidP="00121615">
      <w:r w:rsidRPr="00121615">
        <w:lastRenderedPageBreak/>
        <w:t>Routine risk minimisation is proposed for the important potential risks of ‘</w:t>
      </w:r>
      <w:r w:rsidRPr="000253D0">
        <w:rPr>
          <w:i/>
          <w:iCs/>
        </w:rPr>
        <w:t>serious infections</w:t>
      </w:r>
      <w:r w:rsidRPr="00121615">
        <w:t>’, ‘</w:t>
      </w:r>
      <w:r w:rsidRPr="000253D0">
        <w:rPr>
          <w:i/>
          <w:iCs/>
        </w:rPr>
        <w:t>serious hypersensitivity reactions</w:t>
      </w:r>
      <w:r w:rsidRPr="00121615">
        <w:t>’, and ‘</w:t>
      </w:r>
      <w:r w:rsidRPr="000253D0">
        <w:rPr>
          <w:i/>
          <w:iCs/>
        </w:rPr>
        <w:t>inflammatory bowel disease</w:t>
      </w:r>
      <w:r w:rsidRPr="00121615">
        <w:t>’, and for the missing information ‘</w:t>
      </w:r>
      <w:r w:rsidRPr="000253D0">
        <w:rPr>
          <w:i/>
          <w:iCs/>
        </w:rPr>
        <w:t>use in pregnancy and lactation</w:t>
      </w:r>
      <w:r w:rsidRPr="00121615">
        <w:t>’.</w:t>
      </w:r>
      <w:r w:rsidR="00C90F11">
        <w:t xml:space="preserve"> </w:t>
      </w:r>
      <w:r w:rsidRPr="00121615">
        <w:t>Additional risk minimisation is not proposed.</w:t>
      </w:r>
    </w:p>
    <w:p w14:paraId="46F11840" w14:textId="685C4678" w:rsidR="00C90F11" w:rsidRDefault="00121615" w:rsidP="00121615">
      <w:r w:rsidRPr="00121615">
        <w:t xml:space="preserve">Routine risk minimisation has been requested for the liver injury safety concern recommended </w:t>
      </w:r>
      <w:r w:rsidR="00C90F11">
        <w:t>through the clinical evaluation</w:t>
      </w:r>
      <w:r w:rsidRPr="00121615">
        <w:t>, as well as a commitment to include instructions for use in the product packaging as this is a parenteral product.</w:t>
      </w:r>
    </w:p>
    <w:p w14:paraId="3C751FBD" w14:textId="544BFCC5" w:rsidR="00C90F11" w:rsidRDefault="00121615" w:rsidP="00121615">
      <w:r w:rsidRPr="00121615">
        <w:t xml:space="preserve">At </w:t>
      </w:r>
      <w:r w:rsidR="00C90F11">
        <w:t xml:space="preserve">the </w:t>
      </w:r>
      <w:r w:rsidR="000253D0">
        <w:t>second round of RMP evaluation,</w:t>
      </w:r>
      <w:r w:rsidRPr="00121615">
        <w:t xml:space="preserve"> routine risk minimisation has not been included for liver injury, and this has been accepted </w:t>
      </w:r>
      <w:r w:rsidR="00C90F11">
        <w:t>as part of the clinical evaluation</w:t>
      </w:r>
      <w:r w:rsidRPr="00121615">
        <w:t>.</w:t>
      </w:r>
    </w:p>
    <w:p w14:paraId="7056E83F" w14:textId="022CF201" w:rsidR="00C90F11" w:rsidRDefault="00121615" w:rsidP="00121615">
      <w:r w:rsidRPr="00121615">
        <w:t xml:space="preserve">The sponsor commits to presentation of specific instructions for use in the product packaging and the </w:t>
      </w:r>
      <w:r w:rsidR="000253D0">
        <w:t>Consumer Medicines Information (</w:t>
      </w:r>
      <w:r w:rsidRPr="00121615">
        <w:t>CMI</w:t>
      </w:r>
      <w:r w:rsidR="000253D0">
        <w:t>)</w:t>
      </w:r>
      <w:r w:rsidRPr="00121615">
        <w:t xml:space="preserve"> has generally been revised as requested.</w:t>
      </w:r>
    </w:p>
    <w:p w14:paraId="0904995E" w14:textId="114CBB13" w:rsidR="00121615" w:rsidRPr="006E4137" w:rsidRDefault="00121615" w:rsidP="00121615">
      <w:r w:rsidRPr="00121615">
        <w:t>The risk minimisation plan is acceptable, subject to further changes to the CMI.</w:t>
      </w:r>
    </w:p>
    <w:p w14:paraId="29847A83" w14:textId="271C7015" w:rsidR="008E7846" w:rsidRDefault="00AA0ED0" w:rsidP="00121615">
      <w:pPr>
        <w:pStyle w:val="Heading3"/>
      </w:pPr>
      <w:bookmarkStart w:id="127" w:name="_Toc132726796"/>
      <w:r>
        <w:t>Risk-benefit a</w:t>
      </w:r>
      <w:r w:rsidR="008E7846">
        <w:t>nalysis</w:t>
      </w:r>
      <w:bookmarkEnd w:id="122"/>
      <w:bookmarkEnd w:id="123"/>
      <w:bookmarkEnd w:id="127"/>
    </w:p>
    <w:p w14:paraId="5A5CB168" w14:textId="1101C7EA" w:rsidR="0074163C" w:rsidRDefault="0074163C" w:rsidP="0074163C">
      <w:pPr>
        <w:pStyle w:val="Heading4"/>
      </w:pPr>
      <w:bookmarkStart w:id="128" w:name="_Toc98931932"/>
      <w:r>
        <w:t>Delegate’s considerations</w:t>
      </w:r>
      <w:bookmarkEnd w:id="128"/>
    </w:p>
    <w:p w14:paraId="0C5F0718" w14:textId="1D4103F0" w:rsidR="00293F2F" w:rsidRPr="00803C01" w:rsidRDefault="00293F2F" w:rsidP="006E4137">
      <w:pPr>
        <w:pStyle w:val="Heading5"/>
      </w:pPr>
      <w:r>
        <w:t>Plaque psoriasis</w:t>
      </w:r>
    </w:p>
    <w:p w14:paraId="32FA61C2" w14:textId="3D50C81C" w:rsidR="00551EFF" w:rsidRPr="000C5FA5" w:rsidRDefault="00C90F11" w:rsidP="00551EFF">
      <w:pPr>
        <w:rPr>
          <w:rFonts w:cs="Arial"/>
        </w:rPr>
      </w:pPr>
      <w:r>
        <w:rPr>
          <w:lang w:eastAsia="ja-JP"/>
        </w:rPr>
        <w:t>P</w:t>
      </w:r>
      <w:r w:rsidR="00551EFF" w:rsidRPr="000C5FA5">
        <w:rPr>
          <w:lang w:eastAsia="ja-JP"/>
        </w:rPr>
        <w:t>soriasis is a multifactorial, relapsing condition associated with the triggering of the immune system</w:t>
      </w:r>
      <w:r w:rsidR="00551EFF">
        <w:rPr>
          <w:lang w:eastAsia="ja-JP"/>
        </w:rPr>
        <w:t>.</w:t>
      </w:r>
      <w:r w:rsidR="00551EFF" w:rsidRPr="000C5FA5">
        <w:rPr>
          <w:rFonts w:cs="Arial"/>
        </w:rPr>
        <w:t xml:space="preserve"> </w:t>
      </w:r>
      <w:r w:rsidR="00551EFF">
        <w:rPr>
          <w:rFonts w:cs="Arial"/>
        </w:rPr>
        <w:t>A</w:t>
      </w:r>
      <w:r w:rsidR="00551EFF" w:rsidRPr="000C5FA5">
        <w:rPr>
          <w:rFonts w:cs="Arial"/>
        </w:rPr>
        <w:t>n initiation phase</w:t>
      </w:r>
      <w:r w:rsidR="00551EFF">
        <w:rPr>
          <w:rFonts w:cs="Arial"/>
        </w:rPr>
        <w:t xml:space="preserve"> often precedes a</w:t>
      </w:r>
      <w:r w:rsidR="00551EFF" w:rsidRPr="000C5FA5">
        <w:rPr>
          <w:rFonts w:cs="Arial"/>
        </w:rPr>
        <w:t xml:space="preserve"> maintenance phase</w:t>
      </w:r>
      <w:r w:rsidR="00551EFF">
        <w:rPr>
          <w:rFonts w:cs="Arial"/>
        </w:rPr>
        <w:t>.</w:t>
      </w:r>
    </w:p>
    <w:p w14:paraId="4A850E0B" w14:textId="03EF8559" w:rsidR="00551EFF" w:rsidRDefault="00551EFF" w:rsidP="00551EFF">
      <w:pPr>
        <w:rPr>
          <w:rFonts w:cs="Arial"/>
        </w:rPr>
      </w:pPr>
      <w:r>
        <w:rPr>
          <w:lang w:eastAsia="ja-JP"/>
        </w:rPr>
        <w:t xml:space="preserve">Psoriatic plaques, mostly </w:t>
      </w:r>
      <w:r w:rsidRPr="000C5FA5">
        <w:rPr>
          <w:lang w:eastAsia="ja-JP"/>
        </w:rPr>
        <w:t>on the extremities, scalp, elbows, knees, nails, palms, and soles of feet</w:t>
      </w:r>
      <w:r>
        <w:rPr>
          <w:lang w:eastAsia="ja-JP"/>
        </w:rPr>
        <w:t xml:space="preserve">, are visual manifestation of </w:t>
      </w:r>
      <w:r w:rsidRPr="000C5FA5">
        <w:rPr>
          <w:rFonts w:cs="Arial"/>
        </w:rPr>
        <w:t>abnormally excessive and rapid growth of the epidermal</w:t>
      </w:r>
      <w:r>
        <w:rPr>
          <w:rFonts w:cs="Arial"/>
        </w:rPr>
        <w:t xml:space="preserve"> skin</w:t>
      </w:r>
      <w:r w:rsidRPr="000C5FA5">
        <w:rPr>
          <w:rFonts w:cs="Arial"/>
        </w:rPr>
        <w:t xml:space="preserve"> layer. </w:t>
      </w:r>
      <w:r>
        <w:rPr>
          <w:rFonts w:cs="Arial"/>
        </w:rPr>
        <w:t xml:space="preserve">Psoriatic plaques possibly stem from </w:t>
      </w:r>
      <w:r w:rsidRPr="000C5FA5">
        <w:rPr>
          <w:rFonts w:cs="Arial"/>
        </w:rPr>
        <w:t>the premature maturation of keratinocytes</w:t>
      </w:r>
      <w:r w:rsidR="00C90F11">
        <w:rPr>
          <w:rFonts w:cs="Arial"/>
        </w:rPr>
        <w:t xml:space="preserve">, </w:t>
      </w:r>
      <w:proofErr w:type="gramStart"/>
      <w:r w:rsidR="00C90F11">
        <w:rPr>
          <w:rFonts w:cs="Arial"/>
        </w:rPr>
        <w:t>as a result of</w:t>
      </w:r>
      <w:proofErr w:type="gramEnd"/>
      <w:r w:rsidR="00C90F11">
        <w:rPr>
          <w:rFonts w:cs="Arial"/>
        </w:rPr>
        <w:t xml:space="preserve"> </w:t>
      </w:r>
      <w:r w:rsidRPr="00E276F6">
        <w:rPr>
          <w:rFonts w:cs="Arial"/>
        </w:rPr>
        <w:t>proliferation</w:t>
      </w:r>
      <w:r w:rsidR="00C90F11">
        <w:rPr>
          <w:rFonts w:cs="Arial"/>
        </w:rPr>
        <w:t xml:space="preserve"> of keratinocytes</w:t>
      </w:r>
      <w:r>
        <w:rPr>
          <w:rFonts w:cs="Arial"/>
        </w:rPr>
        <w:t xml:space="preserve">, </w:t>
      </w:r>
      <w:r w:rsidRPr="000C5FA5">
        <w:rPr>
          <w:rFonts w:cs="Arial"/>
        </w:rPr>
        <w:t>induced by an inflammatory cascade in the dermis</w:t>
      </w:r>
      <w:r>
        <w:rPr>
          <w:rFonts w:cs="Arial"/>
        </w:rPr>
        <w:t>,</w:t>
      </w:r>
      <w:r w:rsidRPr="000C5FA5">
        <w:rPr>
          <w:rFonts w:cs="Arial"/>
        </w:rPr>
        <w:t> involving dendritic cells, macrophages and T cells</w:t>
      </w:r>
      <w:r w:rsidRPr="00BC50A8">
        <w:rPr>
          <w:rFonts w:cs="Arial"/>
        </w:rPr>
        <w:t>.</w:t>
      </w:r>
    </w:p>
    <w:p w14:paraId="6D78892B" w14:textId="518242CE" w:rsidR="00551EFF" w:rsidRPr="00C90F11" w:rsidRDefault="00551EFF" w:rsidP="006E4137">
      <w:r w:rsidRPr="00C90F11">
        <w:t xml:space="preserve">These immune cells secrete inflammatory chemical signals (cytokines) such </w:t>
      </w:r>
      <w:proofErr w:type="gramStart"/>
      <w:r w:rsidRPr="00C90F11">
        <w:t>as  interferon</w:t>
      </w:r>
      <w:proofErr w:type="gramEnd"/>
      <w:r w:rsidRPr="00C90F11">
        <w:noBreakHyphen/>
      </w:r>
      <w:r w:rsidR="00C90F11" w:rsidRPr="00C90F11">
        <w:t>gamma</w:t>
      </w:r>
      <w:r w:rsidRPr="00C90F11">
        <w:t>,</w:t>
      </w:r>
      <w:r w:rsidR="004377F2" w:rsidRPr="00C90F11">
        <w:t xml:space="preserve"> </w:t>
      </w:r>
      <w:r w:rsidR="00C90F11" w:rsidRPr="00300D3E">
        <w:t>TN</w:t>
      </w:r>
      <w:r w:rsidR="00C90F11">
        <w:t>F</w:t>
      </w:r>
      <w:r w:rsidR="00C90F11" w:rsidRPr="00300D3E">
        <w:t>-</w:t>
      </w:r>
      <w:r w:rsidR="00C90F11">
        <w:t xml:space="preserve">alpha, and interleukins (IL) </w:t>
      </w:r>
      <w:r w:rsidR="004377F2" w:rsidRPr="00C90F11">
        <w:t>-</w:t>
      </w:r>
      <w:r w:rsidRPr="00C90F11">
        <w:t>36y</w:t>
      </w:r>
      <w:r w:rsidR="00C90F11" w:rsidRPr="00C90F11" w:rsidDel="00C90F11">
        <w:t xml:space="preserve"> </w:t>
      </w:r>
      <w:r w:rsidRPr="00C90F11">
        <w:t>, </w:t>
      </w:r>
      <w:r w:rsidR="004377F2" w:rsidRPr="00C90F11">
        <w:t>IL-</w:t>
      </w:r>
      <w:r w:rsidRPr="00C90F11">
        <w:t>1</w:t>
      </w:r>
      <w:r w:rsidR="004377F2" w:rsidRPr="00C90F11">
        <w:t>, IL-1β</w:t>
      </w:r>
      <w:r w:rsidRPr="00C90F11">
        <w:t>,</w:t>
      </w:r>
      <w:r w:rsidR="004377F2" w:rsidRPr="00C90F11">
        <w:t xml:space="preserve"> </w:t>
      </w:r>
      <w:r w:rsidR="00C90F11" w:rsidRPr="006E4137">
        <w:t>IL-6</w:t>
      </w:r>
      <w:r w:rsidRPr="00C90F11">
        <w:t xml:space="preserve">, </w:t>
      </w:r>
      <w:r w:rsidR="004377F2" w:rsidRPr="00C90F11">
        <w:t>IL-</w:t>
      </w:r>
      <w:r w:rsidRPr="00C90F11">
        <w:t>17,</w:t>
      </w:r>
      <w:r w:rsidR="00C90F11" w:rsidRPr="006E4137">
        <w:t xml:space="preserve"> IL-22</w:t>
      </w:r>
      <w:r w:rsidRPr="006E4137">
        <w:t xml:space="preserve"> and </w:t>
      </w:r>
      <w:r w:rsidR="004377F2" w:rsidRPr="00C90F11">
        <w:t>IL</w:t>
      </w:r>
      <w:r w:rsidRPr="00C90F11">
        <w:t>-23. Interleukin</w:t>
      </w:r>
      <w:r w:rsidR="00C90F11">
        <w:noBreakHyphen/>
      </w:r>
      <w:r w:rsidRPr="00C90F11">
        <w:t xml:space="preserve">23 is known to induce the production of </w:t>
      </w:r>
      <w:r w:rsidR="004377F2" w:rsidRPr="00C90F11">
        <w:t>IL-</w:t>
      </w:r>
      <w:r w:rsidRPr="00C90F11">
        <w:t xml:space="preserve">17 and </w:t>
      </w:r>
      <w:r w:rsidR="004377F2" w:rsidRPr="00C90F11">
        <w:t>IL</w:t>
      </w:r>
      <w:r w:rsidRPr="00C90F11">
        <w:t xml:space="preserve">-22. Interleukin-22 works in combination with </w:t>
      </w:r>
      <w:r w:rsidR="004377F2" w:rsidRPr="00C90F11">
        <w:t>IL-</w:t>
      </w:r>
      <w:r w:rsidRPr="00C90F11">
        <w:t>17 to induce keratinocytes to secrete </w:t>
      </w:r>
      <w:r w:rsidR="00C90F11" w:rsidRPr="006E4137">
        <w:t>neutrophil</w:t>
      </w:r>
      <w:r w:rsidR="004377F2" w:rsidRPr="00C90F11">
        <w:t xml:space="preserve"> </w:t>
      </w:r>
      <w:r w:rsidRPr="00C90F11">
        <w:t>attracting cytokines.</w:t>
      </w:r>
    </w:p>
    <w:p w14:paraId="44333A45" w14:textId="11C3C07A" w:rsidR="00551EFF" w:rsidRDefault="00172397" w:rsidP="00551EFF">
      <w:pPr>
        <w:rPr>
          <w:rFonts w:cs="Arial"/>
        </w:rPr>
      </w:pPr>
      <w:hyperlink r:id="rId49" w:tooltip="Dendritic cell" w:history="1">
        <w:r w:rsidR="00551EFF" w:rsidRPr="000C5FA5">
          <w:rPr>
            <w:rStyle w:val="Hyperlink"/>
            <w:rFonts w:asciiTheme="minorHAnsi" w:eastAsiaTheme="majorEastAsia" w:hAnsiTheme="minorHAnsi" w:cs="Arial"/>
            <w:color w:val="auto"/>
            <w:u w:val="none"/>
          </w:rPr>
          <w:t>Dendritic cells</w:t>
        </w:r>
      </w:hyperlink>
      <w:r w:rsidR="00551EFF" w:rsidRPr="000C5FA5">
        <w:rPr>
          <w:rFonts w:cs="Arial"/>
        </w:rPr>
        <w:t> bridge the </w:t>
      </w:r>
      <w:hyperlink r:id="rId50" w:tooltip="Innate immune system" w:history="1">
        <w:r w:rsidR="00551EFF" w:rsidRPr="000C5FA5">
          <w:rPr>
            <w:rStyle w:val="Hyperlink"/>
            <w:rFonts w:asciiTheme="minorHAnsi" w:eastAsiaTheme="majorEastAsia" w:hAnsiTheme="minorHAnsi" w:cs="Arial"/>
            <w:color w:val="auto"/>
            <w:u w:val="none"/>
          </w:rPr>
          <w:t>innate immune</w:t>
        </w:r>
      </w:hyperlink>
      <w:r w:rsidR="00551EFF">
        <w:rPr>
          <w:rStyle w:val="Hyperlink"/>
          <w:rFonts w:asciiTheme="minorHAnsi" w:eastAsiaTheme="majorEastAsia" w:hAnsiTheme="minorHAnsi" w:cs="Arial"/>
          <w:color w:val="auto"/>
          <w:u w:val="none"/>
        </w:rPr>
        <w:t xml:space="preserve"> </w:t>
      </w:r>
      <w:r w:rsidR="00551EFF" w:rsidRPr="000C5FA5">
        <w:rPr>
          <w:rFonts w:cs="Arial"/>
        </w:rPr>
        <w:t>and </w:t>
      </w:r>
      <w:hyperlink r:id="rId51" w:tooltip="Adaptive immune system" w:history="1">
        <w:r w:rsidR="00551EFF" w:rsidRPr="000C5FA5">
          <w:rPr>
            <w:rStyle w:val="Hyperlink"/>
            <w:rFonts w:asciiTheme="minorHAnsi" w:eastAsiaTheme="majorEastAsia" w:hAnsiTheme="minorHAnsi" w:cs="Arial"/>
            <w:color w:val="auto"/>
            <w:u w:val="none"/>
          </w:rPr>
          <w:t>adaptive immune system</w:t>
        </w:r>
      </w:hyperlink>
      <w:r w:rsidR="00551EFF">
        <w:rPr>
          <w:rStyle w:val="Hyperlink"/>
          <w:rFonts w:asciiTheme="minorHAnsi" w:eastAsiaTheme="majorEastAsia" w:hAnsiTheme="minorHAnsi" w:cs="Arial"/>
          <w:color w:val="auto"/>
          <w:u w:val="none"/>
        </w:rPr>
        <w:t>s</w:t>
      </w:r>
      <w:r w:rsidR="00551EFF" w:rsidRPr="000C5FA5">
        <w:rPr>
          <w:rFonts w:cs="Arial"/>
        </w:rPr>
        <w:t xml:space="preserve">. They are increased in psoriatic lesions and induce the proliferation of T cells and </w:t>
      </w:r>
      <w:r w:rsidR="00551EFF">
        <w:rPr>
          <w:rFonts w:cs="Arial"/>
        </w:rPr>
        <w:t>T</w:t>
      </w:r>
      <w:r w:rsidR="00551EFF" w:rsidRPr="000C5FA5">
        <w:rPr>
          <w:rFonts w:cs="Arial"/>
        </w:rPr>
        <w:t>ype 1 helper T</w:t>
      </w:r>
      <w:r w:rsidR="00C90F11">
        <w:rPr>
          <w:rFonts w:cs="Arial"/>
        </w:rPr>
        <w:t> </w:t>
      </w:r>
      <w:r w:rsidR="00551EFF" w:rsidRPr="000C5FA5">
        <w:rPr>
          <w:rFonts w:cs="Arial"/>
        </w:rPr>
        <w:t>cells.</w:t>
      </w:r>
    </w:p>
    <w:p w14:paraId="7C4F4872" w14:textId="719EF561" w:rsidR="00551EFF" w:rsidRDefault="00551EFF" w:rsidP="00551EFF">
      <w:pPr>
        <w:rPr>
          <w:vertAlign w:val="superscript"/>
          <w:lang w:eastAsia="ja-JP"/>
        </w:rPr>
      </w:pPr>
      <w:r>
        <w:t>Susceptibility to psoriasis has connotation to gene mutation</w:t>
      </w:r>
      <w:r w:rsidR="00C90F11">
        <w:t>;</w:t>
      </w:r>
      <w:r w:rsidR="00C90F11" w:rsidRPr="006E4137">
        <w:rPr>
          <w:vertAlign w:val="superscript"/>
        </w:rPr>
        <w:fldChar w:fldCharType="begin"/>
      </w:r>
      <w:r w:rsidR="00C90F11" w:rsidRPr="006E4137">
        <w:rPr>
          <w:vertAlign w:val="superscript"/>
        </w:rPr>
        <w:instrText xml:space="preserve"> NOTEREF _Ref132624233 \h </w:instrText>
      </w:r>
      <w:r w:rsidR="00C90F11">
        <w:rPr>
          <w:vertAlign w:val="superscript"/>
        </w:rPr>
        <w:instrText xml:space="preserve"> \* MERGEFORMAT </w:instrText>
      </w:r>
      <w:r w:rsidR="00C90F11" w:rsidRPr="006E4137">
        <w:rPr>
          <w:vertAlign w:val="superscript"/>
        </w:rPr>
      </w:r>
      <w:r w:rsidR="00C90F11" w:rsidRPr="006E4137">
        <w:rPr>
          <w:vertAlign w:val="superscript"/>
        </w:rPr>
        <w:fldChar w:fldCharType="separate"/>
      </w:r>
      <w:r w:rsidR="00B54079">
        <w:rPr>
          <w:vertAlign w:val="superscript"/>
        </w:rPr>
        <w:t>7</w:t>
      </w:r>
      <w:r w:rsidR="00C90F11" w:rsidRPr="006E4137">
        <w:rPr>
          <w:vertAlign w:val="superscript"/>
        </w:rPr>
        <w:fldChar w:fldCharType="end"/>
      </w:r>
      <w:r w:rsidR="00C90F11">
        <w:rPr>
          <w:vertAlign w:val="superscript"/>
        </w:rPr>
        <w:t>,</w:t>
      </w:r>
      <w:r w:rsidR="00C90F11">
        <w:rPr>
          <w:rStyle w:val="FootnoteReference"/>
        </w:rPr>
        <w:footnoteReference w:id="40"/>
      </w:r>
      <w:r>
        <w:t xml:space="preserve"> and, psoriasis is </w:t>
      </w:r>
      <w:r w:rsidRPr="000D1818">
        <w:rPr>
          <w:lang w:eastAsia="ja-JP"/>
        </w:rPr>
        <w:t>one of the most common human skin disorders affecting between 2</w:t>
      </w:r>
      <w:r w:rsidR="004377F2">
        <w:rPr>
          <w:lang w:eastAsia="ja-JP"/>
        </w:rPr>
        <w:t xml:space="preserve"> to </w:t>
      </w:r>
      <w:r w:rsidRPr="000D1818">
        <w:rPr>
          <w:lang w:eastAsia="ja-JP"/>
        </w:rPr>
        <w:t>3% of the Australian population.</w:t>
      </w:r>
      <w:r w:rsidR="00237924" w:rsidRPr="006E4137">
        <w:rPr>
          <w:vertAlign w:val="superscript"/>
          <w:lang w:eastAsia="ja-JP"/>
        </w:rPr>
        <w:fldChar w:fldCharType="begin"/>
      </w:r>
      <w:r w:rsidR="00237924" w:rsidRPr="006E4137">
        <w:rPr>
          <w:vertAlign w:val="superscript"/>
          <w:lang w:eastAsia="ja-JP"/>
        </w:rPr>
        <w:instrText xml:space="preserve"> NOTEREF _Ref132624467 \h </w:instrText>
      </w:r>
      <w:r w:rsidR="00237924">
        <w:rPr>
          <w:vertAlign w:val="superscript"/>
          <w:lang w:eastAsia="ja-JP"/>
        </w:rPr>
        <w:instrText xml:space="preserve"> \* MERGEFORMAT </w:instrText>
      </w:r>
      <w:r w:rsidR="00237924" w:rsidRPr="006E4137">
        <w:rPr>
          <w:vertAlign w:val="superscript"/>
          <w:lang w:eastAsia="ja-JP"/>
        </w:rPr>
      </w:r>
      <w:r w:rsidR="00237924" w:rsidRPr="006E4137">
        <w:rPr>
          <w:vertAlign w:val="superscript"/>
          <w:lang w:eastAsia="ja-JP"/>
        </w:rPr>
        <w:fldChar w:fldCharType="separate"/>
      </w:r>
      <w:r w:rsidR="00B54079">
        <w:rPr>
          <w:vertAlign w:val="superscript"/>
          <w:lang w:eastAsia="ja-JP"/>
        </w:rPr>
        <w:t>9</w:t>
      </w:r>
      <w:r w:rsidR="00237924" w:rsidRPr="006E4137">
        <w:rPr>
          <w:vertAlign w:val="superscript"/>
          <w:lang w:eastAsia="ja-JP"/>
        </w:rPr>
        <w:fldChar w:fldCharType="end"/>
      </w:r>
      <w:r w:rsidRPr="000D1818">
        <w:rPr>
          <w:lang w:eastAsia="ja-JP"/>
        </w:rPr>
        <w:t xml:space="preserve"> </w:t>
      </w:r>
      <w:r w:rsidRPr="004377F2">
        <w:rPr>
          <w:lang w:eastAsia="ja-JP"/>
        </w:rPr>
        <w:t>Chronic plaque psoriasis</w:t>
      </w:r>
      <w:r w:rsidRPr="000D1818">
        <w:rPr>
          <w:lang w:eastAsia="ja-JP"/>
        </w:rPr>
        <w:t xml:space="preserve"> is the commonest form of psoriasis</w:t>
      </w:r>
      <w:r>
        <w:rPr>
          <w:lang w:eastAsia="ja-JP"/>
        </w:rPr>
        <w:t>,</w:t>
      </w:r>
      <w:r w:rsidRPr="000D1818">
        <w:rPr>
          <w:lang w:eastAsia="ja-JP"/>
        </w:rPr>
        <w:t xml:space="preserve"> representing approximately 85% to 90% of patients with plaque psoriasis.</w:t>
      </w:r>
      <w:r w:rsidR="00237924" w:rsidRPr="006E4137">
        <w:rPr>
          <w:vertAlign w:val="superscript"/>
          <w:lang w:eastAsia="ja-JP"/>
        </w:rPr>
        <w:fldChar w:fldCharType="begin"/>
      </w:r>
      <w:r w:rsidR="00237924" w:rsidRPr="006E4137">
        <w:rPr>
          <w:vertAlign w:val="superscript"/>
          <w:lang w:eastAsia="ja-JP"/>
        </w:rPr>
        <w:instrText xml:space="preserve"> NOTEREF _Ref132624710 \h </w:instrText>
      </w:r>
      <w:r w:rsidR="00237924">
        <w:rPr>
          <w:vertAlign w:val="superscript"/>
          <w:lang w:eastAsia="ja-JP"/>
        </w:rPr>
        <w:instrText xml:space="preserve"> \* MERGEFORMAT </w:instrText>
      </w:r>
      <w:r w:rsidR="00237924" w:rsidRPr="006E4137">
        <w:rPr>
          <w:vertAlign w:val="superscript"/>
          <w:lang w:eastAsia="ja-JP"/>
        </w:rPr>
      </w:r>
      <w:r w:rsidR="00237924" w:rsidRPr="006E4137">
        <w:rPr>
          <w:vertAlign w:val="superscript"/>
          <w:lang w:eastAsia="ja-JP"/>
        </w:rPr>
        <w:fldChar w:fldCharType="separate"/>
      </w:r>
      <w:r w:rsidR="00B54079">
        <w:rPr>
          <w:vertAlign w:val="superscript"/>
          <w:lang w:eastAsia="ja-JP"/>
        </w:rPr>
        <w:t>10</w:t>
      </w:r>
      <w:r w:rsidR="00237924" w:rsidRPr="006E4137">
        <w:rPr>
          <w:vertAlign w:val="superscript"/>
          <w:lang w:eastAsia="ja-JP"/>
        </w:rPr>
        <w:fldChar w:fldCharType="end"/>
      </w:r>
      <w:r w:rsidR="00237924" w:rsidRPr="006E4137">
        <w:rPr>
          <w:vertAlign w:val="superscript"/>
          <w:lang w:eastAsia="ja-JP"/>
        </w:rPr>
        <w:t>,</w:t>
      </w:r>
      <w:r w:rsidR="00237924" w:rsidRPr="006E4137">
        <w:rPr>
          <w:vertAlign w:val="superscript"/>
          <w:lang w:eastAsia="ja-JP"/>
        </w:rPr>
        <w:fldChar w:fldCharType="begin"/>
      </w:r>
      <w:r w:rsidR="00237924" w:rsidRPr="006E4137">
        <w:rPr>
          <w:vertAlign w:val="superscript"/>
          <w:lang w:eastAsia="ja-JP"/>
        </w:rPr>
        <w:instrText xml:space="preserve"> NOTEREF _Ref132624713 \h </w:instrText>
      </w:r>
      <w:r w:rsidR="00237924">
        <w:rPr>
          <w:vertAlign w:val="superscript"/>
          <w:lang w:eastAsia="ja-JP"/>
        </w:rPr>
        <w:instrText xml:space="preserve"> \* MERGEFORMAT </w:instrText>
      </w:r>
      <w:r w:rsidR="00237924" w:rsidRPr="006E4137">
        <w:rPr>
          <w:vertAlign w:val="superscript"/>
          <w:lang w:eastAsia="ja-JP"/>
        </w:rPr>
      </w:r>
      <w:r w:rsidR="00237924" w:rsidRPr="006E4137">
        <w:rPr>
          <w:vertAlign w:val="superscript"/>
          <w:lang w:eastAsia="ja-JP"/>
        </w:rPr>
        <w:fldChar w:fldCharType="separate"/>
      </w:r>
      <w:r w:rsidR="00B54079">
        <w:rPr>
          <w:vertAlign w:val="superscript"/>
          <w:lang w:eastAsia="ja-JP"/>
        </w:rPr>
        <w:t>11</w:t>
      </w:r>
      <w:r w:rsidR="00237924" w:rsidRPr="006E4137">
        <w:rPr>
          <w:vertAlign w:val="superscript"/>
          <w:lang w:eastAsia="ja-JP"/>
        </w:rPr>
        <w:fldChar w:fldCharType="end"/>
      </w:r>
      <w:r w:rsidRPr="000D1818">
        <w:rPr>
          <w:lang w:eastAsia="ja-JP"/>
        </w:rPr>
        <w:t xml:space="preserve"> Approximately 10% of patients with chronic plaque psoriasis have severe disease. Psoriasis is a lifelong condition that can impact the emotional and social wellbeing of affected people.</w:t>
      </w:r>
      <w:r w:rsidR="00237924" w:rsidRPr="00300D3E">
        <w:rPr>
          <w:vertAlign w:val="superscript"/>
          <w:lang w:eastAsia="ja-JP"/>
        </w:rPr>
        <w:fldChar w:fldCharType="begin"/>
      </w:r>
      <w:r w:rsidR="00237924" w:rsidRPr="00300D3E">
        <w:rPr>
          <w:vertAlign w:val="superscript"/>
          <w:lang w:eastAsia="ja-JP"/>
        </w:rPr>
        <w:instrText xml:space="preserve"> NOTEREF _Ref132624713 \h </w:instrText>
      </w:r>
      <w:r w:rsidR="00237924">
        <w:rPr>
          <w:vertAlign w:val="superscript"/>
          <w:lang w:eastAsia="ja-JP"/>
        </w:rPr>
        <w:instrText xml:space="preserve"> \* MERGEFORMAT </w:instrText>
      </w:r>
      <w:r w:rsidR="00237924" w:rsidRPr="00300D3E">
        <w:rPr>
          <w:vertAlign w:val="superscript"/>
          <w:lang w:eastAsia="ja-JP"/>
        </w:rPr>
      </w:r>
      <w:r w:rsidR="00237924" w:rsidRPr="00300D3E">
        <w:rPr>
          <w:vertAlign w:val="superscript"/>
          <w:lang w:eastAsia="ja-JP"/>
        </w:rPr>
        <w:fldChar w:fldCharType="separate"/>
      </w:r>
      <w:r w:rsidR="00B54079">
        <w:rPr>
          <w:vertAlign w:val="superscript"/>
          <w:lang w:eastAsia="ja-JP"/>
        </w:rPr>
        <w:t>11</w:t>
      </w:r>
      <w:r w:rsidR="00237924" w:rsidRPr="00300D3E">
        <w:rPr>
          <w:vertAlign w:val="superscript"/>
          <w:lang w:eastAsia="ja-JP"/>
        </w:rPr>
        <w:fldChar w:fldCharType="end"/>
      </w:r>
    </w:p>
    <w:p w14:paraId="4C779078" w14:textId="22374E61" w:rsidR="00293F2F" w:rsidRPr="00803C01" w:rsidRDefault="00293F2F" w:rsidP="006E4137">
      <w:pPr>
        <w:pStyle w:val="Heading5"/>
      </w:pPr>
      <w:r>
        <w:t>Current treatments</w:t>
      </w:r>
    </w:p>
    <w:p w14:paraId="089B4663" w14:textId="07B376BD" w:rsidR="00551EFF" w:rsidRPr="003510B1" w:rsidRDefault="00551EFF" w:rsidP="00551EFF">
      <w:r w:rsidRPr="003510B1">
        <w:t xml:space="preserve">According to the current treatment guidelines, severe psoriasis </w:t>
      </w:r>
      <w:r w:rsidR="004377F2">
        <w:t>(</w:t>
      </w:r>
      <w:r w:rsidRPr="003510B1">
        <w:t xml:space="preserve">a PASI </w:t>
      </w:r>
      <w:r w:rsidR="004377F2">
        <w:t>score greater than</w:t>
      </w:r>
      <w:r>
        <w:t xml:space="preserve"> </w:t>
      </w:r>
      <w:r w:rsidRPr="003510B1">
        <w:t>1</w:t>
      </w:r>
      <w:r>
        <w:t>0</w:t>
      </w:r>
      <w:r w:rsidR="004377F2">
        <w:t>)</w:t>
      </w:r>
      <w:r w:rsidRPr="003510B1">
        <w:t xml:space="preserve"> warrants the use of phototherapy or systemic treatment</w:t>
      </w:r>
      <w:r w:rsidR="00237924">
        <w:t>;</w:t>
      </w:r>
      <w:r w:rsidR="00237924" w:rsidRPr="006E4137">
        <w:rPr>
          <w:vertAlign w:val="superscript"/>
        </w:rPr>
        <w:fldChar w:fldCharType="begin"/>
      </w:r>
      <w:r w:rsidR="00237924" w:rsidRPr="006E4137">
        <w:rPr>
          <w:vertAlign w:val="superscript"/>
        </w:rPr>
        <w:instrText xml:space="preserve"> NOTEREF _Ref132204150 \h </w:instrText>
      </w:r>
      <w:r w:rsidR="00237924">
        <w:rPr>
          <w:vertAlign w:val="superscript"/>
        </w:rPr>
        <w:instrText xml:space="preserve"> \* MERGEFORMAT </w:instrText>
      </w:r>
      <w:r w:rsidR="00237924" w:rsidRPr="006E4137">
        <w:rPr>
          <w:vertAlign w:val="superscript"/>
        </w:rPr>
      </w:r>
      <w:r w:rsidR="00237924" w:rsidRPr="006E4137">
        <w:rPr>
          <w:vertAlign w:val="superscript"/>
        </w:rPr>
        <w:fldChar w:fldCharType="separate"/>
      </w:r>
      <w:r w:rsidR="00B54079">
        <w:rPr>
          <w:vertAlign w:val="superscript"/>
        </w:rPr>
        <w:t>12</w:t>
      </w:r>
      <w:r w:rsidR="00237924" w:rsidRPr="006E4137">
        <w:rPr>
          <w:vertAlign w:val="superscript"/>
        </w:rPr>
        <w:fldChar w:fldCharType="end"/>
      </w:r>
      <w:r w:rsidR="00237924" w:rsidRPr="006E4137">
        <w:rPr>
          <w:vertAlign w:val="superscript"/>
        </w:rPr>
        <w:t>,</w:t>
      </w:r>
      <w:r w:rsidR="00237924" w:rsidRPr="006E4137">
        <w:rPr>
          <w:vertAlign w:val="superscript"/>
        </w:rPr>
        <w:fldChar w:fldCharType="begin"/>
      </w:r>
      <w:r w:rsidR="00237924" w:rsidRPr="006E4137">
        <w:rPr>
          <w:vertAlign w:val="superscript"/>
        </w:rPr>
        <w:instrText xml:space="preserve"> NOTEREF _Ref132204153 \h </w:instrText>
      </w:r>
      <w:r w:rsidR="00237924">
        <w:rPr>
          <w:vertAlign w:val="superscript"/>
        </w:rPr>
        <w:instrText xml:space="preserve"> \* MERGEFORMAT </w:instrText>
      </w:r>
      <w:r w:rsidR="00237924" w:rsidRPr="006E4137">
        <w:rPr>
          <w:vertAlign w:val="superscript"/>
        </w:rPr>
      </w:r>
      <w:r w:rsidR="00237924" w:rsidRPr="006E4137">
        <w:rPr>
          <w:vertAlign w:val="superscript"/>
        </w:rPr>
        <w:fldChar w:fldCharType="separate"/>
      </w:r>
      <w:r w:rsidR="00B54079">
        <w:rPr>
          <w:vertAlign w:val="superscript"/>
        </w:rPr>
        <w:t>13</w:t>
      </w:r>
      <w:r w:rsidR="00237924" w:rsidRPr="006E4137">
        <w:rPr>
          <w:vertAlign w:val="superscript"/>
        </w:rPr>
        <w:fldChar w:fldCharType="end"/>
      </w:r>
      <w:r w:rsidR="00237924">
        <w:t xml:space="preserve"> (see also the Australasian College of Dermatologists Consensus statement (guidelines) on the treatment of psoriasis in </w:t>
      </w:r>
      <w:r w:rsidR="00237924">
        <w:fldChar w:fldCharType="begin"/>
      </w:r>
      <w:r w:rsidR="00237924">
        <w:instrText xml:space="preserve"> REF _Ref132203330 \h </w:instrText>
      </w:r>
      <w:r w:rsidR="00237924">
        <w:fldChar w:fldCharType="separate"/>
      </w:r>
      <w:r w:rsidR="00B54079">
        <w:t xml:space="preserve">Table </w:t>
      </w:r>
      <w:r w:rsidR="00B54079">
        <w:rPr>
          <w:noProof/>
        </w:rPr>
        <w:t>1</w:t>
      </w:r>
      <w:r w:rsidR="00237924">
        <w:fldChar w:fldCharType="end"/>
      </w:r>
      <w:r w:rsidR="00237924">
        <w:t xml:space="preserve"> and </w:t>
      </w:r>
      <w:r w:rsidR="00237924">
        <w:fldChar w:fldCharType="begin"/>
      </w:r>
      <w:r w:rsidR="00237924">
        <w:instrText xml:space="preserve"> REF _Ref129856614 \h </w:instrText>
      </w:r>
      <w:r w:rsidR="00237924">
        <w:fldChar w:fldCharType="separate"/>
      </w:r>
      <w:r w:rsidR="00B54079" w:rsidRPr="00DF27EC">
        <w:t xml:space="preserve">Figure </w:t>
      </w:r>
      <w:r w:rsidR="00B54079">
        <w:rPr>
          <w:noProof/>
        </w:rPr>
        <w:t>3</w:t>
      </w:r>
      <w:r w:rsidR="00237924">
        <w:fldChar w:fldCharType="end"/>
      </w:r>
      <w:r w:rsidR="00237924">
        <w:t>).</w:t>
      </w:r>
    </w:p>
    <w:p w14:paraId="47E7F8F0" w14:textId="3BE15613" w:rsidR="00551EFF" w:rsidRPr="007D1CAB" w:rsidRDefault="00551EFF" w:rsidP="00551EFF">
      <w:r w:rsidRPr="007D1CAB">
        <w:lastRenderedPageBreak/>
        <w:t>There are both non-biological (</w:t>
      </w:r>
      <w:r w:rsidR="0006085F">
        <w:t>for example</w:t>
      </w:r>
      <w:r w:rsidRPr="007D1CAB">
        <w:t xml:space="preserve"> methotrexate, </w:t>
      </w:r>
      <w:proofErr w:type="spellStart"/>
      <w:r w:rsidRPr="007D1CAB">
        <w:t>apremilast</w:t>
      </w:r>
      <w:proofErr w:type="spellEnd"/>
      <w:r w:rsidRPr="007D1CAB">
        <w:t>) and biological medicines</w:t>
      </w:r>
      <w:r>
        <w:t xml:space="preserve"> (for example </w:t>
      </w:r>
      <w:r w:rsidRPr="007D1CAB">
        <w:t xml:space="preserve">adalimumab </w:t>
      </w:r>
      <w:r w:rsidR="00293F2F">
        <w:t>and</w:t>
      </w:r>
      <w:r w:rsidRPr="007D1CAB">
        <w:t xml:space="preserve"> etanercept</w:t>
      </w:r>
      <w:r>
        <w:t xml:space="preserve"> which are </w:t>
      </w:r>
      <w:r w:rsidRPr="007D1CAB">
        <w:t>TNF-</w:t>
      </w:r>
      <w:r w:rsidR="00293F2F">
        <w:t>alpha</w:t>
      </w:r>
      <w:r w:rsidRPr="007D1CAB">
        <w:t xml:space="preserve"> antagonists; </w:t>
      </w:r>
      <w:proofErr w:type="spellStart"/>
      <w:r w:rsidRPr="007D1CAB">
        <w:t>guselkumab</w:t>
      </w:r>
      <w:proofErr w:type="spellEnd"/>
      <w:r w:rsidRPr="007D1CAB">
        <w:t xml:space="preserve"> </w:t>
      </w:r>
      <w:r>
        <w:t>and</w:t>
      </w:r>
      <w:r w:rsidRPr="007D1CAB">
        <w:t xml:space="preserve"> tildrakizumab</w:t>
      </w:r>
      <w:r>
        <w:t xml:space="preserve"> which</w:t>
      </w:r>
      <w:r w:rsidRPr="007D1CAB">
        <w:t xml:space="preserve"> inhibit the activity of </w:t>
      </w:r>
      <w:r w:rsidR="00AC3F64">
        <w:t>IL</w:t>
      </w:r>
      <w:r w:rsidRPr="007D1CAB">
        <w:t>‑23;</w:t>
      </w:r>
      <w:r w:rsidR="00293F2F">
        <w:t xml:space="preserve"> </w:t>
      </w:r>
      <w:proofErr w:type="spellStart"/>
      <w:r w:rsidRPr="007D1CAB">
        <w:t>ustekinumab</w:t>
      </w:r>
      <w:proofErr w:type="spellEnd"/>
      <w:r>
        <w:t xml:space="preserve"> which</w:t>
      </w:r>
      <w:r w:rsidRPr="007D1CAB">
        <w:t xml:space="preserve"> inhibits the activity of the cytokines, </w:t>
      </w:r>
      <w:r w:rsidR="00AC3F64">
        <w:t>IL</w:t>
      </w:r>
      <w:r w:rsidRPr="007D1CAB">
        <w:t xml:space="preserve">‑12 and </w:t>
      </w:r>
      <w:r w:rsidR="00AC3F64">
        <w:t>IL</w:t>
      </w:r>
      <w:r w:rsidRPr="007D1CAB">
        <w:t>‑23;</w:t>
      </w:r>
      <w:r w:rsidR="00293F2F">
        <w:t xml:space="preserve"> </w:t>
      </w:r>
      <w:proofErr w:type="spellStart"/>
      <w:r w:rsidRPr="007D1CAB">
        <w:t>ixekizumab</w:t>
      </w:r>
      <w:proofErr w:type="spellEnd"/>
      <w:r w:rsidRPr="007D1CAB">
        <w:t xml:space="preserve"> </w:t>
      </w:r>
      <w:r>
        <w:t>and</w:t>
      </w:r>
      <w:r w:rsidRPr="007D1CAB">
        <w:t xml:space="preserve"> </w:t>
      </w:r>
      <w:proofErr w:type="spellStart"/>
      <w:r w:rsidRPr="007D1CAB">
        <w:t>secukinumab</w:t>
      </w:r>
      <w:proofErr w:type="spellEnd"/>
      <w:r w:rsidRPr="007D1CAB">
        <w:t xml:space="preserve"> </w:t>
      </w:r>
      <w:r>
        <w:t>which</w:t>
      </w:r>
      <w:r w:rsidRPr="007D1CAB">
        <w:t xml:space="preserve"> inhibit the activity of </w:t>
      </w:r>
      <w:r w:rsidR="00AC3F64">
        <w:t>IL</w:t>
      </w:r>
      <w:r w:rsidRPr="007D1CAB">
        <w:t>‑17A approved for the treatment of psoriasis in Australia</w:t>
      </w:r>
      <w:r w:rsidR="00293F2F">
        <w:t xml:space="preserve"> (see also </w:t>
      </w:r>
      <w:r w:rsidR="00293F2F" w:rsidRPr="006E4137">
        <w:rPr>
          <w:i/>
        </w:rPr>
        <w:fldChar w:fldCharType="begin"/>
      </w:r>
      <w:r w:rsidR="00293F2F" w:rsidRPr="006E4137">
        <w:rPr>
          <w:i/>
        </w:rPr>
        <w:instrText xml:space="preserve"> REF _Ref132625014 \h </w:instrText>
      </w:r>
      <w:r w:rsidR="00293F2F">
        <w:rPr>
          <w:i/>
        </w:rPr>
        <w:instrText xml:space="preserve"> \* MERGEFORMAT </w:instrText>
      </w:r>
      <w:r w:rsidR="00293F2F" w:rsidRPr="006E4137">
        <w:rPr>
          <w:i/>
        </w:rPr>
      </w:r>
      <w:r w:rsidR="00293F2F" w:rsidRPr="006E4137">
        <w:rPr>
          <w:i/>
        </w:rPr>
        <w:fldChar w:fldCharType="separate"/>
      </w:r>
      <w:r w:rsidR="00B54079" w:rsidRPr="00B54079">
        <w:rPr>
          <w:i/>
        </w:rPr>
        <w:t>Current treatment options</w:t>
      </w:r>
      <w:r w:rsidR="00293F2F" w:rsidRPr="006E4137">
        <w:rPr>
          <w:i/>
        </w:rPr>
        <w:fldChar w:fldCharType="end"/>
      </w:r>
      <w:r w:rsidR="00293F2F">
        <w:t>, above)</w:t>
      </w:r>
      <w:r w:rsidRPr="007D1CAB">
        <w:t>.</w:t>
      </w:r>
    </w:p>
    <w:p w14:paraId="44B19011" w14:textId="3364BA4F" w:rsidR="000A42AE" w:rsidRDefault="000A42AE" w:rsidP="006E4137">
      <w:pPr>
        <w:pStyle w:val="Heading5"/>
      </w:pPr>
      <w:r>
        <w:t>Clinical rationale</w:t>
      </w:r>
    </w:p>
    <w:p w14:paraId="2945F923" w14:textId="715613F7" w:rsidR="00551EFF" w:rsidRPr="00D23E59" w:rsidRDefault="00551EFF" w:rsidP="00551EFF">
      <w:pPr>
        <w:rPr>
          <w:lang w:eastAsia="ja-JP"/>
        </w:rPr>
      </w:pPr>
      <w:r w:rsidRPr="00B4790E">
        <w:t xml:space="preserve">As per the sponsor, </w:t>
      </w:r>
      <w:r w:rsidR="00AC3F64">
        <w:t>IL</w:t>
      </w:r>
      <w:r w:rsidRPr="00D23E59">
        <w:rPr>
          <w:lang w:eastAsia="ja-JP"/>
        </w:rPr>
        <w:t>-17A and IL-17F are closely related pro</w:t>
      </w:r>
      <w:r>
        <w:rPr>
          <w:lang w:eastAsia="ja-JP"/>
        </w:rPr>
        <w:noBreakHyphen/>
      </w:r>
      <w:r w:rsidRPr="00D23E59">
        <w:rPr>
          <w:lang w:eastAsia="ja-JP"/>
        </w:rPr>
        <w:t xml:space="preserve">inflammatory cytokines that share overlapping biology and are believed to play important roles in autoimmune and inflammatory diseases including psoriasis. </w:t>
      </w:r>
      <w:proofErr w:type="spellStart"/>
      <w:r w:rsidRPr="00D23E59">
        <w:rPr>
          <w:lang w:eastAsia="ja-JP"/>
        </w:rPr>
        <w:t>Bimekizumab</w:t>
      </w:r>
      <w:proofErr w:type="spellEnd"/>
      <w:r w:rsidRPr="00D23E59">
        <w:rPr>
          <w:lang w:eastAsia="ja-JP"/>
        </w:rPr>
        <w:t xml:space="preserve"> is a humani</w:t>
      </w:r>
      <w:r>
        <w:rPr>
          <w:lang w:eastAsia="ja-JP"/>
        </w:rPr>
        <w:t>s</w:t>
      </w:r>
      <w:r w:rsidRPr="00D23E59">
        <w:rPr>
          <w:lang w:eastAsia="ja-JP"/>
        </w:rPr>
        <w:t>ed, full</w:t>
      </w:r>
      <w:r>
        <w:rPr>
          <w:lang w:eastAsia="ja-JP"/>
        </w:rPr>
        <w:t xml:space="preserve"> </w:t>
      </w:r>
      <w:r w:rsidRPr="00D23E59">
        <w:rPr>
          <w:lang w:eastAsia="ja-JP"/>
        </w:rPr>
        <w:t xml:space="preserve">length monoclonal antibody of IgG 1 subclass with </w:t>
      </w:r>
      <w:r w:rsidR="00AC3F64">
        <w:rPr>
          <w:lang w:eastAsia="ja-JP"/>
        </w:rPr>
        <w:t>two</w:t>
      </w:r>
      <w:r w:rsidRPr="00D23E59">
        <w:rPr>
          <w:lang w:eastAsia="ja-JP"/>
        </w:rPr>
        <w:t xml:space="preserve"> identical antigen binding regions that potently and selectively bind and neutrali</w:t>
      </w:r>
      <w:r>
        <w:rPr>
          <w:lang w:eastAsia="ja-JP"/>
        </w:rPr>
        <w:t>s</w:t>
      </w:r>
      <w:r w:rsidRPr="00D23E59">
        <w:rPr>
          <w:lang w:eastAsia="ja-JP"/>
        </w:rPr>
        <w:t>e IL-17 A, IL-17</w:t>
      </w:r>
      <w:r w:rsidR="00AC3F64">
        <w:rPr>
          <w:lang w:eastAsia="ja-JP"/>
        </w:rPr>
        <w:t xml:space="preserve"> </w:t>
      </w:r>
      <w:r w:rsidRPr="00D23E59">
        <w:rPr>
          <w:lang w:eastAsia="ja-JP"/>
        </w:rPr>
        <w:t>F, and IL-17 AF cytokines; it is proposed that inhibition of these cytokines will be more efficacious than inhibition of IL</w:t>
      </w:r>
      <w:r w:rsidR="00293F2F">
        <w:rPr>
          <w:lang w:eastAsia="ja-JP"/>
        </w:rPr>
        <w:noBreakHyphen/>
      </w:r>
      <w:r w:rsidRPr="00D23E59">
        <w:rPr>
          <w:lang w:eastAsia="ja-JP"/>
        </w:rPr>
        <w:t>17A alone.</w:t>
      </w:r>
    </w:p>
    <w:p w14:paraId="5279A583" w14:textId="7F188FAF" w:rsidR="000A42AE" w:rsidRDefault="000A42AE" w:rsidP="006E4137">
      <w:pPr>
        <w:pStyle w:val="Heading5"/>
        <w:rPr>
          <w:lang w:eastAsia="ja-JP"/>
        </w:rPr>
      </w:pPr>
      <w:r>
        <w:rPr>
          <w:lang w:eastAsia="ja-JP"/>
        </w:rPr>
        <w:t>Clinical evidence</w:t>
      </w:r>
    </w:p>
    <w:p w14:paraId="6C749C54" w14:textId="1DA62D5E" w:rsidR="00551EFF" w:rsidRDefault="00551EFF" w:rsidP="00551EFF">
      <w:pPr>
        <w:rPr>
          <w:lang w:eastAsia="ja-JP"/>
        </w:rPr>
      </w:pPr>
      <w:r>
        <w:rPr>
          <w:lang w:eastAsia="ja-JP"/>
        </w:rPr>
        <w:t xml:space="preserve">From the clinical perspective, the </w:t>
      </w:r>
      <w:r w:rsidR="00293F2F">
        <w:rPr>
          <w:lang w:eastAsia="ja-JP"/>
        </w:rPr>
        <w:t xml:space="preserve">TGA’s </w:t>
      </w:r>
      <w:r>
        <w:rPr>
          <w:lang w:eastAsia="ja-JP"/>
        </w:rPr>
        <w:t xml:space="preserve">clinical </w:t>
      </w:r>
      <w:r w:rsidR="00293F2F">
        <w:rPr>
          <w:lang w:eastAsia="ja-JP"/>
        </w:rPr>
        <w:t xml:space="preserve">evaluation </w:t>
      </w:r>
      <w:r>
        <w:rPr>
          <w:lang w:eastAsia="ja-JP"/>
        </w:rPr>
        <w:t>has recommended a</w:t>
      </w:r>
      <w:r w:rsidRPr="00456238">
        <w:rPr>
          <w:lang w:eastAsia="ja-JP"/>
        </w:rPr>
        <w:t xml:space="preserve">pproval of </w:t>
      </w:r>
      <w:proofErr w:type="spellStart"/>
      <w:r w:rsidR="00293F2F">
        <w:rPr>
          <w:lang w:eastAsia="ja-JP"/>
        </w:rPr>
        <w:t>b</w:t>
      </w:r>
      <w:r>
        <w:rPr>
          <w:lang w:eastAsia="ja-JP"/>
        </w:rPr>
        <w:t>imekizumab</w:t>
      </w:r>
      <w:proofErr w:type="spellEnd"/>
      <w:r>
        <w:rPr>
          <w:lang w:eastAsia="ja-JP"/>
        </w:rPr>
        <w:t xml:space="preserve"> </w:t>
      </w:r>
      <w:r w:rsidRPr="00456238">
        <w:rPr>
          <w:lang w:eastAsia="ja-JP"/>
        </w:rPr>
        <w:t>for the treatment of moderate to severe plaque psoriasis in adult patients</w:t>
      </w:r>
      <w:r>
        <w:rPr>
          <w:lang w:eastAsia="ja-JP"/>
        </w:rPr>
        <w:t>,</w:t>
      </w:r>
      <w:r w:rsidRPr="00456238">
        <w:rPr>
          <w:lang w:eastAsia="ja-JP"/>
        </w:rPr>
        <w:t xml:space="preserve"> who are candidates for systemic therapy or phototherapy</w:t>
      </w:r>
      <w:r>
        <w:rPr>
          <w:lang w:eastAsia="ja-JP"/>
        </w:rPr>
        <w:t>. The latter is based on the evaluation outcome of three pivotal studies via:</w:t>
      </w:r>
    </w:p>
    <w:p w14:paraId="509E3ED2" w14:textId="6B8ECEFB" w:rsidR="00551EFF" w:rsidRPr="00551EFF" w:rsidRDefault="00551EFF" w:rsidP="00551EFF">
      <w:pPr>
        <w:pStyle w:val="ListBullet"/>
        <w:rPr>
          <w:lang w:eastAsia="ja-JP"/>
        </w:rPr>
      </w:pPr>
      <w:r w:rsidRPr="00551EFF">
        <w:rPr>
          <w:lang w:eastAsia="ja-JP"/>
        </w:rPr>
        <w:t xml:space="preserve">Two Phase III studies, </w:t>
      </w:r>
      <w:r w:rsidR="001D2CFA">
        <w:rPr>
          <w:lang w:eastAsia="ja-JP"/>
        </w:rPr>
        <w:t>randomised</w:t>
      </w:r>
      <w:r w:rsidRPr="00551EFF">
        <w:rPr>
          <w:lang w:eastAsia="ja-JP"/>
        </w:rPr>
        <w:t xml:space="preserve">, double blind, parallel group, active comparator, controlled (adalimumab for Study PS0008 </w:t>
      </w:r>
      <w:r w:rsidR="00293F2F">
        <w:rPr>
          <w:lang w:eastAsia="ja-JP"/>
        </w:rPr>
        <w:t xml:space="preserve">(see </w:t>
      </w:r>
      <w:r w:rsidR="00293F2F" w:rsidRPr="006E4137">
        <w:rPr>
          <w:i/>
          <w:lang w:eastAsia="ja-JP"/>
        </w:rPr>
        <w:fldChar w:fldCharType="begin"/>
      </w:r>
      <w:r w:rsidR="00293F2F" w:rsidRPr="006E4137">
        <w:rPr>
          <w:i/>
          <w:lang w:eastAsia="ja-JP"/>
        </w:rPr>
        <w:instrText xml:space="preserve"> REF _Ref132625143 \h </w:instrText>
      </w:r>
      <w:r w:rsidR="00293F2F">
        <w:rPr>
          <w:i/>
          <w:lang w:eastAsia="ja-JP"/>
        </w:rPr>
        <w:instrText xml:space="preserve"> \* MERGEFORMAT </w:instrText>
      </w:r>
      <w:r w:rsidR="00293F2F" w:rsidRPr="006E4137">
        <w:rPr>
          <w:i/>
          <w:lang w:eastAsia="ja-JP"/>
        </w:rPr>
      </w:r>
      <w:r w:rsidR="00293F2F" w:rsidRPr="006E4137">
        <w:rPr>
          <w:i/>
          <w:lang w:eastAsia="ja-JP"/>
        </w:rPr>
        <w:fldChar w:fldCharType="separate"/>
      </w:r>
      <w:r w:rsidR="00B54079" w:rsidRPr="00B54079">
        <w:rPr>
          <w:i/>
        </w:rPr>
        <w:t>Study PS0008</w:t>
      </w:r>
      <w:r w:rsidR="00293F2F" w:rsidRPr="006E4137">
        <w:rPr>
          <w:i/>
          <w:lang w:eastAsia="ja-JP"/>
        </w:rPr>
        <w:fldChar w:fldCharType="end"/>
      </w:r>
      <w:r w:rsidR="00293F2F">
        <w:rPr>
          <w:lang w:eastAsia="ja-JP"/>
        </w:rPr>
        <w:t xml:space="preserve">) </w:t>
      </w:r>
      <w:r>
        <w:rPr>
          <w:lang w:eastAsia="ja-JP"/>
        </w:rPr>
        <w:t>and</w:t>
      </w:r>
      <w:r w:rsidRPr="00551EFF">
        <w:rPr>
          <w:lang w:eastAsia="ja-JP"/>
        </w:rPr>
        <w:t xml:space="preserve"> </w:t>
      </w:r>
      <w:proofErr w:type="spellStart"/>
      <w:r>
        <w:rPr>
          <w:lang w:eastAsia="ja-JP"/>
        </w:rPr>
        <w:t>u</w:t>
      </w:r>
      <w:r w:rsidRPr="00551EFF">
        <w:rPr>
          <w:lang w:eastAsia="ja-JP"/>
        </w:rPr>
        <w:t>stekinumab</w:t>
      </w:r>
      <w:proofErr w:type="spellEnd"/>
      <w:r w:rsidRPr="00551EFF">
        <w:rPr>
          <w:lang w:eastAsia="ja-JP"/>
        </w:rPr>
        <w:t xml:space="preserve"> for </w:t>
      </w:r>
      <w:r>
        <w:rPr>
          <w:lang w:eastAsia="ja-JP"/>
        </w:rPr>
        <w:t xml:space="preserve">Study </w:t>
      </w:r>
      <w:r w:rsidRPr="00551EFF">
        <w:rPr>
          <w:lang w:eastAsia="ja-JP"/>
        </w:rPr>
        <w:t>PS0009</w:t>
      </w:r>
      <w:r w:rsidR="00293F2F">
        <w:rPr>
          <w:lang w:eastAsia="ja-JP"/>
        </w:rPr>
        <w:t xml:space="preserve"> (see </w:t>
      </w:r>
      <w:r w:rsidR="00293F2F" w:rsidRPr="006E4137">
        <w:rPr>
          <w:i/>
          <w:lang w:eastAsia="ja-JP"/>
        </w:rPr>
        <w:fldChar w:fldCharType="begin"/>
      </w:r>
      <w:r w:rsidR="00293F2F" w:rsidRPr="006E4137">
        <w:rPr>
          <w:i/>
          <w:lang w:eastAsia="ja-JP"/>
        </w:rPr>
        <w:instrText xml:space="preserve"> REF _Ref132625160 \h </w:instrText>
      </w:r>
      <w:r w:rsidR="00293F2F">
        <w:rPr>
          <w:i/>
          <w:lang w:eastAsia="ja-JP"/>
        </w:rPr>
        <w:instrText xml:space="preserve"> \* MERGEFORMAT </w:instrText>
      </w:r>
      <w:r w:rsidR="00293F2F" w:rsidRPr="006E4137">
        <w:rPr>
          <w:i/>
          <w:lang w:eastAsia="ja-JP"/>
        </w:rPr>
      </w:r>
      <w:r w:rsidR="00293F2F" w:rsidRPr="006E4137">
        <w:rPr>
          <w:i/>
          <w:lang w:eastAsia="ja-JP"/>
        </w:rPr>
        <w:fldChar w:fldCharType="separate"/>
      </w:r>
      <w:r w:rsidR="00B54079" w:rsidRPr="00B54079">
        <w:rPr>
          <w:i/>
        </w:rPr>
        <w:t>Study PS0009</w:t>
      </w:r>
      <w:r w:rsidR="00293F2F" w:rsidRPr="006E4137">
        <w:rPr>
          <w:i/>
          <w:lang w:eastAsia="ja-JP"/>
        </w:rPr>
        <w:fldChar w:fldCharType="end"/>
      </w:r>
      <w:r w:rsidR="00293F2F">
        <w:rPr>
          <w:lang w:eastAsia="ja-JP"/>
        </w:rPr>
        <w:t>, above)</w:t>
      </w:r>
      <w:r w:rsidRPr="00551EFF">
        <w:rPr>
          <w:lang w:eastAsia="ja-JP"/>
        </w:rPr>
        <w:t xml:space="preserve"> multicentre studies, to evaluate the efficacy and safety of </w:t>
      </w:r>
      <w:proofErr w:type="spellStart"/>
      <w:r w:rsidRPr="00551EFF">
        <w:rPr>
          <w:lang w:eastAsia="ja-JP"/>
        </w:rPr>
        <w:t>bimekizumab</w:t>
      </w:r>
      <w:proofErr w:type="spellEnd"/>
      <w:r w:rsidRPr="00551EFF">
        <w:rPr>
          <w:lang w:eastAsia="ja-JP"/>
        </w:rPr>
        <w:t xml:space="preserve"> in adults with moderate to severe plaque psoriasis.</w:t>
      </w:r>
    </w:p>
    <w:p w14:paraId="725624E5" w14:textId="471427B7" w:rsidR="00551EFF" w:rsidRPr="00551EFF" w:rsidRDefault="00551EFF" w:rsidP="00551EFF">
      <w:pPr>
        <w:pStyle w:val="ListBullet"/>
      </w:pPr>
      <w:r w:rsidRPr="00551EFF">
        <w:rPr>
          <w:lang w:eastAsia="ja-JP"/>
        </w:rPr>
        <w:t>One Phase</w:t>
      </w:r>
      <w:r w:rsidRPr="00551EFF">
        <w:t xml:space="preserve"> III, randomi</w:t>
      </w:r>
      <w:r w:rsidR="00272FF9">
        <w:t>s</w:t>
      </w:r>
      <w:r w:rsidRPr="00551EFF">
        <w:t>ed, double</w:t>
      </w:r>
      <w:r w:rsidR="00272FF9">
        <w:t xml:space="preserve"> </w:t>
      </w:r>
      <w:r w:rsidRPr="00551EFF">
        <w:t>blind, placebo controlled (</w:t>
      </w:r>
      <w:r w:rsidR="00272FF9">
        <w:t xml:space="preserve">Study </w:t>
      </w:r>
      <w:r w:rsidRPr="00551EFF">
        <w:t>PS0013</w:t>
      </w:r>
      <w:r w:rsidR="00293F2F">
        <w:t xml:space="preserve"> (see </w:t>
      </w:r>
      <w:r w:rsidR="00293F2F" w:rsidRPr="006E4137">
        <w:rPr>
          <w:i/>
        </w:rPr>
        <w:fldChar w:fldCharType="begin"/>
      </w:r>
      <w:r w:rsidR="00293F2F" w:rsidRPr="006E4137">
        <w:rPr>
          <w:i/>
        </w:rPr>
        <w:instrText xml:space="preserve"> REF _Ref132625178 \h </w:instrText>
      </w:r>
      <w:r w:rsidR="00293F2F">
        <w:rPr>
          <w:i/>
        </w:rPr>
        <w:instrText xml:space="preserve"> \* MERGEFORMAT </w:instrText>
      </w:r>
      <w:r w:rsidR="00293F2F" w:rsidRPr="006E4137">
        <w:rPr>
          <w:i/>
        </w:rPr>
      </w:r>
      <w:r w:rsidR="00293F2F" w:rsidRPr="006E4137">
        <w:rPr>
          <w:i/>
        </w:rPr>
        <w:fldChar w:fldCharType="separate"/>
      </w:r>
      <w:r w:rsidR="00B54079" w:rsidRPr="00B54079">
        <w:rPr>
          <w:i/>
        </w:rPr>
        <w:t>Study</w:t>
      </w:r>
      <w:r w:rsidR="00B54079">
        <w:t xml:space="preserve"> PS0013</w:t>
      </w:r>
      <w:r w:rsidR="00293F2F" w:rsidRPr="006E4137">
        <w:rPr>
          <w:i/>
        </w:rPr>
        <w:fldChar w:fldCharType="end"/>
      </w:r>
      <w:r w:rsidR="00293F2F">
        <w:t>, above)</w:t>
      </w:r>
      <w:r w:rsidRPr="00551EFF">
        <w:t xml:space="preserve">) multicentre study to evaluate the efficacy and safety of </w:t>
      </w:r>
      <w:proofErr w:type="spellStart"/>
      <w:r w:rsidRPr="00551EFF">
        <w:t>bimekizumab</w:t>
      </w:r>
      <w:proofErr w:type="spellEnd"/>
      <w:r w:rsidRPr="00551EFF">
        <w:t xml:space="preserve"> in adults with moderate to severe chronic plaque psoriasis.</w:t>
      </w:r>
    </w:p>
    <w:p w14:paraId="218D90DA" w14:textId="14D6FD1B" w:rsidR="00551EFF" w:rsidRDefault="00551EFF" w:rsidP="00551EFF">
      <w:pPr>
        <w:rPr>
          <w:lang w:eastAsia="ja-JP"/>
        </w:rPr>
      </w:pPr>
      <w:r>
        <w:rPr>
          <w:lang w:eastAsia="ja-JP"/>
        </w:rPr>
        <w:t>It is to be noted that two</w:t>
      </w:r>
      <w:r w:rsidRPr="00E744A6">
        <w:rPr>
          <w:lang w:eastAsia="ja-JP"/>
        </w:rPr>
        <w:t xml:space="preserve"> different formulations were used during clinical development</w:t>
      </w:r>
      <w:r w:rsidR="00272FF9">
        <w:rPr>
          <w:lang w:eastAsia="ja-JP"/>
        </w:rPr>
        <w:t xml:space="preserve">, </w:t>
      </w:r>
      <w:r w:rsidRPr="00CC0F02">
        <w:rPr>
          <w:lang w:eastAsia="ja-JP"/>
        </w:rPr>
        <w:t>the histidine-based formulation</w:t>
      </w:r>
      <w:r>
        <w:rPr>
          <w:lang w:eastAsia="ja-JP"/>
        </w:rPr>
        <w:t xml:space="preserve"> (</w:t>
      </w:r>
      <w:r w:rsidR="00272FF9">
        <w:rPr>
          <w:lang w:eastAsia="ja-JP"/>
        </w:rPr>
        <w:t xml:space="preserve">Formulation </w:t>
      </w:r>
      <w:r>
        <w:rPr>
          <w:lang w:eastAsia="ja-JP"/>
        </w:rPr>
        <w:t>A)</w:t>
      </w:r>
      <w:r w:rsidR="00272FF9">
        <w:rPr>
          <w:lang w:eastAsia="ja-JP"/>
        </w:rPr>
        <w:t xml:space="preserve"> and </w:t>
      </w:r>
      <w:r w:rsidRPr="00CC0F02">
        <w:rPr>
          <w:lang w:eastAsia="ja-JP"/>
        </w:rPr>
        <w:t>the acetate-based formulation</w:t>
      </w:r>
      <w:r>
        <w:rPr>
          <w:lang w:eastAsia="ja-JP"/>
        </w:rPr>
        <w:t xml:space="preserve"> (</w:t>
      </w:r>
      <w:r w:rsidR="00272FF9">
        <w:rPr>
          <w:lang w:eastAsia="ja-JP"/>
        </w:rPr>
        <w:t xml:space="preserve">Formulation </w:t>
      </w:r>
      <w:r>
        <w:rPr>
          <w:lang w:eastAsia="ja-JP"/>
        </w:rPr>
        <w:t>B)</w:t>
      </w:r>
      <w:r w:rsidRPr="00CC0F02">
        <w:rPr>
          <w:lang w:eastAsia="ja-JP"/>
        </w:rPr>
        <w:t>.</w:t>
      </w:r>
    </w:p>
    <w:p w14:paraId="4EFAC8BF" w14:textId="4C4E09FF" w:rsidR="00551EFF" w:rsidRPr="006952F0" w:rsidRDefault="00551EFF" w:rsidP="00551EFF">
      <w:pPr>
        <w:rPr>
          <w:lang w:eastAsia="ja-JP"/>
        </w:rPr>
      </w:pPr>
      <w:r w:rsidRPr="00CC0F02">
        <w:rPr>
          <w:lang w:eastAsia="ja-JP"/>
        </w:rPr>
        <w:t>The acetate formulation is that proposed for commercial marketing and was used in all Phase</w:t>
      </w:r>
      <w:r w:rsidR="00293F2F">
        <w:rPr>
          <w:lang w:eastAsia="ja-JP"/>
        </w:rPr>
        <w:t>s</w:t>
      </w:r>
      <w:r w:rsidRPr="00CC0F02">
        <w:rPr>
          <w:lang w:eastAsia="ja-JP"/>
        </w:rPr>
        <w:t xml:space="preserve"> I to </w:t>
      </w:r>
      <w:r w:rsidR="00272FF9">
        <w:rPr>
          <w:lang w:eastAsia="ja-JP"/>
        </w:rPr>
        <w:t>III</w:t>
      </w:r>
      <w:r w:rsidRPr="00CC0F02">
        <w:rPr>
          <w:lang w:eastAsia="ja-JP"/>
        </w:rPr>
        <w:t xml:space="preserve"> studies</w:t>
      </w:r>
      <w:r>
        <w:rPr>
          <w:lang w:eastAsia="ja-JP"/>
        </w:rPr>
        <w:t xml:space="preserve">. </w:t>
      </w:r>
      <w:r w:rsidRPr="00F7737C">
        <w:rPr>
          <w:bCs/>
        </w:rPr>
        <w:t xml:space="preserve">The relative </w:t>
      </w:r>
      <w:r w:rsidR="00293F2F">
        <w:rPr>
          <w:bCs/>
        </w:rPr>
        <w:t>bioavailability</w:t>
      </w:r>
      <w:r w:rsidRPr="00F7737C">
        <w:rPr>
          <w:bCs/>
        </w:rPr>
        <w:t xml:space="preserve"> of </w:t>
      </w:r>
      <w:proofErr w:type="spellStart"/>
      <w:r w:rsidRPr="00F7737C">
        <w:rPr>
          <w:bCs/>
        </w:rPr>
        <w:t>bimekizumab</w:t>
      </w:r>
      <w:proofErr w:type="spellEnd"/>
      <w:r w:rsidRPr="00F7737C">
        <w:rPr>
          <w:bCs/>
        </w:rPr>
        <w:t xml:space="preserve"> </w:t>
      </w:r>
      <w:r w:rsidR="00293F2F">
        <w:rPr>
          <w:bCs/>
        </w:rPr>
        <w:t xml:space="preserve">in </w:t>
      </w:r>
      <w:r w:rsidRPr="00F7737C">
        <w:rPr>
          <w:bCs/>
        </w:rPr>
        <w:t>Formulation B v</w:t>
      </w:r>
      <w:r w:rsidR="00272FF9">
        <w:rPr>
          <w:bCs/>
        </w:rPr>
        <w:t>ersus</w:t>
      </w:r>
      <w:r w:rsidRPr="00F7737C">
        <w:rPr>
          <w:bCs/>
        </w:rPr>
        <w:t xml:space="preserve"> Formulation A was 96.1% (95% CI: 72.7%, 127%).</w:t>
      </w:r>
      <w:r>
        <w:rPr>
          <w:bCs/>
        </w:rPr>
        <w:t xml:space="preserve"> </w:t>
      </w:r>
      <w:r w:rsidR="00AC3F64">
        <w:rPr>
          <w:bCs/>
        </w:rPr>
        <w:t>The Delegate</w:t>
      </w:r>
      <w:r>
        <w:rPr>
          <w:bCs/>
        </w:rPr>
        <w:t xml:space="preserve"> agree</w:t>
      </w:r>
      <w:r w:rsidR="00AC3F64">
        <w:rPr>
          <w:bCs/>
        </w:rPr>
        <w:t>s</w:t>
      </w:r>
      <w:r>
        <w:rPr>
          <w:bCs/>
        </w:rPr>
        <w:t xml:space="preserve"> with the </w:t>
      </w:r>
      <w:r w:rsidR="00293F2F">
        <w:rPr>
          <w:bCs/>
        </w:rPr>
        <w:t xml:space="preserve">TGA’s clinical </w:t>
      </w:r>
      <w:r w:rsidR="00AC3F64">
        <w:rPr>
          <w:bCs/>
        </w:rPr>
        <w:t>evaluat</w:t>
      </w:r>
      <w:r w:rsidR="00293F2F">
        <w:rPr>
          <w:bCs/>
        </w:rPr>
        <w:t>ion</w:t>
      </w:r>
      <w:r>
        <w:rPr>
          <w:bCs/>
        </w:rPr>
        <w:t xml:space="preserve"> that the slight difference in bioavailability is unlikely to be of clinical significance.</w:t>
      </w:r>
    </w:p>
    <w:p w14:paraId="05F42128" w14:textId="25042A2B" w:rsidR="00551EFF" w:rsidRPr="00293F2F" w:rsidRDefault="00551EFF" w:rsidP="00551EFF">
      <w:pPr>
        <w:rPr>
          <w:rFonts w:eastAsia="TimesNewRoman" w:cs="TimesNewRoman"/>
          <w:color w:val="000000"/>
          <w:lang w:val="en-US"/>
        </w:rPr>
      </w:pPr>
      <w:r>
        <w:rPr>
          <w:lang w:eastAsia="ja-JP"/>
        </w:rPr>
        <w:t>The</w:t>
      </w:r>
      <w:r w:rsidRPr="00A576DD">
        <w:rPr>
          <w:rFonts w:cs="Cambria"/>
          <w:lang w:eastAsia="en-AU" w:bidi="en-AU"/>
        </w:rPr>
        <w:t xml:space="preserve"> </w:t>
      </w:r>
      <w:r w:rsidR="00272FF9">
        <w:rPr>
          <w:rFonts w:cs="Cambria"/>
          <w:lang w:eastAsia="en-AU" w:bidi="en-AU"/>
        </w:rPr>
        <w:t>D</w:t>
      </w:r>
      <w:r w:rsidRPr="00A576DD">
        <w:rPr>
          <w:rFonts w:cs="Cambria"/>
          <w:lang w:eastAsia="en-AU" w:bidi="en-AU"/>
        </w:rPr>
        <w:t xml:space="preserve">elegate </w:t>
      </w:r>
      <w:r>
        <w:rPr>
          <w:rFonts w:cs="Cambria"/>
          <w:lang w:eastAsia="en-AU" w:bidi="en-AU"/>
        </w:rPr>
        <w:t xml:space="preserve">also </w:t>
      </w:r>
      <w:r w:rsidRPr="00A576DD">
        <w:rPr>
          <w:rFonts w:cs="Cambria"/>
          <w:lang w:eastAsia="en-AU" w:bidi="en-AU"/>
        </w:rPr>
        <w:t xml:space="preserve">agrees with the </w:t>
      </w:r>
      <w:r w:rsidR="00293F2F">
        <w:rPr>
          <w:bCs/>
        </w:rPr>
        <w:t>TGA’s clinical evaluation</w:t>
      </w:r>
      <w:r w:rsidRPr="00A576DD">
        <w:rPr>
          <w:rFonts w:cs="Cambria"/>
          <w:lang w:eastAsia="en-AU" w:bidi="en-AU"/>
        </w:rPr>
        <w:t xml:space="preserve">, that adequate evidence had been documented for the efficacy of </w:t>
      </w:r>
      <w:proofErr w:type="spellStart"/>
      <w:r w:rsidR="004858E7">
        <w:rPr>
          <w:rFonts w:cs="Cambria"/>
          <w:lang w:eastAsia="en-AU" w:bidi="en-AU"/>
        </w:rPr>
        <w:t>bimekizumab</w:t>
      </w:r>
      <w:proofErr w:type="spellEnd"/>
      <w:r w:rsidRPr="00A576DD">
        <w:rPr>
          <w:rFonts w:cs="Cambria"/>
          <w:lang w:eastAsia="en-AU" w:bidi="en-AU"/>
        </w:rPr>
        <w:t xml:space="preserve">, </w:t>
      </w:r>
      <w:r w:rsidR="004858E7">
        <w:rPr>
          <w:rFonts w:cs="Cambria"/>
          <w:lang w:eastAsia="en-AU" w:bidi="en-AU"/>
        </w:rPr>
        <w:t>adalimumab</w:t>
      </w:r>
      <w:r w:rsidRPr="00A576DD">
        <w:rPr>
          <w:rFonts w:cs="Cambria"/>
          <w:lang w:eastAsia="en-AU" w:bidi="en-AU"/>
        </w:rPr>
        <w:t xml:space="preserve"> and </w:t>
      </w:r>
      <w:proofErr w:type="spellStart"/>
      <w:r w:rsidR="004858E7">
        <w:rPr>
          <w:rFonts w:cs="Cambria"/>
          <w:lang w:eastAsia="en-AU" w:bidi="en-AU"/>
        </w:rPr>
        <w:t>ustekinumab</w:t>
      </w:r>
      <w:proofErr w:type="spellEnd"/>
      <w:r w:rsidRPr="00A576DD">
        <w:rPr>
          <w:rFonts w:cs="Cambria"/>
          <w:lang w:eastAsia="en-AU" w:bidi="en-AU"/>
        </w:rPr>
        <w:t xml:space="preserve"> in moderate to severe plaque psoriasis, </w:t>
      </w:r>
      <w:r w:rsidRPr="00A576DD">
        <w:rPr>
          <w:rFonts w:eastAsia="TimesNewRoman" w:cs="TimesNewRoman"/>
          <w:color w:val="000000"/>
          <w:lang w:val="en-US"/>
        </w:rPr>
        <w:t xml:space="preserve">as per </w:t>
      </w:r>
      <w:r w:rsidR="00AC3F64">
        <w:rPr>
          <w:rFonts w:eastAsia="TimesNewRoman" w:cs="TimesNewRoman"/>
          <w:color w:val="000000"/>
          <w:lang w:val="en-US"/>
        </w:rPr>
        <w:t>S</w:t>
      </w:r>
      <w:r w:rsidRPr="00A576DD">
        <w:rPr>
          <w:rFonts w:eastAsia="TimesNewRoman" w:cs="TimesNewRoman"/>
          <w:color w:val="000000"/>
          <w:lang w:val="en-US"/>
        </w:rPr>
        <w:t xml:space="preserve">tudies </w:t>
      </w:r>
      <w:r w:rsidRPr="00A576DD">
        <w:rPr>
          <w:lang w:eastAsia="ja-JP"/>
        </w:rPr>
        <w:t>PS0008</w:t>
      </w:r>
      <w:r w:rsidRPr="00A576DD">
        <w:rPr>
          <w:spacing w:val="-2"/>
        </w:rPr>
        <w:t xml:space="preserve"> </w:t>
      </w:r>
      <w:r w:rsidRPr="00A576DD">
        <w:t>and</w:t>
      </w:r>
      <w:r w:rsidRPr="00A576DD">
        <w:rPr>
          <w:spacing w:val="-2"/>
        </w:rPr>
        <w:t xml:space="preserve"> </w:t>
      </w:r>
      <w:r w:rsidRPr="00A576DD">
        <w:rPr>
          <w:lang w:eastAsia="ja-JP"/>
        </w:rPr>
        <w:t>PS0009. Those studies</w:t>
      </w:r>
      <w:r w:rsidRPr="00A576DD">
        <w:rPr>
          <w:b/>
          <w:bCs/>
          <w:lang w:eastAsia="ja-JP"/>
        </w:rPr>
        <w:t xml:space="preserve"> </w:t>
      </w:r>
      <w:r w:rsidRPr="006D255F">
        <w:rPr>
          <w:lang w:eastAsia="ja-JP"/>
        </w:rPr>
        <w:t xml:space="preserve">revealed </w:t>
      </w:r>
      <w:r w:rsidRPr="006D255F">
        <w:rPr>
          <w:rFonts w:eastAsia="TimesNewRoman" w:cs="TimesNewRoman"/>
          <w:color w:val="000000"/>
          <w:lang w:val="en-US"/>
        </w:rPr>
        <w:t>si</w:t>
      </w:r>
      <w:r w:rsidRPr="00A576DD">
        <w:rPr>
          <w:rFonts w:eastAsia="TimesNewRoman" w:cs="TimesNewRoman"/>
          <w:color w:val="000000"/>
          <w:lang w:val="en-US"/>
        </w:rPr>
        <w:t xml:space="preserve">gnificant improvements from baseline for </w:t>
      </w:r>
      <w:proofErr w:type="spellStart"/>
      <w:r w:rsidR="00AC3F64">
        <w:rPr>
          <w:rFonts w:eastAsia="TimesNewRoman" w:cs="TimesNewRoman"/>
          <w:color w:val="000000"/>
          <w:lang w:val="en-US"/>
        </w:rPr>
        <w:t>bimekizumab</w:t>
      </w:r>
      <w:proofErr w:type="spellEnd"/>
      <w:r w:rsidRPr="00A576DD">
        <w:rPr>
          <w:rFonts w:eastAsia="TimesNewRoman" w:cs="TimesNewRoman"/>
          <w:color w:val="000000"/>
          <w:lang w:val="en-US"/>
        </w:rPr>
        <w:t xml:space="preserve"> </w:t>
      </w:r>
      <w:r w:rsidR="001D2CFA">
        <w:rPr>
          <w:rFonts w:eastAsia="TimesNewRoman" w:cs="TimesNewRoman"/>
          <w:color w:val="000000"/>
          <w:lang w:val="en-US"/>
        </w:rPr>
        <w:t>320 mg</w:t>
      </w:r>
      <w:r w:rsidRPr="00A576DD">
        <w:rPr>
          <w:rFonts w:eastAsia="TimesNewRoman" w:cs="TimesNewRoman"/>
          <w:color w:val="000000"/>
          <w:lang w:val="en-US"/>
        </w:rPr>
        <w:t xml:space="preserve"> </w:t>
      </w:r>
      <w:r w:rsidR="00F23C97">
        <w:rPr>
          <w:rFonts w:eastAsia="TimesNewRoman" w:cs="TimesNewRoman"/>
          <w:color w:val="000000"/>
          <w:lang w:val="en-US"/>
        </w:rPr>
        <w:t>every 4 weeks</w:t>
      </w:r>
      <w:r w:rsidRPr="00A576DD">
        <w:rPr>
          <w:rFonts w:eastAsia="TimesNewRoman" w:cs="TimesNewRoman"/>
          <w:color w:val="000000"/>
          <w:lang w:val="en-US"/>
        </w:rPr>
        <w:t xml:space="preserve">, </w:t>
      </w:r>
      <w:r w:rsidR="004858E7">
        <w:rPr>
          <w:rFonts w:eastAsia="TimesNewRoman" w:cs="TimesNewRoman"/>
          <w:color w:val="000000"/>
          <w:lang w:val="en-US"/>
        </w:rPr>
        <w:t>adalimumab</w:t>
      </w:r>
      <w:r w:rsidRPr="00A576DD">
        <w:rPr>
          <w:rFonts w:eastAsia="TimesNewRoman" w:cs="TimesNewRoman"/>
          <w:color w:val="000000"/>
          <w:lang w:val="en-US"/>
        </w:rPr>
        <w:t xml:space="preserve"> 40</w:t>
      </w:r>
      <w:r w:rsidR="00AC3F64">
        <w:rPr>
          <w:rFonts w:eastAsia="TimesNewRoman" w:cs="TimesNewRoman"/>
          <w:color w:val="000000"/>
          <w:lang w:val="en-US"/>
        </w:rPr>
        <w:t xml:space="preserve"> </w:t>
      </w:r>
      <w:r w:rsidRPr="00A576DD">
        <w:rPr>
          <w:rFonts w:eastAsia="TimesNewRoman" w:cs="TimesNewRoman"/>
          <w:color w:val="000000"/>
          <w:lang w:val="en-US"/>
        </w:rPr>
        <w:t xml:space="preserve">mg </w:t>
      </w:r>
      <w:r w:rsidR="00AC3F64">
        <w:rPr>
          <w:rFonts w:eastAsia="TimesNewRoman" w:cs="TimesNewRoman"/>
          <w:color w:val="000000"/>
          <w:lang w:val="en-US"/>
        </w:rPr>
        <w:t>every 2 weeks</w:t>
      </w:r>
      <w:r w:rsidRPr="00A576DD">
        <w:rPr>
          <w:rFonts w:eastAsia="TimesNewRoman" w:cs="TimesNewRoman"/>
          <w:color w:val="000000"/>
          <w:lang w:val="en-US"/>
        </w:rPr>
        <w:t xml:space="preserve"> and </w:t>
      </w:r>
      <w:proofErr w:type="spellStart"/>
      <w:r w:rsidR="004858E7">
        <w:rPr>
          <w:rFonts w:eastAsia="TimesNewRoman" w:cs="TimesNewRoman"/>
          <w:color w:val="000000"/>
          <w:lang w:val="en-US"/>
        </w:rPr>
        <w:t>ustekinumab</w:t>
      </w:r>
      <w:proofErr w:type="spellEnd"/>
      <w:r w:rsidRPr="00A576DD">
        <w:rPr>
          <w:rFonts w:eastAsia="TimesNewRoman" w:cs="TimesNewRoman"/>
          <w:color w:val="000000"/>
          <w:lang w:val="en-US"/>
        </w:rPr>
        <w:t xml:space="preserve"> </w:t>
      </w:r>
      <w:r w:rsidR="00AC3F64">
        <w:rPr>
          <w:rFonts w:eastAsia="TimesNewRoman" w:cs="TimesNewRoman"/>
          <w:color w:val="000000"/>
          <w:lang w:val="en-US"/>
        </w:rPr>
        <w:t>every 12 weeks</w:t>
      </w:r>
      <w:r w:rsidRPr="00A576DD">
        <w:rPr>
          <w:rFonts w:eastAsia="TimesNewRoman" w:cs="TimesNewRoman"/>
          <w:color w:val="000000"/>
          <w:lang w:val="en-US"/>
        </w:rPr>
        <w:t xml:space="preserve"> for both the co</w:t>
      </w:r>
      <w:r w:rsidR="00AC3F64">
        <w:rPr>
          <w:rFonts w:eastAsia="TimesNewRoman" w:cs="TimesNewRoman"/>
          <w:color w:val="000000"/>
          <w:lang w:val="en-US"/>
        </w:rPr>
        <w:noBreakHyphen/>
      </w:r>
      <w:r w:rsidRPr="00A576DD">
        <w:rPr>
          <w:rFonts w:eastAsia="TimesNewRoman" w:cs="TimesNewRoman"/>
          <w:color w:val="000000"/>
          <w:lang w:val="en-US"/>
        </w:rPr>
        <w:t xml:space="preserve">primary endpoints (PASI 90 </w:t>
      </w:r>
      <w:r w:rsidR="00293F2F">
        <w:rPr>
          <w:rFonts w:eastAsia="TimesNewRoman" w:cs="TimesNewRoman"/>
          <w:color w:val="000000"/>
          <w:lang w:val="en-US"/>
        </w:rPr>
        <w:t>and</w:t>
      </w:r>
      <w:r w:rsidRPr="00A576DD">
        <w:rPr>
          <w:rFonts w:eastAsia="TimesNewRoman" w:cs="TimesNewRoman"/>
          <w:color w:val="000000"/>
          <w:lang w:val="en-US"/>
        </w:rPr>
        <w:t xml:space="preserve"> IGA 0/1 response) at Week 16 and, </w:t>
      </w:r>
      <w:r>
        <w:rPr>
          <w:rFonts w:eastAsia="TimesNewRoman" w:cs="TimesNewRoman"/>
          <w:color w:val="000000"/>
          <w:lang w:val="en-US"/>
        </w:rPr>
        <w:t xml:space="preserve">the </w:t>
      </w:r>
      <w:r w:rsidRPr="00A576DD">
        <w:rPr>
          <w:rFonts w:eastAsia="TimesNewRoman" w:cs="TimesNewRoman"/>
          <w:color w:val="000000"/>
          <w:lang w:val="en-US"/>
        </w:rPr>
        <w:t>secondary endpoints</w:t>
      </w:r>
      <w:r w:rsidR="00293F2F">
        <w:rPr>
          <w:rFonts w:eastAsia="TimesNewRoman" w:cs="TimesNewRoman"/>
          <w:color w:val="000000"/>
          <w:lang w:val="en-US"/>
        </w:rPr>
        <w:t>;</w:t>
      </w:r>
      <w:r w:rsidR="00293F2F" w:rsidRPr="00293F2F">
        <w:rPr>
          <w:rFonts w:eastAsia="TimesNewRoman" w:cs="TimesNewRoman"/>
          <w:color w:val="000000"/>
          <w:lang w:val="en-US"/>
        </w:rPr>
        <w:t xml:space="preserve"> </w:t>
      </w:r>
      <w:r w:rsidR="00293F2F">
        <w:rPr>
          <w:rFonts w:eastAsia="TimesNewRoman" w:cs="TimesNewRoman"/>
          <w:color w:val="000000"/>
          <w:lang w:val="en-US"/>
        </w:rPr>
        <w:t xml:space="preserve">see </w:t>
      </w:r>
      <w:r w:rsidR="00293F2F" w:rsidRPr="006E4137">
        <w:rPr>
          <w:rFonts w:eastAsia="TimesNewRoman" w:cs="TimesNewRoman"/>
          <w:i/>
          <w:color w:val="000000"/>
          <w:lang w:val="en-US"/>
        </w:rPr>
        <w:fldChar w:fldCharType="begin"/>
      </w:r>
      <w:r w:rsidR="00293F2F" w:rsidRPr="006E4137">
        <w:rPr>
          <w:rFonts w:eastAsia="TimesNewRoman" w:cs="TimesNewRoman"/>
          <w:i/>
          <w:color w:val="000000"/>
          <w:lang w:val="en-US"/>
        </w:rPr>
        <w:instrText xml:space="preserve"> REF _Ref132625377 \h </w:instrText>
      </w:r>
      <w:r w:rsidR="00293F2F">
        <w:rPr>
          <w:rFonts w:eastAsia="TimesNewRoman" w:cs="TimesNewRoman"/>
          <w:i/>
          <w:color w:val="000000"/>
          <w:lang w:val="en-US"/>
        </w:rPr>
        <w:instrText xml:space="preserve"> \* MERGEFORMAT </w:instrText>
      </w:r>
      <w:r w:rsidR="00293F2F" w:rsidRPr="006E4137">
        <w:rPr>
          <w:rFonts w:eastAsia="TimesNewRoman" w:cs="TimesNewRoman"/>
          <w:i/>
          <w:color w:val="000000"/>
          <w:lang w:val="en-US"/>
        </w:rPr>
      </w:r>
      <w:r w:rsidR="00293F2F" w:rsidRPr="006E4137">
        <w:rPr>
          <w:rFonts w:eastAsia="TimesNewRoman" w:cs="TimesNewRoman"/>
          <w:i/>
          <w:color w:val="000000"/>
          <w:lang w:val="en-US"/>
        </w:rPr>
        <w:fldChar w:fldCharType="separate"/>
      </w:r>
      <w:r w:rsidR="00B54079" w:rsidRPr="00B54079">
        <w:rPr>
          <w:i/>
        </w:rPr>
        <w:t>Assessment of clinical responses</w:t>
      </w:r>
      <w:r w:rsidR="00293F2F" w:rsidRPr="006E4137">
        <w:rPr>
          <w:rFonts w:eastAsia="TimesNewRoman" w:cs="TimesNewRoman"/>
          <w:i/>
          <w:color w:val="000000"/>
          <w:lang w:val="en-US"/>
        </w:rPr>
        <w:fldChar w:fldCharType="end"/>
      </w:r>
      <w:r w:rsidR="00293F2F">
        <w:rPr>
          <w:rFonts w:eastAsia="TimesNewRoman" w:cs="TimesNewRoman"/>
          <w:i/>
          <w:color w:val="000000"/>
          <w:lang w:val="en-US"/>
        </w:rPr>
        <w:t xml:space="preserve"> </w:t>
      </w:r>
      <w:r w:rsidR="00293F2F">
        <w:rPr>
          <w:rFonts w:eastAsia="TimesNewRoman" w:cs="TimesNewRoman"/>
          <w:color w:val="000000"/>
          <w:lang w:val="en-US"/>
        </w:rPr>
        <w:t xml:space="preserve">for descriptions of the Psoriasis Area and </w:t>
      </w:r>
      <w:proofErr w:type="spellStart"/>
      <w:r w:rsidR="00293F2F">
        <w:rPr>
          <w:rFonts w:eastAsia="TimesNewRoman" w:cs="TimesNewRoman"/>
          <w:color w:val="000000"/>
          <w:lang w:val="en-US"/>
        </w:rPr>
        <w:t>Severy</w:t>
      </w:r>
      <w:proofErr w:type="spellEnd"/>
      <w:r w:rsidR="00293F2F">
        <w:rPr>
          <w:rFonts w:eastAsia="TimesNewRoman" w:cs="TimesNewRoman"/>
          <w:color w:val="000000"/>
          <w:lang w:val="en-US"/>
        </w:rPr>
        <w:t xml:space="preserve"> Index (PASI) and Investigator’s Global Assessment (IGA) instruments).</w:t>
      </w:r>
    </w:p>
    <w:p w14:paraId="0D93112E" w14:textId="77777777" w:rsidR="00293F2F" w:rsidRDefault="00551EFF" w:rsidP="00551EFF">
      <w:pPr>
        <w:rPr>
          <w:lang w:eastAsia="ja-JP"/>
        </w:rPr>
      </w:pPr>
      <w:r w:rsidRPr="00820BD6">
        <w:rPr>
          <w:rFonts w:eastAsia="TimesNewRoman" w:cs="TimesNewRoman"/>
          <w:color w:val="000000"/>
          <w:lang w:val="en-US"/>
        </w:rPr>
        <w:t xml:space="preserve">The improvement with </w:t>
      </w:r>
      <w:proofErr w:type="spellStart"/>
      <w:r w:rsidR="008B40FD">
        <w:rPr>
          <w:rFonts w:eastAsia="TimesNewRoman" w:cs="TimesNewRoman"/>
          <w:color w:val="000000"/>
          <w:lang w:val="en-US"/>
        </w:rPr>
        <w:t>bimekizumab</w:t>
      </w:r>
      <w:proofErr w:type="spellEnd"/>
      <w:r w:rsidRPr="00820BD6">
        <w:rPr>
          <w:rFonts w:eastAsia="TimesNewRoman" w:cs="TimesNewRoman"/>
          <w:color w:val="000000"/>
          <w:lang w:val="en-US"/>
        </w:rPr>
        <w:t xml:space="preserve"> </w:t>
      </w:r>
      <w:r w:rsidR="001D2CFA">
        <w:rPr>
          <w:rFonts w:eastAsia="TimesNewRoman" w:cs="TimesNewRoman"/>
          <w:color w:val="000000"/>
          <w:lang w:val="en-US"/>
        </w:rPr>
        <w:t>320 mg</w:t>
      </w:r>
      <w:r w:rsidRPr="00820BD6">
        <w:rPr>
          <w:rFonts w:eastAsia="TimesNewRoman" w:cs="TimesNewRoman"/>
          <w:color w:val="000000"/>
          <w:lang w:val="en-US"/>
        </w:rPr>
        <w:t xml:space="preserve"> </w:t>
      </w:r>
      <w:r w:rsidR="00F23C97">
        <w:rPr>
          <w:rFonts w:eastAsia="TimesNewRoman" w:cs="TimesNewRoman"/>
          <w:color w:val="000000"/>
          <w:lang w:val="en-US"/>
        </w:rPr>
        <w:t>every 4 weeks</w:t>
      </w:r>
      <w:r w:rsidRPr="00820BD6">
        <w:rPr>
          <w:rFonts w:eastAsia="TimesNewRoman" w:cs="TimesNewRoman"/>
          <w:color w:val="000000"/>
          <w:lang w:val="en-US"/>
        </w:rPr>
        <w:t xml:space="preserve"> regarding PASI 90 at Week</w:t>
      </w:r>
      <w:r w:rsidR="00AC3F64">
        <w:rPr>
          <w:rFonts w:eastAsia="TimesNewRoman" w:cs="TimesNewRoman"/>
          <w:color w:val="000000"/>
          <w:lang w:val="en-US"/>
        </w:rPr>
        <w:t> </w:t>
      </w:r>
      <w:r w:rsidRPr="00820BD6">
        <w:rPr>
          <w:rFonts w:eastAsia="TimesNewRoman" w:cs="TimesNewRoman"/>
          <w:color w:val="000000"/>
          <w:lang w:val="en-US"/>
        </w:rPr>
        <w:t xml:space="preserve">16, was apparently statistically significant over </w:t>
      </w:r>
      <w:r w:rsidR="004858E7">
        <w:rPr>
          <w:rFonts w:eastAsia="TimesNewRoman" w:cs="TimesNewRoman"/>
          <w:color w:val="000000"/>
          <w:lang w:val="en-US"/>
        </w:rPr>
        <w:t>adalimumab</w:t>
      </w:r>
      <w:r w:rsidRPr="00820BD6">
        <w:rPr>
          <w:rFonts w:eastAsia="TimesNewRoman" w:cs="TimesNewRoman"/>
          <w:color w:val="000000"/>
          <w:lang w:val="en-US"/>
        </w:rPr>
        <w:t xml:space="preserve"> </w:t>
      </w:r>
      <w:r w:rsidR="00272FF9">
        <w:rPr>
          <w:rFonts w:eastAsia="TimesNewRoman" w:cs="TimesNewRoman"/>
          <w:color w:val="000000"/>
          <w:lang w:val="en-US"/>
        </w:rPr>
        <w:t>(</w:t>
      </w:r>
      <w:proofErr w:type="spellStart"/>
      <w:r w:rsidR="008B40FD">
        <w:rPr>
          <w:rFonts w:eastAsia="TimesNewRoman" w:cs="TimesNewRoman"/>
          <w:color w:val="000000"/>
          <w:lang w:val="en-US"/>
        </w:rPr>
        <w:t>bimekizumab</w:t>
      </w:r>
      <w:proofErr w:type="spellEnd"/>
      <w:r w:rsidRPr="00820BD6">
        <w:rPr>
          <w:rFonts w:eastAsia="TimesNewRoman" w:cs="TimesNewRoman"/>
          <w:color w:val="000000"/>
          <w:lang w:val="en-US"/>
        </w:rPr>
        <w:t xml:space="preserve"> </w:t>
      </w:r>
      <w:r w:rsidRPr="00820BD6">
        <w:rPr>
          <w:lang w:eastAsia="ja-JP"/>
        </w:rPr>
        <w:t xml:space="preserve">86.2% </w:t>
      </w:r>
      <w:r w:rsidR="004858E7">
        <w:rPr>
          <w:lang w:eastAsia="ja-JP"/>
        </w:rPr>
        <w:t>versus</w:t>
      </w:r>
      <w:r w:rsidRPr="00820BD6">
        <w:rPr>
          <w:lang w:eastAsia="ja-JP"/>
        </w:rPr>
        <w:t xml:space="preserve"> </w:t>
      </w:r>
      <w:r w:rsidR="004858E7">
        <w:rPr>
          <w:lang w:eastAsia="ja-JP"/>
        </w:rPr>
        <w:t>adalimumab</w:t>
      </w:r>
      <w:r w:rsidRPr="00820BD6">
        <w:rPr>
          <w:lang w:eastAsia="ja-JP"/>
        </w:rPr>
        <w:t xml:space="preserve"> 47.2%: odds ratio versus </w:t>
      </w:r>
      <w:r w:rsidR="004858E7">
        <w:rPr>
          <w:lang w:eastAsia="ja-JP"/>
        </w:rPr>
        <w:t>adalimumab</w:t>
      </w:r>
      <w:r w:rsidRPr="00820BD6">
        <w:rPr>
          <w:lang w:eastAsia="ja-JP"/>
        </w:rPr>
        <w:t xml:space="preserve"> of 7.45 (95% CI: 4.709, 11.816; p</w:t>
      </w:r>
      <w:r w:rsidR="00AC3F64">
        <w:rPr>
          <w:lang w:eastAsia="ja-JP"/>
        </w:rPr>
        <w:t> </w:t>
      </w:r>
      <w:r w:rsidRPr="00820BD6">
        <w:rPr>
          <w:lang w:eastAsia="ja-JP"/>
        </w:rPr>
        <w:t>&lt;</w:t>
      </w:r>
      <w:r w:rsidR="00AC3F64">
        <w:rPr>
          <w:lang w:eastAsia="ja-JP"/>
        </w:rPr>
        <w:t xml:space="preserve"> </w:t>
      </w:r>
      <w:r w:rsidRPr="00820BD6">
        <w:rPr>
          <w:lang w:eastAsia="ja-JP"/>
        </w:rPr>
        <w:t>0.001)</w:t>
      </w:r>
      <w:r w:rsidR="00272FF9">
        <w:rPr>
          <w:lang w:eastAsia="ja-JP"/>
        </w:rPr>
        <w:t>)</w:t>
      </w:r>
      <w:r w:rsidRPr="00820BD6">
        <w:rPr>
          <w:lang w:eastAsia="ja-JP"/>
        </w:rPr>
        <w:t xml:space="preserve"> and</w:t>
      </w:r>
      <w:r>
        <w:rPr>
          <w:lang w:eastAsia="ja-JP"/>
        </w:rPr>
        <w:t xml:space="preserve"> over </w:t>
      </w:r>
      <w:proofErr w:type="spellStart"/>
      <w:r w:rsidR="004858E7">
        <w:rPr>
          <w:lang w:eastAsia="ja-JP"/>
        </w:rPr>
        <w:t>ustekinumab</w:t>
      </w:r>
      <w:proofErr w:type="spellEnd"/>
      <w:r w:rsidRPr="00820BD6">
        <w:rPr>
          <w:lang w:eastAsia="ja-JP"/>
        </w:rPr>
        <w:t xml:space="preserve"> </w:t>
      </w:r>
      <w:r w:rsidR="00272FF9">
        <w:rPr>
          <w:lang w:eastAsia="ja-JP"/>
        </w:rPr>
        <w:t>(</w:t>
      </w:r>
      <w:proofErr w:type="spellStart"/>
      <w:r w:rsidR="008B40FD">
        <w:rPr>
          <w:lang w:eastAsia="ja-JP"/>
        </w:rPr>
        <w:t>bimekizumab</w:t>
      </w:r>
      <w:proofErr w:type="spellEnd"/>
      <w:r w:rsidRPr="00820BD6">
        <w:rPr>
          <w:lang w:eastAsia="ja-JP"/>
        </w:rPr>
        <w:t xml:space="preserve"> 85% </w:t>
      </w:r>
      <w:r w:rsidR="004858E7">
        <w:rPr>
          <w:lang w:eastAsia="ja-JP"/>
        </w:rPr>
        <w:t>versus</w:t>
      </w:r>
      <w:r w:rsidRPr="00820BD6">
        <w:rPr>
          <w:lang w:eastAsia="ja-JP"/>
        </w:rPr>
        <w:t xml:space="preserve"> </w:t>
      </w:r>
      <w:proofErr w:type="spellStart"/>
      <w:r w:rsidR="004858E7">
        <w:rPr>
          <w:lang w:eastAsia="ja-JP"/>
        </w:rPr>
        <w:t>ustekinumab</w:t>
      </w:r>
      <w:proofErr w:type="spellEnd"/>
      <w:r w:rsidRPr="00820BD6">
        <w:rPr>
          <w:lang w:eastAsia="ja-JP"/>
        </w:rPr>
        <w:t xml:space="preserve"> 49.7%: odds ratio versus </w:t>
      </w:r>
      <w:proofErr w:type="spellStart"/>
      <w:r w:rsidR="004858E7">
        <w:rPr>
          <w:lang w:eastAsia="ja-JP"/>
        </w:rPr>
        <w:t>ustekinumab</w:t>
      </w:r>
      <w:proofErr w:type="spellEnd"/>
      <w:r w:rsidRPr="00820BD6">
        <w:rPr>
          <w:lang w:eastAsia="ja-JP"/>
        </w:rPr>
        <w:t xml:space="preserve"> of 6.05 (p</w:t>
      </w:r>
      <w:r w:rsidR="00AC3F64">
        <w:rPr>
          <w:lang w:eastAsia="ja-JP"/>
        </w:rPr>
        <w:t xml:space="preserve"> </w:t>
      </w:r>
      <w:r w:rsidRPr="00820BD6">
        <w:rPr>
          <w:lang w:eastAsia="ja-JP"/>
        </w:rPr>
        <w:t>&lt;</w:t>
      </w:r>
      <w:r w:rsidR="00AC3F64">
        <w:rPr>
          <w:lang w:eastAsia="ja-JP"/>
        </w:rPr>
        <w:t xml:space="preserve"> </w:t>
      </w:r>
      <w:r w:rsidRPr="00820BD6">
        <w:rPr>
          <w:lang w:eastAsia="ja-JP"/>
        </w:rPr>
        <w:t>0.001)</w:t>
      </w:r>
      <w:r w:rsidR="00AC3F64">
        <w:rPr>
          <w:lang w:eastAsia="ja-JP"/>
        </w:rPr>
        <w:t>)</w:t>
      </w:r>
      <w:r w:rsidRPr="00820BD6">
        <w:rPr>
          <w:lang w:eastAsia="ja-JP"/>
        </w:rPr>
        <w:t xml:space="preserve">. Likewise, the </w:t>
      </w:r>
      <w:r w:rsidRPr="00820BD6">
        <w:rPr>
          <w:rFonts w:eastAsia="TimesNewRoman" w:cs="TimesNewRoman"/>
          <w:color w:val="000000"/>
          <w:lang w:val="en-US"/>
        </w:rPr>
        <w:t xml:space="preserve">improvement with </w:t>
      </w:r>
      <w:proofErr w:type="spellStart"/>
      <w:r w:rsidR="008B40FD">
        <w:rPr>
          <w:rFonts w:eastAsia="TimesNewRoman" w:cs="TimesNewRoman"/>
          <w:color w:val="000000"/>
          <w:lang w:val="en-US"/>
        </w:rPr>
        <w:t>bimekizumab</w:t>
      </w:r>
      <w:proofErr w:type="spellEnd"/>
      <w:r w:rsidRPr="00820BD6">
        <w:rPr>
          <w:rFonts w:eastAsia="TimesNewRoman" w:cs="TimesNewRoman"/>
          <w:color w:val="000000"/>
          <w:lang w:val="en-US"/>
        </w:rPr>
        <w:t xml:space="preserve"> </w:t>
      </w:r>
      <w:r w:rsidR="001D2CFA">
        <w:rPr>
          <w:rFonts w:eastAsia="TimesNewRoman" w:cs="TimesNewRoman"/>
          <w:color w:val="000000"/>
          <w:lang w:val="en-US"/>
        </w:rPr>
        <w:t>320 mg</w:t>
      </w:r>
      <w:r w:rsidRPr="00820BD6">
        <w:rPr>
          <w:rFonts w:eastAsia="TimesNewRoman" w:cs="TimesNewRoman"/>
          <w:color w:val="000000"/>
          <w:lang w:val="en-US"/>
        </w:rPr>
        <w:t xml:space="preserve"> </w:t>
      </w:r>
      <w:r w:rsidR="00F23C97">
        <w:rPr>
          <w:rFonts w:eastAsia="TimesNewRoman" w:cs="TimesNewRoman"/>
          <w:color w:val="000000"/>
          <w:lang w:val="en-US"/>
        </w:rPr>
        <w:t>every 4 weeks</w:t>
      </w:r>
      <w:r w:rsidRPr="00820BD6">
        <w:rPr>
          <w:rFonts w:eastAsia="TimesNewRoman" w:cs="TimesNewRoman"/>
          <w:color w:val="000000"/>
          <w:lang w:val="en-US"/>
        </w:rPr>
        <w:t xml:space="preserve"> regarding IGA 0/1 at Week 16 was apparently statistically significant over </w:t>
      </w:r>
      <w:r w:rsidR="004858E7">
        <w:rPr>
          <w:rFonts w:eastAsia="TimesNewRoman" w:cs="TimesNewRoman"/>
          <w:color w:val="000000"/>
          <w:lang w:val="en-US"/>
        </w:rPr>
        <w:t>adalimumab</w:t>
      </w:r>
      <w:r w:rsidRPr="00820BD6">
        <w:rPr>
          <w:rFonts w:eastAsia="TimesNewRoman" w:cs="TimesNewRoman"/>
          <w:color w:val="000000"/>
          <w:lang w:val="en-US"/>
        </w:rPr>
        <w:t xml:space="preserve"> </w:t>
      </w:r>
      <w:r w:rsidR="00272FF9">
        <w:rPr>
          <w:rFonts w:eastAsia="TimesNewRoman" w:cs="TimesNewRoman"/>
          <w:color w:val="000000"/>
          <w:lang w:val="en-US"/>
        </w:rPr>
        <w:t>(</w:t>
      </w:r>
      <w:proofErr w:type="spellStart"/>
      <w:r w:rsidR="008B40FD">
        <w:rPr>
          <w:rFonts w:eastAsia="TimesNewRoman" w:cs="TimesNewRoman"/>
          <w:color w:val="000000"/>
          <w:lang w:val="en-US"/>
        </w:rPr>
        <w:t>bimekizumab</w:t>
      </w:r>
      <w:proofErr w:type="spellEnd"/>
      <w:r w:rsidRPr="00820BD6">
        <w:rPr>
          <w:rFonts w:eastAsia="TimesNewRoman" w:cs="TimesNewRoman"/>
          <w:color w:val="000000"/>
          <w:lang w:val="en-US"/>
        </w:rPr>
        <w:t xml:space="preserve"> </w:t>
      </w:r>
      <w:r w:rsidRPr="00820BD6">
        <w:rPr>
          <w:lang w:eastAsia="ja-JP"/>
        </w:rPr>
        <w:t xml:space="preserve">85.3% </w:t>
      </w:r>
      <w:r w:rsidR="004858E7">
        <w:rPr>
          <w:lang w:eastAsia="ja-JP"/>
        </w:rPr>
        <w:t>versus</w:t>
      </w:r>
      <w:r w:rsidRPr="00820BD6">
        <w:rPr>
          <w:lang w:eastAsia="ja-JP"/>
        </w:rPr>
        <w:t xml:space="preserve"> </w:t>
      </w:r>
      <w:r w:rsidR="004858E7">
        <w:rPr>
          <w:lang w:eastAsia="ja-JP"/>
        </w:rPr>
        <w:t>adalimumab</w:t>
      </w:r>
      <w:r w:rsidRPr="00820BD6">
        <w:rPr>
          <w:lang w:eastAsia="ja-JP"/>
        </w:rPr>
        <w:t xml:space="preserve"> 57.2%: </w:t>
      </w:r>
      <w:r w:rsidRPr="00820BD6">
        <w:rPr>
          <w:lang w:eastAsia="ja-JP"/>
        </w:rPr>
        <w:lastRenderedPageBreak/>
        <w:t xml:space="preserve">odds ratio versus </w:t>
      </w:r>
      <w:r w:rsidR="004858E7">
        <w:rPr>
          <w:lang w:eastAsia="ja-JP"/>
        </w:rPr>
        <w:t>adalimumab</w:t>
      </w:r>
      <w:r w:rsidRPr="00820BD6">
        <w:rPr>
          <w:lang w:eastAsia="ja-JP"/>
        </w:rPr>
        <w:t xml:space="preserve"> of 4.34 (</w:t>
      </w:r>
      <w:r w:rsidRPr="00820BD6">
        <w:t>95% CI: 2.78, 6.76; p</w:t>
      </w:r>
      <w:r w:rsidR="00AC3F64">
        <w:t xml:space="preserve"> </w:t>
      </w:r>
      <w:r w:rsidRPr="00820BD6">
        <w:t>&lt;</w:t>
      </w:r>
      <w:r w:rsidR="00AC3F64">
        <w:t xml:space="preserve"> </w:t>
      </w:r>
      <w:r w:rsidRPr="00820BD6">
        <w:t>0.001</w:t>
      </w:r>
      <w:r w:rsidRPr="00820BD6">
        <w:rPr>
          <w:lang w:eastAsia="ja-JP"/>
        </w:rPr>
        <w:t>)</w:t>
      </w:r>
      <w:r w:rsidR="00AC3F64">
        <w:rPr>
          <w:lang w:eastAsia="ja-JP"/>
        </w:rPr>
        <w:t>)</w:t>
      </w:r>
      <w:r w:rsidRPr="00820BD6">
        <w:rPr>
          <w:lang w:eastAsia="ja-JP"/>
        </w:rPr>
        <w:t xml:space="preserve"> and </w:t>
      </w:r>
      <w:r>
        <w:rPr>
          <w:lang w:eastAsia="ja-JP"/>
        </w:rPr>
        <w:t xml:space="preserve">over </w:t>
      </w:r>
      <w:proofErr w:type="spellStart"/>
      <w:r w:rsidR="004858E7">
        <w:rPr>
          <w:lang w:eastAsia="ja-JP"/>
        </w:rPr>
        <w:t>ustekinumab</w:t>
      </w:r>
      <w:proofErr w:type="spellEnd"/>
      <w:r w:rsidRPr="00820BD6">
        <w:rPr>
          <w:lang w:eastAsia="ja-JP"/>
        </w:rPr>
        <w:t xml:space="preserve"> </w:t>
      </w:r>
      <w:r w:rsidR="00AC3F64">
        <w:rPr>
          <w:lang w:eastAsia="ja-JP"/>
        </w:rPr>
        <w:t>(</w:t>
      </w:r>
      <w:proofErr w:type="spellStart"/>
      <w:r w:rsidR="008B40FD">
        <w:rPr>
          <w:lang w:eastAsia="ja-JP"/>
        </w:rPr>
        <w:t>bimekizumab</w:t>
      </w:r>
      <w:proofErr w:type="spellEnd"/>
      <w:r w:rsidRPr="00820BD6">
        <w:rPr>
          <w:lang w:eastAsia="ja-JP"/>
        </w:rPr>
        <w:t xml:space="preserve"> 84.1% </w:t>
      </w:r>
      <w:r w:rsidR="004858E7">
        <w:rPr>
          <w:lang w:eastAsia="ja-JP"/>
        </w:rPr>
        <w:t>versus</w:t>
      </w:r>
      <w:r w:rsidRPr="00820BD6">
        <w:rPr>
          <w:lang w:eastAsia="ja-JP"/>
        </w:rPr>
        <w:t xml:space="preserve"> </w:t>
      </w:r>
      <w:proofErr w:type="spellStart"/>
      <w:r w:rsidR="004858E7">
        <w:rPr>
          <w:lang w:eastAsia="ja-JP"/>
        </w:rPr>
        <w:t>ustekinumab</w:t>
      </w:r>
      <w:proofErr w:type="spellEnd"/>
      <w:r w:rsidRPr="00820BD6">
        <w:rPr>
          <w:lang w:eastAsia="ja-JP"/>
        </w:rPr>
        <w:t xml:space="preserve"> 53.4%: odds ratio versus </w:t>
      </w:r>
      <w:proofErr w:type="spellStart"/>
      <w:r w:rsidR="004858E7">
        <w:rPr>
          <w:lang w:eastAsia="ja-JP"/>
        </w:rPr>
        <w:t>ustekinumab</w:t>
      </w:r>
      <w:proofErr w:type="spellEnd"/>
      <w:r w:rsidRPr="00820BD6">
        <w:rPr>
          <w:lang w:eastAsia="ja-JP"/>
        </w:rPr>
        <w:t xml:space="preserve"> of 4.8 (p</w:t>
      </w:r>
      <w:r w:rsidR="00AC3F64">
        <w:rPr>
          <w:lang w:eastAsia="ja-JP"/>
        </w:rPr>
        <w:t xml:space="preserve"> </w:t>
      </w:r>
      <w:r w:rsidRPr="00820BD6">
        <w:rPr>
          <w:lang w:eastAsia="ja-JP"/>
        </w:rPr>
        <w:t>&lt;</w:t>
      </w:r>
      <w:r w:rsidR="00AC3F64">
        <w:rPr>
          <w:lang w:eastAsia="ja-JP"/>
        </w:rPr>
        <w:t xml:space="preserve"> </w:t>
      </w:r>
      <w:r w:rsidRPr="00820BD6">
        <w:rPr>
          <w:lang w:eastAsia="ja-JP"/>
        </w:rPr>
        <w:t>0.001)</w:t>
      </w:r>
      <w:r w:rsidR="00272FF9">
        <w:rPr>
          <w:lang w:eastAsia="ja-JP"/>
        </w:rPr>
        <w:t>)</w:t>
      </w:r>
      <w:r>
        <w:rPr>
          <w:lang w:eastAsia="ja-JP"/>
        </w:rPr>
        <w:t>.</w:t>
      </w:r>
    </w:p>
    <w:p w14:paraId="01A89FE0" w14:textId="07B688D9" w:rsidR="00551EFF" w:rsidRPr="00186C04" w:rsidRDefault="00551EFF" w:rsidP="00551EFF">
      <w:pPr>
        <w:rPr>
          <w:lang w:eastAsia="ja-JP"/>
        </w:rPr>
      </w:pPr>
      <w:r>
        <w:rPr>
          <w:lang w:eastAsia="ja-JP"/>
        </w:rPr>
        <w:t xml:space="preserve">The preferred adequate wording in the </w:t>
      </w:r>
      <w:r w:rsidR="00272FF9">
        <w:rPr>
          <w:lang w:eastAsia="ja-JP"/>
        </w:rPr>
        <w:t>clinical evaluation report</w:t>
      </w:r>
      <w:r>
        <w:rPr>
          <w:lang w:eastAsia="ja-JP"/>
        </w:rPr>
        <w:t xml:space="preserve"> is simply to </w:t>
      </w:r>
      <w:r w:rsidRPr="00186C04">
        <w:rPr>
          <w:lang w:eastAsia="ja-JP"/>
        </w:rPr>
        <w:t xml:space="preserve">state that </w:t>
      </w:r>
      <w:proofErr w:type="spellStart"/>
      <w:r w:rsidR="008B40FD">
        <w:rPr>
          <w:lang w:eastAsia="ja-JP"/>
        </w:rPr>
        <w:t>bimekizumab</w:t>
      </w:r>
      <w:proofErr w:type="spellEnd"/>
      <w:r w:rsidRPr="00186C04">
        <w:rPr>
          <w:lang w:eastAsia="ja-JP"/>
        </w:rPr>
        <w:t xml:space="preserve"> 320</w:t>
      </w:r>
      <w:r w:rsidR="00272FF9">
        <w:rPr>
          <w:lang w:eastAsia="ja-JP"/>
        </w:rPr>
        <w:t xml:space="preserve"> </w:t>
      </w:r>
      <w:r w:rsidRPr="00186C04">
        <w:rPr>
          <w:lang w:eastAsia="ja-JP"/>
        </w:rPr>
        <w:t xml:space="preserve">mg </w:t>
      </w:r>
      <w:r w:rsidR="00F23C97">
        <w:rPr>
          <w:lang w:eastAsia="ja-JP"/>
        </w:rPr>
        <w:t>every 4 weeks</w:t>
      </w:r>
      <w:r w:rsidRPr="00186C04">
        <w:rPr>
          <w:lang w:eastAsia="ja-JP"/>
        </w:rPr>
        <w:t xml:space="preserve"> is statistically significant over </w:t>
      </w:r>
      <w:r w:rsidR="004858E7">
        <w:rPr>
          <w:lang w:eastAsia="ja-JP"/>
        </w:rPr>
        <w:t>adalimumab</w:t>
      </w:r>
      <w:r w:rsidRPr="00186C04">
        <w:rPr>
          <w:lang w:eastAsia="ja-JP"/>
        </w:rPr>
        <w:t xml:space="preserve"> and </w:t>
      </w:r>
      <w:proofErr w:type="spellStart"/>
      <w:r w:rsidR="004858E7">
        <w:rPr>
          <w:lang w:eastAsia="ja-JP"/>
        </w:rPr>
        <w:t>ustekinumab</w:t>
      </w:r>
      <w:proofErr w:type="spellEnd"/>
      <w:r w:rsidRPr="00186C04">
        <w:rPr>
          <w:lang w:eastAsia="ja-JP"/>
        </w:rPr>
        <w:t xml:space="preserve"> in the doses tested and, not superior to either </w:t>
      </w:r>
      <w:r w:rsidR="004858E7">
        <w:rPr>
          <w:lang w:eastAsia="ja-JP"/>
        </w:rPr>
        <w:t>adalimumab</w:t>
      </w:r>
      <w:r w:rsidRPr="00186C04">
        <w:rPr>
          <w:lang w:eastAsia="ja-JP"/>
        </w:rPr>
        <w:t xml:space="preserve"> or </w:t>
      </w:r>
      <w:proofErr w:type="spellStart"/>
      <w:r w:rsidR="004858E7">
        <w:rPr>
          <w:lang w:eastAsia="ja-JP"/>
        </w:rPr>
        <w:t>ustekinumab</w:t>
      </w:r>
      <w:proofErr w:type="spellEnd"/>
      <w:r w:rsidRPr="00186C04">
        <w:rPr>
          <w:lang w:eastAsia="ja-JP"/>
        </w:rPr>
        <w:t xml:space="preserve"> for the following reasons:</w:t>
      </w:r>
    </w:p>
    <w:p w14:paraId="3D0A0B86" w14:textId="3F206B8E" w:rsidR="00551EFF" w:rsidRPr="00186C04" w:rsidRDefault="00551EFF" w:rsidP="00551EFF">
      <w:pPr>
        <w:rPr>
          <w:i/>
          <w:iCs/>
          <w:lang w:eastAsia="ja-JP"/>
        </w:rPr>
      </w:pPr>
      <w:r w:rsidRPr="006E4137">
        <w:rPr>
          <w:i/>
          <w:lang w:eastAsia="ja-JP"/>
        </w:rPr>
        <w:t xml:space="preserve">For </w:t>
      </w:r>
      <w:r w:rsidR="004858E7" w:rsidRPr="006E4137">
        <w:rPr>
          <w:i/>
          <w:lang w:eastAsia="ja-JP"/>
        </w:rPr>
        <w:t>adalimumab</w:t>
      </w:r>
      <w:r w:rsidRPr="00186C04">
        <w:rPr>
          <w:lang w:eastAsia="ja-JP"/>
        </w:rPr>
        <w:t>:</w:t>
      </w:r>
    </w:p>
    <w:p w14:paraId="4568E188" w14:textId="2A8C297C" w:rsidR="00551EFF" w:rsidRPr="00186C04" w:rsidRDefault="00551EFF" w:rsidP="00272FF9">
      <w:pPr>
        <w:rPr>
          <w:lang w:eastAsia="ja-JP"/>
        </w:rPr>
      </w:pPr>
      <w:r w:rsidRPr="00186C04">
        <w:rPr>
          <w:lang w:eastAsia="ja-JP"/>
        </w:rPr>
        <w:t xml:space="preserve">The recommended dose following suboptimum response at Week 16 </w:t>
      </w:r>
      <w:r w:rsidR="004858E7">
        <w:rPr>
          <w:lang w:eastAsia="ja-JP"/>
        </w:rPr>
        <w:t>that is</w:t>
      </w:r>
      <w:r w:rsidRPr="00186C04">
        <w:rPr>
          <w:lang w:eastAsia="ja-JP"/>
        </w:rPr>
        <w:t xml:space="preserve"> 40</w:t>
      </w:r>
      <w:r w:rsidR="00AC3F64">
        <w:rPr>
          <w:lang w:eastAsia="ja-JP"/>
        </w:rPr>
        <w:t xml:space="preserve"> </w:t>
      </w:r>
      <w:r w:rsidRPr="00186C04">
        <w:rPr>
          <w:lang w:eastAsia="ja-JP"/>
        </w:rPr>
        <w:t>mg weekly was not applied</w:t>
      </w:r>
      <w:r>
        <w:rPr>
          <w:lang w:eastAsia="ja-JP"/>
        </w:rPr>
        <w:t>.</w:t>
      </w:r>
    </w:p>
    <w:p w14:paraId="3182D902" w14:textId="28CFA21D" w:rsidR="00551EFF" w:rsidRPr="00186C04" w:rsidRDefault="00551EFF" w:rsidP="00551EFF">
      <w:pPr>
        <w:rPr>
          <w:i/>
          <w:iCs/>
          <w:lang w:eastAsia="ja-JP"/>
        </w:rPr>
      </w:pPr>
      <w:r w:rsidRPr="00186C04">
        <w:rPr>
          <w:i/>
          <w:iCs/>
          <w:lang w:eastAsia="ja-JP"/>
        </w:rPr>
        <w:t xml:space="preserve">For </w:t>
      </w:r>
      <w:proofErr w:type="spellStart"/>
      <w:r w:rsidR="004858E7">
        <w:rPr>
          <w:i/>
          <w:iCs/>
          <w:lang w:eastAsia="ja-JP"/>
        </w:rPr>
        <w:t>ustekinumab</w:t>
      </w:r>
      <w:proofErr w:type="spellEnd"/>
      <w:r w:rsidRPr="00186C04">
        <w:rPr>
          <w:i/>
          <w:iCs/>
          <w:lang w:eastAsia="ja-JP"/>
        </w:rPr>
        <w:t>:</w:t>
      </w:r>
    </w:p>
    <w:p w14:paraId="21F27841" w14:textId="32F8D38D" w:rsidR="00551EFF" w:rsidRPr="00272FF9" w:rsidRDefault="00272FF9" w:rsidP="00272FF9">
      <w:pPr>
        <w:rPr>
          <w:lang w:eastAsia="ja-JP"/>
        </w:rPr>
      </w:pPr>
      <w:r>
        <w:rPr>
          <w:lang w:eastAsia="ja-JP"/>
        </w:rPr>
        <w:t>Th</w:t>
      </w:r>
      <w:r w:rsidR="00551EFF" w:rsidRPr="00186C04">
        <w:rPr>
          <w:lang w:eastAsia="ja-JP"/>
        </w:rPr>
        <w:t>e recommended dose following suboptimum response at Week 28, which was either 45</w:t>
      </w:r>
      <w:r w:rsidR="00AC3F64">
        <w:rPr>
          <w:lang w:eastAsia="ja-JP"/>
        </w:rPr>
        <w:t> </w:t>
      </w:r>
      <w:r w:rsidR="00551EFF" w:rsidRPr="00186C04">
        <w:rPr>
          <w:lang w:eastAsia="ja-JP"/>
        </w:rPr>
        <w:t xml:space="preserve">mg weekly for participants weighing </w:t>
      </w:r>
      <w:r w:rsidR="00AC3F64">
        <w:rPr>
          <w:lang w:eastAsia="ja-JP"/>
        </w:rPr>
        <w:t xml:space="preserve">less than </w:t>
      </w:r>
      <w:r w:rsidR="00551EFF" w:rsidRPr="00186C04">
        <w:rPr>
          <w:lang w:eastAsia="ja-JP"/>
        </w:rPr>
        <w:t>100</w:t>
      </w:r>
      <w:r w:rsidR="000A42AE">
        <w:rPr>
          <w:lang w:eastAsia="ja-JP"/>
        </w:rPr>
        <w:t xml:space="preserve"> </w:t>
      </w:r>
      <w:r w:rsidR="00551EFF" w:rsidRPr="00186C04">
        <w:rPr>
          <w:lang w:eastAsia="ja-JP"/>
        </w:rPr>
        <w:t xml:space="preserve">kg or 90 mg weekly for participants weighing </w:t>
      </w:r>
      <w:r w:rsidR="00AC3F64">
        <w:rPr>
          <w:lang w:eastAsia="ja-JP"/>
        </w:rPr>
        <w:t xml:space="preserve">greater than </w:t>
      </w:r>
      <w:r w:rsidR="00551EFF" w:rsidRPr="00186C04">
        <w:rPr>
          <w:lang w:eastAsia="ja-JP"/>
        </w:rPr>
        <w:t>100</w:t>
      </w:r>
      <w:r w:rsidR="000A42AE">
        <w:rPr>
          <w:lang w:eastAsia="ja-JP"/>
        </w:rPr>
        <w:t xml:space="preserve"> </w:t>
      </w:r>
      <w:r w:rsidR="00551EFF" w:rsidRPr="00186C04">
        <w:rPr>
          <w:lang w:eastAsia="ja-JP"/>
        </w:rPr>
        <w:t>kg was not applied;</w:t>
      </w:r>
      <w:r>
        <w:rPr>
          <w:lang w:eastAsia="ja-JP"/>
        </w:rPr>
        <w:t xml:space="preserve"> </w:t>
      </w:r>
      <w:r w:rsidR="00551EFF" w:rsidRPr="00186C04">
        <w:t>the dose regimen of every 12 weeks, as opposed to the top dose regimen of every 8 weeks was applied.</w:t>
      </w:r>
    </w:p>
    <w:p w14:paraId="4D696607" w14:textId="00ACABED" w:rsidR="00551EFF" w:rsidRPr="00BC55BC" w:rsidRDefault="00551EFF" w:rsidP="00272FF9">
      <w:pPr>
        <w:rPr>
          <w:lang w:eastAsia="ja-JP"/>
        </w:rPr>
      </w:pPr>
      <w:r w:rsidRPr="004D15EE">
        <w:rPr>
          <w:lang w:eastAsia="ja-JP"/>
        </w:rPr>
        <w:t xml:space="preserve">Both Studies PS0008 </w:t>
      </w:r>
      <w:r w:rsidR="000A42AE">
        <w:rPr>
          <w:lang w:eastAsia="ja-JP"/>
        </w:rPr>
        <w:t>and</w:t>
      </w:r>
      <w:r w:rsidRPr="004D15EE">
        <w:rPr>
          <w:lang w:eastAsia="ja-JP"/>
        </w:rPr>
        <w:t xml:space="preserve"> PS0009 were neither designed nor powered to test superiority.</w:t>
      </w:r>
      <w:r w:rsidR="0009038A">
        <w:rPr>
          <w:lang w:eastAsia="ja-JP"/>
        </w:rPr>
        <w:t xml:space="preserve"> </w:t>
      </w:r>
      <w:r w:rsidRPr="00BC55BC">
        <w:rPr>
          <w:lang w:eastAsia="ja-JP"/>
        </w:rPr>
        <w:t xml:space="preserve">It is noted that the </w:t>
      </w:r>
      <w:r w:rsidR="00272FF9">
        <w:rPr>
          <w:lang w:eastAsia="ja-JP"/>
        </w:rPr>
        <w:t>s</w:t>
      </w:r>
      <w:r w:rsidRPr="00BC55BC">
        <w:rPr>
          <w:lang w:eastAsia="ja-JP"/>
        </w:rPr>
        <w:t xml:space="preserve">ponsor has not claimed </w:t>
      </w:r>
      <w:r w:rsidRPr="00272FF9">
        <w:rPr>
          <w:lang w:eastAsia="ja-JP"/>
        </w:rPr>
        <w:t xml:space="preserve">superiority </w:t>
      </w:r>
      <w:r w:rsidRPr="00BC55BC">
        <w:rPr>
          <w:lang w:eastAsia="ja-JP"/>
        </w:rPr>
        <w:t xml:space="preserve">of </w:t>
      </w:r>
      <w:proofErr w:type="spellStart"/>
      <w:r w:rsidR="008B40FD">
        <w:rPr>
          <w:lang w:eastAsia="ja-JP"/>
        </w:rPr>
        <w:t>bimekizumab</w:t>
      </w:r>
      <w:proofErr w:type="spellEnd"/>
      <w:r w:rsidRPr="00BC55BC">
        <w:rPr>
          <w:lang w:eastAsia="ja-JP"/>
        </w:rPr>
        <w:t xml:space="preserve"> over either </w:t>
      </w:r>
      <w:r w:rsidR="004858E7">
        <w:rPr>
          <w:lang w:eastAsia="ja-JP"/>
        </w:rPr>
        <w:t>adalimumab</w:t>
      </w:r>
      <w:r w:rsidRPr="00BC55BC">
        <w:rPr>
          <w:lang w:eastAsia="ja-JP"/>
        </w:rPr>
        <w:t xml:space="preserve"> or </w:t>
      </w:r>
      <w:proofErr w:type="spellStart"/>
      <w:r w:rsidR="004858E7">
        <w:rPr>
          <w:lang w:eastAsia="ja-JP"/>
        </w:rPr>
        <w:t>ustekinumab</w:t>
      </w:r>
      <w:proofErr w:type="spellEnd"/>
      <w:r w:rsidRPr="00BC55BC">
        <w:rPr>
          <w:lang w:eastAsia="ja-JP"/>
        </w:rPr>
        <w:t>.</w:t>
      </w:r>
    </w:p>
    <w:p w14:paraId="657268C8" w14:textId="40400A79" w:rsidR="00272FF9" w:rsidRDefault="00551EFF" w:rsidP="00551EFF">
      <w:pPr>
        <w:rPr>
          <w:rFonts w:eastAsia="TimesNewRoman" w:cs="TimesNewRoman"/>
          <w:color w:val="000000"/>
          <w:lang w:val="en-US"/>
        </w:rPr>
      </w:pPr>
      <w:r w:rsidRPr="00F503EB">
        <w:t xml:space="preserve">Again, the </w:t>
      </w:r>
      <w:r w:rsidR="00272FF9">
        <w:t>D</w:t>
      </w:r>
      <w:r w:rsidRPr="00F503EB">
        <w:t xml:space="preserve">elegate agrees with the </w:t>
      </w:r>
      <w:r w:rsidR="000A42AE">
        <w:rPr>
          <w:bCs/>
        </w:rPr>
        <w:t xml:space="preserve">TGA’s clinical evaluation </w:t>
      </w:r>
      <w:r w:rsidRPr="00A576DD">
        <w:rPr>
          <w:rFonts w:cs="Cambria"/>
          <w:lang w:eastAsia="en-AU" w:bidi="en-AU"/>
        </w:rPr>
        <w:t xml:space="preserve">that adequate evidence had been </w:t>
      </w:r>
      <w:r w:rsidRPr="00272FF9">
        <w:rPr>
          <w:rFonts w:cs="Cambria"/>
          <w:lang w:eastAsia="en-AU" w:bidi="en-AU"/>
        </w:rPr>
        <w:t xml:space="preserve">documented for the efficacy of </w:t>
      </w:r>
      <w:proofErr w:type="spellStart"/>
      <w:r w:rsidR="008B40FD">
        <w:rPr>
          <w:rFonts w:cs="Cambria"/>
          <w:lang w:eastAsia="en-AU" w:bidi="en-AU"/>
        </w:rPr>
        <w:t>bimekizumab</w:t>
      </w:r>
      <w:proofErr w:type="spellEnd"/>
      <w:r w:rsidRPr="00272FF9">
        <w:rPr>
          <w:rFonts w:cs="Cambria"/>
          <w:lang w:eastAsia="en-AU" w:bidi="en-AU"/>
        </w:rPr>
        <w:t xml:space="preserve"> over placebo in moderate to severe plaque psoriasis, </w:t>
      </w:r>
      <w:r w:rsidRPr="00272FF9">
        <w:rPr>
          <w:rFonts w:eastAsia="TimesNewRoman" w:cs="TimesNewRoman"/>
          <w:color w:val="000000"/>
          <w:lang w:val="en-US"/>
        </w:rPr>
        <w:t xml:space="preserve">as per </w:t>
      </w:r>
      <w:r w:rsidR="0009038A">
        <w:rPr>
          <w:rFonts w:eastAsia="TimesNewRoman" w:cs="TimesNewRoman"/>
          <w:color w:val="000000"/>
          <w:lang w:val="en-US"/>
        </w:rPr>
        <w:t>Study</w:t>
      </w:r>
      <w:r w:rsidRPr="00272FF9">
        <w:rPr>
          <w:rFonts w:eastAsia="TimesNewRoman" w:cs="TimesNewRoman"/>
          <w:color w:val="000000"/>
          <w:lang w:val="en-US"/>
        </w:rPr>
        <w:t xml:space="preserve"> </w:t>
      </w:r>
      <w:r w:rsidRPr="00272FF9">
        <w:rPr>
          <w:lang w:eastAsia="ja-JP"/>
        </w:rPr>
        <w:t xml:space="preserve">PS0013. The latter study revealed </w:t>
      </w:r>
      <w:r w:rsidRPr="00272FF9">
        <w:rPr>
          <w:rFonts w:eastAsia="TimesNewRoman" w:cs="TimesNewRoman"/>
          <w:color w:val="000000"/>
          <w:lang w:val="en-US"/>
        </w:rPr>
        <w:t xml:space="preserve">significant improvements from </w:t>
      </w:r>
      <w:r w:rsidR="000A42AE">
        <w:rPr>
          <w:rFonts w:eastAsia="TimesNewRoman" w:cs="TimesNewRoman"/>
          <w:color w:val="000000"/>
          <w:lang w:val="en-US"/>
        </w:rPr>
        <w:t>B</w:t>
      </w:r>
      <w:r w:rsidRPr="00272FF9">
        <w:rPr>
          <w:rFonts w:eastAsia="TimesNewRoman" w:cs="TimesNewRoman"/>
          <w:color w:val="000000"/>
          <w:lang w:val="en-US"/>
        </w:rPr>
        <w:t xml:space="preserve">aseline for </w:t>
      </w:r>
      <w:proofErr w:type="spellStart"/>
      <w:r w:rsidR="008B40FD">
        <w:rPr>
          <w:rFonts w:eastAsia="TimesNewRoman" w:cs="TimesNewRoman"/>
          <w:color w:val="000000"/>
          <w:lang w:val="en-US"/>
        </w:rPr>
        <w:t>bimekizumab</w:t>
      </w:r>
      <w:proofErr w:type="spellEnd"/>
      <w:r w:rsidRPr="00272FF9">
        <w:rPr>
          <w:rFonts w:eastAsia="TimesNewRoman" w:cs="TimesNewRoman"/>
          <w:color w:val="000000"/>
          <w:lang w:val="en-US"/>
        </w:rPr>
        <w:t xml:space="preserve"> </w:t>
      </w:r>
      <w:r w:rsidR="001D2CFA">
        <w:rPr>
          <w:rFonts w:eastAsia="TimesNewRoman" w:cs="TimesNewRoman"/>
          <w:color w:val="000000"/>
          <w:lang w:val="en-US"/>
        </w:rPr>
        <w:t>320 mg</w:t>
      </w:r>
      <w:r w:rsidRPr="00272FF9">
        <w:rPr>
          <w:rFonts w:eastAsia="TimesNewRoman" w:cs="TimesNewRoman"/>
          <w:color w:val="000000"/>
          <w:lang w:val="en-US"/>
        </w:rPr>
        <w:t xml:space="preserve"> </w:t>
      </w:r>
      <w:r w:rsidR="00F23C97">
        <w:rPr>
          <w:rFonts w:eastAsia="TimesNewRoman" w:cs="TimesNewRoman"/>
          <w:color w:val="000000"/>
          <w:lang w:val="en-US"/>
        </w:rPr>
        <w:t>every 4 weeks</w:t>
      </w:r>
      <w:r w:rsidRPr="00272FF9">
        <w:rPr>
          <w:rFonts w:eastAsia="TimesNewRoman" w:cs="TimesNewRoman"/>
          <w:color w:val="000000"/>
          <w:lang w:val="en-US"/>
        </w:rPr>
        <w:t xml:space="preserve"> compared to </w:t>
      </w:r>
      <w:r w:rsidR="004858E7">
        <w:rPr>
          <w:rFonts w:eastAsia="TimesNewRoman" w:cs="TimesNewRoman"/>
          <w:color w:val="000000"/>
          <w:lang w:val="en-US"/>
        </w:rPr>
        <w:t>placebo</w:t>
      </w:r>
      <w:r w:rsidRPr="00272FF9">
        <w:rPr>
          <w:rFonts w:eastAsia="TimesNewRoman" w:cs="TimesNewRoman"/>
          <w:color w:val="000000"/>
          <w:lang w:val="en-US"/>
        </w:rPr>
        <w:t xml:space="preserve"> </w:t>
      </w:r>
      <w:r w:rsidR="00F23C97">
        <w:rPr>
          <w:rFonts w:eastAsia="TimesNewRoman" w:cs="TimesNewRoman"/>
          <w:color w:val="000000"/>
          <w:lang w:val="en-US"/>
        </w:rPr>
        <w:t>every 4 weeks</w:t>
      </w:r>
      <w:r w:rsidRPr="00272FF9">
        <w:rPr>
          <w:rFonts w:eastAsia="TimesNewRoman" w:cs="TimesNewRoman"/>
          <w:color w:val="000000"/>
          <w:lang w:val="en-US"/>
        </w:rPr>
        <w:t xml:space="preserve"> for both the co-primary</w:t>
      </w:r>
      <w:r w:rsidRPr="00A576DD">
        <w:rPr>
          <w:rFonts w:eastAsia="TimesNewRoman" w:cs="TimesNewRoman"/>
          <w:color w:val="000000"/>
          <w:lang w:val="en-US"/>
        </w:rPr>
        <w:t xml:space="preserve"> endpoints (PASI 90 </w:t>
      </w:r>
      <w:r w:rsidR="000A42AE">
        <w:rPr>
          <w:rFonts w:eastAsia="TimesNewRoman" w:cs="TimesNewRoman"/>
          <w:color w:val="000000"/>
          <w:lang w:val="en-US"/>
        </w:rPr>
        <w:t>and</w:t>
      </w:r>
      <w:r w:rsidRPr="00A576DD">
        <w:rPr>
          <w:rFonts w:eastAsia="TimesNewRoman" w:cs="TimesNewRoman"/>
          <w:color w:val="000000"/>
          <w:lang w:val="en-US"/>
        </w:rPr>
        <w:t xml:space="preserve"> IGA 0/1 response) at Week 16 and, </w:t>
      </w:r>
      <w:r>
        <w:rPr>
          <w:rFonts w:eastAsia="TimesNewRoman" w:cs="TimesNewRoman"/>
          <w:color w:val="000000"/>
          <w:lang w:val="en-US"/>
        </w:rPr>
        <w:t xml:space="preserve">the </w:t>
      </w:r>
      <w:r w:rsidRPr="00A576DD">
        <w:rPr>
          <w:rFonts w:eastAsia="TimesNewRoman" w:cs="TimesNewRoman"/>
          <w:color w:val="000000"/>
          <w:lang w:val="en-US"/>
        </w:rPr>
        <w:t>secondary endpoints.</w:t>
      </w:r>
    </w:p>
    <w:p w14:paraId="4DA88600" w14:textId="73DE97CD" w:rsidR="00551EFF" w:rsidRDefault="00551EFF" w:rsidP="00551EFF">
      <w:pPr>
        <w:rPr>
          <w:lang w:eastAsia="ja-JP"/>
        </w:rPr>
      </w:pPr>
      <w:r w:rsidRPr="00832D0B">
        <w:rPr>
          <w:rFonts w:eastAsia="TimesNewRoman" w:cs="TimesNewRoman"/>
          <w:color w:val="000000"/>
          <w:lang w:val="en-US"/>
        </w:rPr>
        <w:t xml:space="preserve">The improvement with </w:t>
      </w:r>
      <w:proofErr w:type="spellStart"/>
      <w:r w:rsidR="008B40FD">
        <w:rPr>
          <w:rFonts w:eastAsia="TimesNewRoman" w:cs="TimesNewRoman"/>
          <w:color w:val="000000"/>
          <w:lang w:val="en-US"/>
        </w:rPr>
        <w:t>bimekizumab</w:t>
      </w:r>
      <w:proofErr w:type="spellEnd"/>
      <w:r w:rsidRPr="00832D0B">
        <w:rPr>
          <w:rFonts w:eastAsia="TimesNewRoman" w:cs="TimesNewRoman"/>
          <w:color w:val="000000"/>
          <w:lang w:val="en-US"/>
        </w:rPr>
        <w:t xml:space="preserve"> 320</w:t>
      </w:r>
      <w:r w:rsidR="00272FF9">
        <w:rPr>
          <w:rFonts w:eastAsia="TimesNewRoman" w:cs="TimesNewRoman"/>
          <w:color w:val="000000"/>
          <w:lang w:val="en-US"/>
        </w:rPr>
        <w:t xml:space="preserve"> </w:t>
      </w:r>
      <w:r w:rsidRPr="00832D0B">
        <w:rPr>
          <w:rFonts w:eastAsia="TimesNewRoman" w:cs="TimesNewRoman"/>
          <w:color w:val="000000"/>
          <w:lang w:val="en-US"/>
        </w:rPr>
        <w:t xml:space="preserve">mg </w:t>
      </w:r>
      <w:r w:rsidR="00F23C97">
        <w:rPr>
          <w:rFonts w:eastAsia="TimesNewRoman" w:cs="TimesNewRoman"/>
          <w:color w:val="000000"/>
          <w:lang w:val="en-US"/>
        </w:rPr>
        <w:t>every 4 weeks</w:t>
      </w:r>
      <w:r w:rsidRPr="00832D0B">
        <w:rPr>
          <w:rFonts w:eastAsia="TimesNewRoman" w:cs="TimesNewRoman"/>
          <w:color w:val="000000"/>
          <w:lang w:val="en-US"/>
        </w:rPr>
        <w:t xml:space="preserve"> regarding PASI 90 at Week</w:t>
      </w:r>
      <w:r w:rsidR="000A42AE">
        <w:rPr>
          <w:rFonts w:eastAsia="TimesNewRoman" w:cs="TimesNewRoman"/>
          <w:color w:val="000000"/>
          <w:lang w:val="en-US"/>
        </w:rPr>
        <w:t> </w:t>
      </w:r>
      <w:r w:rsidRPr="00832D0B">
        <w:rPr>
          <w:rFonts w:eastAsia="TimesNewRoman" w:cs="TimesNewRoman"/>
          <w:color w:val="000000"/>
          <w:lang w:val="en-US"/>
        </w:rPr>
        <w:t xml:space="preserve">16, was statistically significant over </w:t>
      </w:r>
      <w:r w:rsidR="004858E7">
        <w:rPr>
          <w:rFonts w:eastAsia="TimesNewRoman" w:cs="TimesNewRoman"/>
          <w:color w:val="000000"/>
          <w:lang w:val="en-US"/>
        </w:rPr>
        <w:t>placebo</w:t>
      </w:r>
      <w:r w:rsidRPr="00832D0B">
        <w:rPr>
          <w:rFonts w:eastAsia="TimesNewRoman" w:cs="TimesNewRoman"/>
          <w:color w:val="000000"/>
          <w:lang w:val="en-US"/>
        </w:rPr>
        <w:t xml:space="preserve"> </w:t>
      </w:r>
      <w:r w:rsidR="00AC3F64">
        <w:rPr>
          <w:rFonts w:eastAsia="TimesNewRoman" w:cs="TimesNewRoman"/>
          <w:color w:val="000000"/>
          <w:lang w:val="en-US"/>
        </w:rPr>
        <w:t>(</w:t>
      </w:r>
      <w:proofErr w:type="spellStart"/>
      <w:r w:rsidR="008B40FD">
        <w:rPr>
          <w:rFonts w:eastAsia="TimesNewRoman" w:cs="TimesNewRoman"/>
          <w:color w:val="000000"/>
          <w:lang w:val="en-US"/>
        </w:rPr>
        <w:t>bimekizumab</w:t>
      </w:r>
      <w:proofErr w:type="spellEnd"/>
      <w:r w:rsidRPr="00832D0B">
        <w:rPr>
          <w:rFonts w:eastAsia="TimesNewRoman" w:cs="TimesNewRoman"/>
          <w:color w:val="000000"/>
          <w:lang w:val="en-US"/>
        </w:rPr>
        <w:t xml:space="preserve"> 90.8% </w:t>
      </w:r>
      <w:r w:rsidR="004858E7">
        <w:rPr>
          <w:lang w:eastAsia="ja-JP"/>
        </w:rPr>
        <w:t>versus</w:t>
      </w:r>
      <w:r w:rsidRPr="00832D0B">
        <w:rPr>
          <w:lang w:eastAsia="ja-JP"/>
        </w:rPr>
        <w:t xml:space="preserve"> </w:t>
      </w:r>
      <w:r w:rsidR="004858E7">
        <w:rPr>
          <w:lang w:eastAsia="ja-JP"/>
        </w:rPr>
        <w:t>placebo</w:t>
      </w:r>
      <w:r w:rsidRPr="00832D0B">
        <w:rPr>
          <w:lang w:eastAsia="ja-JP"/>
        </w:rPr>
        <w:t xml:space="preserve"> 1.2%: odds ratio versus </w:t>
      </w:r>
      <w:r w:rsidR="004858E7">
        <w:rPr>
          <w:lang w:eastAsia="ja-JP"/>
        </w:rPr>
        <w:t>placebo</w:t>
      </w:r>
      <w:r w:rsidRPr="00832D0B">
        <w:rPr>
          <w:lang w:eastAsia="ja-JP"/>
        </w:rPr>
        <w:t xml:space="preserve"> of 496.3 (p</w:t>
      </w:r>
      <w:r w:rsidR="00272FF9">
        <w:rPr>
          <w:lang w:eastAsia="ja-JP"/>
        </w:rPr>
        <w:t xml:space="preserve"> </w:t>
      </w:r>
      <w:r w:rsidRPr="00832D0B">
        <w:rPr>
          <w:lang w:eastAsia="ja-JP"/>
        </w:rPr>
        <w:t>&lt;</w:t>
      </w:r>
      <w:r w:rsidR="00272FF9">
        <w:rPr>
          <w:lang w:eastAsia="ja-JP"/>
        </w:rPr>
        <w:t xml:space="preserve"> </w:t>
      </w:r>
      <w:r w:rsidRPr="00832D0B">
        <w:rPr>
          <w:lang w:eastAsia="ja-JP"/>
        </w:rPr>
        <w:t>0.001)</w:t>
      </w:r>
      <w:r w:rsidR="00AC3F64">
        <w:rPr>
          <w:lang w:eastAsia="ja-JP"/>
        </w:rPr>
        <w:t>)</w:t>
      </w:r>
      <w:r w:rsidRPr="00832D0B">
        <w:rPr>
          <w:lang w:eastAsia="ja-JP"/>
        </w:rPr>
        <w:t>. For the IGA 0/1</w:t>
      </w:r>
      <w:r>
        <w:rPr>
          <w:lang w:eastAsia="ja-JP"/>
        </w:rPr>
        <w:t xml:space="preserve"> at Week 16,</w:t>
      </w:r>
      <w:r w:rsidRPr="00832D0B">
        <w:rPr>
          <w:lang w:eastAsia="ja-JP"/>
        </w:rPr>
        <w:t xml:space="preserve"> the corresponding values were </w:t>
      </w:r>
      <w:proofErr w:type="spellStart"/>
      <w:r w:rsidR="008B40FD">
        <w:rPr>
          <w:lang w:eastAsia="ja-JP"/>
        </w:rPr>
        <w:t>bimekizumab</w:t>
      </w:r>
      <w:proofErr w:type="spellEnd"/>
      <w:r w:rsidRPr="00832D0B">
        <w:rPr>
          <w:lang w:eastAsia="ja-JP"/>
        </w:rPr>
        <w:t xml:space="preserve"> 92.6% </w:t>
      </w:r>
      <w:r w:rsidR="004858E7">
        <w:rPr>
          <w:lang w:eastAsia="ja-JP"/>
        </w:rPr>
        <w:t>versus</w:t>
      </w:r>
      <w:r w:rsidRPr="00832D0B">
        <w:rPr>
          <w:lang w:eastAsia="ja-JP"/>
        </w:rPr>
        <w:t xml:space="preserve"> </w:t>
      </w:r>
      <w:r w:rsidR="004858E7">
        <w:rPr>
          <w:lang w:eastAsia="ja-JP"/>
        </w:rPr>
        <w:t>placebo</w:t>
      </w:r>
      <w:r w:rsidRPr="00832D0B">
        <w:rPr>
          <w:lang w:eastAsia="ja-JP"/>
        </w:rPr>
        <w:t xml:space="preserve"> 1.2%: </w:t>
      </w:r>
      <w:r w:rsidRPr="00832D0B">
        <w:t>odds ratio of 657.2</w:t>
      </w:r>
      <w:r w:rsidRPr="00832D0B">
        <w:rPr>
          <w:lang w:eastAsia="ja-JP"/>
        </w:rPr>
        <w:t xml:space="preserve"> (p</w:t>
      </w:r>
      <w:r w:rsidR="00AC3F64">
        <w:rPr>
          <w:lang w:eastAsia="ja-JP"/>
        </w:rPr>
        <w:t xml:space="preserve"> </w:t>
      </w:r>
      <w:r w:rsidRPr="00832D0B">
        <w:rPr>
          <w:lang w:eastAsia="ja-JP"/>
        </w:rPr>
        <w:t>&lt;</w:t>
      </w:r>
      <w:r w:rsidR="00AC3F64">
        <w:rPr>
          <w:lang w:eastAsia="ja-JP"/>
        </w:rPr>
        <w:t xml:space="preserve"> </w:t>
      </w:r>
      <w:r w:rsidRPr="00832D0B">
        <w:rPr>
          <w:lang w:eastAsia="ja-JP"/>
        </w:rPr>
        <w:t>0.001)</w:t>
      </w:r>
      <w:r>
        <w:rPr>
          <w:lang w:eastAsia="ja-JP"/>
        </w:rPr>
        <w:t>.</w:t>
      </w:r>
    </w:p>
    <w:p w14:paraId="55298B96" w14:textId="666867A4" w:rsidR="00551EFF" w:rsidRPr="00AF1EE2" w:rsidRDefault="00551EFF" w:rsidP="00551EFF">
      <w:pPr>
        <w:rPr>
          <w:lang w:eastAsia="ja-JP"/>
        </w:rPr>
      </w:pPr>
      <w:r w:rsidRPr="00AF1EE2">
        <w:rPr>
          <w:lang w:eastAsia="ja-JP"/>
        </w:rPr>
        <w:t>It</w:t>
      </w:r>
      <w:r w:rsidR="0009038A">
        <w:rPr>
          <w:lang w:eastAsia="ja-JP"/>
        </w:rPr>
        <w:t xml:space="preserve"> i</w:t>
      </w:r>
      <w:r w:rsidRPr="00AF1EE2">
        <w:rPr>
          <w:lang w:eastAsia="ja-JP"/>
        </w:rPr>
        <w:t>s noteworthy that Study PS0009 also had a placebo (</w:t>
      </w:r>
      <w:r w:rsidR="004858E7">
        <w:rPr>
          <w:lang w:eastAsia="ja-JP"/>
        </w:rPr>
        <w:t>placebo</w:t>
      </w:r>
      <w:r w:rsidRPr="00AF1EE2">
        <w:rPr>
          <w:lang w:eastAsia="ja-JP"/>
        </w:rPr>
        <w:t xml:space="preserve"> </w:t>
      </w:r>
      <w:r w:rsidR="00F23C97">
        <w:rPr>
          <w:lang w:eastAsia="ja-JP"/>
        </w:rPr>
        <w:t>every 4 weeks</w:t>
      </w:r>
      <w:r w:rsidRPr="00AF1EE2">
        <w:rPr>
          <w:lang w:eastAsia="ja-JP"/>
        </w:rPr>
        <w:t xml:space="preserve">) arm to compare with </w:t>
      </w:r>
      <w:proofErr w:type="spellStart"/>
      <w:r w:rsidR="008B40FD">
        <w:rPr>
          <w:lang w:eastAsia="ja-JP"/>
        </w:rPr>
        <w:t>bimekizumab</w:t>
      </w:r>
      <w:proofErr w:type="spellEnd"/>
      <w:r w:rsidRPr="00AF1EE2">
        <w:rPr>
          <w:lang w:eastAsia="ja-JP"/>
        </w:rPr>
        <w:t xml:space="preserve"> 320</w:t>
      </w:r>
      <w:r w:rsidR="00272FF9">
        <w:rPr>
          <w:lang w:eastAsia="ja-JP"/>
        </w:rPr>
        <w:t xml:space="preserve"> </w:t>
      </w:r>
      <w:r w:rsidRPr="00AF1EE2">
        <w:rPr>
          <w:lang w:eastAsia="ja-JP"/>
        </w:rPr>
        <w:t xml:space="preserve">mg </w:t>
      </w:r>
      <w:r w:rsidR="00F23C97">
        <w:rPr>
          <w:lang w:eastAsia="ja-JP"/>
        </w:rPr>
        <w:t>every 4 weeks</w:t>
      </w:r>
      <w:r w:rsidRPr="00AF1EE2">
        <w:rPr>
          <w:lang w:eastAsia="ja-JP"/>
        </w:rPr>
        <w:t xml:space="preserve"> for up to Week 16. </w:t>
      </w:r>
      <w:r w:rsidRPr="00AF1EE2">
        <w:t xml:space="preserve">For the co-primary endpoint of PASI 90 at Week 16, the </w:t>
      </w:r>
      <w:proofErr w:type="spellStart"/>
      <w:r w:rsidR="008B40FD">
        <w:t>bimekizumab</w:t>
      </w:r>
      <w:proofErr w:type="spellEnd"/>
      <w:r w:rsidRPr="00AF1EE2">
        <w:t xml:space="preserve"> response rate was 85% compared to </w:t>
      </w:r>
      <w:r w:rsidR="004858E7">
        <w:t>placebo</w:t>
      </w:r>
      <w:r w:rsidRPr="00AF1EE2">
        <w:t xml:space="preserve"> 4.8% </w:t>
      </w:r>
      <w:r w:rsidR="00AC3F64">
        <w:t>(</w:t>
      </w:r>
      <w:r w:rsidRPr="00AF1EE2">
        <w:rPr>
          <w:lang w:eastAsia="ja-JP"/>
        </w:rPr>
        <w:t>the difference was statistically significant, with an odds ratio versus placebo of 99.86 (p</w:t>
      </w:r>
      <w:r w:rsidR="00272FF9">
        <w:rPr>
          <w:lang w:eastAsia="ja-JP"/>
        </w:rPr>
        <w:t xml:space="preserve"> </w:t>
      </w:r>
      <w:r w:rsidRPr="00AF1EE2">
        <w:rPr>
          <w:lang w:eastAsia="ja-JP"/>
        </w:rPr>
        <w:t>&lt;</w:t>
      </w:r>
      <w:r w:rsidR="00272FF9">
        <w:rPr>
          <w:lang w:eastAsia="ja-JP"/>
        </w:rPr>
        <w:t xml:space="preserve"> </w:t>
      </w:r>
      <w:r w:rsidRPr="00AF1EE2">
        <w:rPr>
          <w:lang w:eastAsia="ja-JP"/>
        </w:rPr>
        <w:t>0.001)</w:t>
      </w:r>
      <w:r w:rsidR="00AC3F64">
        <w:rPr>
          <w:lang w:eastAsia="ja-JP"/>
        </w:rPr>
        <w:t>)</w:t>
      </w:r>
      <w:r w:rsidR="00272FF9">
        <w:rPr>
          <w:lang w:eastAsia="ja-JP"/>
        </w:rPr>
        <w:t xml:space="preserve">. </w:t>
      </w:r>
      <w:r w:rsidRPr="00AF1EE2">
        <w:rPr>
          <w:lang w:eastAsia="ja-JP"/>
        </w:rPr>
        <w:t xml:space="preserve">The corresponding values for IGA 0/1 at Week 16 were </w:t>
      </w:r>
      <w:proofErr w:type="spellStart"/>
      <w:r w:rsidR="008B40FD">
        <w:rPr>
          <w:lang w:eastAsia="ja-JP"/>
        </w:rPr>
        <w:t>bimekizumab</w:t>
      </w:r>
      <w:proofErr w:type="spellEnd"/>
      <w:r w:rsidRPr="00AF1EE2">
        <w:rPr>
          <w:lang w:eastAsia="ja-JP"/>
        </w:rPr>
        <w:t xml:space="preserve"> 84.1% and </w:t>
      </w:r>
      <w:r w:rsidR="004858E7">
        <w:rPr>
          <w:lang w:eastAsia="ja-JP"/>
        </w:rPr>
        <w:t>placebo</w:t>
      </w:r>
      <w:r w:rsidRPr="00AF1EE2">
        <w:rPr>
          <w:lang w:eastAsia="ja-JP"/>
        </w:rPr>
        <w:t xml:space="preserve"> 4.8% </w:t>
      </w:r>
      <w:r w:rsidR="00AC3F64">
        <w:rPr>
          <w:lang w:eastAsia="ja-JP"/>
        </w:rPr>
        <w:t>(</w:t>
      </w:r>
      <w:r w:rsidRPr="00AF1EE2">
        <w:rPr>
          <w:lang w:eastAsia="ja-JP"/>
        </w:rPr>
        <w:t>the difference was statistically significant, with an odds ratio versus placebo of 118.76 (p</w:t>
      </w:r>
      <w:r w:rsidR="00272FF9">
        <w:rPr>
          <w:lang w:eastAsia="ja-JP"/>
        </w:rPr>
        <w:t xml:space="preserve"> </w:t>
      </w:r>
      <w:r w:rsidRPr="00AF1EE2">
        <w:rPr>
          <w:lang w:eastAsia="ja-JP"/>
        </w:rPr>
        <w:t>&lt;</w:t>
      </w:r>
      <w:r w:rsidR="00272FF9">
        <w:rPr>
          <w:lang w:eastAsia="ja-JP"/>
        </w:rPr>
        <w:t xml:space="preserve"> </w:t>
      </w:r>
      <w:r w:rsidRPr="00AF1EE2">
        <w:rPr>
          <w:lang w:eastAsia="ja-JP"/>
        </w:rPr>
        <w:t>0.001)</w:t>
      </w:r>
      <w:r w:rsidR="00AC3F64">
        <w:rPr>
          <w:lang w:eastAsia="ja-JP"/>
        </w:rPr>
        <w:t>)</w:t>
      </w:r>
      <w:r>
        <w:rPr>
          <w:lang w:eastAsia="ja-JP"/>
        </w:rPr>
        <w:t>.</w:t>
      </w:r>
    </w:p>
    <w:p w14:paraId="35DCCE50" w14:textId="70215271" w:rsidR="00551EFF" w:rsidRPr="00AF1EE2" w:rsidRDefault="00551EFF" w:rsidP="000A42AE">
      <w:pPr>
        <w:rPr>
          <w:lang w:eastAsia="ja-JP"/>
        </w:rPr>
      </w:pPr>
      <w:r>
        <w:rPr>
          <w:lang w:eastAsia="ja-JP"/>
        </w:rPr>
        <w:t>It is observed from Study PS0013 that</w:t>
      </w:r>
      <w:r w:rsidRPr="00445E38">
        <w:rPr>
          <w:b/>
          <w:bCs/>
          <w:color w:val="240AE6"/>
          <w:lang w:eastAsia="ja-JP"/>
        </w:rPr>
        <w:t xml:space="preserve"> </w:t>
      </w:r>
      <w:r w:rsidRPr="009203EA">
        <w:rPr>
          <w:lang w:eastAsia="ja-JP"/>
        </w:rPr>
        <w:t xml:space="preserve">slightly </w:t>
      </w:r>
      <w:r w:rsidR="000A42AE">
        <w:rPr>
          <w:lang w:eastAsia="ja-JP"/>
        </w:rPr>
        <w:t>higher proportion</w:t>
      </w:r>
      <w:r w:rsidRPr="009203EA">
        <w:rPr>
          <w:lang w:eastAsia="ja-JP"/>
        </w:rPr>
        <w:t xml:space="preserve"> (6.6%) of </w:t>
      </w:r>
      <w:r w:rsidR="000A42AE">
        <w:rPr>
          <w:lang w:eastAsia="ja-JP"/>
        </w:rPr>
        <w:t xml:space="preserve">the </w:t>
      </w:r>
      <w:proofErr w:type="spellStart"/>
      <w:r w:rsidR="008B40FD">
        <w:rPr>
          <w:lang w:eastAsia="ja-JP"/>
        </w:rPr>
        <w:t>bimekizumab</w:t>
      </w:r>
      <w:proofErr w:type="spellEnd"/>
      <w:r w:rsidRPr="009203EA">
        <w:rPr>
          <w:lang w:eastAsia="ja-JP"/>
        </w:rPr>
        <w:t xml:space="preserve"> 320</w:t>
      </w:r>
      <w:r w:rsidR="00272FF9">
        <w:rPr>
          <w:lang w:eastAsia="ja-JP"/>
        </w:rPr>
        <w:t xml:space="preserve"> </w:t>
      </w:r>
      <w:r w:rsidRPr="009203EA">
        <w:rPr>
          <w:lang w:eastAsia="ja-JP"/>
        </w:rPr>
        <w:t xml:space="preserve">mg </w:t>
      </w:r>
      <w:r w:rsidR="00F23C97">
        <w:rPr>
          <w:lang w:eastAsia="ja-JP"/>
        </w:rPr>
        <w:t>every 4 weeks</w:t>
      </w:r>
      <w:r w:rsidRPr="009203EA">
        <w:rPr>
          <w:lang w:eastAsia="ja-JP"/>
        </w:rPr>
        <w:t>/</w:t>
      </w:r>
      <w:r w:rsidR="00F23C97">
        <w:rPr>
          <w:lang w:eastAsia="ja-JP"/>
        </w:rPr>
        <w:t>every 4 weeks</w:t>
      </w:r>
      <w:r w:rsidRPr="009203EA">
        <w:rPr>
          <w:lang w:eastAsia="ja-JP"/>
        </w:rPr>
        <w:t xml:space="preserve"> patient group compared to (4%) of the </w:t>
      </w:r>
      <w:proofErr w:type="spellStart"/>
      <w:r w:rsidR="008B40FD">
        <w:rPr>
          <w:lang w:eastAsia="ja-JP"/>
        </w:rPr>
        <w:t>bimekizumab</w:t>
      </w:r>
      <w:proofErr w:type="spellEnd"/>
      <w:r w:rsidRPr="009203EA">
        <w:rPr>
          <w:lang w:eastAsia="ja-JP"/>
        </w:rPr>
        <w:t xml:space="preserve"> 320</w:t>
      </w:r>
      <w:r w:rsidR="00272FF9">
        <w:rPr>
          <w:lang w:eastAsia="ja-JP"/>
        </w:rPr>
        <w:t xml:space="preserve"> </w:t>
      </w:r>
      <w:r w:rsidRPr="009203EA">
        <w:rPr>
          <w:lang w:eastAsia="ja-JP"/>
        </w:rPr>
        <w:t xml:space="preserve">mg </w:t>
      </w:r>
      <w:r w:rsidR="00F23C97">
        <w:rPr>
          <w:lang w:eastAsia="ja-JP"/>
        </w:rPr>
        <w:t>every 4 weeks</w:t>
      </w:r>
      <w:r w:rsidRPr="009203EA">
        <w:rPr>
          <w:lang w:eastAsia="ja-JP"/>
        </w:rPr>
        <w:t>/</w:t>
      </w:r>
      <w:r w:rsidR="00F23C97">
        <w:rPr>
          <w:lang w:eastAsia="ja-JP"/>
        </w:rPr>
        <w:t>every 8 weeks</w:t>
      </w:r>
      <w:r w:rsidR="00272FF9">
        <w:rPr>
          <w:lang w:eastAsia="ja-JP"/>
        </w:rPr>
        <w:t xml:space="preserve"> </w:t>
      </w:r>
      <w:r w:rsidRPr="009203EA">
        <w:rPr>
          <w:lang w:eastAsia="ja-JP"/>
        </w:rPr>
        <w:t xml:space="preserve">patient group (4%), entered the </w:t>
      </w:r>
      <w:r w:rsidR="00AC3F64">
        <w:rPr>
          <w:lang w:eastAsia="ja-JP"/>
        </w:rPr>
        <w:t>e</w:t>
      </w:r>
      <w:r w:rsidRPr="009203EA">
        <w:rPr>
          <w:lang w:eastAsia="ja-JP"/>
        </w:rPr>
        <w:t xml:space="preserve">scape </w:t>
      </w:r>
      <w:r w:rsidR="00AC3F64">
        <w:rPr>
          <w:lang w:eastAsia="ja-JP"/>
        </w:rPr>
        <w:t>t</w:t>
      </w:r>
      <w:r w:rsidRPr="009203EA">
        <w:rPr>
          <w:lang w:eastAsia="ja-JP"/>
        </w:rPr>
        <w:t xml:space="preserve">reatment </w:t>
      </w:r>
      <w:r w:rsidR="00AC3F64">
        <w:rPr>
          <w:lang w:eastAsia="ja-JP"/>
        </w:rPr>
        <w:t>p</w:t>
      </w:r>
      <w:r w:rsidRPr="009203EA">
        <w:rPr>
          <w:lang w:eastAsia="ja-JP"/>
        </w:rPr>
        <w:t xml:space="preserve">eriod or joined the </w:t>
      </w:r>
      <w:r w:rsidR="00AC3F64">
        <w:rPr>
          <w:lang w:eastAsia="ja-JP"/>
        </w:rPr>
        <w:t>e</w:t>
      </w:r>
      <w:r w:rsidRPr="009203EA">
        <w:rPr>
          <w:lang w:eastAsia="ja-JP"/>
        </w:rPr>
        <w:t xml:space="preserve">scape </w:t>
      </w:r>
      <w:r w:rsidR="00AC3F64">
        <w:rPr>
          <w:lang w:eastAsia="ja-JP"/>
        </w:rPr>
        <w:t>s</w:t>
      </w:r>
      <w:r w:rsidRPr="009203EA">
        <w:rPr>
          <w:lang w:eastAsia="ja-JP"/>
        </w:rPr>
        <w:t xml:space="preserve">tudy </w:t>
      </w:r>
      <w:r w:rsidR="00AC3F64">
        <w:rPr>
          <w:lang w:eastAsia="ja-JP"/>
        </w:rPr>
        <w:t>p</w:t>
      </w:r>
      <w:r w:rsidRPr="009203EA">
        <w:rPr>
          <w:lang w:eastAsia="ja-JP"/>
        </w:rPr>
        <w:t xml:space="preserve">articipant </w:t>
      </w:r>
      <w:r w:rsidR="00AC3F64">
        <w:rPr>
          <w:lang w:eastAsia="ja-JP"/>
        </w:rPr>
        <w:t>s</w:t>
      </w:r>
      <w:r w:rsidRPr="009203EA">
        <w:rPr>
          <w:lang w:eastAsia="ja-JP"/>
        </w:rPr>
        <w:t xml:space="preserve">et. That observation may be a soft hint that </w:t>
      </w:r>
      <w:proofErr w:type="spellStart"/>
      <w:r w:rsidR="008B40FD">
        <w:rPr>
          <w:lang w:eastAsia="ja-JP"/>
        </w:rPr>
        <w:t>bimekizumab</w:t>
      </w:r>
      <w:proofErr w:type="spellEnd"/>
      <w:r w:rsidRPr="009203EA">
        <w:rPr>
          <w:lang w:eastAsia="ja-JP"/>
        </w:rPr>
        <w:t xml:space="preserve"> </w:t>
      </w:r>
      <w:r w:rsidR="001D2CFA">
        <w:rPr>
          <w:lang w:eastAsia="ja-JP"/>
        </w:rPr>
        <w:t>320 mg</w:t>
      </w:r>
      <w:r w:rsidRPr="009203EA">
        <w:rPr>
          <w:lang w:eastAsia="ja-JP"/>
        </w:rPr>
        <w:t xml:space="preserve"> </w:t>
      </w:r>
      <w:r w:rsidR="00F23C97">
        <w:rPr>
          <w:lang w:eastAsia="ja-JP"/>
        </w:rPr>
        <w:t>every 4 weeks</w:t>
      </w:r>
      <w:r w:rsidRPr="009203EA">
        <w:rPr>
          <w:lang w:eastAsia="ja-JP"/>
        </w:rPr>
        <w:t>/</w:t>
      </w:r>
      <w:r w:rsidR="00F23C97">
        <w:rPr>
          <w:lang w:eastAsia="ja-JP"/>
        </w:rPr>
        <w:t>every 4 weeks</w:t>
      </w:r>
      <w:r w:rsidRPr="009203EA">
        <w:rPr>
          <w:lang w:eastAsia="ja-JP"/>
        </w:rPr>
        <w:t xml:space="preserve"> </w:t>
      </w:r>
      <w:r w:rsidR="0009038A">
        <w:rPr>
          <w:lang w:eastAsia="ja-JP"/>
        </w:rPr>
        <w:t>that is</w:t>
      </w:r>
      <w:r w:rsidRPr="009203EA">
        <w:rPr>
          <w:lang w:eastAsia="ja-JP"/>
        </w:rPr>
        <w:t xml:space="preserve"> maintenance of </w:t>
      </w:r>
      <w:proofErr w:type="spellStart"/>
      <w:r w:rsidR="008B40FD">
        <w:rPr>
          <w:lang w:eastAsia="ja-JP"/>
        </w:rPr>
        <w:t>bimekizumab</w:t>
      </w:r>
      <w:proofErr w:type="spellEnd"/>
      <w:r w:rsidRPr="009203EA">
        <w:rPr>
          <w:lang w:eastAsia="ja-JP"/>
        </w:rPr>
        <w:t xml:space="preserve"> </w:t>
      </w:r>
      <w:r>
        <w:rPr>
          <w:lang w:eastAsia="ja-JP"/>
        </w:rPr>
        <w:t>320</w:t>
      </w:r>
      <w:r w:rsidR="0009038A">
        <w:rPr>
          <w:lang w:eastAsia="ja-JP"/>
        </w:rPr>
        <w:t xml:space="preserve"> </w:t>
      </w:r>
      <w:r>
        <w:rPr>
          <w:lang w:eastAsia="ja-JP"/>
        </w:rPr>
        <w:t xml:space="preserve">mg at </w:t>
      </w:r>
      <w:r w:rsidR="00F23C97">
        <w:rPr>
          <w:lang w:eastAsia="ja-JP"/>
        </w:rPr>
        <w:t>every 4 weeks</w:t>
      </w:r>
      <w:r>
        <w:rPr>
          <w:lang w:eastAsia="ja-JP"/>
        </w:rPr>
        <w:t xml:space="preserve"> post initiation at </w:t>
      </w:r>
      <w:proofErr w:type="spellStart"/>
      <w:r w:rsidR="008B40FD">
        <w:rPr>
          <w:lang w:eastAsia="ja-JP"/>
        </w:rPr>
        <w:t>bimekizumab</w:t>
      </w:r>
      <w:proofErr w:type="spellEnd"/>
      <w:r>
        <w:rPr>
          <w:lang w:eastAsia="ja-JP"/>
        </w:rPr>
        <w:t xml:space="preserve"> 320</w:t>
      </w:r>
      <w:r w:rsidR="0009038A">
        <w:rPr>
          <w:lang w:eastAsia="ja-JP"/>
        </w:rPr>
        <w:t xml:space="preserve"> </w:t>
      </w:r>
      <w:r>
        <w:rPr>
          <w:lang w:eastAsia="ja-JP"/>
        </w:rPr>
        <w:t xml:space="preserve">mg </w:t>
      </w:r>
      <w:r w:rsidR="00F23C97">
        <w:rPr>
          <w:lang w:eastAsia="ja-JP"/>
        </w:rPr>
        <w:t>every 4</w:t>
      </w:r>
      <w:r w:rsidR="000A42AE">
        <w:rPr>
          <w:lang w:eastAsia="ja-JP"/>
        </w:rPr>
        <w:t> </w:t>
      </w:r>
      <w:r w:rsidR="00F23C97">
        <w:rPr>
          <w:lang w:eastAsia="ja-JP"/>
        </w:rPr>
        <w:t>weeks</w:t>
      </w:r>
      <w:r>
        <w:rPr>
          <w:lang w:eastAsia="ja-JP"/>
        </w:rPr>
        <w:t xml:space="preserve"> for up to Week 16 is probably not as good efficacy-wise, as </w:t>
      </w:r>
      <w:proofErr w:type="spellStart"/>
      <w:r w:rsidR="008B40FD">
        <w:rPr>
          <w:lang w:eastAsia="ja-JP"/>
        </w:rPr>
        <w:t>bimekizumab</w:t>
      </w:r>
      <w:proofErr w:type="spellEnd"/>
      <w:r>
        <w:rPr>
          <w:lang w:eastAsia="ja-JP"/>
        </w:rPr>
        <w:t xml:space="preserve"> 320</w:t>
      </w:r>
      <w:r w:rsidR="0009038A">
        <w:rPr>
          <w:lang w:eastAsia="ja-JP"/>
        </w:rPr>
        <w:t xml:space="preserve"> </w:t>
      </w:r>
      <w:r>
        <w:rPr>
          <w:lang w:eastAsia="ja-JP"/>
        </w:rPr>
        <w:t xml:space="preserve">mg </w:t>
      </w:r>
      <w:r w:rsidR="00F23C97">
        <w:rPr>
          <w:lang w:eastAsia="ja-JP"/>
        </w:rPr>
        <w:t>every 4 weeks</w:t>
      </w:r>
      <w:r>
        <w:rPr>
          <w:lang w:eastAsia="ja-JP"/>
        </w:rPr>
        <w:t>/</w:t>
      </w:r>
      <w:r w:rsidR="00F23C97">
        <w:rPr>
          <w:lang w:eastAsia="ja-JP"/>
        </w:rPr>
        <w:t>every 8 weeks</w:t>
      </w:r>
      <w:r>
        <w:rPr>
          <w:lang w:eastAsia="ja-JP"/>
        </w:rPr>
        <w:t xml:space="preserve"> </w:t>
      </w:r>
      <w:r w:rsidR="0009038A">
        <w:rPr>
          <w:lang w:eastAsia="ja-JP"/>
        </w:rPr>
        <w:t>that is</w:t>
      </w:r>
      <w:r>
        <w:rPr>
          <w:lang w:eastAsia="ja-JP"/>
        </w:rPr>
        <w:t xml:space="preserve"> maintenance of </w:t>
      </w:r>
      <w:proofErr w:type="spellStart"/>
      <w:r w:rsidR="008B40FD">
        <w:rPr>
          <w:lang w:eastAsia="ja-JP"/>
        </w:rPr>
        <w:t>bimekizumab</w:t>
      </w:r>
      <w:proofErr w:type="spellEnd"/>
      <w:r>
        <w:rPr>
          <w:lang w:eastAsia="ja-JP"/>
        </w:rPr>
        <w:t xml:space="preserve"> </w:t>
      </w:r>
      <w:r w:rsidR="001D2CFA">
        <w:rPr>
          <w:lang w:eastAsia="ja-JP"/>
        </w:rPr>
        <w:t>320 mg</w:t>
      </w:r>
      <w:r>
        <w:rPr>
          <w:lang w:eastAsia="ja-JP"/>
        </w:rPr>
        <w:t xml:space="preserve"> at </w:t>
      </w:r>
      <w:r w:rsidR="00F23C97">
        <w:rPr>
          <w:lang w:eastAsia="ja-JP"/>
        </w:rPr>
        <w:t>every 8</w:t>
      </w:r>
      <w:r w:rsidR="000A42AE">
        <w:rPr>
          <w:lang w:eastAsia="ja-JP"/>
        </w:rPr>
        <w:t> </w:t>
      </w:r>
      <w:r w:rsidR="00F23C97">
        <w:rPr>
          <w:lang w:eastAsia="ja-JP"/>
        </w:rPr>
        <w:t>weeks</w:t>
      </w:r>
      <w:r>
        <w:rPr>
          <w:lang w:eastAsia="ja-JP"/>
        </w:rPr>
        <w:t xml:space="preserve"> post initiation at </w:t>
      </w:r>
      <w:proofErr w:type="spellStart"/>
      <w:r w:rsidR="008B40FD">
        <w:rPr>
          <w:lang w:eastAsia="ja-JP"/>
        </w:rPr>
        <w:t>bimekizumab</w:t>
      </w:r>
      <w:proofErr w:type="spellEnd"/>
      <w:r>
        <w:rPr>
          <w:lang w:eastAsia="ja-JP"/>
        </w:rPr>
        <w:t xml:space="preserve"> </w:t>
      </w:r>
      <w:r w:rsidR="001D2CFA">
        <w:rPr>
          <w:lang w:eastAsia="ja-JP"/>
        </w:rPr>
        <w:t>320 mg</w:t>
      </w:r>
      <w:r>
        <w:rPr>
          <w:lang w:eastAsia="ja-JP"/>
        </w:rPr>
        <w:t xml:space="preserve"> </w:t>
      </w:r>
      <w:r w:rsidR="00F23C97">
        <w:rPr>
          <w:lang w:eastAsia="ja-JP"/>
        </w:rPr>
        <w:t>every 4 weeks</w:t>
      </w:r>
      <w:r>
        <w:rPr>
          <w:lang w:eastAsia="ja-JP"/>
        </w:rPr>
        <w:t xml:space="preserve"> for up to Week 16. In fact, in the </w:t>
      </w:r>
      <w:r w:rsidR="00AC3F64">
        <w:rPr>
          <w:lang w:eastAsia="ja-JP"/>
        </w:rPr>
        <w:t>p</w:t>
      </w:r>
      <w:r w:rsidRPr="0009038A">
        <w:rPr>
          <w:lang w:eastAsia="ja-JP"/>
        </w:rPr>
        <w:t>ooled E2</w:t>
      </w:r>
      <w:r>
        <w:rPr>
          <w:lang w:eastAsia="ja-JP"/>
        </w:rPr>
        <w:t xml:space="preserve"> analysis</w:t>
      </w:r>
      <w:r w:rsidR="000A42AE">
        <w:rPr>
          <w:lang w:eastAsia="ja-JP"/>
        </w:rPr>
        <w:t xml:space="preserve"> (a pooled population of participants from Studies PS0008, PS0009, and PS0013)</w:t>
      </w:r>
      <w:r>
        <w:rPr>
          <w:lang w:eastAsia="ja-JP"/>
        </w:rPr>
        <w:t xml:space="preserve"> </w:t>
      </w:r>
      <w:proofErr w:type="spellStart"/>
      <w:r w:rsidR="008B40FD">
        <w:rPr>
          <w:lang w:eastAsia="ja-JP"/>
        </w:rPr>
        <w:t>bimekizumab</w:t>
      </w:r>
      <w:proofErr w:type="spellEnd"/>
      <w:r>
        <w:rPr>
          <w:lang w:eastAsia="ja-JP"/>
        </w:rPr>
        <w:t xml:space="preserve"> 320</w:t>
      </w:r>
      <w:r w:rsidR="0009038A">
        <w:rPr>
          <w:lang w:eastAsia="ja-JP"/>
        </w:rPr>
        <w:t xml:space="preserve"> </w:t>
      </w:r>
      <w:r>
        <w:rPr>
          <w:lang w:eastAsia="ja-JP"/>
        </w:rPr>
        <w:t xml:space="preserve">mg </w:t>
      </w:r>
      <w:r w:rsidR="00F23C97">
        <w:rPr>
          <w:lang w:eastAsia="ja-JP"/>
        </w:rPr>
        <w:t>every 4 weeks</w:t>
      </w:r>
      <w:r>
        <w:rPr>
          <w:lang w:eastAsia="ja-JP"/>
        </w:rPr>
        <w:t xml:space="preserve"> versus </w:t>
      </w:r>
      <w:proofErr w:type="spellStart"/>
      <w:r w:rsidR="008B40FD">
        <w:rPr>
          <w:lang w:eastAsia="ja-JP"/>
        </w:rPr>
        <w:t>bimekizumab</w:t>
      </w:r>
      <w:proofErr w:type="spellEnd"/>
      <w:r>
        <w:rPr>
          <w:lang w:eastAsia="ja-JP"/>
        </w:rPr>
        <w:t xml:space="preserve"> </w:t>
      </w:r>
      <w:r w:rsidR="001D2CFA">
        <w:rPr>
          <w:lang w:eastAsia="ja-JP"/>
        </w:rPr>
        <w:t>320</w:t>
      </w:r>
      <w:r w:rsidR="00AC3F64">
        <w:rPr>
          <w:lang w:eastAsia="ja-JP"/>
        </w:rPr>
        <w:t> </w:t>
      </w:r>
      <w:r w:rsidR="001D2CFA">
        <w:rPr>
          <w:lang w:eastAsia="ja-JP"/>
        </w:rPr>
        <w:t>mg</w:t>
      </w:r>
      <w:r>
        <w:rPr>
          <w:lang w:eastAsia="ja-JP"/>
        </w:rPr>
        <w:t xml:space="preserve"> </w:t>
      </w:r>
      <w:r w:rsidR="00F23C97">
        <w:rPr>
          <w:lang w:eastAsia="ja-JP"/>
        </w:rPr>
        <w:t>every 8 weeks</w:t>
      </w:r>
      <w:r>
        <w:rPr>
          <w:lang w:eastAsia="ja-JP"/>
        </w:rPr>
        <w:t xml:space="preserve"> </w:t>
      </w:r>
      <w:r w:rsidR="000A42AE">
        <w:rPr>
          <w:lang w:eastAsia="ja-JP"/>
        </w:rPr>
        <w:t xml:space="preserve">as </w:t>
      </w:r>
      <w:r w:rsidRPr="009D60C6">
        <w:rPr>
          <w:lang w:eastAsia="ja-JP"/>
        </w:rPr>
        <w:t xml:space="preserve">maintenance treatment, efficacy results through Week 52 were similar for both the </w:t>
      </w:r>
      <w:proofErr w:type="spellStart"/>
      <w:r w:rsidR="008B40FD">
        <w:rPr>
          <w:lang w:eastAsia="ja-JP"/>
        </w:rPr>
        <w:t>bimekizumab</w:t>
      </w:r>
      <w:proofErr w:type="spellEnd"/>
      <w:r w:rsidRPr="009D60C6">
        <w:rPr>
          <w:lang w:eastAsia="ja-JP"/>
        </w:rPr>
        <w:t xml:space="preserve"> 320</w:t>
      </w:r>
      <w:r w:rsidR="0009038A">
        <w:rPr>
          <w:lang w:eastAsia="ja-JP"/>
        </w:rPr>
        <w:t xml:space="preserve"> </w:t>
      </w:r>
      <w:r w:rsidRPr="009D60C6">
        <w:rPr>
          <w:lang w:eastAsia="ja-JP"/>
        </w:rPr>
        <w:t xml:space="preserve">mg </w:t>
      </w:r>
      <w:r w:rsidR="00F23C97">
        <w:rPr>
          <w:lang w:eastAsia="ja-JP"/>
        </w:rPr>
        <w:t>every 4 weeks</w:t>
      </w:r>
      <w:r w:rsidRPr="009D60C6">
        <w:rPr>
          <w:lang w:eastAsia="ja-JP"/>
        </w:rPr>
        <w:t xml:space="preserve"> and </w:t>
      </w:r>
      <w:proofErr w:type="spellStart"/>
      <w:r w:rsidR="008B40FD">
        <w:rPr>
          <w:lang w:eastAsia="ja-JP"/>
        </w:rPr>
        <w:t>bimekizumab</w:t>
      </w:r>
      <w:proofErr w:type="spellEnd"/>
      <w:r w:rsidRPr="009D60C6">
        <w:rPr>
          <w:lang w:eastAsia="ja-JP"/>
        </w:rPr>
        <w:t xml:space="preserve"> 320</w:t>
      </w:r>
      <w:r w:rsidR="0009038A">
        <w:rPr>
          <w:lang w:eastAsia="ja-JP"/>
        </w:rPr>
        <w:t xml:space="preserve"> </w:t>
      </w:r>
      <w:r w:rsidRPr="009D60C6">
        <w:rPr>
          <w:lang w:eastAsia="ja-JP"/>
        </w:rPr>
        <w:t xml:space="preserve">mg </w:t>
      </w:r>
      <w:r w:rsidR="00F23C97">
        <w:rPr>
          <w:lang w:eastAsia="ja-JP"/>
        </w:rPr>
        <w:t>every 8 weeks</w:t>
      </w:r>
      <w:r w:rsidR="003352E3">
        <w:rPr>
          <w:lang w:eastAsia="ja-JP"/>
        </w:rPr>
        <w:t xml:space="preserve"> </w:t>
      </w:r>
      <w:r w:rsidR="003352E3">
        <w:rPr>
          <w:lang w:eastAsia="ja-JP"/>
        </w:rPr>
        <w:lastRenderedPageBreak/>
        <w:t xml:space="preserve">(see also </w:t>
      </w:r>
      <w:r w:rsidR="003352E3" w:rsidRPr="006E4137">
        <w:rPr>
          <w:i/>
          <w:lang w:eastAsia="ja-JP"/>
        </w:rPr>
        <w:fldChar w:fldCharType="begin"/>
      </w:r>
      <w:r w:rsidR="003352E3" w:rsidRPr="006E4137">
        <w:rPr>
          <w:i/>
          <w:lang w:eastAsia="ja-JP"/>
        </w:rPr>
        <w:instrText xml:space="preserve"> REF _Ref132626345 \h </w:instrText>
      </w:r>
      <w:r w:rsidR="003352E3">
        <w:rPr>
          <w:i/>
          <w:lang w:eastAsia="ja-JP"/>
        </w:rPr>
        <w:instrText xml:space="preserve"> \* MERGEFORMAT </w:instrText>
      </w:r>
      <w:r w:rsidR="003352E3" w:rsidRPr="006E4137">
        <w:rPr>
          <w:i/>
          <w:lang w:eastAsia="ja-JP"/>
        </w:rPr>
      </w:r>
      <w:r w:rsidR="003352E3" w:rsidRPr="006E4137">
        <w:rPr>
          <w:i/>
          <w:lang w:eastAsia="ja-JP"/>
        </w:rPr>
        <w:fldChar w:fldCharType="separate"/>
      </w:r>
      <w:r w:rsidR="00B54079" w:rsidRPr="00B54079">
        <w:rPr>
          <w:i/>
        </w:rPr>
        <w:t>E2 pooled population</w:t>
      </w:r>
      <w:r w:rsidR="003352E3" w:rsidRPr="006E4137">
        <w:rPr>
          <w:i/>
          <w:lang w:eastAsia="ja-JP"/>
        </w:rPr>
        <w:fldChar w:fldCharType="end"/>
      </w:r>
      <w:r w:rsidR="003352E3">
        <w:rPr>
          <w:lang w:eastAsia="ja-JP"/>
        </w:rPr>
        <w:t xml:space="preserve"> above)</w:t>
      </w:r>
      <w:r w:rsidRPr="009D60C6">
        <w:rPr>
          <w:lang w:eastAsia="ja-JP"/>
        </w:rPr>
        <w:t>.</w:t>
      </w:r>
      <w:r>
        <w:rPr>
          <w:lang w:eastAsia="ja-JP"/>
        </w:rPr>
        <w:t xml:space="preserve"> </w:t>
      </w:r>
      <w:r w:rsidRPr="00791326">
        <w:rPr>
          <w:lang w:eastAsia="ja-JP"/>
        </w:rPr>
        <w:t>No notable differences were observed between the treatment groups at any time point for all outcomes</w:t>
      </w:r>
      <w:r>
        <w:rPr>
          <w:lang w:eastAsia="ja-JP"/>
        </w:rPr>
        <w:t>.</w:t>
      </w:r>
    </w:p>
    <w:p w14:paraId="72E39E36" w14:textId="76FB691E" w:rsidR="00551EFF" w:rsidRDefault="00551EFF" w:rsidP="00551EFF">
      <w:pPr>
        <w:rPr>
          <w:lang w:eastAsia="ja-JP"/>
        </w:rPr>
      </w:pPr>
      <w:r>
        <w:rPr>
          <w:lang w:eastAsia="ja-JP"/>
        </w:rPr>
        <w:t>The above finding from Study PS0013 is particularly relevant given, the proposed statement in the draft Product Information</w:t>
      </w:r>
      <w:r w:rsidR="00DA39D0">
        <w:rPr>
          <w:lang w:eastAsia="ja-JP"/>
        </w:rPr>
        <w:t>.</w:t>
      </w:r>
    </w:p>
    <w:p w14:paraId="213984F1" w14:textId="5B14A754" w:rsidR="00551EFF" w:rsidRPr="006E4137" w:rsidRDefault="00DA39D0" w:rsidP="006E4137">
      <w:pPr>
        <w:ind w:left="720"/>
        <w:rPr>
          <w:iCs/>
          <w:lang w:eastAsia="ja-JP"/>
        </w:rPr>
      </w:pPr>
      <w:r w:rsidRPr="006E4137">
        <w:rPr>
          <w:iCs/>
          <w:lang w:eastAsia="ja-JP"/>
        </w:rPr>
        <w:t>‘</w:t>
      </w:r>
      <w:r w:rsidR="00551EFF" w:rsidRPr="006E4137">
        <w:rPr>
          <w:iCs/>
          <w:lang w:eastAsia="ja-JP"/>
        </w:rPr>
        <w:t xml:space="preserve">The recommended dose of </w:t>
      </w:r>
      <w:proofErr w:type="spellStart"/>
      <w:r w:rsidR="00551EFF" w:rsidRPr="006E4137">
        <w:rPr>
          <w:iCs/>
          <w:lang w:eastAsia="ja-JP"/>
        </w:rPr>
        <w:t>Bimzelx</w:t>
      </w:r>
      <w:proofErr w:type="spellEnd"/>
      <w:r w:rsidR="00551EFF" w:rsidRPr="006E4137">
        <w:rPr>
          <w:iCs/>
          <w:lang w:eastAsia="ja-JP"/>
        </w:rPr>
        <w:t xml:space="preserve"> for adult patients with plaque psoriasis is 320</w:t>
      </w:r>
      <w:r w:rsidR="000A42AE">
        <w:rPr>
          <w:iCs/>
          <w:lang w:eastAsia="ja-JP"/>
        </w:rPr>
        <w:t> </w:t>
      </w:r>
      <w:r w:rsidR="00551EFF" w:rsidRPr="006E4137">
        <w:rPr>
          <w:iCs/>
          <w:lang w:eastAsia="ja-JP"/>
        </w:rPr>
        <w:t>mg (given as 2 subcutaneous injections of 160 mg each) at Week 0, 4, 8, 12, 16 and every 8 weeks thereafter.</w:t>
      </w:r>
    </w:p>
    <w:p w14:paraId="36ADC6D3" w14:textId="42642F83" w:rsidR="00551EFF" w:rsidRPr="00DA39D0" w:rsidRDefault="00551EFF" w:rsidP="006E4137">
      <w:pPr>
        <w:ind w:left="720"/>
        <w:rPr>
          <w:i/>
          <w:iCs/>
          <w:lang w:eastAsia="ja-JP"/>
        </w:rPr>
      </w:pPr>
      <w:r w:rsidRPr="006E4137">
        <w:rPr>
          <w:iCs/>
          <w:lang w:eastAsia="ja-JP"/>
        </w:rPr>
        <w:t>For some patients with a body weight ≥ 120 kg, 320 mg every 4 weeks after Week</w:t>
      </w:r>
      <w:r w:rsidR="000A42AE">
        <w:rPr>
          <w:iCs/>
          <w:lang w:eastAsia="ja-JP"/>
        </w:rPr>
        <w:t> </w:t>
      </w:r>
      <w:r w:rsidRPr="006E4137">
        <w:rPr>
          <w:iCs/>
          <w:lang w:eastAsia="ja-JP"/>
        </w:rPr>
        <w:t>16 may be considered</w:t>
      </w:r>
      <w:r w:rsidR="00DA39D0" w:rsidRPr="006E4137">
        <w:rPr>
          <w:iCs/>
          <w:lang w:eastAsia="ja-JP"/>
        </w:rPr>
        <w:t>’.</w:t>
      </w:r>
    </w:p>
    <w:p w14:paraId="036BBBAF" w14:textId="5EFA7B79" w:rsidR="00DA39D0" w:rsidRPr="00256DD3" w:rsidRDefault="00551EFF" w:rsidP="00DA39D0">
      <w:pPr>
        <w:rPr>
          <w:lang w:eastAsia="ja-JP"/>
        </w:rPr>
      </w:pPr>
      <w:r w:rsidRPr="009F5861">
        <w:rPr>
          <w:lang w:eastAsia="ja-JP"/>
        </w:rPr>
        <w:t xml:space="preserve">Following </w:t>
      </w:r>
      <w:r w:rsidR="003352E3">
        <w:rPr>
          <w:lang w:eastAsia="ja-JP"/>
        </w:rPr>
        <w:t xml:space="preserve">a </w:t>
      </w:r>
      <w:r w:rsidR="00DA39D0">
        <w:rPr>
          <w:lang w:eastAsia="ja-JP"/>
        </w:rPr>
        <w:t>TGA request that the s</w:t>
      </w:r>
      <w:r w:rsidRPr="009F5861">
        <w:rPr>
          <w:lang w:eastAsia="ja-JP"/>
        </w:rPr>
        <w:t>ponsor to either justify or delete the section in the draft Product Information regarding on</w:t>
      </w:r>
      <w:r w:rsidR="00AC3F64">
        <w:rPr>
          <w:lang w:eastAsia="ja-JP"/>
        </w:rPr>
        <w:t xml:space="preserve"> </w:t>
      </w:r>
      <w:r w:rsidRPr="009F5861">
        <w:rPr>
          <w:lang w:eastAsia="ja-JP"/>
        </w:rPr>
        <w:t xml:space="preserve">going </w:t>
      </w:r>
      <w:r w:rsidR="003352E3">
        <w:rPr>
          <w:lang w:eastAsia="ja-JP"/>
        </w:rPr>
        <w:t xml:space="preserve">treatment with </w:t>
      </w:r>
      <w:proofErr w:type="spellStart"/>
      <w:r w:rsidR="008B40FD">
        <w:rPr>
          <w:lang w:eastAsia="ja-JP"/>
        </w:rPr>
        <w:t>bimekizumab</w:t>
      </w:r>
      <w:proofErr w:type="spellEnd"/>
      <w:r w:rsidRPr="009F5861">
        <w:rPr>
          <w:lang w:eastAsia="ja-JP"/>
        </w:rPr>
        <w:t xml:space="preserve"> 320</w:t>
      </w:r>
      <w:r w:rsidR="00DA39D0">
        <w:rPr>
          <w:lang w:eastAsia="ja-JP"/>
        </w:rPr>
        <w:t xml:space="preserve"> </w:t>
      </w:r>
      <w:r w:rsidRPr="009F5861">
        <w:rPr>
          <w:lang w:eastAsia="ja-JP"/>
        </w:rPr>
        <w:t xml:space="preserve">mg </w:t>
      </w:r>
      <w:r w:rsidR="00F23C97">
        <w:rPr>
          <w:lang w:eastAsia="ja-JP"/>
        </w:rPr>
        <w:t>every 4</w:t>
      </w:r>
      <w:r w:rsidR="003352E3">
        <w:rPr>
          <w:lang w:eastAsia="ja-JP"/>
        </w:rPr>
        <w:t> </w:t>
      </w:r>
      <w:r w:rsidR="00F23C97">
        <w:rPr>
          <w:lang w:eastAsia="ja-JP"/>
        </w:rPr>
        <w:t>weeks</w:t>
      </w:r>
      <w:r w:rsidRPr="009F5861">
        <w:rPr>
          <w:lang w:eastAsia="ja-JP"/>
        </w:rPr>
        <w:t xml:space="preserve"> </w:t>
      </w:r>
      <w:r w:rsidR="003352E3">
        <w:rPr>
          <w:lang w:eastAsia="ja-JP"/>
        </w:rPr>
        <w:t xml:space="preserve">as </w:t>
      </w:r>
      <w:r w:rsidRPr="009F5861">
        <w:rPr>
          <w:lang w:eastAsia="ja-JP"/>
        </w:rPr>
        <w:t xml:space="preserve">maintenance dosing, the </w:t>
      </w:r>
      <w:r w:rsidR="00AC3F64">
        <w:rPr>
          <w:lang w:eastAsia="ja-JP"/>
        </w:rPr>
        <w:t>s</w:t>
      </w:r>
      <w:r w:rsidRPr="009F5861">
        <w:rPr>
          <w:lang w:eastAsia="ja-JP"/>
        </w:rPr>
        <w:t xml:space="preserve">ponsor re-presented </w:t>
      </w:r>
      <w:r w:rsidRPr="006E4137">
        <w:t>data fro</w:t>
      </w:r>
      <w:r w:rsidR="003352E3" w:rsidRPr="006E4137">
        <w:t xml:space="preserve">m </w:t>
      </w:r>
      <w:r w:rsidR="003352E3">
        <w:t>a population pharmacokinetic (</w:t>
      </w:r>
      <w:proofErr w:type="spellStart"/>
      <w:r w:rsidR="003352E3">
        <w:t>PopPK</w:t>
      </w:r>
      <w:proofErr w:type="spellEnd"/>
      <w:r w:rsidR="003352E3">
        <w:t>) analysis</w:t>
      </w:r>
      <w:r w:rsidRPr="006E4137">
        <w:t xml:space="preserve"> </w:t>
      </w:r>
      <w:r w:rsidR="003352E3">
        <w:rPr>
          <w:lang w:eastAsia="ja-JP"/>
        </w:rPr>
        <w:t xml:space="preserve">(Analysis </w:t>
      </w:r>
      <w:r w:rsidRPr="00DA39D0">
        <w:rPr>
          <w:lang w:eastAsia="ja-JP"/>
        </w:rPr>
        <w:t>CL0485</w:t>
      </w:r>
      <w:r w:rsidR="003352E3">
        <w:rPr>
          <w:lang w:eastAsia="ja-JP"/>
        </w:rPr>
        <w:t xml:space="preserve">, see </w:t>
      </w:r>
      <w:r w:rsidR="00AC3F64">
        <w:rPr>
          <w:lang w:eastAsia="ja-JP"/>
        </w:rPr>
        <w:fldChar w:fldCharType="begin"/>
      </w:r>
      <w:r w:rsidR="00AC3F64">
        <w:rPr>
          <w:lang w:eastAsia="ja-JP"/>
        </w:rPr>
        <w:instrText xml:space="preserve"> REF _Ref130206053 \h </w:instrText>
      </w:r>
      <w:r w:rsidR="00AC3F64">
        <w:rPr>
          <w:lang w:eastAsia="ja-JP"/>
        </w:rPr>
      </w:r>
      <w:r w:rsidR="00AC3F64">
        <w:rPr>
          <w:lang w:eastAsia="ja-JP"/>
        </w:rPr>
        <w:fldChar w:fldCharType="separate"/>
      </w:r>
      <w:r w:rsidR="00B54079" w:rsidRPr="00AC3F64">
        <w:t xml:space="preserve">Figure </w:t>
      </w:r>
      <w:r w:rsidR="00B54079">
        <w:rPr>
          <w:noProof/>
        </w:rPr>
        <w:t>21</w:t>
      </w:r>
      <w:r w:rsidR="00AC3F64">
        <w:rPr>
          <w:lang w:eastAsia="ja-JP"/>
        </w:rPr>
        <w:fldChar w:fldCharType="end"/>
      </w:r>
      <w:r w:rsidR="003352E3">
        <w:rPr>
          <w:lang w:eastAsia="ja-JP"/>
        </w:rPr>
        <w:t xml:space="preserve"> below</w:t>
      </w:r>
      <w:r w:rsidR="00AC3F64">
        <w:rPr>
          <w:lang w:eastAsia="ja-JP"/>
        </w:rPr>
        <w:t>)</w:t>
      </w:r>
      <w:r w:rsidRPr="009F5861">
        <w:rPr>
          <w:lang w:eastAsia="ja-JP"/>
        </w:rPr>
        <w:t>. While data simulation</w:t>
      </w:r>
      <w:r>
        <w:rPr>
          <w:lang w:eastAsia="ja-JP"/>
        </w:rPr>
        <w:t xml:space="preserve"> </w:t>
      </w:r>
      <w:r w:rsidRPr="009F5861">
        <w:rPr>
          <w:lang w:eastAsia="ja-JP"/>
        </w:rPr>
        <w:t xml:space="preserve">purported </w:t>
      </w:r>
      <w:r w:rsidRPr="00256DD3">
        <w:rPr>
          <w:lang w:eastAsia="ja-JP"/>
        </w:rPr>
        <w:t xml:space="preserve">lower separation rate in terms of PASI 90 for the higher weights </w:t>
      </w:r>
      <w:r w:rsidR="00AC3F64">
        <w:rPr>
          <w:lang w:eastAsia="ja-JP"/>
        </w:rPr>
        <w:t>greater than</w:t>
      </w:r>
      <w:r w:rsidR="00DA39D0">
        <w:rPr>
          <w:lang w:eastAsia="ja-JP"/>
        </w:rPr>
        <w:t xml:space="preserve"> </w:t>
      </w:r>
      <w:r w:rsidRPr="00256DD3">
        <w:rPr>
          <w:lang w:eastAsia="ja-JP"/>
        </w:rPr>
        <w:t>120</w:t>
      </w:r>
      <w:r w:rsidR="00AC3F64">
        <w:rPr>
          <w:lang w:eastAsia="ja-JP"/>
        </w:rPr>
        <w:t> </w:t>
      </w:r>
      <w:r w:rsidRPr="00256DD3">
        <w:rPr>
          <w:lang w:eastAsia="ja-JP"/>
        </w:rPr>
        <w:t>kg</w:t>
      </w:r>
      <w:r w:rsidR="00DA39D0">
        <w:rPr>
          <w:lang w:eastAsia="ja-JP"/>
        </w:rPr>
        <w:t xml:space="preserve"> </w:t>
      </w:r>
      <w:r w:rsidR="00DA39D0" w:rsidRPr="00256DD3">
        <w:rPr>
          <w:lang w:eastAsia="ja-JP"/>
        </w:rPr>
        <w:t xml:space="preserve">for </w:t>
      </w:r>
      <w:proofErr w:type="spellStart"/>
      <w:r w:rsidR="008B40FD">
        <w:rPr>
          <w:lang w:eastAsia="ja-JP"/>
        </w:rPr>
        <w:t>bimekizumab</w:t>
      </w:r>
      <w:proofErr w:type="spellEnd"/>
      <w:r w:rsidR="00DA39D0" w:rsidRPr="00256DD3">
        <w:rPr>
          <w:lang w:eastAsia="ja-JP"/>
        </w:rPr>
        <w:t xml:space="preserve"> 320</w:t>
      </w:r>
      <w:r w:rsidR="00DA39D0">
        <w:rPr>
          <w:lang w:eastAsia="ja-JP"/>
        </w:rPr>
        <w:t xml:space="preserve"> mg</w:t>
      </w:r>
      <w:r w:rsidR="00DA39D0" w:rsidRPr="00256DD3">
        <w:rPr>
          <w:lang w:eastAsia="ja-JP"/>
        </w:rPr>
        <w:t xml:space="preserve"> </w:t>
      </w:r>
      <w:r w:rsidR="00F23C97">
        <w:rPr>
          <w:lang w:eastAsia="ja-JP"/>
        </w:rPr>
        <w:t>every 8 weeks</w:t>
      </w:r>
      <w:r w:rsidR="00DA39D0" w:rsidRPr="00256DD3">
        <w:rPr>
          <w:lang w:eastAsia="ja-JP"/>
        </w:rPr>
        <w:t>, the available evidence from the submitted and evaluated clinical trial</w:t>
      </w:r>
      <w:r w:rsidR="00DA39D0">
        <w:rPr>
          <w:lang w:eastAsia="ja-JP"/>
        </w:rPr>
        <w:t>, Study</w:t>
      </w:r>
      <w:r w:rsidR="00DA39D0" w:rsidRPr="00256DD3">
        <w:rPr>
          <w:lang w:eastAsia="ja-JP"/>
        </w:rPr>
        <w:t xml:space="preserve"> PS0013 suggested otherwise, </w:t>
      </w:r>
      <w:r w:rsidR="00DA39D0">
        <w:rPr>
          <w:lang w:eastAsia="ja-JP"/>
        </w:rPr>
        <w:t>that is</w:t>
      </w:r>
      <w:r w:rsidR="00DA39D0" w:rsidRPr="00256DD3">
        <w:rPr>
          <w:lang w:eastAsia="ja-JP"/>
        </w:rPr>
        <w:t xml:space="preserve"> that there is no significant difference between the </w:t>
      </w:r>
      <w:proofErr w:type="spellStart"/>
      <w:r w:rsidR="008B40FD">
        <w:rPr>
          <w:lang w:eastAsia="ja-JP"/>
        </w:rPr>
        <w:t>bimekizumab</w:t>
      </w:r>
      <w:proofErr w:type="spellEnd"/>
      <w:r w:rsidR="00DA39D0" w:rsidRPr="00256DD3">
        <w:rPr>
          <w:lang w:eastAsia="ja-JP"/>
        </w:rPr>
        <w:t xml:space="preserve"> 320</w:t>
      </w:r>
      <w:r w:rsidR="00DA39D0">
        <w:rPr>
          <w:lang w:eastAsia="ja-JP"/>
        </w:rPr>
        <w:t xml:space="preserve"> mg</w:t>
      </w:r>
      <w:r w:rsidR="00DA39D0" w:rsidRPr="00256DD3">
        <w:rPr>
          <w:lang w:eastAsia="ja-JP"/>
        </w:rPr>
        <w:t xml:space="preserve"> </w:t>
      </w:r>
      <w:r w:rsidR="00F23C97">
        <w:rPr>
          <w:lang w:eastAsia="ja-JP"/>
        </w:rPr>
        <w:t>every 4 weeks</w:t>
      </w:r>
      <w:r w:rsidR="00DA39D0" w:rsidRPr="00256DD3">
        <w:rPr>
          <w:lang w:eastAsia="ja-JP"/>
        </w:rPr>
        <w:t xml:space="preserve"> and </w:t>
      </w:r>
      <w:proofErr w:type="gramStart"/>
      <w:r w:rsidR="00DA39D0" w:rsidRPr="00256DD3">
        <w:rPr>
          <w:lang w:eastAsia="ja-JP"/>
        </w:rPr>
        <w:t xml:space="preserve">the </w:t>
      </w:r>
      <w:r w:rsidR="00F23C97">
        <w:rPr>
          <w:lang w:eastAsia="ja-JP"/>
        </w:rPr>
        <w:t>every</w:t>
      </w:r>
      <w:proofErr w:type="gramEnd"/>
      <w:r w:rsidR="00F23C97">
        <w:rPr>
          <w:lang w:eastAsia="ja-JP"/>
        </w:rPr>
        <w:t xml:space="preserve"> 8</w:t>
      </w:r>
      <w:r w:rsidR="003352E3">
        <w:rPr>
          <w:lang w:eastAsia="ja-JP"/>
        </w:rPr>
        <w:t> </w:t>
      </w:r>
      <w:r w:rsidR="00F23C97">
        <w:rPr>
          <w:lang w:eastAsia="ja-JP"/>
        </w:rPr>
        <w:t>weeks</w:t>
      </w:r>
      <w:r w:rsidR="00DA39D0" w:rsidRPr="00256DD3">
        <w:rPr>
          <w:lang w:eastAsia="ja-JP"/>
        </w:rPr>
        <w:t xml:space="preserve"> dosing.</w:t>
      </w:r>
    </w:p>
    <w:p w14:paraId="160BC58C" w14:textId="4737970A" w:rsidR="00DA39D0" w:rsidRPr="00256DD3" w:rsidRDefault="00DA39D0" w:rsidP="00AC3F64">
      <w:pPr>
        <w:pStyle w:val="FigureTitle"/>
        <w:rPr>
          <w:lang w:eastAsia="ja-JP"/>
        </w:rPr>
      </w:pPr>
      <w:bookmarkStart w:id="129" w:name="_Ref130206053"/>
      <w:r w:rsidRPr="00AC3F64">
        <w:t xml:space="preserve">Figure </w:t>
      </w:r>
      <w:r w:rsidR="00172397">
        <w:fldChar w:fldCharType="begin"/>
      </w:r>
      <w:r w:rsidR="00172397">
        <w:instrText xml:space="preserve"> SEQ Figure \* ARABIC </w:instrText>
      </w:r>
      <w:r w:rsidR="00172397">
        <w:fldChar w:fldCharType="separate"/>
      </w:r>
      <w:r w:rsidR="00B54079">
        <w:rPr>
          <w:noProof/>
        </w:rPr>
        <w:t>21</w:t>
      </w:r>
      <w:r w:rsidR="00172397">
        <w:rPr>
          <w:noProof/>
        </w:rPr>
        <w:fldChar w:fldCharType="end"/>
      </w:r>
      <w:bookmarkEnd w:id="129"/>
      <w:r>
        <w:t>:</w:t>
      </w:r>
      <w:r w:rsidR="00AC3F64">
        <w:t xml:space="preserve"> </w:t>
      </w:r>
      <w:r w:rsidR="003352E3">
        <w:rPr>
          <w:lang w:eastAsia="ja-JP"/>
        </w:rPr>
        <w:t>Analysis</w:t>
      </w:r>
      <w:r w:rsidR="003352E3" w:rsidRPr="00DA39D0">
        <w:rPr>
          <w:lang w:eastAsia="ja-JP"/>
        </w:rPr>
        <w:t xml:space="preserve"> </w:t>
      </w:r>
      <w:r w:rsidR="00AC3F64" w:rsidRPr="00DA39D0">
        <w:rPr>
          <w:lang w:eastAsia="ja-JP"/>
        </w:rPr>
        <w:t>CL0485</w:t>
      </w:r>
      <w:r w:rsidR="00AC3F64">
        <w:rPr>
          <w:lang w:eastAsia="ja-JP"/>
        </w:rPr>
        <w:t xml:space="preserve"> Simulated PASI response rate versus time for different weight categories, based on the final exposure response model for PASI</w:t>
      </w:r>
    </w:p>
    <w:p w14:paraId="088D57C0" w14:textId="1B002FEE" w:rsidR="00551EFF" w:rsidRDefault="006B6821" w:rsidP="00551EFF">
      <w:pPr>
        <w:rPr>
          <w:noProof/>
          <w:lang w:eastAsia="ja-JP"/>
        </w:rPr>
      </w:pPr>
      <w:r w:rsidRPr="006B6821">
        <w:rPr>
          <w:noProof/>
          <w:lang w:val="en-GB" w:eastAsia="en-GB"/>
        </w:rPr>
        <w:drawing>
          <wp:inline distT="0" distB="0" distL="0" distR="0" wp14:anchorId="2A969A03" wp14:editId="32D5B0D3">
            <wp:extent cx="5620053" cy="2437295"/>
            <wp:effectExtent l="0" t="0" r="0" b="1270"/>
            <wp:docPr id="5" name="Picture 5" descr="Study CL0485 Simulated PASI response rate versus time for different weight categories, based on the final exposure response model for PASI, colored by the treatment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tudy CL0485 Simulated PASI response rate versus time for different weight categories, based on the final exposure response model for PASI, colored by the treatment groups"/>
                    <pic:cNvPicPr/>
                  </pic:nvPicPr>
                  <pic:blipFill>
                    <a:blip r:embed="rId52"/>
                    <a:stretch>
                      <a:fillRect/>
                    </a:stretch>
                  </pic:blipFill>
                  <pic:spPr>
                    <a:xfrm>
                      <a:off x="0" y="0"/>
                      <a:ext cx="5644499" cy="2447897"/>
                    </a:xfrm>
                    <a:prstGeom prst="rect">
                      <a:avLst/>
                    </a:prstGeom>
                  </pic:spPr>
                </pic:pic>
              </a:graphicData>
            </a:graphic>
          </wp:inline>
        </w:drawing>
      </w:r>
    </w:p>
    <w:p w14:paraId="7B438BBB" w14:textId="1C3209FB" w:rsidR="006B6821" w:rsidRDefault="006B6821" w:rsidP="006B6821">
      <w:pPr>
        <w:pStyle w:val="FigureDescription"/>
        <w:rPr>
          <w:lang w:eastAsia="ja-JP"/>
        </w:rPr>
      </w:pPr>
      <w:r>
        <w:rPr>
          <w:lang w:eastAsia="ja-JP"/>
        </w:rPr>
        <w:t>PASI = Psoriasis Area and Severity Index; PASI 75 = 75% improvement from baseline in PASI; PASI 90 = 90% improvement from baseline in PASI; PASI 100 = 100% improvement from baseline in PASI; Q4W = every 4 weeks; Q8W = every 8 weeks; 320mg Q4W, 320 mg Q8W = 320 mg Q4W followed by 320 mg Q8W from Week 16 onwards</w:t>
      </w:r>
    </w:p>
    <w:p w14:paraId="46B5B607" w14:textId="2EF76ABF" w:rsidR="003352E3" w:rsidRDefault="003352E3" w:rsidP="006B6821">
      <w:pPr>
        <w:pStyle w:val="FigureDescription"/>
        <w:rPr>
          <w:lang w:eastAsia="ja-JP"/>
        </w:rPr>
      </w:pPr>
      <w:r>
        <w:rPr>
          <w:lang w:eastAsia="ja-JP"/>
        </w:rPr>
        <w:t>Note: C</w:t>
      </w:r>
      <w:r w:rsidRPr="003352E3">
        <w:rPr>
          <w:lang w:eastAsia="ja-JP"/>
        </w:rPr>
        <w:t>olo</w:t>
      </w:r>
      <w:r>
        <w:rPr>
          <w:lang w:eastAsia="ja-JP"/>
        </w:rPr>
        <w:t>u</w:t>
      </w:r>
      <w:r w:rsidRPr="003352E3">
        <w:rPr>
          <w:lang w:eastAsia="ja-JP"/>
        </w:rPr>
        <w:t xml:space="preserve">red </w:t>
      </w:r>
      <w:r>
        <w:rPr>
          <w:lang w:eastAsia="ja-JP"/>
        </w:rPr>
        <w:t xml:space="preserve">lines represent different </w:t>
      </w:r>
      <w:r w:rsidRPr="003352E3">
        <w:rPr>
          <w:lang w:eastAsia="ja-JP"/>
        </w:rPr>
        <w:t>treatment groups</w:t>
      </w:r>
      <w:r>
        <w:rPr>
          <w:lang w:eastAsia="ja-JP"/>
        </w:rPr>
        <w:t>.</w:t>
      </w:r>
    </w:p>
    <w:p w14:paraId="713B829E" w14:textId="3EE8FA9F" w:rsidR="006B6821" w:rsidRDefault="006B6821" w:rsidP="006B6821">
      <w:pPr>
        <w:pStyle w:val="FigureDescription"/>
        <w:rPr>
          <w:lang w:eastAsia="ja-JP"/>
        </w:rPr>
      </w:pPr>
      <w:r>
        <w:rPr>
          <w:lang w:eastAsia="ja-JP"/>
        </w:rPr>
        <w:t>The vertical line shows the time (Week 16) when the study participants in the second treatment group switch from 320mg Q4W regimen to 320mg Q8W regimen.</w:t>
      </w:r>
    </w:p>
    <w:p w14:paraId="19EC2B45" w14:textId="1EE4A2C7" w:rsidR="00551EFF" w:rsidRDefault="00551EFF" w:rsidP="00DA39D0">
      <w:pPr>
        <w:rPr>
          <w:lang w:eastAsia="ja-JP"/>
        </w:rPr>
      </w:pPr>
      <w:r w:rsidRPr="00F00BFF">
        <w:rPr>
          <w:lang w:eastAsia="ja-JP"/>
        </w:rPr>
        <w:t xml:space="preserve">The </w:t>
      </w:r>
      <w:r w:rsidR="00DA39D0">
        <w:rPr>
          <w:lang w:eastAsia="ja-JP"/>
        </w:rPr>
        <w:t>s</w:t>
      </w:r>
      <w:r w:rsidRPr="00F00BFF">
        <w:rPr>
          <w:lang w:eastAsia="ja-JP"/>
        </w:rPr>
        <w:t xml:space="preserve">ponsor also provided additional clinical efficacy and safety data in response to </w:t>
      </w:r>
      <w:r w:rsidR="003352E3">
        <w:rPr>
          <w:lang w:eastAsia="ja-JP"/>
        </w:rPr>
        <w:t xml:space="preserve">questions posed by the </w:t>
      </w:r>
      <w:r w:rsidR="00DA39D0">
        <w:rPr>
          <w:lang w:eastAsia="ja-JP"/>
        </w:rPr>
        <w:t>TGA</w:t>
      </w:r>
      <w:r w:rsidRPr="00F00BFF">
        <w:rPr>
          <w:lang w:eastAsia="ja-JP"/>
        </w:rPr>
        <w:t xml:space="preserve">, based on integrated analysis of the pivotal Phase </w:t>
      </w:r>
      <w:r w:rsidR="00DA39D0">
        <w:rPr>
          <w:lang w:eastAsia="ja-JP"/>
        </w:rPr>
        <w:t>III</w:t>
      </w:r>
      <w:r w:rsidRPr="00F00BFF">
        <w:rPr>
          <w:lang w:eastAsia="ja-JP"/>
        </w:rPr>
        <w:t xml:space="preserve"> studies</w:t>
      </w:r>
      <w:r>
        <w:rPr>
          <w:lang w:eastAsia="ja-JP"/>
        </w:rPr>
        <w:t xml:space="preserve"> </w:t>
      </w:r>
      <w:r w:rsidR="00AC3F64">
        <w:rPr>
          <w:lang w:eastAsia="ja-JP"/>
        </w:rPr>
        <w:t>(</w:t>
      </w:r>
      <w:r w:rsidR="00DA39D0">
        <w:rPr>
          <w:lang w:eastAsia="ja-JP"/>
        </w:rPr>
        <w:t xml:space="preserve">Studies </w:t>
      </w:r>
      <w:r>
        <w:rPr>
          <w:lang w:eastAsia="ja-JP"/>
        </w:rPr>
        <w:t>PS0008, PS0009</w:t>
      </w:r>
      <w:r w:rsidR="00DA39D0">
        <w:rPr>
          <w:lang w:eastAsia="ja-JP"/>
        </w:rPr>
        <w:t xml:space="preserve"> and</w:t>
      </w:r>
      <w:r>
        <w:rPr>
          <w:lang w:eastAsia="ja-JP"/>
        </w:rPr>
        <w:t xml:space="preserve"> PS0013</w:t>
      </w:r>
      <w:r w:rsidR="00AC3F64">
        <w:rPr>
          <w:lang w:eastAsia="ja-JP"/>
        </w:rPr>
        <w:t>)</w:t>
      </w:r>
      <w:r w:rsidRPr="00F00BFF">
        <w:rPr>
          <w:lang w:eastAsia="ja-JP"/>
        </w:rPr>
        <w:t xml:space="preserve"> with the available data from </w:t>
      </w:r>
      <w:r w:rsidRPr="00DA39D0">
        <w:rPr>
          <w:lang w:eastAsia="ja-JP"/>
        </w:rPr>
        <w:t xml:space="preserve">an </w:t>
      </w:r>
      <w:proofErr w:type="spellStart"/>
      <w:proofErr w:type="gramStart"/>
      <w:r w:rsidRPr="00DA39D0">
        <w:rPr>
          <w:lang w:eastAsia="ja-JP"/>
        </w:rPr>
        <w:t>on</w:t>
      </w:r>
      <w:r w:rsidR="00AC3F64">
        <w:rPr>
          <w:lang w:eastAsia="ja-JP"/>
        </w:rPr>
        <w:t xml:space="preserve"> </w:t>
      </w:r>
      <w:r w:rsidRPr="00DA39D0">
        <w:rPr>
          <w:lang w:eastAsia="ja-JP"/>
        </w:rPr>
        <w:t>going</w:t>
      </w:r>
      <w:proofErr w:type="spellEnd"/>
      <w:proofErr w:type="gramEnd"/>
      <w:r w:rsidRPr="00DA39D0">
        <w:rPr>
          <w:lang w:eastAsia="ja-JP"/>
        </w:rPr>
        <w:t xml:space="preserve"> Phase </w:t>
      </w:r>
      <w:proofErr w:type="spellStart"/>
      <w:r w:rsidR="00DA39D0">
        <w:rPr>
          <w:lang w:eastAsia="ja-JP"/>
        </w:rPr>
        <w:t>III</w:t>
      </w:r>
      <w:r w:rsidRPr="00DA39D0">
        <w:rPr>
          <w:lang w:eastAsia="ja-JP"/>
        </w:rPr>
        <w:t>b</w:t>
      </w:r>
      <w:proofErr w:type="spellEnd"/>
      <w:r w:rsidRPr="00DA39D0">
        <w:rPr>
          <w:lang w:eastAsia="ja-JP"/>
        </w:rPr>
        <w:t xml:space="preserve"> Study</w:t>
      </w:r>
      <w:r w:rsidR="00AC3F64">
        <w:rPr>
          <w:lang w:eastAsia="ja-JP"/>
        </w:rPr>
        <w:t> </w:t>
      </w:r>
      <w:r w:rsidRPr="00DA39D0">
        <w:rPr>
          <w:lang w:eastAsia="ja-JP"/>
        </w:rPr>
        <w:t>PS0015.</w:t>
      </w:r>
      <w:r w:rsidRPr="00F00BFF">
        <w:rPr>
          <w:lang w:eastAsia="ja-JP"/>
        </w:rPr>
        <w:t xml:space="preserve"> From the analysis, the difference with </w:t>
      </w:r>
      <w:proofErr w:type="spellStart"/>
      <w:r w:rsidR="008B40FD">
        <w:rPr>
          <w:lang w:eastAsia="ja-JP"/>
        </w:rPr>
        <w:t>bimekizumab</w:t>
      </w:r>
      <w:proofErr w:type="spellEnd"/>
      <w:r w:rsidRPr="00F00BFF">
        <w:rPr>
          <w:lang w:eastAsia="ja-JP"/>
        </w:rPr>
        <w:t xml:space="preserve"> 320</w:t>
      </w:r>
      <w:r w:rsidR="00DA39D0">
        <w:rPr>
          <w:lang w:eastAsia="ja-JP"/>
        </w:rPr>
        <w:t xml:space="preserve"> </w:t>
      </w:r>
      <w:r w:rsidRPr="00F00BFF">
        <w:rPr>
          <w:lang w:eastAsia="ja-JP"/>
        </w:rPr>
        <w:t xml:space="preserve">mg </w:t>
      </w:r>
      <w:r w:rsidR="00F23C97">
        <w:rPr>
          <w:lang w:eastAsia="ja-JP"/>
        </w:rPr>
        <w:t>every 4 weeks</w:t>
      </w:r>
      <w:r w:rsidRPr="00F00BFF">
        <w:rPr>
          <w:lang w:eastAsia="ja-JP"/>
        </w:rPr>
        <w:t xml:space="preserve"> dosing between </w:t>
      </w:r>
      <w:r w:rsidR="00AC3F64">
        <w:rPr>
          <w:lang w:eastAsia="ja-JP"/>
        </w:rPr>
        <w:t>less than</w:t>
      </w:r>
      <w:r w:rsidR="00DA39D0">
        <w:rPr>
          <w:lang w:eastAsia="ja-JP"/>
        </w:rPr>
        <w:t xml:space="preserve"> </w:t>
      </w:r>
      <w:r w:rsidRPr="00F00BFF">
        <w:rPr>
          <w:lang w:eastAsia="ja-JP"/>
        </w:rPr>
        <w:t>120</w:t>
      </w:r>
      <w:r w:rsidR="00DA39D0">
        <w:rPr>
          <w:lang w:eastAsia="ja-JP"/>
        </w:rPr>
        <w:t xml:space="preserve"> k</w:t>
      </w:r>
      <w:r w:rsidRPr="00F00BFF">
        <w:rPr>
          <w:lang w:eastAsia="ja-JP"/>
        </w:rPr>
        <w:t xml:space="preserve">g and </w:t>
      </w:r>
      <w:r w:rsidR="00AC3F64">
        <w:rPr>
          <w:lang w:eastAsia="ja-JP"/>
        </w:rPr>
        <w:t>greater than</w:t>
      </w:r>
      <w:r w:rsidR="00DA39D0">
        <w:rPr>
          <w:lang w:eastAsia="ja-JP"/>
        </w:rPr>
        <w:t xml:space="preserve"> </w:t>
      </w:r>
      <w:r w:rsidRPr="00F00BFF">
        <w:rPr>
          <w:lang w:eastAsia="ja-JP"/>
        </w:rPr>
        <w:t>120</w:t>
      </w:r>
      <w:r w:rsidR="00DA39D0">
        <w:rPr>
          <w:lang w:eastAsia="ja-JP"/>
        </w:rPr>
        <w:t xml:space="preserve"> k</w:t>
      </w:r>
      <w:r w:rsidRPr="00F00BFF">
        <w:rPr>
          <w:lang w:eastAsia="ja-JP"/>
        </w:rPr>
        <w:t xml:space="preserve">g weights </w:t>
      </w:r>
      <w:proofErr w:type="gramStart"/>
      <w:r w:rsidRPr="00F00BFF">
        <w:rPr>
          <w:lang w:eastAsia="ja-JP"/>
        </w:rPr>
        <w:t>is</w:t>
      </w:r>
      <w:proofErr w:type="gramEnd"/>
      <w:r w:rsidRPr="00F00BFF">
        <w:rPr>
          <w:lang w:eastAsia="ja-JP"/>
        </w:rPr>
        <w:t xml:space="preserve"> 9.3% for both PASI 90 </w:t>
      </w:r>
      <w:r w:rsidR="003352E3">
        <w:rPr>
          <w:lang w:eastAsia="ja-JP"/>
        </w:rPr>
        <w:t>and</w:t>
      </w:r>
      <w:r w:rsidRPr="00F00BFF">
        <w:rPr>
          <w:lang w:eastAsia="ja-JP"/>
        </w:rPr>
        <w:t xml:space="preserve"> IGA 0/1</w:t>
      </w:r>
      <w:r w:rsidR="003352E3">
        <w:rPr>
          <w:lang w:eastAsia="ja-JP"/>
        </w:rPr>
        <w:t xml:space="preserve"> responses</w:t>
      </w:r>
      <w:r w:rsidRPr="00F00BFF">
        <w:rPr>
          <w:lang w:eastAsia="ja-JP"/>
        </w:rPr>
        <w:t xml:space="preserve">, at Week 16. The </w:t>
      </w:r>
      <w:r w:rsidR="00DA39D0">
        <w:rPr>
          <w:lang w:eastAsia="ja-JP"/>
        </w:rPr>
        <w:t>D</w:t>
      </w:r>
      <w:r w:rsidRPr="00F00BFF">
        <w:rPr>
          <w:lang w:eastAsia="ja-JP"/>
        </w:rPr>
        <w:t>elegate rates the latter as being numerical with no statistical reference, as there was no statistical analysis.</w:t>
      </w:r>
    </w:p>
    <w:p w14:paraId="10B620FA" w14:textId="65297D81" w:rsidR="00551EFF" w:rsidRDefault="00551EFF" w:rsidP="00DA39D0">
      <w:pPr>
        <w:rPr>
          <w:lang w:eastAsia="ja-JP"/>
        </w:rPr>
      </w:pPr>
      <w:r>
        <w:rPr>
          <w:lang w:eastAsia="ja-JP"/>
        </w:rPr>
        <w:lastRenderedPageBreak/>
        <w:t xml:space="preserve">Also, from the re-presented data from </w:t>
      </w:r>
      <w:r w:rsidR="003352E3">
        <w:rPr>
          <w:lang w:eastAsia="ja-JP"/>
        </w:rPr>
        <w:t xml:space="preserve">the </w:t>
      </w:r>
      <w:proofErr w:type="spellStart"/>
      <w:r w:rsidRPr="00FF31B8">
        <w:rPr>
          <w:lang w:eastAsia="ja-JP"/>
        </w:rPr>
        <w:t>PopPK</w:t>
      </w:r>
      <w:proofErr w:type="spellEnd"/>
      <w:r w:rsidRPr="00FF31B8">
        <w:rPr>
          <w:lang w:eastAsia="ja-JP"/>
        </w:rPr>
        <w:t xml:space="preserve"> </w:t>
      </w:r>
      <w:r w:rsidR="003352E3">
        <w:rPr>
          <w:lang w:eastAsia="ja-JP"/>
        </w:rPr>
        <w:t>Analysis</w:t>
      </w:r>
      <w:r w:rsidR="003352E3" w:rsidRPr="00FF31B8">
        <w:rPr>
          <w:lang w:eastAsia="ja-JP"/>
        </w:rPr>
        <w:t xml:space="preserve"> </w:t>
      </w:r>
      <w:r w:rsidRPr="00FF31B8">
        <w:rPr>
          <w:lang w:eastAsia="ja-JP"/>
        </w:rPr>
        <w:t>CL0485</w:t>
      </w:r>
      <w:r w:rsidR="00DA39D0">
        <w:rPr>
          <w:lang w:eastAsia="ja-JP"/>
        </w:rPr>
        <w:t xml:space="preserve">, </w:t>
      </w:r>
      <w:r w:rsidRPr="00AB7D2E">
        <w:rPr>
          <w:lang w:eastAsia="ja-JP"/>
        </w:rPr>
        <w:t>patients weighing 120</w:t>
      </w:r>
      <w:r w:rsidR="00A944B3">
        <w:rPr>
          <w:lang w:eastAsia="ja-JP"/>
        </w:rPr>
        <w:t> </w:t>
      </w:r>
      <w:r w:rsidRPr="00AB7D2E">
        <w:rPr>
          <w:lang w:eastAsia="ja-JP"/>
        </w:rPr>
        <w:t xml:space="preserve">kg are anticipated to have 30% lower concentration of product compared to a patient </w:t>
      </w:r>
      <w:r>
        <w:rPr>
          <w:lang w:eastAsia="ja-JP"/>
        </w:rPr>
        <w:t>of</w:t>
      </w:r>
      <w:r w:rsidRPr="00AB7D2E">
        <w:rPr>
          <w:lang w:eastAsia="ja-JP"/>
        </w:rPr>
        <w:t xml:space="preserve"> 90 kg</w:t>
      </w:r>
      <w:r w:rsidR="00DA39D0">
        <w:rPr>
          <w:lang w:eastAsia="ja-JP"/>
        </w:rPr>
        <w:t xml:space="preserve">, and </w:t>
      </w:r>
      <w:r w:rsidRPr="00336B44">
        <w:rPr>
          <w:lang w:eastAsia="ja-JP"/>
        </w:rPr>
        <w:t>patients weighing approximately 200</w:t>
      </w:r>
      <w:r w:rsidR="00DA39D0">
        <w:rPr>
          <w:lang w:eastAsia="ja-JP"/>
        </w:rPr>
        <w:t xml:space="preserve"> </w:t>
      </w:r>
      <w:r w:rsidRPr="00336B44">
        <w:rPr>
          <w:lang w:eastAsia="ja-JP"/>
        </w:rPr>
        <w:t>kg are anticipated to have a 60% lower plasma concentration.</w:t>
      </w:r>
    </w:p>
    <w:p w14:paraId="65E717DA" w14:textId="0EDEE230" w:rsidR="00551EFF" w:rsidRPr="00DA39D0" w:rsidRDefault="00551EFF" w:rsidP="00DA39D0">
      <w:pPr>
        <w:rPr>
          <w:b/>
          <w:bCs/>
          <w:lang w:eastAsia="ja-JP"/>
        </w:rPr>
      </w:pPr>
      <w:bookmarkStart w:id="130" w:name="_Hlk88834576"/>
      <w:r w:rsidRPr="005010CC">
        <w:rPr>
          <w:lang w:eastAsia="ja-JP"/>
        </w:rPr>
        <w:t xml:space="preserve">In assessing the above anticipations, the </w:t>
      </w:r>
      <w:r w:rsidR="00DA39D0">
        <w:rPr>
          <w:lang w:eastAsia="ja-JP"/>
        </w:rPr>
        <w:t>D</w:t>
      </w:r>
      <w:r w:rsidRPr="005010CC">
        <w:rPr>
          <w:lang w:eastAsia="ja-JP"/>
        </w:rPr>
        <w:t xml:space="preserve">elegate believes that the issue of possible drug accumulation at the proposed maintenance treatment dose of </w:t>
      </w:r>
      <w:proofErr w:type="spellStart"/>
      <w:r w:rsidR="008B40FD">
        <w:rPr>
          <w:lang w:eastAsia="ja-JP"/>
        </w:rPr>
        <w:t>bimekizumab</w:t>
      </w:r>
      <w:proofErr w:type="spellEnd"/>
      <w:r w:rsidRPr="005010CC">
        <w:rPr>
          <w:lang w:eastAsia="ja-JP"/>
        </w:rPr>
        <w:t xml:space="preserve"> 320</w:t>
      </w:r>
      <w:r w:rsidR="00DA39D0">
        <w:rPr>
          <w:lang w:eastAsia="ja-JP"/>
        </w:rPr>
        <w:t xml:space="preserve"> </w:t>
      </w:r>
      <w:r w:rsidRPr="005010CC">
        <w:rPr>
          <w:lang w:eastAsia="ja-JP"/>
        </w:rPr>
        <w:t xml:space="preserve">mg </w:t>
      </w:r>
      <w:r w:rsidR="00F23C97">
        <w:rPr>
          <w:lang w:eastAsia="ja-JP"/>
        </w:rPr>
        <w:t>every 4 weeks</w:t>
      </w:r>
      <w:r w:rsidRPr="005010CC">
        <w:rPr>
          <w:lang w:eastAsia="ja-JP"/>
        </w:rPr>
        <w:t xml:space="preserve"> in patients </w:t>
      </w:r>
      <w:r w:rsidR="00AC3F64">
        <w:rPr>
          <w:lang w:eastAsia="ja-JP"/>
        </w:rPr>
        <w:t>greater than</w:t>
      </w:r>
      <w:r w:rsidR="00DA39D0">
        <w:rPr>
          <w:lang w:eastAsia="ja-JP"/>
        </w:rPr>
        <w:t xml:space="preserve"> </w:t>
      </w:r>
      <w:r w:rsidRPr="005010CC">
        <w:rPr>
          <w:lang w:eastAsia="ja-JP"/>
        </w:rPr>
        <w:t xml:space="preserve">120kg ought to be carefully reviewed, as the first order kinetics of </w:t>
      </w:r>
      <w:proofErr w:type="spellStart"/>
      <w:r w:rsidR="008B40FD">
        <w:rPr>
          <w:lang w:eastAsia="ja-JP"/>
        </w:rPr>
        <w:t>bimekizumab</w:t>
      </w:r>
      <w:proofErr w:type="spellEnd"/>
      <w:r w:rsidRPr="005010CC">
        <w:rPr>
          <w:lang w:eastAsia="ja-JP"/>
        </w:rPr>
        <w:t xml:space="preserve"> can quickly shift to zero order kinetics, which is not desirable. </w:t>
      </w:r>
      <w:r w:rsidRPr="00DA39D0">
        <w:rPr>
          <w:lang w:eastAsia="ja-JP"/>
        </w:rPr>
        <w:t xml:space="preserve">However, should the </w:t>
      </w:r>
      <w:proofErr w:type="spellStart"/>
      <w:r w:rsidR="008B40FD">
        <w:rPr>
          <w:lang w:eastAsia="ja-JP"/>
        </w:rPr>
        <w:t>bimekizumab</w:t>
      </w:r>
      <w:proofErr w:type="spellEnd"/>
      <w:r w:rsidRPr="00DA39D0">
        <w:rPr>
          <w:lang w:eastAsia="ja-JP"/>
        </w:rPr>
        <w:t xml:space="preserve"> 320</w:t>
      </w:r>
      <w:r w:rsidR="00DA39D0" w:rsidRPr="00DA39D0">
        <w:rPr>
          <w:lang w:eastAsia="ja-JP"/>
        </w:rPr>
        <w:t xml:space="preserve"> </w:t>
      </w:r>
      <w:r w:rsidRPr="00DA39D0">
        <w:rPr>
          <w:lang w:eastAsia="ja-JP"/>
        </w:rPr>
        <w:t xml:space="preserve">mg </w:t>
      </w:r>
      <w:r w:rsidR="00F23C97">
        <w:rPr>
          <w:lang w:eastAsia="ja-JP"/>
        </w:rPr>
        <w:t>every 4 weeks</w:t>
      </w:r>
      <w:r w:rsidRPr="00DA39D0">
        <w:rPr>
          <w:lang w:eastAsia="ja-JP"/>
        </w:rPr>
        <w:t xml:space="preserve"> maintenance dose in patients </w:t>
      </w:r>
      <w:r w:rsidR="00AC3F64">
        <w:rPr>
          <w:lang w:eastAsia="ja-JP"/>
        </w:rPr>
        <w:t>greater than</w:t>
      </w:r>
      <w:r w:rsidR="00DA39D0" w:rsidRPr="00DA39D0">
        <w:rPr>
          <w:lang w:eastAsia="ja-JP"/>
        </w:rPr>
        <w:t xml:space="preserve"> </w:t>
      </w:r>
      <w:r w:rsidRPr="00DA39D0">
        <w:rPr>
          <w:lang w:eastAsia="ja-JP"/>
        </w:rPr>
        <w:t>120</w:t>
      </w:r>
      <w:r w:rsidR="00DA39D0" w:rsidRPr="00DA39D0">
        <w:rPr>
          <w:lang w:eastAsia="ja-JP"/>
        </w:rPr>
        <w:t xml:space="preserve"> k</w:t>
      </w:r>
      <w:r w:rsidRPr="00DA39D0">
        <w:rPr>
          <w:lang w:eastAsia="ja-JP"/>
        </w:rPr>
        <w:t>g be acceptable</w:t>
      </w:r>
      <w:r w:rsidR="003352E3">
        <w:rPr>
          <w:lang w:eastAsia="ja-JP"/>
        </w:rPr>
        <w:t>,</w:t>
      </w:r>
      <w:r w:rsidR="00DA39D0">
        <w:rPr>
          <w:lang w:eastAsia="ja-JP"/>
        </w:rPr>
        <w:t xml:space="preserve"> </w:t>
      </w:r>
      <w:r w:rsidR="003352E3">
        <w:rPr>
          <w:lang w:eastAsia="ja-JP"/>
        </w:rPr>
        <w:t>t</w:t>
      </w:r>
      <w:r w:rsidR="00DA39D0">
        <w:rPr>
          <w:lang w:eastAsia="ja-JP"/>
        </w:rPr>
        <w:t xml:space="preserve">he Delegate recommends that </w:t>
      </w:r>
      <w:r w:rsidRPr="00DA39D0">
        <w:rPr>
          <w:lang w:eastAsia="ja-JP"/>
        </w:rPr>
        <w:t xml:space="preserve">a statement in the </w:t>
      </w:r>
      <w:r w:rsidR="00DA39D0">
        <w:rPr>
          <w:lang w:eastAsia="ja-JP"/>
        </w:rPr>
        <w:t>‘</w:t>
      </w:r>
      <w:r w:rsidRPr="00DA39D0">
        <w:rPr>
          <w:i/>
          <w:iCs/>
          <w:lang w:eastAsia="ja-JP"/>
        </w:rPr>
        <w:t>Precautionary Section</w:t>
      </w:r>
      <w:r w:rsidR="00DA39D0">
        <w:rPr>
          <w:lang w:eastAsia="ja-JP"/>
        </w:rPr>
        <w:t>’</w:t>
      </w:r>
      <w:r w:rsidRPr="00DA39D0">
        <w:rPr>
          <w:lang w:eastAsia="ja-JP"/>
        </w:rPr>
        <w:t xml:space="preserve"> of the PI warning against the possibility of drug accumulation is recommended.</w:t>
      </w:r>
    </w:p>
    <w:p w14:paraId="6D8B01F9" w14:textId="68A44E31" w:rsidR="00551EFF" w:rsidRPr="005010CC" w:rsidRDefault="00551EFF" w:rsidP="00B17431">
      <w:r w:rsidRPr="005010CC">
        <w:t xml:space="preserve">As </w:t>
      </w:r>
      <w:r>
        <w:t xml:space="preserve">explained </w:t>
      </w:r>
      <w:r w:rsidRPr="005010CC">
        <w:t xml:space="preserve">below, there is also the issue of hepatic dysfunction signalling in </w:t>
      </w:r>
      <w:proofErr w:type="spellStart"/>
      <w:r w:rsidR="008B40FD">
        <w:t>bimekizumab</w:t>
      </w:r>
      <w:proofErr w:type="spellEnd"/>
      <w:r w:rsidRPr="005010CC">
        <w:t xml:space="preserve"> clinical trials and such adverse effects might be magnified, should the maintenance treatment be </w:t>
      </w:r>
      <w:r w:rsidR="001D2CFA">
        <w:t>320 mg</w:t>
      </w:r>
      <w:r w:rsidRPr="005010CC">
        <w:t xml:space="preserve"> </w:t>
      </w:r>
      <w:r w:rsidR="00F23C97">
        <w:t>every 4 weeks</w:t>
      </w:r>
      <w:r w:rsidRPr="005010CC">
        <w:t xml:space="preserve">, as opposed to </w:t>
      </w:r>
      <w:r w:rsidR="00F23C97">
        <w:t>every 8 weeks</w:t>
      </w:r>
      <w:r w:rsidRPr="005010CC">
        <w:t xml:space="preserve"> in </w:t>
      </w:r>
      <w:r w:rsidR="00AC3F64">
        <w:t xml:space="preserve">greater than </w:t>
      </w:r>
      <w:r w:rsidRPr="005010CC">
        <w:t>120kg patients.</w:t>
      </w:r>
    </w:p>
    <w:p w14:paraId="755CA9D3" w14:textId="1797F5ED" w:rsidR="003352E3" w:rsidRDefault="00551EFF" w:rsidP="00DA39D0">
      <w:pPr>
        <w:rPr>
          <w:lang w:eastAsia="ja-JP"/>
        </w:rPr>
      </w:pPr>
      <w:r w:rsidRPr="00B17431">
        <w:t xml:space="preserve">The phagocytic cells of the immune system, such as macrophages and monocytes, are the major players in the elimination of </w:t>
      </w:r>
      <w:proofErr w:type="spellStart"/>
      <w:r w:rsidRPr="00B17431">
        <w:t>bimekizumab</w:t>
      </w:r>
      <w:proofErr w:type="spellEnd"/>
      <w:r w:rsidRPr="00B17431">
        <w:t xml:space="preserve"> and endogenous IgG with minimal proteolysis via CYP450</w:t>
      </w:r>
      <w:r w:rsidR="003352E3">
        <w:t xml:space="preserve"> enzymes</w:t>
      </w:r>
      <w:r w:rsidRPr="00B17431">
        <w:t xml:space="preserve"> in the liver. Despite the latter,</w:t>
      </w:r>
      <w:r w:rsidRPr="005010CC">
        <w:rPr>
          <w:lang w:eastAsia="ja-JP"/>
        </w:rPr>
        <w:t xml:space="preserve"> there is signalling for hepatic dysfunction in the </w:t>
      </w:r>
      <w:proofErr w:type="spellStart"/>
      <w:r w:rsidR="008B40FD">
        <w:rPr>
          <w:lang w:eastAsia="ja-JP"/>
        </w:rPr>
        <w:t>bimekizumab</w:t>
      </w:r>
      <w:proofErr w:type="spellEnd"/>
      <w:r>
        <w:rPr>
          <w:lang w:eastAsia="ja-JP"/>
        </w:rPr>
        <w:t xml:space="preserve"> psoriatic </w:t>
      </w:r>
      <w:r w:rsidRPr="005010CC">
        <w:rPr>
          <w:lang w:eastAsia="ja-JP"/>
        </w:rPr>
        <w:t xml:space="preserve">clinical trials </w:t>
      </w:r>
      <w:r>
        <w:rPr>
          <w:lang w:eastAsia="ja-JP"/>
        </w:rPr>
        <w:t xml:space="preserve">as per the </w:t>
      </w:r>
      <w:r w:rsidR="003352E3">
        <w:rPr>
          <w:bCs/>
        </w:rPr>
        <w:t>TGA’s clinical evaluation</w:t>
      </w:r>
      <w:r>
        <w:rPr>
          <w:lang w:eastAsia="ja-JP"/>
        </w:rPr>
        <w:t xml:space="preserve"> and, in </w:t>
      </w:r>
      <w:proofErr w:type="spellStart"/>
      <w:r w:rsidR="008B40FD">
        <w:rPr>
          <w:lang w:eastAsia="ja-JP"/>
        </w:rPr>
        <w:t>bimekizumab</w:t>
      </w:r>
      <w:proofErr w:type="spellEnd"/>
      <w:r>
        <w:rPr>
          <w:lang w:eastAsia="ja-JP"/>
        </w:rPr>
        <w:t xml:space="preserve"> psoriatic arthritis clinical trials</w:t>
      </w:r>
      <w:r w:rsidRPr="005010CC">
        <w:rPr>
          <w:lang w:eastAsia="ja-JP"/>
        </w:rPr>
        <w:t xml:space="preserve">. </w:t>
      </w:r>
      <w:r>
        <w:rPr>
          <w:lang w:eastAsia="ja-JP"/>
        </w:rPr>
        <w:t>Taken together, t</w:t>
      </w:r>
      <w:r w:rsidRPr="005010CC">
        <w:rPr>
          <w:lang w:eastAsia="ja-JP"/>
        </w:rPr>
        <w:t xml:space="preserve">he observed hepatic signalling in </w:t>
      </w:r>
      <w:r>
        <w:rPr>
          <w:lang w:eastAsia="ja-JP"/>
        </w:rPr>
        <w:t xml:space="preserve">those </w:t>
      </w:r>
      <w:r w:rsidRPr="005010CC">
        <w:rPr>
          <w:lang w:eastAsia="ja-JP"/>
        </w:rPr>
        <w:t>clinical trials is suggest</w:t>
      </w:r>
      <w:r>
        <w:rPr>
          <w:lang w:eastAsia="ja-JP"/>
        </w:rPr>
        <w:t xml:space="preserve">ive of the need to include a statement </w:t>
      </w:r>
      <w:r w:rsidRPr="005010CC">
        <w:rPr>
          <w:lang w:eastAsia="ja-JP"/>
        </w:rPr>
        <w:t>under</w:t>
      </w:r>
      <w:r w:rsidRPr="005010CC">
        <w:rPr>
          <w:b/>
          <w:bCs/>
          <w:lang w:eastAsia="ja-JP"/>
        </w:rPr>
        <w:t xml:space="preserve"> </w:t>
      </w:r>
      <w:r w:rsidRPr="000F1F6D">
        <w:rPr>
          <w:lang w:eastAsia="ja-JP"/>
        </w:rPr>
        <w:t>the</w:t>
      </w:r>
      <w:r>
        <w:rPr>
          <w:b/>
          <w:bCs/>
          <w:lang w:eastAsia="ja-JP"/>
        </w:rPr>
        <w:t xml:space="preserve"> </w:t>
      </w:r>
      <w:r w:rsidR="00B17431">
        <w:rPr>
          <w:b/>
          <w:bCs/>
          <w:lang w:eastAsia="ja-JP"/>
        </w:rPr>
        <w:t>‘</w:t>
      </w:r>
      <w:r w:rsidRPr="00B17431">
        <w:rPr>
          <w:i/>
          <w:iCs/>
          <w:lang w:eastAsia="ja-JP"/>
        </w:rPr>
        <w:t>Hepatic Section</w:t>
      </w:r>
      <w:r w:rsidR="00B17431">
        <w:rPr>
          <w:lang w:eastAsia="ja-JP"/>
        </w:rPr>
        <w:t>’</w:t>
      </w:r>
      <w:r w:rsidRPr="00B17431">
        <w:rPr>
          <w:lang w:eastAsia="ja-JP"/>
        </w:rPr>
        <w:t xml:space="preserve"> of the PI</w:t>
      </w:r>
      <w:r w:rsidR="00B17431">
        <w:rPr>
          <w:lang w:eastAsia="ja-JP"/>
        </w:rPr>
        <w:t>, for example</w:t>
      </w:r>
      <w:r w:rsidR="003352E3">
        <w:rPr>
          <w:lang w:eastAsia="ja-JP"/>
        </w:rPr>
        <w:t>:</w:t>
      </w:r>
    </w:p>
    <w:p w14:paraId="08D7B05C" w14:textId="3BC23833" w:rsidR="00551EFF" w:rsidRPr="003352E3" w:rsidRDefault="006D4FFA" w:rsidP="006E4137">
      <w:pPr>
        <w:ind w:left="720"/>
        <w:rPr>
          <w:lang w:eastAsia="ja-JP"/>
        </w:rPr>
      </w:pPr>
      <w:r w:rsidRPr="003352E3">
        <w:rPr>
          <w:lang w:eastAsia="ja-JP"/>
        </w:rPr>
        <w:t>‘</w:t>
      </w:r>
      <w:r w:rsidR="00551EFF" w:rsidRPr="006E4137">
        <w:rPr>
          <w:iCs/>
          <w:lang w:eastAsia="ja-JP"/>
        </w:rPr>
        <w:t xml:space="preserve">Hepatic dysfunction has been reported in </w:t>
      </w:r>
      <w:proofErr w:type="spellStart"/>
      <w:r w:rsidR="00551EFF" w:rsidRPr="006E4137">
        <w:rPr>
          <w:iCs/>
          <w:lang w:eastAsia="ja-JP"/>
        </w:rPr>
        <w:t>Bimekizumab</w:t>
      </w:r>
      <w:proofErr w:type="spellEnd"/>
      <w:r w:rsidR="00551EFF" w:rsidRPr="006E4137">
        <w:rPr>
          <w:iCs/>
          <w:lang w:eastAsia="ja-JP"/>
        </w:rPr>
        <w:t xml:space="preserve"> clinical trials, albeit without explained direct causality to </w:t>
      </w:r>
      <w:proofErr w:type="spellStart"/>
      <w:r w:rsidR="00551EFF" w:rsidRPr="006E4137">
        <w:rPr>
          <w:iCs/>
          <w:lang w:eastAsia="ja-JP"/>
        </w:rPr>
        <w:t>Bimekizumab</w:t>
      </w:r>
      <w:proofErr w:type="spellEnd"/>
      <w:r w:rsidRPr="006E4137">
        <w:rPr>
          <w:iCs/>
          <w:lang w:eastAsia="ja-JP"/>
        </w:rPr>
        <w:t>’</w:t>
      </w:r>
      <w:r w:rsidR="00551EFF" w:rsidRPr="003352E3">
        <w:rPr>
          <w:lang w:eastAsia="ja-JP"/>
        </w:rPr>
        <w:t>.</w:t>
      </w:r>
    </w:p>
    <w:p w14:paraId="3820D088" w14:textId="77777777" w:rsidR="003352E3" w:rsidRDefault="00551EFF" w:rsidP="006D4FFA">
      <w:pPr>
        <w:rPr>
          <w:lang w:eastAsia="ja-JP"/>
        </w:rPr>
      </w:pPr>
      <w:r w:rsidRPr="00DC03E1">
        <w:rPr>
          <w:lang w:eastAsia="ja-JP"/>
        </w:rPr>
        <w:t>It is noted that the draft PI carries a statement that</w:t>
      </w:r>
      <w:r w:rsidR="003352E3">
        <w:rPr>
          <w:lang w:eastAsia="ja-JP"/>
        </w:rPr>
        <w:t>:</w:t>
      </w:r>
    </w:p>
    <w:p w14:paraId="4E8DC4C3" w14:textId="24F2D1B9" w:rsidR="003352E3" w:rsidRDefault="006D4FFA" w:rsidP="006E4137">
      <w:pPr>
        <w:ind w:left="720"/>
        <w:rPr>
          <w:lang w:eastAsia="ja-JP"/>
        </w:rPr>
      </w:pPr>
      <w:r w:rsidRPr="00DC03E1">
        <w:rPr>
          <w:lang w:eastAsia="ja-JP"/>
        </w:rPr>
        <w:t>‘</w:t>
      </w:r>
      <w:proofErr w:type="spellStart"/>
      <w:r w:rsidR="00551EFF" w:rsidRPr="00DC03E1">
        <w:rPr>
          <w:lang w:eastAsia="ja-JP"/>
        </w:rPr>
        <w:t>Bimzelx</w:t>
      </w:r>
      <w:proofErr w:type="spellEnd"/>
      <w:r w:rsidR="00551EFF" w:rsidRPr="00DC03E1">
        <w:rPr>
          <w:lang w:eastAsia="ja-JP"/>
        </w:rPr>
        <w:t xml:space="preserve"> has not been studied in these patient population</w:t>
      </w:r>
      <w:r w:rsidR="003352E3">
        <w:rPr>
          <w:lang w:eastAsia="ja-JP"/>
        </w:rPr>
        <w:t>s</w:t>
      </w:r>
      <w:r w:rsidR="00551EFF" w:rsidRPr="00DC03E1">
        <w:rPr>
          <w:lang w:eastAsia="ja-JP"/>
        </w:rPr>
        <w:t>. Dose adjustments are not considered necessary based on pharmacokinetics</w:t>
      </w:r>
      <w:r w:rsidR="00DC03E1" w:rsidRPr="00DC03E1">
        <w:rPr>
          <w:lang w:eastAsia="ja-JP"/>
        </w:rPr>
        <w:t>’</w:t>
      </w:r>
      <w:r w:rsidR="00551EFF" w:rsidRPr="00DC03E1">
        <w:rPr>
          <w:lang w:eastAsia="ja-JP"/>
        </w:rPr>
        <w:t>.</w:t>
      </w:r>
    </w:p>
    <w:p w14:paraId="026356CA" w14:textId="31D69D75" w:rsidR="003352E3" w:rsidRDefault="00551EFF" w:rsidP="006D4FFA">
      <w:pPr>
        <w:rPr>
          <w:lang w:eastAsia="ja-JP"/>
        </w:rPr>
      </w:pPr>
      <w:r w:rsidRPr="00DC03E1">
        <w:rPr>
          <w:lang w:eastAsia="ja-JP"/>
        </w:rPr>
        <w:t xml:space="preserve">As there are no PK data in patients with hepatic impairment, it is recommended that the current statement under </w:t>
      </w:r>
      <w:r w:rsidR="00DC03E1" w:rsidRPr="00DC03E1">
        <w:rPr>
          <w:lang w:eastAsia="ja-JP"/>
        </w:rPr>
        <w:t>‘</w:t>
      </w:r>
      <w:r w:rsidRPr="009466CB">
        <w:rPr>
          <w:i/>
          <w:iCs/>
          <w:lang w:eastAsia="ja-JP"/>
        </w:rPr>
        <w:t xml:space="preserve">Use in hepatic </w:t>
      </w:r>
      <w:proofErr w:type="gramStart"/>
      <w:r w:rsidR="00DC03E1" w:rsidRPr="009466CB">
        <w:rPr>
          <w:i/>
          <w:iCs/>
          <w:lang w:eastAsia="ja-JP"/>
        </w:rPr>
        <w:t>impairment</w:t>
      </w:r>
      <w:r w:rsidR="00DC03E1" w:rsidRPr="00DC03E1">
        <w:rPr>
          <w:lang w:eastAsia="ja-JP"/>
        </w:rPr>
        <w:t>‘</w:t>
      </w:r>
      <w:r w:rsidR="003352E3">
        <w:rPr>
          <w:lang w:eastAsia="ja-JP"/>
        </w:rPr>
        <w:t xml:space="preserve"> </w:t>
      </w:r>
      <w:r w:rsidR="00DC03E1" w:rsidRPr="00DC03E1">
        <w:rPr>
          <w:lang w:eastAsia="ja-JP"/>
        </w:rPr>
        <w:t>section</w:t>
      </w:r>
      <w:proofErr w:type="gramEnd"/>
      <w:r w:rsidRPr="00DC03E1">
        <w:rPr>
          <w:lang w:eastAsia="ja-JP"/>
        </w:rPr>
        <w:t xml:space="preserve"> of the PI</w:t>
      </w:r>
      <w:r w:rsidR="00EF482C">
        <w:rPr>
          <w:lang w:eastAsia="ja-JP"/>
        </w:rPr>
        <w:t xml:space="preserve">, on the line </w:t>
      </w:r>
      <w:r w:rsidR="00EF482C" w:rsidRPr="00DC03E1">
        <w:rPr>
          <w:lang w:eastAsia="ja-JP"/>
        </w:rPr>
        <w:t xml:space="preserve">for the comparator drugs (adalimumab and </w:t>
      </w:r>
      <w:proofErr w:type="spellStart"/>
      <w:r w:rsidR="00EF482C" w:rsidRPr="00DC03E1">
        <w:rPr>
          <w:lang w:eastAsia="ja-JP"/>
        </w:rPr>
        <w:t>ustekinumab</w:t>
      </w:r>
      <w:proofErr w:type="spellEnd"/>
      <w:r w:rsidR="00EF482C" w:rsidRPr="00DC03E1">
        <w:rPr>
          <w:lang w:eastAsia="ja-JP"/>
        </w:rPr>
        <w:t>)</w:t>
      </w:r>
      <w:r w:rsidR="00EF482C">
        <w:rPr>
          <w:lang w:eastAsia="ja-JP"/>
        </w:rPr>
        <w:t>, should</w:t>
      </w:r>
      <w:r w:rsidRPr="00DC03E1">
        <w:rPr>
          <w:lang w:eastAsia="ja-JP"/>
        </w:rPr>
        <w:t xml:space="preserve"> be expanded to</w:t>
      </w:r>
      <w:r w:rsidR="003352E3">
        <w:rPr>
          <w:lang w:eastAsia="ja-JP"/>
        </w:rPr>
        <w:t>:</w:t>
      </w:r>
    </w:p>
    <w:p w14:paraId="64498A58" w14:textId="11636EDE" w:rsidR="00EF482C" w:rsidRPr="00EF482C" w:rsidRDefault="00DC03E1" w:rsidP="006E4137">
      <w:pPr>
        <w:ind w:left="720"/>
        <w:rPr>
          <w:lang w:eastAsia="ja-JP"/>
        </w:rPr>
      </w:pPr>
      <w:r w:rsidRPr="00EF482C">
        <w:rPr>
          <w:lang w:eastAsia="ja-JP"/>
        </w:rPr>
        <w:t>‘</w:t>
      </w:r>
      <w:r w:rsidR="00551EFF" w:rsidRPr="006E4137">
        <w:rPr>
          <w:iCs/>
          <w:lang w:eastAsia="ja-JP"/>
        </w:rPr>
        <w:t xml:space="preserve">No specific PK studies using </w:t>
      </w:r>
      <w:proofErr w:type="spellStart"/>
      <w:r w:rsidR="00551EFF" w:rsidRPr="006E4137">
        <w:rPr>
          <w:iCs/>
          <w:lang w:eastAsia="ja-JP"/>
        </w:rPr>
        <w:t>Bimzelx</w:t>
      </w:r>
      <w:proofErr w:type="spellEnd"/>
      <w:r w:rsidR="00551EFF" w:rsidRPr="006E4137">
        <w:rPr>
          <w:iCs/>
          <w:lang w:eastAsia="ja-JP"/>
        </w:rPr>
        <w:t xml:space="preserve"> have been pursued in patients with underlying impaired hepatic function and, caution is therefore required in patients with underlying hepatic dysfunction</w:t>
      </w:r>
      <w:r w:rsidRPr="00EF482C">
        <w:rPr>
          <w:lang w:eastAsia="ja-JP"/>
        </w:rPr>
        <w:t>’</w:t>
      </w:r>
    </w:p>
    <w:bookmarkEnd w:id="130"/>
    <w:p w14:paraId="755C5917" w14:textId="002E4C65" w:rsidR="00551EFF" w:rsidRPr="00496FF6" w:rsidRDefault="009466CB" w:rsidP="006E4137">
      <w:pPr>
        <w:pStyle w:val="Heading6"/>
        <w:rPr>
          <w:lang w:eastAsia="ja-JP"/>
        </w:rPr>
      </w:pPr>
      <w:r>
        <w:rPr>
          <w:lang w:eastAsia="ja-JP"/>
        </w:rPr>
        <w:t>Neutralising antibody</w:t>
      </w:r>
      <w:r w:rsidR="00551EFF" w:rsidRPr="00496FF6">
        <w:rPr>
          <w:lang w:eastAsia="ja-JP"/>
        </w:rPr>
        <w:t xml:space="preserve"> status</w:t>
      </w:r>
    </w:p>
    <w:p w14:paraId="755CFB3E" w14:textId="79364F8D" w:rsidR="00551EFF" w:rsidRPr="00682A85" w:rsidRDefault="00551EFF" w:rsidP="006D4FFA">
      <w:pPr>
        <w:rPr>
          <w:lang w:eastAsia="ja-JP"/>
        </w:rPr>
      </w:pPr>
      <w:r w:rsidRPr="00496FF6">
        <w:rPr>
          <w:lang w:eastAsia="ja-JP"/>
        </w:rPr>
        <w:t xml:space="preserve">In E2 </w:t>
      </w:r>
      <w:r w:rsidR="00EF482C">
        <w:rPr>
          <w:lang w:eastAsia="ja-JP"/>
        </w:rPr>
        <w:t xml:space="preserve">pooled population of </w:t>
      </w:r>
      <w:r w:rsidRPr="00496FF6">
        <w:rPr>
          <w:lang w:eastAsia="ja-JP"/>
        </w:rPr>
        <w:t xml:space="preserve">Week 16 responders, </w:t>
      </w:r>
      <w:r w:rsidR="006B6821">
        <w:rPr>
          <w:lang w:eastAsia="ja-JP"/>
        </w:rPr>
        <w:t>neutralising antibody</w:t>
      </w:r>
      <w:r w:rsidRPr="00496FF6">
        <w:rPr>
          <w:lang w:eastAsia="ja-JP"/>
        </w:rPr>
        <w:t xml:space="preserve"> status had no impact on efficacy</w:t>
      </w:r>
      <w:r>
        <w:rPr>
          <w:lang w:eastAsia="ja-JP"/>
        </w:rPr>
        <w:t xml:space="preserve">, </w:t>
      </w:r>
      <w:r w:rsidR="00EF482C">
        <w:rPr>
          <w:lang w:eastAsia="ja-JP"/>
        </w:rPr>
        <w:t xml:space="preserve">in the </w:t>
      </w:r>
      <w:r>
        <w:rPr>
          <w:lang w:eastAsia="ja-JP"/>
        </w:rPr>
        <w:t xml:space="preserve">short term </w:t>
      </w:r>
      <w:r w:rsidR="009466CB">
        <w:rPr>
          <w:lang w:eastAsia="ja-JP"/>
        </w:rPr>
        <w:t>(</w:t>
      </w:r>
      <w:r>
        <w:rPr>
          <w:lang w:eastAsia="ja-JP"/>
        </w:rPr>
        <w:t>Week 16</w:t>
      </w:r>
      <w:r w:rsidR="009466CB">
        <w:rPr>
          <w:lang w:eastAsia="ja-JP"/>
        </w:rPr>
        <w:t xml:space="preserve">). </w:t>
      </w:r>
      <w:r w:rsidRPr="00682A85">
        <w:rPr>
          <w:lang w:eastAsia="ja-JP"/>
        </w:rPr>
        <w:t xml:space="preserve">Higher PASI 90 and IGA 0/1 response rates at Week 52 were however noted in </w:t>
      </w:r>
      <w:r w:rsidR="009466CB">
        <w:rPr>
          <w:lang w:eastAsia="ja-JP"/>
        </w:rPr>
        <w:t xml:space="preserve">neutralising antibody </w:t>
      </w:r>
      <w:r w:rsidRPr="00682A85">
        <w:rPr>
          <w:lang w:eastAsia="ja-JP"/>
        </w:rPr>
        <w:t xml:space="preserve">positive study participants compared to </w:t>
      </w:r>
      <w:r w:rsidR="009466CB">
        <w:rPr>
          <w:lang w:eastAsia="ja-JP"/>
        </w:rPr>
        <w:t xml:space="preserve">neutralising antibody </w:t>
      </w:r>
      <w:r w:rsidRPr="00682A85">
        <w:rPr>
          <w:lang w:eastAsia="ja-JP"/>
        </w:rPr>
        <w:t xml:space="preserve">negative participants in the </w:t>
      </w:r>
      <w:proofErr w:type="spellStart"/>
      <w:r w:rsidR="008B40FD">
        <w:rPr>
          <w:lang w:eastAsia="ja-JP"/>
        </w:rPr>
        <w:t>bimekizumab</w:t>
      </w:r>
      <w:proofErr w:type="spellEnd"/>
      <w:r w:rsidRPr="00682A85">
        <w:rPr>
          <w:lang w:eastAsia="ja-JP"/>
        </w:rPr>
        <w:t xml:space="preserve"> 320</w:t>
      </w:r>
      <w:r w:rsidR="009466CB">
        <w:rPr>
          <w:lang w:eastAsia="ja-JP"/>
        </w:rPr>
        <w:t xml:space="preserve"> </w:t>
      </w:r>
      <w:r w:rsidRPr="00682A85">
        <w:rPr>
          <w:lang w:eastAsia="ja-JP"/>
        </w:rPr>
        <w:t xml:space="preserve">mg </w:t>
      </w:r>
      <w:r w:rsidR="00F23C97">
        <w:rPr>
          <w:lang w:eastAsia="ja-JP"/>
        </w:rPr>
        <w:t>every 4 weeks</w:t>
      </w:r>
      <w:r w:rsidRPr="00682A85">
        <w:rPr>
          <w:lang w:eastAsia="ja-JP"/>
        </w:rPr>
        <w:t xml:space="preserve"> group, whereas a smaller trend was observed in the </w:t>
      </w:r>
      <w:proofErr w:type="spellStart"/>
      <w:r w:rsidR="008B40FD">
        <w:rPr>
          <w:lang w:eastAsia="ja-JP"/>
        </w:rPr>
        <w:t>bimekizumab</w:t>
      </w:r>
      <w:proofErr w:type="spellEnd"/>
      <w:r w:rsidRPr="00682A85">
        <w:rPr>
          <w:lang w:eastAsia="ja-JP"/>
        </w:rPr>
        <w:t xml:space="preserve"> 320</w:t>
      </w:r>
      <w:r w:rsidR="009466CB">
        <w:rPr>
          <w:lang w:eastAsia="ja-JP"/>
        </w:rPr>
        <w:t xml:space="preserve"> </w:t>
      </w:r>
      <w:r w:rsidRPr="00682A85">
        <w:rPr>
          <w:lang w:eastAsia="ja-JP"/>
        </w:rPr>
        <w:t xml:space="preserve">mg </w:t>
      </w:r>
      <w:r w:rsidR="00F23C97">
        <w:rPr>
          <w:lang w:eastAsia="ja-JP"/>
        </w:rPr>
        <w:t>every 8 weeks</w:t>
      </w:r>
      <w:r w:rsidRPr="00682A85">
        <w:rPr>
          <w:lang w:eastAsia="ja-JP"/>
        </w:rPr>
        <w:t xml:space="preserve"> group.</w:t>
      </w:r>
    </w:p>
    <w:p w14:paraId="0B1F6F50" w14:textId="33F9AA9B" w:rsidR="00551EFF" w:rsidRPr="009466CB" w:rsidRDefault="00551EFF" w:rsidP="006D4FFA">
      <w:pPr>
        <w:rPr>
          <w:lang w:eastAsia="ja-JP"/>
        </w:rPr>
      </w:pPr>
      <w:r>
        <w:rPr>
          <w:lang w:eastAsia="ja-JP"/>
        </w:rPr>
        <w:t>The</w:t>
      </w:r>
      <w:r w:rsidRPr="00224318">
        <w:rPr>
          <w:color w:val="2C0DE3"/>
          <w:lang w:eastAsia="ja-JP"/>
        </w:rPr>
        <w:t xml:space="preserve"> </w:t>
      </w:r>
      <w:r w:rsidRPr="00496FF6">
        <w:rPr>
          <w:lang w:eastAsia="ja-JP"/>
        </w:rPr>
        <w:t xml:space="preserve">observed higher efficacy in </w:t>
      </w:r>
      <w:r w:rsidR="009466CB">
        <w:rPr>
          <w:lang w:eastAsia="ja-JP"/>
        </w:rPr>
        <w:t xml:space="preserve">neutralising antibody </w:t>
      </w:r>
      <w:r w:rsidRPr="00496FF6">
        <w:rPr>
          <w:lang w:eastAsia="ja-JP"/>
        </w:rPr>
        <w:t xml:space="preserve">positive study participants and the smaller trend in the </w:t>
      </w:r>
      <w:proofErr w:type="spellStart"/>
      <w:r w:rsidR="008B40FD">
        <w:rPr>
          <w:lang w:eastAsia="ja-JP"/>
        </w:rPr>
        <w:t>bimekizumab</w:t>
      </w:r>
      <w:proofErr w:type="spellEnd"/>
      <w:r w:rsidRPr="00496FF6">
        <w:rPr>
          <w:lang w:eastAsia="ja-JP"/>
        </w:rPr>
        <w:t xml:space="preserve"> </w:t>
      </w:r>
      <w:r w:rsidR="001D2CFA">
        <w:rPr>
          <w:lang w:eastAsia="ja-JP"/>
        </w:rPr>
        <w:t>320 mg</w:t>
      </w:r>
      <w:r w:rsidRPr="00496FF6">
        <w:rPr>
          <w:lang w:eastAsia="ja-JP"/>
        </w:rPr>
        <w:t xml:space="preserve"> </w:t>
      </w:r>
      <w:r w:rsidR="00F23C97">
        <w:rPr>
          <w:lang w:eastAsia="ja-JP"/>
        </w:rPr>
        <w:t>every 8 weeks</w:t>
      </w:r>
      <w:r w:rsidRPr="00496FF6">
        <w:rPr>
          <w:lang w:eastAsia="ja-JP"/>
        </w:rPr>
        <w:t xml:space="preserve"> can be expected. </w:t>
      </w:r>
      <w:r w:rsidRPr="009466CB">
        <w:rPr>
          <w:lang w:eastAsia="ja-JP"/>
        </w:rPr>
        <w:t xml:space="preserve">The above </w:t>
      </w:r>
      <w:r w:rsidR="009466CB">
        <w:rPr>
          <w:lang w:eastAsia="ja-JP"/>
        </w:rPr>
        <w:t>neutralising antibody</w:t>
      </w:r>
      <w:r w:rsidRPr="009466CB">
        <w:rPr>
          <w:lang w:eastAsia="ja-JP"/>
        </w:rPr>
        <w:t xml:space="preserve"> positivity relative to co-primary efficacy outcomes should be reflected in the PI.</w:t>
      </w:r>
    </w:p>
    <w:p w14:paraId="4FFE1838" w14:textId="1C0C74C7" w:rsidR="00551EFF" w:rsidRDefault="009466CB" w:rsidP="006E4137">
      <w:pPr>
        <w:pStyle w:val="Heading6"/>
        <w:rPr>
          <w:lang w:eastAsia="ja-JP"/>
        </w:rPr>
      </w:pPr>
      <w:r>
        <w:rPr>
          <w:lang w:eastAsia="ja-JP"/>
        </w:rPr>
        <w:t>Anti-drug antibody</w:t>
      </w:r>
      <w:r w:rsidR="00551EFF">
        <w:rPr>
          <w:lang w:eastAsia="ja-JP"/>
        </w:rPr>
        <w:t xml:space="preserve"> status</w:t>
      </w:r>
    </w:p>
    <w:p w14:paraId="18CA3C52" w14:textId="0DA7580C" w:rsidR="00551EFF" w:rsidRDefault="00551EFF" w:rsidP="006D4FFA">
      <w:r w:rsidRPr="00E32B9B">
        <w:rPr>
          <w:lang w:eastAsia="ja-JP"/>
        </w:rPr>
        <w:t xml:space="preserve">Although the effect of </w:t>
      </w:r>
      <w:r w:rsidR="009466CB">
        <w:rPr>
          <w:lang w:eastAsia="ja-JP"/>
        </w:rPr>
        <w:t>a</w:t>
      </w:r>
      <w:r w:rsidRPr="00E32B9B">
        <w:rPr>
          <w:lang w:eastAsia="ja-JP"/>
        </w:rPr>
        <w:t>nti-</w:t>
      </w:r>
      <w:r w:rsidR="009466CB">
        <w:rPr>
          <w:lang w:eastAsia="ja-JP"/>
        </w:rPr>
        <w:t>d</w:t>
      </w:r>
      <w:r w:rsidRPr="00E32B9B">
        <w:rPr>
          <w:lang w:eastAsia="ja-JP"/>
        </w:rPr>
        <w:t xml:space="preserve">rug </w:t>
      </w:r>
      <w:r w:rsidR="009466CB">
        <w:rPr>
          <w:lang w:eastAsia="ja-JP"/>
        </w:rPr>
        <w:t>a</w:t>
      </w:r>
      <w:r w:rsidRPr="00E32B9B">
        <w:rPr>
          <w:lang w:eastAsia="ja-JP"/>
        </w:rPr>
        <w:t xml:space="preserve">ntibodies on </w:t>
      </w:r>
      <w:proofErr w:type="spellStart"/>
      <w:r w:rsidR="008B40FD">
        <w:rPr>
          <w:lang w:eastAsia="ja-JP"/>
        </w:rPr>
        <w:t>bimekizumab</w:t>
      </w:r>
      <w:proofErr w:type="spellEnd"/>
      <w:r w:rsidRPr="00E32B9B">
        <w:rPr>
          <w:lang w:eastAsia="ja-JP"/>
        </w:rPr>
        <w:t xml:space="preserve"> efficacy outcome was not mentioned in the clinical trials, the PK studies showed that</w:t>
      </w:r>
      <w:r w:rsidR="00EF482C">
        <w:rPr>
          <w:lang w:eastAsia="ja-JP"/>
        </w:rPr>
        <w:t xml:space="preserve"> t</w:t>
      </w:r>
      <w:r w:rsidRPr="001B56E4">
        <w:rPr>
          <w:lang w:eastAsia="ja-JP"/>
        </w:rPr>
        <w:t>reatment</w:t>
      </w:r>
      <w:r w:rsidR="00EF482C">
        <w:rPr>
          <w:lang w:eastAsia="ja-JP"/>
        </w:rPr>
        <w:noBreakHyphen/>
      </w:r>
      <w:r w:rsidRPr="001B56E4">
        <w:rPr>
          <w:lang w:eastAsia="ja-JP"/>
        </w:rPr>
        <w:t xml:space="preserve">emergent </w:t>
      </w:r>
      <w:r w:rsidR="009466CB">
        <w:rPr>
          <w:lang w:eastAsia="ja-JP"/>
        </w:rPr>
        <w:t>a</w:t>
      </w:r>
      <w:r w:rsidR="009466CB" w:rsidRPr="00E32B9B">
        <w:rPr>
          <w:lang w:eastAsia="ja-JP"/>
        </w:rPr>
        <w:t>nti-</w:t>
      </w:r>
      <w:r w:rsidR="009466CB">
        <w:rPr>
          <w:lang w:eastAsia="ja-JP"/>
        </w:rPr>
        <w:t>d</w:t>
      </w:r>
      <w:r w:rsidR="009466CB" w:rsidRPr="00E32B9B">
        <w:rPr>
          <w:lang w:eastAsia="ja-JP"/>
        </w:rPr>
        <w:t xml:space="preserve">rug </w:t>
      </w:r>
      <w:r w:rsidR="009466CB">
        <w:rPr>
          <w:lang w:eastAsia="ja-JP"/>
        </w:rPr>
        <w:lastRenderedPageBreak/>
        <w:t>a</w:t>
      </w:r>
      <w:r w:rsidR="009466CB" w:rsidRPr="00E32B9B">
        <w:rPr>
          <w:lang w:eastAsia="ja-JP"/>
        </w:rPr>
        <w:t>ntibodies</w:t>
      </w:r>
      <w:r w:rsidRPr="001B56E4">
        <w:rPr>
          <w:lang w:eastAsia="ja-JP"/>
        </w:rPr>
        <w:t xml:space="preserve"> occurred as early as 4 weeks post first dose </w:t>
      </w:r>
      <w:r w:rsidR="009466CB">
        <w:rPr>
          <w:lang w:eastAsia="ja-JP"/>
        </w:rPr>
        <w:t>(that is</w:t>
      </w:r>
      <w:r w:rsidRPr="001B56E4">
        <w:rPr>
          <w:lang w:eastAsia="ja-JP"/>
        </w:rPr>
        <w:t xml:space="preserve"> baseline dose</w:t>
      </w:r>
      <w:r w:rsidR="009466CB">
        <w:rPr>
          <w:lang w:eastAsia="ja-JP"/>
        </w:rPr>
        <w:t>)</w:t>
      </w:r>
      <w:r w:rsidRPr="001B56E4">
        <w:rPr>
          <w:lang w:eastAsia="ja-JP"/>
        </w:rPr>
        <w:t xml:space="preserve"> at the first </w:t>
      </w:r>
      <w:r w:rsidR="009466CB">
        <w:rPr>
          <w:lang w:eastAsia="ja-JP"/>
        </w:rPr>
        <w:t>a</w:t>
      </w:r>
      <w:r w:rsidR="009466CB" w:rsidRPr="00E32B9B">
        <w:rPr>
          <w:lang w:eastAsia="ja-JP"/>
        </w:rPr>
        <w:t>nti-</w:t>
      </w:r>
      <w:r w:rsidR="009466CB">
        <w:rPr>
          <w:lang w:eastAsia="ja-JP"/>
        </w:rPr>
        <w:t>d</w:t>
      </w:r>
      <w:r w:rsidR="009466CB" w:rsidRPr="00E32B9B">
        <w:rPr>
          <w:lang w:eastAsia="ja-JP"/>
        </w:rPr>
        <w:t xml:space="preserve">rug </w:t>
      </w:r>
      <w:r w:rsidR="009466CB">
        <w:rPr>
          <w:lang w:eastAsia="ja-JP"/>
        </w:rPr>
        <w:t>a</w:t>
      </w:r>
      <w:r w:rsidR="009466CB" w:rsidRPr="00E32B9B">
        <w:rPr>
          <w:lang w:eastAsia="ja-JP"/>
        </w:rPr>
        <w:t>ntibodies</w:t>
      </w:r>
      <w:r w:rsidRPr="001B56E4">
        <w:rPr>
          <w:lang w:eastAsia="ja-JP"/>
        </w:rPr>
        <w:t xml:space="preserve"> sampling time point, and cumulative counts increased over time thereafter</w:t>
      </w:r>
      <w:r w:rsidR="009466CB">
        <w:rPr>
          <w:lang w:eastAsia="ja-JP"/>
        </w:rPr>
        <w:t xml:space="preserve">. </w:t>
      </w:r>
      <w:r w:rsidRPr="00304F48">
        <w:rPr>
          <w:lang w:eastAsia="ja-JP"/>
        </w:rPr>
        <w:t xml:space="preserve">The PK of </w:t>
      </w:r>
      <w:proofErr w:type="spellStart"/>
      <w:r w:rsidRPr="00304F48">
        <w:rPr>
          <w:lang w:eastAsia="ja-JP"/>
        </w:rPr>
        <w:t>bimekizumab</w:t>
      </w:r>
      <w:proofErr w:type="spellEnd"/>
      <w:r w:rsidRPr="00304F48">
        <w:rPr>
          <w:lang w:eastAsia="ja-JP"/>
        </w:rPr>
        <w:t xml:space="preserve"> is impacted in the presence of </w:t>
      </w:r>
      <w:r w:rsidR="009466CB">
        <w:rPr>
          <w:lang w:eastAsia="ja-JP"/>
        </w:rPr>
        <w:t>a</w:t>
      </w:r>
      <w:r w:rsidR="009466CB" w:rsidRPr="00E32B9B">
        <w:rPr>
          <w:lang w:eastAsia="ja-JP"/>
        </w:rPr>
        <w:t>nti-</w:t>
      </w:r>
      <w:r w:rsidR="009466CB">
        <w:rPr>
          <w:lang w:eastAsia="ja-JP"/>
        </w:rPr>
        <w:t>d</w:t>
      </w:r>
      <w:r w:rsidR="009466CB" w:rsidRPr="00E32B9B">
        <w:rPr>
          <w:lang w:eastAsia="ja-JP"/>
        </w:rPr>
        <w:t xml:space="preserve">rug </w:t>
      </w:r>
      <w:r w:rsidR="009466CB">
        <w:rPr>
          <w:lang w:eastAsia="ja-JP"/>
        </w:rPr>
        <w:t>a</w:t>
      </w:r>
      <w:r w:rsidR="009466CB" w:rsidRPr="00E32B9B">
        <w:rPr>
          <w:lang w:eastAsia="ja-JP"/>
        </w:rPr>
        <w:t>ntibodies</w:t>
      </w:r>
      <w:r w:rsidRPr="00304F48">
        <w:rPr>
          <w:lang w:eastAsia="ja-JP"/>
        </w:rPr>
        <w:t xml:space="preserve">, with a slightly lower </w:t>
      </w:r>
      <w:proofErr w:type="spellStart"/>
      <w:r w:rsidRPr="00304F48">
        <w:rPr>
          <w:lang w:eastAsia="ja-JP"/>
        </w:rPr>
        <w:t>bimekizumab</w:t>
      </w:r>
      <w:proofErr w:type="spellEnd"/>
      <w:r w:rsidRPr="00304F48">
        <w:rPr>
          <w:lang w:eastAsia="ja-JP"/>
        </w:rPr>
        <w:t xml:space="preserve"> plasma concentration and an 8% higher apparent clearance in </w:t>
      </w:r>
      <w:r w:rsidR="009466CB">
        <w:rPr>
          <w:lang w:eastAsia="ja-JP"/>
        </w:rPr>
        <w:t>a</w:t>
      </w:r>
      <w:r w:rsidR="009466CB" w:rsidRPr="00E32B9B">
        <w:rPr>
          <w:lang w:eastAsia="ja-JP"/>
        </w:rPr>
        <w:t>nti-</w:t>
      </w:r>
      <w:r w:rsidR="009466CB">
        <w:rPr>
          <w:lang w:eastAsia="ja-JP"/>
        </w:rPr>
        <w:t>d</w:t>
      </w:r>
      <w:r w:rsidR="009466CB" w:rsidRPr="00E32B9B">
        <w:rPr>
          <w:lang w:eastAsia="ja-JP"/>
        </w:rPr>
        <w:t xml:space="preserve">rug </w:t>
      </w:r>
      <w:r w:rsidR="009466CB">
        <w:rPr>
          <w:lang w:eastAsia="ja-JP"/>
        </w:rPr>
        <w:t>a</w:t>
      </w:r>
      <w:r w:rsidR="009466CB" w:rsidRPr="00E32B9B">
        <w:rPr>
          <w:lang w:eastAsia="ja-JP"/>
        </w:rPr>
        <w:t xml:space="preserve">ntibodies </w:t>
      </w:r>
      <w:r w:rsidRPr="00304F48">
        <w:rPr>
          <w:lang w:eastAsia="ja-JP"/>
        </w:rPr>
        <w:t xml:space="preserve">positive compared with </w:t>
      </w:r>
      <w:r w:rsidR="009466CB">
        <w:rPr>
          <w:lang w:eastAsia="ja-JP"/>
        </w:rPr>
        <w:t>a</w:t>
      </w:r>
      <w:r w:rsidR="009466CB" w:rsidRPr="00E32B9B">
        <w:rPr>
          <w:lang w:eastAsia="ja-JP"/>
        </w:rPr>
        <w:t>nti-</w:t>
      </w:r>
      <w:r w:rsidR="009466CB">
        <w:rPr>
          <w:lang w:eastAsia="ja-JP"/>
        </w:rPr>
        <w:t>d</w:t>
      </w:r>
      <w:r w:rsidR="009466CB" w:rsidRPr="00E32B9B">
        <w:rPr>
          <w:lang w:eastAsia="ja-JP"/>
        </w:rPr>
        <w:t xml:space="preserve">rug </w:t>
      </w:r>
      <w:r w:rsidR="009466CB">
        <w:rPr>
          <w:lang w:eastAsia="ja-JP"/>
        </w:rPr>
        <w:t>a</w:t>
      </w:r>
      <w:r w:rsidR="009466CB" w:rsidRPr="00E32B9B">
        <w:rPr>
          <w:lang w:eastAsia="ja-JP"/>
        </w:rPr>
        <w:t xml:space="preserve">ntibodies </w:t>
      </w:r>
      <w:r w:rsidRPr="00304F48">
        <w:rPr>
          <w:lang w:eastAsia="ja-JP"/>
        </w:rPr>
        <w:t>negative study participants</w:t>
      </w:r>
      <w:r w:rsidR="009466CB">
        <w:rPr>
          <w:lang w:eastAsia="ja-JP"/>
        </w:rPr>
        <w:t>.</w:t>
      </w:r>
    </w:p>
    <w:p w14:paraId="35857C92" w14:textId="0078C0D3" w:rsidR="00551EFF" w:rsidRDefault="00551EFF" w:rsidP="006D4FFA">
      <w:r>
        <w:rPr>
          <w:lang w:eastAsia="ja-JP"/>
        </w:rPr>
        <w:t>T</w:t>
      </w:r>
      <w:r w:rsidRPr="001B56E4">
        <w:rPr>
          <w:lang w:eastAsia="ja-JP"/>
        </w:rPr>
        <w:t xml:space="preserve">he impact of </w:t>
      </w:r>
      <w:r w:rsidR="009466CB">
        <w:rPr>
          <w:lang w:eastAsia="ja-JP"/>
        </w:rPr>
        <w:t>neutralising antibody</w:t>
      </w:r>
      <w:r w:rsidRPr="001B56E4">
        <w:rPr>
          <w:lang w:eastAsia="ja-JP"/>
        </w:rPr>
        <w:t xml:space="preserve"> </w:t>
      </w:r>
      <w:r>
        <w:rPr>
          <w:lang w:eastAsia="ja-JP"/>
        </w:rPr>
        <w:t xml:space="preserve">positivity </w:t>
      </w:r>
      <w:r w:rsidRPr="001B56E4">
        <w:rPr>
          <w:lang w:eastAsia="ja-JP"/>
        </w:rPr>
        <w:t xml:space="preserve">on PK </w:t>
      </w:r>
      <w:r>
        <w:rPr>
          <w:lang w:eastAsia="ja-JP"/>
        </w:rPr>
        <w:t xml:space="preserve">of </w:t>
      </w:r>
      <w:proofErr w:type="spellStart"/>
      <w:r w:rsidR="008B40FD">
        <w:rPr>
          <w:lang w:eastAsia="ja-JP"/>
        </w:rPr>
        <w:t>bimekizumab</w:t>
      </w:r>
      <w:proofErr w:type="spellEnd"/>
      <w:r>
        <w:rPr>
          <w:lang w:eastAsia="ja-JP"/>
        </w:rPr>
        <w:t xml:space="preserve"> </w:t>
      </w:r>
      <w:r w:rsidRPr="001B56E4">
        <w:rPr>
          <w:lang w:eastAsia="ja-JP"/>
        </w:rPr>
        <w:t xml:space="preserve">was larger than </w:t>
      </w:r>
      <w:r>
        <w:rPr>
          <w:lang w:eastAsia="ja-JP"/>
        </w:rPr>
        <w:t xml:space="preserve">that for </w:t>
      </w:r>
      <w:r w:rsidR="009466CB">
        <w:rPr>
          <w:lang w:eastAsia="ja-JP"/>
        </w:rPr>
        <w:t>a</w:t>
      </w:r>
      <w:r w:rsidR="009466CB" w:rsidRPr="00E32B9B">
        <w:rPr>
          <w:lang w:eastAsia="ja-JP"/>
        </w:rPr>
        <w:t>nti-</w:t>
      </w:r>
      <w:r w:rsidR="009466CB">
        <w:rPr>
          <w:lang w:eastAsia="ja-JP"/>
        </w:rPr>
        <w:t>d</w:t>
      </w:r>
      <w:r w:rsidR="009466CB" w:rsidRPr="00E32B9B">
        <w:rPr>
          <w:lang w:eastAsia="ja-JP"/>
        </w:rPr>
        <w:t xml:space="preserve">rug </w:t>
      </w:r>
      <w:r w:rsidR="009466CB">
        <w:rPr>
          <w:lang w:eastAsia="ja-JP"/>
        </w:rPr>
        <w:t>a</w:t>
      </w:r>
      <w:r w:rsidR="009466CB" w:rsidRPr="00E32B9B">
        <w:rPr>
          <w:lang w:eastAsia="ja-JP"/>
        </w:rPr>
        <w:t>ntibodies</w:t>
      </w:r>
      <w:r w:rsidRPr="001B56E4">
        <w:rPr>
          <w:lang w:eastAsia="ja-JP"/>
        </w:rPr>
        <w:t xml:space="preserve"> positivity</w:t>
      </w:r>
      <w:r>
        <w:rPr>
          <w:lang w:eastAsia="ja-JP"/>
        </w:rPr>
        <w:t>.</w:t>
      </w:r>
    </w:p>
    <w:p w14:paraId="5D08B113" w14:textId="4A62D862" w:rsidR="00551EFF" w:rsidRDefault="00551EFF" w:rsidP="009466CB">
      <w:pPr>
        <w:rPr>
          <w:lang w:eastAsia="ja-JP"/>
        </w:rPr>
      </w:pPr>
      <w:r w:rsidRPr="0083014D">
        <w:rPr>
          <w:lang w:eastAsia="ja-JP"/>
        </w:rPr>
        <w:t xml:space="preserve">Given the above, the long-term effect of </w:t>
      </w:r>
      <w:r w:rsidR="009466CB">
        <w:rPr>
          <w:lang w:eastAsia="ja-JP"/>
        </w:rPr>
        <w:t>a</w:t>
      </w:r>
      <w:r w:rsidR="009466CB" w:rsidRPr="00E32B9B">
        <w:rPr>
          <w:lang w:eastAsia="ja-JP"/>
        </w:rPr>
        <w:t>nti-</w:t>
      </w:r>
      <w:r w:rsidR="009466CB">
        <w:rPr>
          <w:lang w:eastAsia="ja-JP"/>
        </w:rPr>
        <w:t>d</w:t>
      </w:r>
      <w:r w:rsidR="009466CB" w:rsidRPr="00E32B9B">
        <w:rPr>
          <w:lang w:eastAsia="ja-JP"/>
        </w:rPr>
        <w:t xml:space="preserve">rug </w:t>
      </w:r>
      <w:r w:rsidR="009466CB">
        <w:rPr>
          <w:lang w:eastAsia="ja-JP"/>
        </w:rPr>
        <w:t>a</w:t>
      </w:r>
      <w:r w:rsidR="009466CB" w:rsidRPr="00E32B9B">
        <w:rPr>
          <w:lang w:eastAsia="ja-JP"/>
        </w:rPr>
        <w:t>ntibodies</w:t>
      </w:r>
      <w:r w:rsidRPr="0083014D">
        <w:rPr>
          <w:lang w:eastAsia="ja-JP"/>
        </w:rPr>
        <w:t xml:space="preserve"> positivity on </w:t>
      </w:r>
      <w:proofErr w:type="spellStart"/>
      <w:r w:rsidR="008B40FD">
        <w:rPr>
          <w:lang w:eastAsia="ja-JP"/>
        </w:rPr>
        <w:t>bimekizumab</w:t>
      </w:r>
      <w:proofErr w:type="spellEnd"/>
      <w:r w:rsidRPr="0083014D">
        <w:rPr>
          <w:lang w:eastAsia="ja-JP"/>
        </w:rPr>
        <w:t xml:space="preserve"> efficacy is yet to be determined and, ought to be reflected in the PI.</w:t>
      </w:r>
    </w:p>
    <w:p w14:paraId="4D140363" w14:textId="08A65AFD" w:rsidR="00EF482C" w:rsidRPr="0083014D" w:rsidRDefault="00EF482C" w:rsidP="006E4137">
      <w:pPr>
        <w:pStyle w:val="Heading5"/>
      </w:pPr>
      <w:r>
        <w:t>Drug delivery mechanism</w:t>
      </w:r>
    </w:p>
    <w:p w14:paraId="317DFD0C" w14:textId="67E97CB4" w:rsidR="00551EFF" w:rsidRDefault="00551EFF" w:rsidP="009466CB">
      <w:pPr>
        <w:rPr>
          <w:lang w:eastAsia="ja-JP"/>
        </w:rPr>
      </w:pPr>
      <w:r w:rsidRPr="00C02CC1">
        <w:rPr>
          <w:lang w:eastAsia="ja-JP"/>
        </w:rPr>
        <w:t xml:space="preserve">Studies DV0002 and DV0006 compared the ability of patients to use either of two delivery mechanisms </w:t>
      </w:r>
      <w:r w:rsidR="009466CB">
        <w:rPr>
          <w:lang w:eastAsia="ja-JP"/>
        </w:rPr>
        <w:t>that is</w:t>
      </w:r>
      <w:r w:rsidRPr="00C02CC1">
        <w:rPr>
          <w:lang w:eastAsia="ja-JP"/>
        </w:rPr>
        <w:t xml:space="preserve"> </w:t>
      </w:r>
      <w:r w:rsidR="00EF482C">
        <w:rPr>
          <w:lang w:eastAsia="ja-JP"/>
        </w:rPr>
        <w:t xml:space="preserve">a </w:t>
      </w:r>
      <w:r w:rsidRPr="00C02CC1">
        <w:rPr>
          <w:lang w:eastAsia="ja-JP"/>
        </w:rPr>
        <w:t>pre-filled syringe (</w:t>
      </w:r>
      <w:r w:rsidR="008B40FD">
        <w:rPr>
          <w:lang w:eastAsia="ja-JP"/>
        </w:rPr>
        <w:t>bimekizumab</w:t>
      </w:r>
      <w:r w:rsidRPr="00C02CC1">
        <w:rPr>
          <w:lang w:eastAsia="ja-JP"/>
        </w:rPr>
        <w:t>-SS-1mL) and auto-injector prefilled pen (</w:t>
      </w:r>
      <w:r w:rsidR="008B40FD">
        <w:rPr>
          <w:lang w:eastAsia="ja-JP"/>
        </w:rPr>
        <w:t>bimekizumab</w:t>
      </w:r>
      <w:r w:rsidRPr="00C02CC1">
        <w:rPr>
          <w:lang w:eastAsia="ja-JP"/>
        </w:rPr>
        <w:t xml:space="preserve">-AI-1mL) to self-administer </w:t>
      </w:r>
      <w:proofErr w:type="spellStart"/>
      <w:r w:rsidR="008B40FD">
        <w:rPr>
          <w:lang w:eastAsia="ja-JP"/>
        </w:rPr>
        <w:t>bimekizumab</w:t>
      </w:r>
      <w:proofErr w:type="spellEnd"/>
      <w:r w:rsidRPr="00C02CC1">
        <w:rPr>
          <w:lang w:eastAsia="ja-JP"/>
        </w:rPr>
        <w:t xml:space="preserve">. It was established that patients can be trained to use either of the two delivery mechanisms to self-administer </w:t>
      </w:r>
      <w:proofErr w:type="spellStart"/>
      <w:r w:rsidR="008B40FD">
        <w:rPr>
          <w:lang w:eastAsia="ja-JP"/>
        </w:rPr>
        <w:t>bimekizumab</w:t>
      </w:r>
      <w:proofErr w:type="spellEnd"/>
      <w:r w:rsidRPr="00C02CC1">
        <w:rPr>
          <w:lang w:eastAsia="ja-JP"/>
        </w:rPr>
        <w:t xml:space="preserve">. As per </w:t>
      </w:r>
      <w:r>
        <w:rPr>
          <w:lang w:eastAsia="ja-JP"/>
        </w:rPr>
        <w:t>below, the container safety evaluator has no objection to registering the two delivery systems.</w:t>
      </w:r>
    </w:p>
    <w:p w14:paraId="4961725A" w14:textId="75E2A617" w:rsidR="00551EFF" w:rsidRDefault="00551EFF" w:rsidP="009466CB">
      <w:pPr>
        <w:rPr>
          <w:lang w:eastAsia="ja-JP"/>
        </w:rPr>
      </w:pPr>
      <w:r>
        <w:rPr>
          <w:lang w:eastAsia="ja-JP"/>
        </w:rPr>
        <w:t xml:space="preserve">It is noted </w:t>
      </w:r>
      <w:r w:rsidRPr="00C02CC1">
        <w:rPr>
          <w:lang w:eastAsia="ja-JP"/>
        </w:rPr>
        <w:t>that only the pre-filled syringe (</w:t>
      </w:r>
      <w:r w:rsidR="008B40FD">
        <w:rPr>
          <w:lang w:eastAsia="ja-JP"/>
        </w:rPr>
        <w:t>bimekizumab</w:t>
      </w:r>
      <w:r w:rsidRPr="00C02CC1">
        <w:rPr>
          <w:lang w:eastAsia="ja-JP"/>
        </w:rPr>
        <w:t>-SS-1mL) was used in the evaluated clinical trials. However, the submitted comparative bioavailability (</w:t>
      </w:r>
      <w:r w:rsidR="009466CB">
        <w:rPr>
          <w:lang w:eastAsia="ja-JP"/>
        </w:rPr>
        <w:t>that is</w:t>
      </w:r>
      <w:r w:rsidRPr="00C02CC1">
        <w:rPr>
          <w:lang w:eastAsia="ja-JP"/>
        </w:rPr>
        <w:t xml:space="preserve"> bioequivalence) study revealed similar AUC and </w:t>
      </w:r>
      <w:proofErr w:type="spellStart"/>
      <w:r w:rsidRPr="00C02CC1">
        <w:rPr>
          <w:lang w:eastAsia="ja-JP"/>
        </w:rPr>
        <w:t>C</w:t>
      </w:r>
      <w:r w:rsidRPr="009466CB">
        <w:rPr>
          <w:vertAlign w:val="subscript"/>
          <w:lang w:eastAsia="ja-JP"/>
        </w:rPr>
        <w:t>max</w:t>
      </w:r>
      <w:proofErr w:type="spellEnd"/>
      <w:r w:rsidRPr="00C02CC1">
        <w:rPr>
          <w:lang w:eastAsia="ja-JP"/>
        </w:rPr>
        <w:t xml:space="preserve"> values for drug delivery via both </w:t>
      </w:r>
      <w:r w:rsidR="008B40FD">
        <w:rPr>
          <w:lang w:eastAsia="ja-JP"/>
        </w:rPr>
        <w:t>bimekizumab</w:t>
      </w:r>
      <w:r w:rsidRPr="00C02CC1">
        <w:rPr>
          <w:lang w:eastAsia="ja-JP"/>
        </w:rPr>
        <w:t xml:space="preserve">-SS-1ml and </w:t>
      </w:r>
      <w:r w:rsidR="008B40FD">
        <w:rPr>
          <w:lang w:eastAsia="ja-JP"/>
        </w:rPr>
        <w:t>bimekizumab</w:t>
      </w:r>
      <w:r w:rsidRPr="00C02CC1">
        <w:rPr>
          <w:lang w:eastAsia="ja-JP"/>
        </w:rPr>
        <w:t xml:space="preserve">-AI-1 mL systems. Therefore, the </w:t>
      </w:r>
      <w:r w:rsidR="00B86D23">
        <w:rPr>
          <w:lang w:eastAsia="ja-JP"/>
        </w:rPr>
        <w:t>D</w:t>
      </w:r>
      <w:r w:rsidRPr="00C02CC1">
        <w:rPr>
          <w:lang w:eastAsia="ja-JP"/>
        </w:rPr>
        <w:t>elegate also has no objection to registering the two delivery systems.</w:t>
      </w:r>
    </w:p>
    <w:p w14:paraId="130ABC11" w14:textId="5D7DA162" w:rsidR="00EF482C" w:rsidRPr="00C02CC1" w:rsidRDefault="00EF482C" w:rsidP="006E4137">
      <w:pPr>
        <w:pStyle w:val="Heading5"/>
        <w:rPr>
          <w:lang w:eastAsia="ja-JP"/>
        </w:rPr>
      </w:pPr>
      <w:r>
        <w:rPr>
          <w:lang w:eastAsia="ja-JP"/>
        </w:rPr>
        <w:t>Summary</w:t>
      </w:r>
    </w:p>
    <w:p w14:paraId="784E6302" w14:textId="602784CA" w:rsidR="00551EFF" w:rsidRDefault="00551EFF" w:rsidP="009466CB">
      <w:r w:rsidRPr="001737FA">
        <w:t xml:space="preserve">The </w:t>
      </w:r>
      <w:r w:rsidR="00EF482C">
        <w:t xml:space="preserve">TGA’s </w:t>
      </w:r>
      <w:r w:rsidR="00B86D23">
        <w:t>quality</w:t>
      </w:r>
      <w:r w:rsidRPr="0032430C">
        <w:t xml:space="preserve"> </w:t>
      </w:r>
      <w:r w:rsidR="00EF482C">
        <w:t>evaluations</w:t>
      </w:r>
      <w:r w:rsidR="00EF482C" w:rsidRPr="001737FA">
        <w:t xml:space="preserve"> </w:t>
      </w:r>
      <w:r w:rsidRPr="001737FA">
        <w:t xml:space="preserve">have not raised objections to the registration of </w:t>
      </w:r>
      <w:proofErr w:type="spellStart"/>
      <w:r w:rsidR="00B86D23">
        <w:t>b</w:t>
      </w:r>
      <w:r w:rsidRPr="001737FA">
        <w:t>imekizumab</w:t>
      </w:r>
      <w:proofErr w:type="spellEnd"/>
      <w:r>
        <w:t>.</w:t>
      </w:r>
    </w:p>
    <w:p w14:paraId="72394187" w14:textId="7794A008" w:rsidR="00551EFF" w:rsidRPr="00C65C29" w:rsidRDefault="00551EFF" w:rsidP="009466CB">
      <w:pPr>
        <w:rPr>
          <w:rFonts w:eastAsia="Times New Roman"/>
          <w:szCs w:val="20"/>
          <w:lang w:eastAsia="en-AU"/>
        </w:rPr>
      </w:pPr>
      <w:r>
        <w:t xml:space="preserve">The container safety assessor stated that </w:t>
      </w:r>
      <w:proofErr w:type="spellStart"/>
      <w:r w:rsidR="00B86D23">
        <w:t>b</w:t>
      </w:r>
      <w:r w:rsidRPr="000F3618">
        <w:rPr>
          <w:rFonts w:eastAsia="Times New Roman"/>
          <w:szCs w:val="20"/>
          <w:lang w:eastAsia="en-AU"/>
        </w:rPr>
        <w:t>imekizumab</w:t>
      </w:r>
      <w:proofErr w:type="spellEnd"/>
      <w:r w:rsidRPr="000F3618">
        <w:rPr>
          <w:rFonts w:eastAsia="Times New Roman"/>
          <w:szCs w:val="20"/>
          <w:lang w:eastAsia="en-AU"/>
        </w:rPr>
        <w:t xml:space="preserve"> </w:t>
      </w:r>
      <w:r>
        <w:rPr>
          <w:rFonts w:eastAsia="Times New Roman"/>
          <w:szCs w:val="20"/>
          <w:lang w:eastAsia="en-AU"/>
        </w:rPr>
        <w:t>(</w:t>
      </w:r>
      <w:proofErr w:type="spellStart"/>
      <w:r w:rsidRPr="000F3618">
        <w:rPr>
          <w:rFonts w:eastAsia="Times New Roman"/>
          <w:szCs w:val="20"/>
          <w:lang w:eastAsia="en-AU"/>
        </w:rPr>
        <w:t>Bimzelx</w:t>
      </w:r>
      <w:proofErr w:type="spellEnd"/>
      <w:r>
        <w:rPr>
          <w:rFonts w:eastAsia="Times New Roman"/>
          <w:szCs w:val="20"/>
          <w:lang w:eastAsia="en-AU"/>
        </w:rPr>
        <w:t>)</w:t>
      </w:r>
      <w:r w:rsidR="00EF482C">
        <w:rPr>
          <w:rFonts w:eastAsia="Times New Roman"/>
          <w:szCs w:val="20"/>
          <w:lang w:eastAsia="en-AU"/>
        </w:rPr>
        <w:t xml:space="preserve"> </w:t>
      </w:r>
      <w:r w:rsidRPr="000F3618">
        <w:rPr>
          <w:rFonts w:eastAsia="Times New Roman"/>
          <w:szCs w:val="20"/>
          <w:lang w:eastAsia="en-AU"/>
        </w:rPr>
        <w:t xml:space="preserve">160 mg/1 mL solution </w:t>
      </w:r>
      <w:r w:rsidRPr="006B6821">
        <w:rPr>
          <w:rFonts w:eastAsia="Times New Roman"/>
          <w:szCs w:val="20"/>
          <w:lang w:eastAsia="en-AU"/>
        </w:rPr>
        <w:t>for injection via auto-injector</w:t>
      </w:r>
      <w:r w:rsidR="006B6821" w:rsidRPr="006B6821">
        <w:rPr>
          <w:rFonts w:eastAsia="Times New Roman"/>
          <w:szCs w:val="20"/>
          <w:lang w:eastAsia="en-AU"/>
        </w:rPr>
        <w:t xml:space="preserve"> </w:t>
      </w:r>
      <w:r w:rsidRPr="006B6821">
        <w:rPr>
          <w:rFonts w:eastAsia="Times New Roman"/>
          <w:szCs w:val="20"/>
          <w:lang w:eastAsia="en-AU"/>
        </w:rPr>
        <w:t>and safety syringe are acceptable for registration.</w:t>
      </w:r>
    </w:p>
    <w:p w14:paraId="1993D759" w14:textId="67A25170" w:rsidR="00551EFF" w:rsidRDefault="00551EFF" w:rsidP="009466CB">
      <w:r>
        <w:t>While there are no</w:t>
      </w:r>
      <w:r>
        <w:rPr>
          <w:spacing w:val="-5"/>
        </w:rPr>
        <w:t xml:space="preserve"> </w:t>
      </w:r>
      <w:r>
        <w:t>objections</w:t>
      </w:r>
      <w:r>
        <w:rPr>
          <w:spacing w:val="-4"/>
        </w:rPr>
        <w:t xml:space="preserve"> </w:t>
      </w:r>
      <w:r>
        <w:t>to</w:t>
      </w:r>
      <w:r>
        <w:rPr>
          <w:spacing w:val="-4"/>
        </w:rPr>
        <w:t xml:space="preserve"> the </w:t>
      </w:r>
      <w:r>
        <w:t xml:space="preserve">registration of </w:t>
      </w:r>
      <w:proofErr w:type="spellStart"/>
      <w:r w:rsidR="00B86D23">
        <w:t>b</w:t>
      </w:r>
      <w:r>
        <w:t>imekizumab</w:t>
      </w:r>
      <w:proofErr w:type="spellEnd"/>
      <w:r>
        <w:t xml:space="preserve"> from the </w:t>
      </w:r>
      <w:r w:rsidR="00B86D23">
        <w:t>non-clinical</w:t>
      </w:r>
      <w:r w:rsidRPr="00B506BD">
        <w:t xml:space="preserve"> perspective</w:t>
      </w:r>
      <w:r>
        <w:t xml:space="preserve">, modifications to the draft PI have been suggested and the </w:t>
      </w:r>
      <w:r w:rsidR="00B86D23">
        <w:t>s</w:t>
      </w:r>
      <w:r>
        <w:t>ponsor has fully complied.</w:t>
      </w:r>
    </w:p>
    <w:p w14:paraId="57B93C2F" w14:textId="2C0CF3F7" w:rsidR="00551EFF" w:rsidRPr="008A44D3" w:rsidRDefault="00551EFF" w:rsidP="00B86D23">
      <w:r w:rsidRPr="008A44D3">
        <w:t xml:space="preserve">While the jury is still out on the causality of the liver dysfunction signalling noted in </w:t>
      </w:r>
      <w:proofErr w:type="spellStart"/>
      <w:r w:rsidR="008B40FD">
        <w:t>bimekizumab</w:t>
      </w:r>
      <w:proofErr w:type="spellEnd"/>
      <w:r w:rsidRPr="008A44D3">
        <w:t xml:space="preserve"> clinical </w:t>
      </w:r>
      <w:proofErr w:type="gramStart"/>
      <w:r w:rsidRPr="008A44D3">
        <w:t>trials</w:t>
      </w:r>
      <w:r w:rsidR="00EF482C">
        <w:t>,</w:t>
      </w:r>
      <w:r w:rsidRPr="008A44D3">
        <w:t xml:space="preserve"> and</w:t>
      </w:r>
      <w:proofErr w:type="gramEnd"/>
      <w:r w:rsidRPr="008A44D3">
        <w:t xml:space="preserve"> given that t</w:t>
      </w:r>
      <w:r w:rsidRPr="00B86D23">
        <w:t xml:space="preserve">he first worldwide marketing authorisation for </w:t>
      </w:r>
      <w:proofErr w:type="spellStart"/>
      <w:r w:rsidRPr="00B86D23">
        <w:t>Bimzelx</w:t>
      </w:r>
      <w:proofErr w:type="spellEnd"/>
      <w:r w:rsidRPr="00B86D23">
        <w:t xml:space="preserve"> was only approved in the </w:t>
      </w:r>
      <w:r w:rsidR="00B86D23">
        <w:t>European Union</w:t>
      </w:r>
      <w:r w:rsidRPr="00B86D23">
        <w:t xml:space="preserve"> on 20 Aug</w:t>
      </w:r>
      <w:r w:rsidR="00B86D23">
        <w:t>ust</w:t>
      </w:r>
      <w:r w:rsidRPr="00B86D23">
        <w:t xml:space="preserve"> 2021</w:t>
      </w:r>
      <w:r w:rsidR="006B6821">
        <w:t>,</w:t>
      </w:r>
      <w:r w:rsidRPr="00CB4690">
        <w:t xml:space="preserve"> it is preferable</w:t>
      </w:r>
      <w:r w:rsidRPr="008A44D3">
        <w:t xml:space="preserve"> that hepatic dysfunction be listed in </w:t>
      </w:r>
      <w:r w:rsidR="00F42E8D">
        <w:t xml:space="preserve">the </w:t>
      </w:r>
      <w:r w:rsidR="00EF482C">
        <w:t>Australia-specific annex (</w:t>
      </w:r>
      <w:r w:rsidRPr="008A44D3">
        <w:t>ASA</w:t>
      </w:r>
      <w:r w:rsidR="00EF482C">
        <w:t>)</w:t>
      </w:r>
      <w:r w:rsidRPr="008A44D3">
        <w:t xml:space="preserve"> </w:t>
      </w:r>
      <w:r w:rsidR="00F42E8D">
        <w:t xml:space="preserve">of the risk management plan (RMP) </w:t>
      </w:r>
      <w:r w:rsidRPr="008A44D3">
        <w:t xml:space="preserve">until proven otherwise, by </w:t>
      </w:r>
      <w:r w:rsidR="00F42E8D">
        <w:t xml:space="preserve">a </w:t>
      </w:r>
      <w:r w:rsidRPr="008A44D3">
        <w:t xml:space="preserve">high volume of </w:t>
      </w:r>
      <w:r w:rsidR="00EF482C" w:rsidRPr="006B6821">
        <w:t>periodic safety update report</w:t>
      </w:r>
      <w:r w:rsidR="00EF482C" w:rsidRPr="008A44D3">
        <w:t xml:space="preserve"> </w:t>
      </w:r>
      <w:r w:rsidR="00EF482C">
        <w:t xml:space="preserve">(PSUR) </w:t>
      </w:r>
      <w:r w:rsidRPr="008A44D3">
        <w:t>data further down the line.</w:t>
      </w:r>
    </w:p>
    <w:p w14:paraId="7846C285" w14:textId="51C5D312" w:rsidR="00551EFF" w:rsidRPr="009127FD" w:rsidRDefault="00551EFF" w:rsidP="00B86D23">
      <w:r>
        <w:t xml:space="preserve">The </w:t>
      </w:r>
      <w:r w:rsidR="00EF482C">
        <w:t xml:space="preserve">TGA’s evaluation of the </w:t>
      </w:r>
      <w:r w:rsidRPr="0032439A">
        <w:t xml:space="preserve">RMP </w:t>
      </w:r>
      <w:r>
        <w:t xml:space="preserve">has recommended modifications to the CMI for the </w:t>
      </w:r>
      <w:r w:rsidR="00B86D23">
        <w:t>s</w:t>
      </w:r>
      <w:r>
        <w:t>ponsor’s compliance.</w:t>
      </w:r>
    </w:p>
    <w:p w14:paraId="4DA1544A" w14:textId="77777777" w:rsidR="00551EFF" w:rsidRDefault="00551EFF" w:rsidP="00B86D23">
      <w:pPr>
        <w:rPr>
          <w:lang w:eastAsia="ja-JP"/>
        </w:rPr>
      </w:pPr>
      <w:r>
        <w:rPr>
          <w:lang w:eastAsia="ja-JP"/>
        </w:rPr>
        <w:t xml:space="preserve">The reported </w:t>
      </w:r>
      <w:r w:rsidRPr="00B86D23">
        <w:rPr>
          <w:lang w:eastAsia="ja-JP"/>
        </w:rPr>
        <w:t>adverse effects in</w:t>
      </w:r>
      <w:r>
        <w:rPr>
          <w:lang w:eastAsia="ja-JP"/>
        </w:rPr>
        <w:t xml:space="preserve"> the clinical trials include</w:t>
      </w:r>
      <w:r w:rsidRPr="00123BEC">
        <w:rPr>
          <w:lang w:eastAsia="ja-JP"/>
        </w:rPr>
        <w:t>:</w:t>
      </w:r>
    </w:p>
    <w:p w14:paraId="39B3FFB1" w14:textId="77777777" w:rsidR="00551EFF" w:rsidRPr="00603F51" w:rsidRDefault="00551EFF" w:rsidP="00B86D23">
      <w:pPr>
        <w:pStyle w:val="ListBullet"/>
        <w:rPr>
          <w:lang w:eastAsia="ja-JP"/>
        </w:rPr>
      </w:pPr>
      <w:r w:rsidRPr="00603F51">
        <w:rPr>
          <w:lang w:eastAsia="ja-JP"/>
        </w:rPr>
        <w:t xml:space="preserve">Upper respiratory tract </w:t>
      </w:r>
      <w:proofErr w:type="gramStart"/>
      <w:r w:rsidRPr="00603F51">
        <w:rPr>
          <w:lang w:eastAsia="ja-JP"/>
        </w:rPr>
        <w:t>infections;</w:t>
      </w:r>
      <w:proofErr w:type="gramEnd"/>
    </w:p>
    <w:p w14:paraId="49650157" w14:textId="77777777" w:rsidR="00551EFF" w:rsidRPr="00603F51" w:rsidRDefault="00551EFF" w:rsidP="00B86D23">
      <w:pPr>
        <w:pStyle w:val="ListBullet"/>
        <w:rPr>
          <w:lang w:eastAsia="ja-JP"/>
        </w:rPr>
      </w:pPr>
      <w:r w:rsidRPr="00603F51">
        <w:rPr>
          <w:lang w:eastAsia="ja-JP"/>
        </w:rPr>
        <w:t xml:space="preserve">Fungal </w:t>
      </w:r>
      <w:proofErr w:type="gramStart"/>
      <w:r w:rsidRPr="00603F51">
        <w:rPr>
          <w:lang w:eastAsia="ja-JP"/>
        </w:rPr>
        <w:t>infections;</w:t>
      </w:r>
      <w:proofErr w:type="gramEnd"/>
    </w:p>
    <w:p w14:paraId="42F150DB" w14:textId="32FA8208" w:rsidR="00551EFF" w:rsidRPr="00603F51" w:rsidRDefault="00551EFF" w:rsidP="00B86D23">
      <w:pPr>
        <w:pStyle w:val="ListBullet"/>
        <w:rPr>
          <w:lang w:eastAsia="ja-JP"/>
        </w:rPr>
      </w:pPr>
      <w:proofErr w:type="spellStart"/>
      <w:proofErr w:type="gramStart"/>
      <w:r w:rsidRPr="00603F51">
        <w:rPr>
          <w:lang w:eastAsia="ja-JP"/>
        </w:rPr>
        <w:t>Neutropaenia</w:t>
      </w:r>
      <w:proofErr w:type="spellEnd"/>
      <w:r w:rsidR="00B86D23">
        <w:rPr>
          <w:lang w:eastAsia="ja-JP"/>
        </w:rPr>
        <w:t>;</w:t>
      </w:r>
      <w:proofErr w:type="gramEnd"/>
    </w:p>
    <w:p w14:paraId="3EB7AAC4" w14:textId="77777777" w:rsidR="00551EFF" w:rsidRPr="00603F51" w:rsidRDefault="00551EFF" w:rsidP="00B86D23">
      <w:pPr>
        <w:pStyle w:val="ListBullet"/>
        <w:rPr>
          <w:lang w:eastAsia="ja-JP"/>
        </w:rPr>
      </w:pPr>
      <w:r w:rsidRPr="00603F51">
        <w:rPr>
          <w:lang w:eastAsia="ja-JP"/>
        </w:rPr>
        <w:t xml:space="preserve">Serious hypersensitivity reactions, including anaphylactic </w:t>
      </w:r>
      <w:proofErr w:type="gramStart"/>
      <w:r w:rsidRPr="00603F51">
        <w:rPr>
          <w:lang w:eastAsia="ja-JP"/>
        </w:rPr>
        <w:t>reactions;</w:t>
      </w:r>
      <w:proofErr w:type="gramEnd"/>
    </w:p>
    <w:p w14:paraId="271EE670" w14:textId="0AB0B202" w:rsidR="00551EFF" w:rsidRDefault="00551EFF" w:rsidP="00B86D23">
      <w:pPr>
        <w:pStyle w:val="ListBullet"/>
        <w:rPr>
          <w:lang w:eastAsia="ja-JP"/>
        </w:rPr>
      </w:pPr>
      <w:r w:rsidRPr="00603F51">
        <w:rPr>
          <w:lang w:eastAsia="ja-JP"/>
        </w:rPr>
        <w:t xml:space="preserve">Immunogenicity via development of both </w:t>
      </w:r>
      <w:r w:rsidR="00B86D23">
        <w:rPr>
          <w:lang w:eastAsia="ja-JP"/>
        </w:rPr>
        <w:t>neutralising antibody</w:t>
      </w:r>
      <w:r w:rsidRPr="00603F51">
        <w:rPr>
          <w:lang w:eastAsia="ja-JP"/>
        </w:rPr>
        <w:t xml:space="preserve"> and </w:t>
      </w:r>
      <w:r w:rsidR="00B86D23">
        <w:rPr>
          <w:lang w:eastAsia="ja-JP"/>
        </w:rPr>
        <w:t>anti-drug antibody</w:t>
      </w:r>
      <w:r>
        <w:rPr>
          <w:lang w:eastAsia="ja-JP"/>
        </w:rPr>
        <w:t>.</w:t>
      </w:r>
    </w:p>
    <w:p w14:paraId="7B100793" w14:textId="77777777" w:rsidR="00551EFF" w:rsidRDefault="00551EFF" w:rsidP="00B86D23">
      <w:pPr>
        <w:rPr>
          <w:lang w:eastAsia="ja-JP"/>
        </w:rPr>
      </w:pPr>
      <w:r>
        <w:rPr>
          <w:lang w:eastAsia="ja-JP"/>
        </w:rPr>
        <w:t>The above and others are already included, as per stratified frequency, in the PI.</w:t>
      </w:r>
    </w:p>
    <w:p w14:paraId="1F1AB511" w14:textId="19465018" w:rsidR="00B86D23" w:rsidRDefault="00551EFF" w:rsidP="00B86D23">
      <w:pPr>
        <w:rPr>
          <w:lang w:eastAsia="ja-JP"/>
        </w:rPr>
      </w:pPr>
      <w:r w:rsidRPr="00CF1F76">
        <w:rPr>
          <w:lang w:eastAsia="ja-JP"/>
        </w:rPr>
        <w:lastRenderedPageBreak/>
        <w:t>Regarding</w:t>
      </w:r>
      <w:r w:rsidR="00B86D23">
        <w:rPr>
          <w:lang w:eastAsia="ja-JP"/>
        </w:rPr>
        <w:t xml:space="preserve"> pharmacodynamic interactions,</w:t>
      </w:r>
      <w:r w:rsidRPr="00CF1F76">
        <w:rPr>
          <w:lang w:eastAsia="ja-JP"/>
        </w:rPr>
        <w:t xml:space="preserve"> </w:t>
      </w:r>
      <w:r w:rsidR="00B86D23">
        <w:rPr>
          <w:lang w:eastAsia="ja-JP"/>
        </w:rPr>
        <w:t>the Delegate suggests an expansion for clarity as follows:</w:t>
      </w:r>
    </w:p>
    <w:p w14:paraId="146CF4DC" w14:textId="2D3F2D03" w:rsidR="00551EFF" w:rsidRPr="00EF482C" w:rsidRDefault="00B86D23" w:rsidP="006E4137">
      <w:pPr>
        <w:ind w:left="720"/>
        <w:rPr>
          <w:lang w:eastAsia="ja-JP"/>
        </w:rPr>
      </w:pPr>
      <w:r w:rsidRPr="00EF482C">
        <w:rPr>
          <w:lang w:eastAsia="ja-JP"/>
        </w:rPr>
        <w:t>‘</w:t>
      </w:r>
      <w:r w:rsidRPr="006E4137">
        <w:rPr>
          <w:iCs/>
          <w:lang w:eastAsia="ja-JP"/>
        </w:rPr>
        <w:t xml:space="preserve">No CYP450 interaction studies have been performed in humans. There is no direct evidence for the role of IL-17A or IL-F in the expression of CYP450 enzymes. Given that the (1) phagocytic cells of the immune system such as macrophages and monocytes are the major players in the elimination of </w:t>
      </w:r>
      <w:proofErr w:type="spellStart"/>
      <w:r w:rsidRPr="006E4137">
        <w:rPr>
          <w:iCs/>
          <w:lang w:eastAsia="ja-JP"/>
        </w:rPr>
        <w:t>bimekizumab</w:t>
      </w:r>
      <w:proofErr w:type="spellEnd"/>
      <w:r w:rsidRPr="006E4137">
        <w:rPr>
          <w:iCs/>
          <w:lang w:eastAsia="ja-JP"/>
        </w:rPr>
        <w:t xml:space="preserve"> and endogenous IgG, any proteolysis in the liver via CYP450 will be minimal and (2) formation of some CYP450 enzymes which  is suppressed by elevated levels of cytokines during inflammation (as in psoriasis), will be reversed  by  inflammatory suppressors, like IL-17A and IL-17F inhibitor </w:t>
      </w:r>
      <w:proofErr w:type="spellStart"/>
      <w:r w:rsidRPr="006E4137">
        <w:rPr>
          <w:iCs/>
          <w:lang w:eastAsia="ja-JP"/>
        </w:rPr>
        <w:t>bimekizumab</w:t>
      </w:r>
      <w:proofErr w:type="spellEnd"/>
      <w:r w:rsidRPr="006E4137">
        <w:rPr>
          <w:iCs/>
          <w:lang w:eastAsia="ja-JP"/>
        </w:rPr>
        <w:t xml:space="preserve">, the resultant outcome will be an abundance of  CYP450. Extrapolation of the latter means that drugs metabolized by the CYP450 system may be co-administered with </w:t>
      </w:r>
      <w:proofErr w:type="spellStart"/>
      <w:r w:rsidRPr="006E4137">
        <w:rPr>
          <w:iCs/>
          <w:lang w:eastAsia="ja-JP"/>
        </w:rPr>
        <w:t>bimekizumab</w:t>
      </w:r>
      <w:proofErr w:type="spellEnd"/>
      <w:r w:rsidRPr="006E4137">
        <w:rPr>
          <w:iCs/>
          <w:lang w:eastAsia="ja-JP"/>
        </w:rPr>
        <w:t>. However, monitoring of therapeutic plasma level and clinical effect of drugs with narrow therapeutic index (</w:t>
      </w:r>
      <w:proofErr w:type="gramStart"/>
      <w:r w:rsidRPr="006E4137">
        <w:rPr>
          <w:iCs/>
          <w:lang w:eastAsia="ja-JP"/>
        </w:rPr>
        <w:t>e.g.</w:t>
      </w:r>
      <w:proofErr w:type="gramEnd"/>
      <w:r w:rsidRPr="006E4137">
        <w:rPr>
          <w:iCs/>
          <w:lang w:eastAsia="ja-JP"/>
        </w:rPr>
        <w:t xml:space="preserve"> warfarin) metabolized via CYP450 system is recommended, due to the probability of a reduction in therapeutic plasma concentration.</w:t>
      </w:r>
      <w:r w:rsidRPr="00EF482C">
        <w:rPr>
          <w:lang w:eastAsia="ja-JP"/>
        </w:rPr>
        <w:t>’</w:t>
      </w:r>
    </w:p>
    <w:p w14:paraId="763B9852" w14:textId="22605854" w:rsidR="00557742" w:rsidRDefault="007470B1" w:rsidP="00557742">
      <w:r>
        <w:t xml:space="preserve">Both the </w:t>
      </w:r>
      <w:r w:rsidR="00EF482C">
        <w:rPr>
          <w:bCs/>
        </w:rPr>
        <w:t xml:space="preserve">TGA’s clinical evaluation </w:t>
      </w:r>
      <w:r>
        <w:t>and the Delegate accept the sponsor’s pr</w:t>
      </w:r>
      <w:r w:rsidR="00557742">
        <w:t>oposed indication</w:t>
      </w:r>
      <w:r w:rsidR="00EF482C">
        <w:t>:</w:t>
      </w:r>
    </w:p>
    <w:p w14:paraId="00549D06" w14:textId="75FBC7F5" w:rsidR="007470B1" w:rsidRDefault="00557742" w:rsidP="007470B1">
      <w:pPr>
        <w:ind w:left="720"/>
        <w:rPr>
          <w:i/>
          <w:iCs/>
        </w:rPr>
      </w:pPr>
      <w:proofErr w:type="spellStart"/>
      <w:r w:rsidRPr="007470B1">
        <w:rPr>
          <w:i/>
          <w:iCs/>
        </w:rPr>
        <w:t>Bimekizumab</w:t>
      </w:r>
      <w:proofErr w:type="spellEnd"/>
      <w:r w:rsidRPr="007470B1">
        <w:rPr>
          <w:i/>
          <w:iCs/>
        </w:rPr>
        <w:t xml:space="preserve"> (</w:t>
      </w:r>
      <w:proofErr w:type="spellStart"/>
      <w:r w:rsidRPr="007470B1">
        <w:rPr>
          <w:i/>
          <w:iCs/>
        </w:rPr>
        <w:t>Bimzelx</w:t>
      </w:r>
      <w:proofErr w:type="spellEnd"/>
      <w:r w:rsidRPr="007470B1">
        <w:rPr>
          <w:i/>
          <w:iCs/>
        </w:rPr>
        <w:t>) is indicated for the treatment of moderate to severe plaque psoriasis in adult patients who are candidates for systemic therapy or phototherapy</w:t>
      </w:r>
      <w:r w:rsidR="007470B1" w:rsidRPr="007470B1">
        <w:rPr>
          <w:i/>
          <w:iCs/>
        </w:rPr>
        <w:t>.</w:t>
      </w:r>
    </w:p>
    <w:p w14:paraId="53F024B8" w14:textId="6D253A7C" w:rsidR="007470B1" w:rsidRPr="007470B1" w:rsidRDefault="007470B1" w:rsidP="007470B1">
      <w:r>
        <w:t>The Delegate has requested that the sponsor submits the</w:t>
      </w:r>
      <w:r w:rsidRPr="007470B1">
        <w:t xml:space="preserve"> outcome of the open</w:t>
      </w:r>
      <w:r w:rsidR="006B6821">
        <w:t xml:space="preserve"> </w:t>
      </w:r>
      <w:r w:rsidRPr="007470B1">
        <w:t>label Study</w:t>
      </w:r>
      <w:r w:rsidR="006B6821">
        <w:t> </w:t>
      </w:r>
      <w:r w:rsidRPr="007470B1">
        <w:t>PS</w:t>
      </w:r>
      <w:r>
        <w:t>0</w:t>
      </w:r>
      <w:r w:rsidRPr="007470B1">
        <w:t xml:space="preserve">014 </w:t>
      </w:r>
      <w:r>
        <w:t>(</w:t>
      </w:r>
      <w:r w:rsidRPr="007470B1">
        <w:t xml:space="preserve">long-term safety/efficacy of </w:t>
      </w:r>
      <w:proofErr w:type="spellStart"/>
      <w:r w:rsidR="008B40FD">
        <w:t>bimekizumab</w:t>
      </w:r>
      <w:proofErr w:type="spellEnd"/>
      <w:proofErr w:type="gramStart"/>
      <w:r>
        <w:t>)</w:t>
      </w:r>
      <w:proofErr w:type="gramEnd"/>
      <w:r w:rsidRPr="007470B1">
        <w:t xml:space="preserve"> and the safety follow up visi</w:t>
      </w:r>
      <w:r>
        <w:t>t</w:t>
      </w:r>
      <w:r w:rsidRPr="007470B1">
        <w:t xml:space="preserve"> when available</w:t>
      </w:r>
      <w:r>
        <w:t xml:space="preserve"> to TGA.</w:t>
      </w:r>
    </w:p>
    <w:p w14:paraId="1C8F5B23" w14:textId="324584EF" w:rsidR="0074163C" w:rsidRDefault="0074163C" w:rsidP="0074163C">
      <w:pPr>
        <w:pStyle w:val="Heading4"/>
      </w:pPr>
      <w:bookmarkStart w:id="131" w:name="_Toc98931933"/>
      <w:r w:rsidRPr="00D23139">
        <w:t>Proposed action</w:t>
      </w:r>
      <w:bookmarkEnd w:id="131"/>
    </w:p>
    <w:p w14:paraId="0EB9FA07" w14:textId="77777777" w:rsidR="00EF482C" w:rsidRDefault="007470B1" w:rsidP="007470B1">
      <w:r>
        <w:t xml:space="preserve">The efficacy and safety of </w:t>
      </w:r>
      <w:proofErr w:type="spellStart"/>
      <w:r>
        <w:t>bimekizumab</w:t>
      </w:r>
      <w:proofErr w:type="spellEnd"/>
      <w:r>
        <w:t xml:space="preserve"> in the management of moderate to severe plaque psoriasis in adult patients who are candidates for systemic therapy or phototherapy have been documented in three pivotal trials</w:t>
      </w:r>
      <w:r w:rsidR="00EF482C">
        <w:t xml:space="preserve"> (Studies PS0008, PS0009 and PS0013)</w:t>
      </w:r>
      <w:r>
        <w:t>.</w:t>
      </w:r>
    </w:p>
    <w:p w14:paraId="5D9FE8A3" w14:textId="65296342" w:rsidR="007470B1" w:rsidRPr="00551EFF" w:rsidRDefault="007470B1" w:rsidP="007470B1">
      <w:r>
        <w:t xml:space="preserve">The outcome of the open label Study PS0014 (long-term safety /efficacy of </w:t>
      </w:r>
      <w:proofErr w:type="spellStart"/>
      <w:r w:rsidR="008B40FD">
        <w:t>bimekizumab</w:t>
      </w:r>
      <w:proofErr w:type="spellEnd"/>
      <w:r>
        <w:t xml:space="preserve">) and data from the </w:t>
      </w:r>
      <w:r w:rsidR="006B6821">
        <w:t>safety follow up</w:t>
      </w:r>
      <w:r>
        <w:t xml:space="preserve"> visit will be required to assess the risk/benefit of </w:t>
      </w:r>
      <w:proofErr w:type="spellStart"/>
      <w:r w:rsidR="008B40FD">
        <w:t>bimekizumab</w:t>
      </w:r>
      <w:proofErr w:type="spellEnd"/>
      <w:r>
        <w:t xml:space="preserve"> long term.</w:t>
      </w:r>
    </w:p>
    <w:p w14:paraId="2E03A92A" w14:textId="77777777" w:rsidR="0074163C" w:rsidRPr="00F73346" w:rsidRDefault="0074163C" w:rsidP="0074163C">
      <w:pPr>
        <w:pStyle w:val="Heading4"/>
      </w:pPr>
      <w:bookmarkStart w:id="132" w:name="_Toc98931936"/>
      <w:bookmarkStart w:id="133" w:name="_Toc247691532"/>
      <w:bookmarkStart w:id="134" w:name="_Toc314842516"/>
      <w:bookmarkEnd w:id="43"/>
      <w:bookmarkEnd w:id="124"/>
      <w:bookmarkEnd w:id="125"/>
      <w:r w:rsidRPr="00F73346">
        <w:t>Advisory Committee considerations</w:t>
      </w:r>
      <w:bookmarkEnd w:id="132"/>
    </w:p>
    <w:p w14:paraId="5D7D7ACF" w14:textId="4A5FCA44" w:rsidR="0074163C" w:rsidRDefault="0074163C" w:rsidP="0074163C">
      <w:pPr>
        <w:rPr>
          <w:bCs/>
        </w:rPr>
      </w:pPr>
      <w:r w:rsidRPr="00456765">
        <w:rPr>
          <w:bCs/>
        </w:rPr>
        <w:t xml:space="preserve">The </w:t>
      </w:r>
      <w:hyperlink r:id="rId53" w:history="1">
        <w:r w:rsidRPr="00C65E63">
          <w:rPr>
            <w:rStyle w:val="Hyperlink"/>
            <w:szCs w:val="21"/>
          </w:rPr>
          <w:t>Advisory Committee on Medicines (ACM)</w:t>
        </w:r>
      </w:hyperlink>
      <w:r w:rsidRPr="00F73346">
        <w:rPr>
          <w:szCs w:val="21"/>
        </w:rPr>
        <w:t>,</w:t>
      </w:r>
      <w:r w:rsidRPr="00F73346">
        <w:rPr>
          <w:bCs/>
        </w:rPr>
        <w:t xml:space="preserve"> </w:t>
      </w:r>
      <w:r w:rsidRPr="00456765">
        <w:rPr>
          <w:bCs/>
        </w:rPr>
        <w:t>having considered the evaluations and the Delegate’s overview, as well as the sponsor’s response to these documents, advised the following</w:t>
      </w:r>
      <w:r>
        <w:rPr>
          <w:bCs/>
        </w:rPr>
        <w:t>.</w:t>
      </w:r>
    </w:p>
    <w:p w14:paraId="31DD4D23" w14:textId="313F55D0" w:rsidR="0074163C" w:rsidRPr="00F73346" w:rsidRDefault="0074163C" w:rsidP="0074163C">
      <w:pPr>
        <w:pStyle w:val="Heading5"/>
      </w:pPr>
      <w:r w:rsidRPr="00F73346">
        <w:t>Specific advice to the Delegate</w:t>
      </w:r>
    </w:p>
    <w:p w14:paraId="3386E6F2" w14:textId="2E0B3AFE" w:rsidR="007470B1" w:rsidRPr="006B6821" w:rsidRDefault="009079CB" w:rsidP="006B6821">
      <w:pPr>
        <w:pStyle w:val="Numberbullet0"/>
        <w:numPr>
          <w:ilvl w:val="0"/>
          <w:numId w:val="6"/>
        </w:numPr>
        <w:rPr>
          <w:b/>
          <w:bCs/>
          <w:i/>
          <w:iCs/>
        </w:rPr>
      </w:pPr>
      <w:r>
        <w:rPr>
          <w:b/>
          <w:bCs/>
          <w:i/>
          <w:iCs/>
        </w:rPr>
        <w:t xml:space="preserve">The ACM is asked to </w:t>
      </w:r>
      <w:r w:rsidR="00F07139">
        <w:rPr>
          <w:b/>
          <w:bCs/>
          <w:i/>
          <w:iCs/>
        </w:rPr>
        <w:t>advise</w:t>
      </w:r>
      <w:r>
        <w:rPr>
          <w:b/>
          <w:bCs/>
          <w:i/>
          <w:iCs/>
        </w:rPr>
        <w:t xml:space="preserve"> on the proposed m</w:t>
      </w:r>
      <w:r w:rsidR="007470B1" w:rsidRPr="006B6821">
        <w:rPr>
          <w:b/>
          <w:bCs/>
          <w:i/>
          <w:iCs/>
        </w:rPr>
        <w:t xml:space="preserve">aintenance dose treatment at </w:t>
      </w:r>
      <w:proofErr w:type="spellStart"/>
      <w:r w:rsidR="008B40FD" w:rsidRPr="006B6821">
        <w:rPr>
          <w:b/>
          <w:bCs/>
          <w:i/>
          <w:iCs/>
        </w:rPr>
        <w:t>bimekizumab</w:t>
      </w:r>
      <w:proofErr w:type="spellEnd"/>
      <w:r w:rsidR="007470B1" w:rsidRPr="006B6821">
        <w:rPr>
          <w:b/>
          <w:bCs/>
          <w:i/>
          <w:iCs/>
        </w:rPr>
        <w:t xml:space="preserve"> </w:t>
      </w:r>
      <w:r w:rsidR="001D2CFA" w:rsidRPr="006B6821">
        <w:rPr>
          <w:b/>
          <w:bCs/>
          <w:i/>
          <w:iCs/>
        </w:rPr>
        <w:t>320 mg</w:t>
      </w:r>
      <w:r w:rsidR="007470B1" w:rsidRPr="006B6821">
        <w:rPr>
          <w:b/>
          <w:bCs/>
          <w:i/>
          <w:iCs/>
        </w:rPr>
        <w:t xml:space="preserve"> </w:t>
      </w:r>
      <w:r w:rsidR="00F23C97" w:rsidRPr="006B6821">
        <w:rPr>
          <w:b/>
          <w:bCs/>
          <w:i/>
          <w:iCs/>
        </w:rPr>
        <w:t>every 4 weeks</w:t>
      </w:r>
      <w:r w:rsidR="007470B1" w:rsidRPr="006B6821">
        <w:rPr>
          <w:b/>
          <w:bCs/>
          <w:i/>
          <w:iCs/>
        </w:rPr>
        <w:t xml:space="preserve"> in patients weighing </w:t>
      </w:r>
      <w:r>
        <w:rPr>
          <w:b/>
          <w:bCs/>
          <w:i/>
          <w:iCs/>
        </w:rPr>
        <w:t>more than</w:t>
      </w:r>
      <w:r w:rsidR="007470B1" w:rsidRPr="006B6821">
        <w:rPr>
          <w:b/>
          <w:bCs/>
          <w:i/>
          <w:iCs/>
        </w:rPr>
        <w:t xml:space="preserve"> 120 kg.</w:t>
      </w:r>
    </w:p>
    <w:p w14:paraId="01347DA2" w14:textId="7FE2FE35" w:rsidR="009079CB" w:rsidRDefault="007470B1" w:rsidP="007867D0">
      <w:r>
        <w:t xml:space="preserve">The ACM advised that a shorter dosing interval of </w:t>
      </w:r>
      <w:r w:rsidR="00F23C97">
        <w:t>every 4 weeks</w:t>
      </w:r>
      <w:r>
        <w:t xml:space="preserve"> for patients weighing &gt;</w:t>
      </w:r>
      <w:r w:rsidR="009079CB">
        <w:t> </w:t>
      </w:r>
      <w:r>
        <w:t>120 kg is an acceptable option based on the PK and safety data. The ACM advised that the treatment regime for heavier patients should be left to clinician discretion based on clinical response as a study has not been conducted to compare the efficacy based on weight characteristics.</w:t>
      </w:r>
    </w:p>
    <w:p w14:paraId="5956A4C9" w14:textId="423F3296" w:rsidR="007470B1" w:rsidRDefault="007470B1" w:rsidP="007867D0">
      <w:r>
        <w:t xml:space="preserve">The ACM advised that it should be made clear that increasing the dosing frequency in heavier patients has not been shown to result in greater efficacy but may be used to increase plasma concentrations of </w:t>
      </w:r>
      <w:proofErr w:type="spellStart"/>
      <w:r>
        <w:t>bimekizumab</w:t>
      </w:r>
      <w:proofErr w:type="spellEnd"/>
      <w:r>
        <w:t xml:space="preserve"> in heavier patients.</w:t>
      </w:r>
    </w:p>
    <w:p w14:paraId="34673B83" w14:textId="0D847DBC" w:rsidR="007470B1" w:rsidRPr="007867D0" w:rsidRDefault="009079CB" w:rsidP="006E4137">
      <w:pPr>
        <w:pStyle w:val="Numberbullet0"/>
        <w:keepNext/>
        <w:ind w:left="432" w:hanging="432"/>
        <w:rPr>
          <w:b/>
          <w:bCs/>
          <w:i/>
          <w:iCs/>
        </w:rPr>
      </w:pPr>
      <w:r>
        <w:rPr>
          <w:b/>
          <w:bCs/>
          <w:i/>
          <w:iCs/>
        </w:rPr>
        <w:lastRenderedPageBreak/>
        <w:t xml:space="preserve">The ACM is asked to </w:t>
      </w:r>
      <w:r w:rsidR="00F07139">
        <w:rPr>
          <w:b/>
          <w:bCs/>
          <w:i/>
          <w:iCs/>
        </w:rPr>
        <w:t>advice</w:t>
      </w:r>
      <w:r>
        <w:rPr>
          <w:b/>
          <w:bCs/>
          <w:i/>
          <w:iCs/>
        </w:rPr>
        <w:t xml:space="preserve"> on the i</w:t>
      </w:r>
      <w:r w:rsidR="007470B1" w:rsidRPr="007867D0">
        <w:rPr>
          <w:b/>
          <w:bCs/>
          <w:i/>
          <w:iCs/>
        </w:rPr>
        <w:t xml:space="preserve">nclusion of reported hepatic dysfunction in </w:t>
      </w:r>
      <w:proofErr w:type="spellStart"/>
      <w:r w:rsidR="008B40FD">
        <w:rPr>
          <w:b/>
          <w:bCs/>
          <w:i/>
          <w:iCs/>
        </w:rPr>
        <w:t>bimekizumab</w:t>
      </w:r>
      <w:proofErr w:type="spellEnd"/>
      <w:r w:rsidR="007470B1" w:rsidRPr="007867D0">
        <w:rPr>
          <w:b/>
          <w:bCs/>
          <w:i/>
          <w:iCs/>
        </w:rPr>
        <w:t xml:space="preserve"> clinical trials.</w:t>
      </w:r>
    </w:p>
    <w:p w14:paraId="29C26462" w14:textId="753F4F13" w:rsidR="007470B1" w:rsidRDefault="007470B1" w:rsidP="007867D0">
      <w:r>
        <w:t>The ACM advised that any significant liver adverse events had been thoroughly investigated and did not appear to be drug related. As such, no additions to the PI are required based on the current reported cases of liver dysfunction.</w:t>
      </w:r>
    </w:p>
    <w:p w14:paraId="2191CFCE" w14:textId="2ED85596" w:rsidR="007470B1" w:rsidRPr="007867D0" w:rsidRDefault="009079CB" w:rsidP="007867D0">
      <w:pPr>
        <w:pStyle w:val="Numberbullet0"/>
        <w:rPr>
          <w:b/>
          <w:bCs/>
          <w:i/>
          <w:iCs/>
        </w:rPr>
      </w:pPr>
      <w:r>
        <w:rPr>
          <w:b/>
          <w:bCs/>
          <w:i/>
          <w:iCs/>
        </w:rPr>
        <w:t xml:space="preserve">The ACM is asked to </w:t>
      </w:r>
      <w:r w:rsidR="00F07139">
        <w:rPr>
          <w:b/>
          <w:bCs/>
          <w:i/>
          <w:iCs/>
        </w:rPr>
        <w:t>advise</w:t>
      </w:r>
      <w:r>
        <w:rPr>
          <w:b/>
          <w:bCs/>
          <w:i/>
          <w:iCs/>
        </w:rPr>
        <w:t xml:space="preserve"> on e</w:t>
      </w:r>
      <w:r w:rsidR="007470B1" w:rsidRPr="007867D0">
        <w:rPr>
          <w:b/>
          <w:bCs/>
          <w:i/>
          <w:iCs/>
        </w:rPr>
        <w:t>xpanding the current statement under hepatic impairment section.</w:t>
      </w:r>
    </w:p>
    <w:p w14:paraId="58A80FCB" w14:textId="77777777" w:rsidR="009079CB" w:rsidRDefault="007470B1" w:rsidP="007867D0">
      <w:r>
        <w:t>The ACM noted that absence of data in those with hepatic dysfunction, as well as renal dysfunction. The ACM advised that the PI could state that</w:t>
      </w:r>
      <w:r w:rsidR="009079CB">
        <w:t>:</w:t>
      </w:r>
    </w:p>
    <w:p w14:paraId="68178F7E" w14:textId="3C582F7D" w:rsidR="007470B1" w:rsidRDefault="007470B1" w:rsidP="006E4137">
      <w:pPr>
        <w:ind w:left="720"/>
      </w:pPr>
      <w:r>
        <w:t>‘</w:t>
      </w:r>
      <w:proofErr w:type="gramStart"/>
      <w:r>
        <w:t>caution</w:t>
      </w:r>
      <w:proofErr w:type="gramEnd"/>
      <w:r>
        <w:t xml:space="preserve"> should be taken in people with hepatic and renal dysfunction due to the absence of data from these populations in the studies.’</w:t>
      </w:r>
    </w:p>
    <w:p w14:paraId="6AE8D1FA" w14:textId="29EB6D50" w:rsidR="007470B1" w:rsidRPr="007867D0" w:rsidRDefault="009079CB" w:rsidP="007867D0">
      <w:pPr>
        <w:pStyle w:val="Numberbullet0"/>
        <w:rPr>
          <w:b/>
          <w:bCs/>
          <w:i/>
          <w:iCs/>
        </w:rPr>
      </w:pPr>
      <w:r>
        <w:rPr>
          <w:b/>
          <w:bCs/>
          <w:i/>
          <w:iCs/>
        </w:rPr>
        <w:t>The ACM is asked to comment on the r</w:t>
      </w:r>
      <w:r w:rsidR="007470B1" w:rsidRPr="007867D0">
        <w:rPr>
          <w:b/>
          <w:bCs/>
          <w:i/>
          <w:iCs/>
        </w:rPr>
        <w:t xml:space="preserve">eflection of both </w:t>
      </w:r>
      <w:r>
        <w:rPr>
          <w:b/>
          <w:bCs/>
          <w:i/>
          <w:iCs/>
        </w:rPr>
        <w:t>neutralising antibody</w:t>
      </w:r>
      <w:r w:rsidRPr="007867D0">
        <w:rPr>
          <w:b/>
          <w:bCs/>
          <w:i/>
          <w:iCs/>
        </w:rPr>
        <w:t xml:space="preserve"> </w:t>
      </w:r>
      <w:r w:rsidR="007470B1" w:rsidRPr="007867D0">
        <w:rPr>
          <w:b/>
          <w:bCs/>
          <w:i/>
          <w:iCs/>
        </w:rPr>
        <w:t xml:space="preserve">and </w:t>
      </w:r>
      <w:r w:rsidR="004858E7">
        <w:rPr>
          <w:b/>
          <w:bCs/>
          <w:i/>
          <w:iCs/>
        </w:rPr>
        <w:t>anti-drug antibod</w:t>
      </w:r>
      <w:r>
        <w:rPr>
          <w:b/>
          <w:bCs/>
          <w:i/>
          <w:iCs/>
        </w:rPr>
        <w:t>y</w:t>
      </w:r>
      <w:r w:rsidR="007470B1" w:rsidRPr="007867D0">
        <w:rPr>
          <w:b/>
          <w:bCs/>
          <w:i/>
          <w:iCs/>
        </w:rPr>
        <w:t xml:space="preserve"> positivity in the </w:t>
      </w:r>
      <w:r>
        <w:rPr>
          <w:b/>
          <w:bCs/>
          <w:i/>
          <w:iCs/>
        </w:rPr>
        <w:t>Product Information</w:t>
      </w:r>
      <w:r w:rsidR="007470B1" w:rsidRPr="007867D0">
        <w:rPr>
          <w:b/>
          <w:bCs/>
          <w:i/>
          <w:iCs/>
        </w:rPr>
        <w:t>.</w:t>
      </w:r>
    </w:p>
    <w:p w14:paraId="3965CBB0" w14:textId="77777777" w:rsidR="007470B1" w:rsidRPr="009079CB" w:rsidRDefault="007470B1">
      <w:r w:rsidRPr="009079CB">
        <w:t>The ACM advised that the proposed wording appears appropriate based on current data:</w:t>
      </w:r>
    </w:p>
    <w:p w14:paraId="1143EC1E" w14:textId="2218ADBB" w:rsidR="007470B1" w:rsidRPr="009079CB" w:rsidRDefault="007470B1" w:rsidP="006E4137">
      <w:pPr>
        <w:ind w:left="720"/>
      </w:pPr>
      <w:r w:rsidRPr="009079CB">
        <w:t>‘No evidence of altered clinical response, or safety profile was associated with development of anti-</w:t>
      </w:r>
      <w:proofErr w:type="spellStart"/>
      <w:r w:rsidRPr="009079CB">
        <w:t>bimekizumab</w:t>
      </w:r>
      <w:proofErr w:type="spellEnd"/>
      <w:r w:rsidRPr="009079CB">
        <w:t xml:space="preserve"> antibodies and neutralising </w:t>
      </w:r>
      <w:proofErr w:type="gramStart"/>
      <w:r w:rsidRPr="009079CB">
        <w:t>antibodies’</w:t>
      </w:r>
      <w:proofErr w:type="gramEnd"/>
      <w:r w:rsidRPr="009079CB">
        <w:t>.</w:t>
      </w:r>
    </w:p>
    <w:p w14:paraId="020752F2" w14:textId="47CD5DFE" w:rsidR="009079CB" w:rsidRDefault="009079CB" w:rsidP="007867D0">
      <w:pPr>
        <w:pStyle w:val="Numberbullet0"/>
        <w:rPr>
          <w:b/>
          <w:bCs/>
          <w:i/>
          <w:iCs/>
        </w:rPr>
      </w:pPr>
      <w:r>
        <w:rPr>
          <w:b/>
          <w:bCs/>
          <w:i/>
          <w:iCs/>
        </w:rPr>
        <w:t>The TGA is asked to comment on e</w:t>
      </w:r>
      <w:r w:rsidR="007470B1" w:rsidRPr="007867D0">
        <w:rPr>
          <w:b/>
          <w:bCs/>
          <w:i/>
          <w:iCs/>
        </w:rPr>
        <w:t xml:space="preserve">xpansion of the statement on the rather pharmacodynamic interaction of </w:t>
      </w:r>
      <w:proofErr w:type="spellStart"/>
      <w:r w:rsidR="008B40FD">
        <w:rPr>
          <w:b/>
          <w:bCs/>
          <w:i/>
          <w:iCs/>
        </w:rPr>
        <w:t>bimekizumab</w:t>
      </w:r>
      <w:proofErr w:type="spellEnd"/>
      <w:r w:rsidR="007470B1" w:rsidRPr="007867D0">
        <w:rPr>
          <w:b/>
          <w:bCs/>
          <w:i/>
          <w:iCs/>
        </w:rPr>
        <w:t xml:space="preserve"> with CYP450 metabolised drugs.</w:t>
      </w:r>
    </w:p>
    <w:p w14:paraId="2BCB1E5E" w14:textId="3F04D38D" w:rsidR="009079CB" w:rsidRDefault="007470B1" w:rsidP="006E4137">
      <w:r w:rsidRPr="009079CB">
        <w:t xml:space="preserve">The ACM advised that the proposed additions to Section 4.5 of the PI are generally acceptable, but recommended </w:t>
      </w:r>
      <w:r w:rsidR="00F07139">
        <w:t>t</w:t>
      </w:r>
      <w:r w:rsidR="00F07139" w:rsidRPr="009079CB">
        <w:t xml:space="preserve">he sentence be tempered as below to avoid overstating the potential of a reduction in plasma </w:t>
      </w:r>
      <w:proofErr w:type="gramStart"/>
      <w:r w:rsidR="00F07139" w:rsidRPr="009079CB">
        <w:t>concentration</w:t>
      </w:r>
      <w:r w:rsidR="00F07139">
        <w:t>;</w:t>
      </w:r>
      <w:proofErr w:type="gramEnd"/>
    </w:p>
    <w:p w14:paraId="1DB34537" w14:textId="1DBA2D8F" w:rsidR="00F07139" w:rsidRDefault="00F07139" w:rsidP="006E4137">
      <w:r>
        <w:t>From:</w:t>
      </w:r>
    </w:p>
    <w:p w14:paraId="0AC49974" w14:textId="2860EFDE" w:rsidR="009079CB" w:rsidRDefault="009079CB" w:rsidP="006E4137">
      <w:pPr>
        <w:ind w:left="720"/>
      </w:pPr>
      <w:r w:rsidRPr="009079CB">
        <w:t>‘However, monitoring of therapeutic plasma level and clinical effect of drugs with narrow therapeutic index (</w:t>
      </w:r>
      <w:proofErr w:type="gramStart"/>
      <w:r w:rsidRPr="009079CB">
        <w:t>e.g.</w:t>
      </w:r>
      <w:proofErr w:type="gramEnd"/>
      <w:r w:rsidRPr="009079CB">
        <w:t xml:space="preserve"> warfarin) metabolised via CYP450 system should be considered </w:t>
      </w:r>
      <w:r w:rsidRPr="006E4137">
        <w:t>due to the probability of a reduction in therapeutic plasma concentration</w:t>
      </w:r>
      <w:r w:rsidRPr="009079CB">
        <w:t>.’</w:t>
      </w:r>
    </w:p>
    <w:p w14:paraId="6195E690" w14:textId="37C302A7" w:rsidR="007470B1" w:rsidRPr="009079CB" w:rsidRDefault="00F07139" w:rsidP="006E4137">
      <w:r>
        <w:t>Amended to:</w:t>
      </w:r>
    </w:p>
    <w:p w14:paraId="4EBB1BB2" w14:textId="56B8AAC7" w:rsidR="007470B1" w:rsidRDefault="007470B1" w:rsidP="006E4137">
      <w:pPr>
        <w:ind w:left="720"/>
      </w:pPr>
      <w:r>
        <w:t>‘However, monitoring of therapeutic plasma level and clinical effect of drugs with narrow therapeutic index (</w:t>
      </w:r>
      <w:proofErr w:type="gramStart"/>
      <w:r>
        <w:t>e.g.</w:t>
      </w:r>
      <w:proofErr w:type="gramEnd"/>
      <w:r>
        <w:t xml:space="preserve"> warfarin) metabolised via CYP450 system should be considered</w:t>
      </w:r>
      <w:r w:rsidR="009079CB">
        <w:t>.’</w:t>
      </w:r>
    </w:p>
    <w:p w14:paraId="7B225F64" w14:textId="313E7DC1" w:rsidR="007470B1" w:rsidRPr="007867D0" w:rsidRDefault="00F42E8D" w:rsidP="007867D0">
      <w:pPr>
        <w:pStyle w:val="Numberbullet0"/>
        <w:rPr>
          <w:b/>
          <w:bCs/>
          <w:i/>
          <w:iCs/>
        </w:rPr>
      </w:pPr>
      <w:r>
        <w:rPr>
          <w:b/>
          <w:bCs/>
          <w:i/>
          <w:iCs/>
        </w:rPr>
        <w:t>The ACM is asked for its p</w:t>
      </w:r>
      <w:r w:rsidR="007470B1" w:rsidRPr="007867D0">
        <w:rPr>
          <w:b/>
          <w:bCs/>
          <w:i/>
          <w:iCs/>
        </w:rPr>
        <w:t xml:space="preserve">reference for hepatic dysfunction to be listed in the </w:t>
      </w:r>
      <w:r>
        <w:rPr>
          <w:b/>
          <w:bCs/>
          <w:i/>
          <w:iCs/>
        </w:rPr>
        <w:t>Australian specific annex of the risk management plan</w:t>
      </w:r>
      <w:r w:rsidR="007470B1" w:rsidRPr="007867D0">
        <w:rPr>
          <w:b/>
          <w:bCs/>
          <w:i/>
          <w:iCs/>
        </w:rPr>
        <w:t xml:space="preserve"> until proven</w:t>
      </w:r>
      <w:r>
        <w:rPr>
          <w:b/>
          <w:bCs/>
          <w:i/>
          <w:iCs/>
        </w:rPr>
        <w:t xml:space="preserve"> </w:t>
      </w:r>
      <w:r w:rsidR="007470B1" w:rsidRPr="007867D0">
        <w:rPr>
          <w:b/>
          <w:bCs/>
          <w:i/>
          <w:iCs/>
        </w:rPr>
        <w:t xml:space="preserve">otherwise, by </w:t>
      </w:r>
      <w:r>
        <w:rPr>
          <w:b/>
          <w:bCs/>
          <w:i/>
          <w:iCs/>
        </w:rPr>
        <w:t xml:space="preserve">a </w:t>
      </w:r>
      <w:r w:rsidR="007470B1" w:rsidRPr="007867D0">
        <w:rPr>
          <w:b/>
          <w:bCs/>
          <w:i/>
          <w:iCs/>
        </w:rPr>
        <w:t xml:space="preserve">high volume of </w:t>
      </w:r>
      <w:r>
        <w:rPr>
          <w:b/>
          <w:bCs/>
          <w:i/>
          <w:iCs/>
        </w:rPr>
        <w:t>periodic safety update report</w:t>
      </w:r>
      <w:r w:rsidRPr="007867D0">
        <w:rPr>
          <w:b/>
          <w:bCs/>
          <w:i/>
          <w:iCs/>
        </w:rPr>
        <w:t xml:space="preserve"> </w:t>
      </w:r>
      <w:r w:rsidR="007470B1" w:rsidRPr="007867D0">
        <w:rPr>
          <w:b/>
          <w:bCs/>
          <w:i/>
          <w:iCs/>
        </w:rPr>
        <w:t>data further down the line.</w:t>
      </w:r>
    </w:p>
    <w:p w14:paraId="097785E1" w14:textId="1905A350" w:rsidR="007470B1" w:rsidRDefault="007470B1" w:rsidP="007867D0">
      <w:r>
        <w:t>The ACM did not think this measure is required based on the current safety profile (see also advice given to Question 2, above).</w:t>
      </w:r>
    </w:p>
    <w:p w14:paraId="4957C9B3" w14:textId="456B1D45" w:rsidR="007470B1" w:rsidRPr="007867D0" w:rsidRDefault="00F42E8D" w:rsidP="007867D0">
      <w:pPr>
        <w:pStyle w:val="Numberbullet0"/>
        <w:rPr>
          <w:b/>
          <w:bCs/>
          <w:i/>
          <w:iCs/>
        </w:rPr>
      </w:pPr>
      <w:r>
        <w:rPr>
          <w:b/>
          <w:bCs/>
          <w:i/>
          <w:iCs/>
        </w:rPr>
        <w:t>The ACM is asked to advise on the a</w:t>
      </w:r>
      <w:r w:rsidR="007470B1" w:rsidRPr="007867D0">
        <w:rPr>
          <w:b/>
          <w:bCs/>
          <w:i/>
          <w:iCs/>
        </w:rPr>
        <w:t>pprovability or otherwise of the submission.</w:t>
      </w:r>
    </w:p>
    <w:p w14:paraId="3B376361" w14:textId="0856F5EE" w:rsidR="007470B1" w:rsidRDefault="007470B1" w:rsidP="007867D0">
      <w:r>
        <w:t xml:space="preserve">Based on the available efficacy and safety data, the ACM advised that the benefit risk profile of </w:t>
      </w:r>
      <w:proofErr w:type="spellStart"/>
      <w:r>
        <w:t>Bimzelx</w:t>
      </w:r>
      <w:proofErr w:type="spellEnd"/>
      <w:r>
        <w:t xml:space="preserve"> is positive for the proposed indication:</w:t>
      </w:r>
    </w:p>
    <w:p w14:paraId="56EC452C" w14:textId="5F352D19" w:rsidR="007470B1" w:rsidRPr="007867D0" w:rsidRDefault="00F42E8D" w:rsidP="006E4137">
      <w:pPr>
        <w:ind w:left="720"/>
        <w:rPr>
          <w:i/>
          <w:iCs/>
        </w:rPr>
      </w:pPr>
      <w:r>
        <w:rPr>
          <w:i/>
          <w:iCs/>
        </w:rPr>
        <w:t>‘</w:t>
      </w:r>
      <w:proofErr w:type="spellStart"/>
      <w:r w:rsidR="007470B1" w:rsidRPr="007867D0">
        <w:rPr>
          <w:i/>
          <w:iCs/>
        </w:rPr>
        <w:t>Bimzelx</w:t>
      </w:r>
      <w:proofErr w:type="spellEnd"/>
      <w:r w:rsidR="007470B1" w:rsidRPr="007867D0">
        <w:rPr>
          <w:i/>
          <w:iCs/>
        </w:rPr>
        <w:t xml:space="preserve"> is indicated for the treatment of moderate to severe plaque psoriasis in adult patients who are candidates for systemic therapy or phototherapy.</w:t>
      </w:r>
      <w:r>
        <w:rPr>
          <w:i/>
          <w:iCs/>
        </w:rPr>
        <w:t>’</w:t>
      </w:r>
    </w:p>
    <w:p w14:paraId="41268705" w14:textId="394EB6D6" w:rsidR="007470B1" w:rsidRPr="007867D0" w:rsidRDefault="00F42E8D" w:rsidP="007867D0">
      <w:pPr>
        <w:pStyle w:val="Numberbullet0"/>
        <w:rPr>
          <w:b/>
          <w:bCs/>
          <w:i/>
          <w:iCs/>
        </w:rPr>
      </w:pPr>
      <w:r>
        <w:rPr>
          <w:b/>
          <w:bCs/>
          <w:i/>
          <w:iCs/>
        </w:rPr>
        <w:t>The ACM is asked to provide a</w:t>
      </w:r>
      <w:r w:rsidR="007470B1" w:rsidRPr="007867D0">
        <w:rPr>
          <w:b/>
          <w:bCs/>
          <w:i/>
          <w:iCs/>
        </w:rPr>
        <w:t>ny other relevant advice on the submission.</w:t>
      </w:r>
    </w:p>
    <w:p w14:paraId="457B356B" w14:textId="158ADAD1" w:rsidR="007470B1" w:rsidRDefault="007470B1" w:rsidP="007867D0">
      <w:r>
        <w:t xml:space="preserve">The ACM advised that the instructions in the </w:t>
      </w:r>
      <w:r w:rsidR="00F42E8D">
        <w:t>Consumer Medicines Information (</w:t>
      </w:r>
      <w:r>
        <w:t>CMI</w:t>
      </w:r>
      <w:r w:rsidR="00F42E8D">
        <w:t>)</w:t>
      </w:r>
      <w:r>
        <w:t xml:space="preserve"> regarding administration should be expanded, including whether to angle the needle or to stretch or pinch the skin when injecting. The infographics showing the generally accepted </w:t>
      </w:r>
      <w:r>
        <w:lastRenderedPageBreak/>
        <w:t>sites for injection should be amended to depict the anterolateral (rather than only anterior) thighs and the posterior (rather than posterolateral) arms.</w:t>
      </w:r>
    </w:p>
    <w:p w14:paraId="0C6B45AA" w14:textId="22BD2D27" w:rsidR="007470B1" w:rsidRPr="007470B1" w:rsidRDefault="007470B1" w:rsidP="007867D0">
      <w:r>
        <w:t>The ACM agreed that the statement in the proposed PI that ‘</w:t>
      </w:r>
      <w:r w:rsidRPr="007867D0">
        <w:rPr>
          <w:i/>
          <w:iCs/>
        </w:rPr>
        <w:t xml:space="preserve">Live vaccines should not be given in patients treated with </w:t>
      </w:r>
      <w:proofErr w:type="spellStart"/>
      <w:r w:rsidRPr="007867D0">
        <w:rPr>
          <w:i/>
          <w:iCs/>
        </w:rPr>
        <w:t>Bimzelx</w:t>
      </w:r>
      <w:proofErr w:type="spellEnd"/>
      <w:r>
        <w:t>’ is important and, noting that administration of live vaccines was not assessed in the trials, advised that this could instead be listed as a contraindication (must not) instead of a special warning/precaution (should not).</w:t>
      </w:r>
    </w:p>
    <w:p w14:paraId="1B4F8CBA" w14:textId="77777777" w:rsidR="0074163C" w:rsidRPr="00F73346" w:rsidRDefault="0074163C" w:rsidP="0074163C">
      <w:pPr>
        <w:pStyle w:val="Heading5"/>
      </w:pPr>
      <w:r w:rsidRPr="00F73346">
        <w:t>Conclusion</w:t>
      </w:r>
    </w:p>
    <w:p w14:paraId="134EAE57" w14:textId="77777777" w:rsidR="007867D0" w:rsidRDefault="007867D0" w:rsidP="007867D0">
      <w:pPr>
        <w:pStyle w:val="Default"/>
        <w:rPr>
          <w:sz w:val="22"/>
          <w:szCs w:val="22"/>
        </w:rPr>
      </w:pPr>
      <w:r>
        <w:rPr>
          <w:sz w:val="22"/>
          <w:szCs w:val="22"/>
        </w:rPr>
        <w:t xml:space="preserve">The ACM considered this product to have an overall positive benefit-risk profile for the indication: </w:t>
      </w:r>
    </w:p>
    <w:p w14:paraId="2CBDB83A" w14:textId="4C8301C4" w:rsidR="007867D0" w:rsidRPr="007D53B6" w:rsidRDefault="007867D0" w:rsidP="007867D0">
      <w:pPr>
        <w:ind w:left="720"/>
      </w:pPr>
      <w:proofErr w:type="spellStart"/>
      <w:r>
        <w:rPr>
          <w:i/>
          <w:iCs/>
        </w:rPr>
        <w:t>Bimzelx</w:t>
      </w:r>
      <w:proofErr w:type="spellEnd"/>
      <w:r>
        <w:rPr>
          <w:i/>
          <w:iCs/>
        </w:rPr>
        <w:t xml:space="preserve"> is indicated for the treatment of moderate to severe plaque psoriasis in adult patients who are candidates for systemic therapy or phototherapy.</w:t>
      </w:r>
    </w:p>
    <w:p w14:paraId="7FDC6C24" w14:textId="77777777" w:rsidR="008E7846" w:rsidRPr="002E238E" w:rsidRDefault="008E7846" w:rsidP="00D212F3">
      <w:pPr>
        <w:pStyle w:val="Heading2"/>
      </w:pPr>
      <w:bookmarkStart w:id="135" w:name="_Toc132726797"/>
      <w:r>
        <w:t>Outcome</w:t>
      </w:r>
      <w:bookmarkEnd w:id="133"/>
      <w:bookmarkEnd w:id="134"/>
      <w:bookmarkEnd w:id="135"/>
    </w:p>
    <w:p w14:paraId="462D9764" w14:textId="5060C9C5" w:rsidR="0074163C" w:rsidRDefault="0074163C" w:rsidP="0074163C">
      <w:bookmarkStart w:id="136" w:name="_Toc247691533"/>
      <w:bookmarkStart w:id="137" w:name="_Toc314842517"/>
      <w:r>
        <w:t xml:space="preserve">Based on a review of quality, </w:t>
      </w:r>
      <w:r w:rsidR="00CC5044">
        <w:t>safety,</w:t>
      </w:r>
      <w:r>
        <w:t xml:space="preserve"> and efficacy, the TGA approved the registration of </w:t>
      </w:r>
      <w:proofErr w:type="spellStart"/>
      <w:r w:rsidR="007867D0">
        <w:t>Bimzelx</w:t>
      </w:r>
      <w:proofErr w:type="spellEnd"/>
      <w:r w:rsidR="007867D0">
        <w:t xml:space="preserve"> (</w:t>
      </w:r>
      <w:proofErr w:type="spellStart"/>
      <w:r w:rsidR="007867D0">
        <w:t>bimekizumab</w:t>
      </w:r>
      <w:proofErr w:type="spellEnd"/>
      <w:r w:rsidR="007867D0" w:rsidRPr="000A4A42">
        <w:t xml:space="preserve">) </w:t>
      </w:r>
      <w:r w:rsidR="007867D0" w:rsidRPr="00080FAC">
        <w:t>160</w:t>
      </w:r>
      <w:r w:rsidR="007867D0">
        <w:t> </w:t>
      </w:r>
      <w:r w:rsidR="007867D0" w:rsidRPr="00080FAC">
        <w:t>mg/1</w:t>
      </w:r>
      <w:r w:rsidR="007867D0">
        <w:t> </w:t>
      </w:r>
      <w:r w:rsidR="007867D0" w:rsidRPr="00080FAC">
        <w:t>mL</w:t>
      </w:r>
      <w:r w:rsidR="007867D0" w:rsidRPr="000A4A42">
        <w:t xml:space="preserve">, </w:t>
      </w:r>
      <w:r w:rsidR="007867D0">
        <w:t>solution for injection,</w:t>
      </w:r>
      <w:r>
        <w:t xml:space="preserve"> </w:t>
      </w:r>
      <w:r w:rsidR="007867D0">
        <w:t>auto-</w:t>
      </w:r>
      <w:proofErr w:type="gramStart"/>
      <w:r w:rsidR="007867D0">
        <w:t>injector</w:t>
      </w:r>
      <w:proofErr w:type="gramEnd"/>
      <w:r w:rsidR="007867D0">
        <w:t xml:space="preserve"> and safety syringe</w:t>
      </w:r>
      <w:r>
        <w:t>, indicated for:</w:t>
      </w:r>
    </w:p>
    <w:p w14:paraId="2325569D" w14:textId="6A789CB3" w:rsidR="007867D0" w:rsidRDefault="007867D0" w:rsidP="007867D0">
      <w:pPr>
        <w:ind w:left="720"/>
        <w:rPr>
          <w:i/>
          <w:iCs/>
        </w:rPr>
      </w:pPr>
      <w:proofErr w:type="spellStart"/>
      <w:r>
        <w:rPr>
          <w:i/>
          <w:iCs/>
        </w:rPr>
        <w:t>Bimzelx</w:t>
      </w:r>
      <w:proofErr w:type="spellEnd"/>
      <w:r>
        <w:rPr>
          <w:i/>
          <w:iCs/>
        </w:rPr>
        <w:t xml:space="preserve"> is indicated for the treatment of moderate to severe plaque psoriasis in adult patients who are candidates for systemic therapy or phototherapy </w:t>
      </w:r>
    </w:p>
    <w:p w14:paraId="58458192" w14:textId="3C47A22C" w:rsidR="00D23139" w:rsidRPr="00D23139" w:rsidRDefault="00D23139" w:rsidP="007867D0">
      <w:pPr>
        <w:pStyle w:val="Heading3"/>
      </w:pPr>
      <w:bookmarkStart w:id="138" w:name="_Toc132726798"/>
      <w:r w:rsidRPr="00D23139">
        <w:t>Specific conditions of registration applying to these goods</w:t>
      </w:r>
      <w:bookmarkEnd w:id="138"/>
    </w:p>
    <w:p w14:paraId="784E99C8" w14:textId="77777777" w:rsidR="007867D0" w:rsidRDefault="007867D0" w:rsidP="007867D0">
      <w:pPr>
        <w:pStyle w:val="ListBullet"/>
      </w:pPr>
      <w:proofErr w:type="spellStart"/>
      <w:r>
        <w:t>Bimzelx</w:t>
      </w:r>
      <w:proofErr w:type="spellEnd"/>
      <w:r>
        <w:t xml:space="preserve"> (</w:t>
      </w:r>
      <w:proofErr w:type="spellStart"/>
      <w:r>
        <w:t>bimekizumab</w:t>
      </w:r>
      <w:proofErr w:type="spellEnd"/>
      <w:r>
        <w:t xml:space="preserve">) is to be included in the Black Triangle Scheme. The PI and CMI for </w:t>
      </w:r>
      <w:proofErr w:type="spellStart"/>
      <w:r>
        <w:t>Bimzelx</w:t>
      </w:r>
      <w:proofErr w:type="spellEnd"/>
      <w:r>
        <w:t xml:space="preserve"> must include the black triangle symbol and mandatory accompanying text for five years, which starts from the date that the sponsor notifies the TGA of supply of the product.</w:t>
      </w:r>
    </w:p>
    <w:p w14:paraId="5FE40BF4" w14:textId="5B4EF609" w:rsidR="007867D0" w:rsidRDefault="007867D0" w:rsidP="007867D0">
      <w:pPr>
        <w:pStyle w:val="ListBullet"/>
      </w:pPr>
      <w:r>
        <w:t xml:space="preserve">The </w:t>
      </w:r>
      <w:proofErr w:type="spellStart"/>
      <w:r>
        <w:t>Bimzelx</w:t>
      </w:r>
      <w:proofErr w:type="spellEnd"/>
      <w:r>
        <w:t xml:space="preserve"> EU-risk management plan (RMP) (version 1.0, dated 26 August 2021, data lock point 1 November 2019), with ASA (version 2.0, dated 13 September 2021), included with submission PM-2020-06299-1-1, and any subsequent revisions, as agreed with the TGA will be implemented in Australia.</w:t>
      </w:r>
    </w:p>
    <w:p w14:paraId="77198BA1" w14:textId="77777777" w:rsidR="007867D0" w:rsidRDefault="007867D0" w:rsidP="007867D0">
      <w:pPr>
        <w:pStyle w:val="ListBullet"/>
        <w:numPr>
          <w:ilvl w:val="0"/>
          <w:numId w:val="0"/>
        </w:numPr>
        <w:ind w:left="360"/>
      </w:pPr>
      <w:r>
        <w:t>An obligatory component of risk management plans is routine pharmacovigilance. Routine pharmacovigilance includes the submission of periodic safety update reports (PSURs).</w:t>
      </w:r>
    </w:p>
    <w:p w14:paraId="262AAA53" w14:textId="07CA8296" w:rsidR="007867D0" w:rsidRDefault="007867D0" w:rsidP="007867D0">
      <w:pPr>
        <w:pStyle w:val="ListBullet"/>
        <w:numPr>
          <w:ilvl w:val="0"/>
          <w:numId w:val="0"/>
        </w:numPr>
        <w:ind w:left="360"/>
      </w:pPr>
      <w:r>
        <w:t>Reports are to be provided in line with the current published list of EU reference dates and frequency of submission of PSURs until the period covered by such reports is not less than three years from the date of the approval letter.</w:t>
      </w:r>
    </w:p>
    <w:p w14:paraId="1697D59F" w14:textId="7F00712E" w:rsidR="007867D0" w:rsidRDefault="007867D0" w:rsidP="007867D0">
      <w:pPr>
        <w:pStyle w:val="ListBullet"/>
        <w:numPr>
          <w:ilvl w:val="0"/>
          <w:numId w:val="0"/>
        </w:numPr>
        <w:ind w:left="360"/>
      </w:pPr>
      <w:r>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w:t>
      </w:r>
    </w:p>
    <w:p w14:paraId="4F02F6DC" w14:textId="2E07A0C5" w:rsidR="007867D0" w:rsidRDefault="007867D0" w:rsidP="007867D0">
      <w:pPr>
        <w:pStyle w:val="ListBullet"/>
      </w:pPr>
      <w:r w:rsidRPr="007867D0">
        <w:t>For all injectable products the Product Information must be included with the product as a package insert.</w:t>
      </w:r>
    </w:p>
    <w:p w14:paraId="068F0368" w14:textId="77777777" w:rsidR="008E7846" w:rsidRDefault="00A80B5B" w:rsidP="00D23139">
      <w:pPr>
        <w:pStyle w:val="Heading2"/>
      </w:pPr>
      <w:bookmarkStart w:id="139" w:name="_Toc132726799"/>
      <w:r>
        <w:lastRenderedPageBreak/>
        <w:t xml:space="preserve">Attachment 1. </w:t>
      </w:r>
      <w:r w:rsidR="008E7846">
        <w:t xml:space="preserve">Product </w:t>
      </w:r>
      <w:r w:rsidR="00AA0ED0">
        <w:t>I</w:t>
      </w:r>
      <w:r w:rsidR="008E7846">
        <w:t>nformation</w:t>
      </w:r>
      <w:bookmarkEnd w:id="136"/>
      <w:bookmarkEnd w:id="137"/>
      <w:bookmarkEnd w:id="139"/>
    </w:p>
    <w:p w14:paraId="37826D25" w14:textId="57DF6F77" w:rsidR="00523A21" w:rsidRDefault="006136D7" w:rsidP="00C80137">
      <w:r w:rsidRPr="002B3624">
        <w:t xml:space="preserve">The </w:t>
      </w:r>
      <w:r>
        <w:t>PI</w:t>
      </w:r>
      <w:r w:rsidRPr="002B3624">
        <w:t xml:space="preserve"> for </w:t>
      </w:r>
      <w:proofErr w:type="spellStart"/>
      <w:r w:rsidR="007867D0">
        <w:t>Bimzelx</w:t>
      </w:r>
      <w:proofErr w:type="spellEnd"/>
      <w:r w:rsidR="0074163C">
        <w:t xml:space="preserve"> </w:t>
      </w:r>
      <w:r>
        <w:t xml:space="preserve">approved with the submission which is described in </w:t>
      </w:r>
      <w:r w:rsidRPr="002B3624">
        <w:t xml:space="preserve">this </w:t>
      </w:r>
      <w:proofErr w:type="spellStart"/>
      <w:r w:rsidRPr="002B3624">
        <w:t>AusPAR</w:t>
      </w:r>
      <w:proofErr w:type="spellEnd"/>
      <w:r w:rsidRPr="002B3624">
        <w:t xml:space="preserve"> is at Attachment 1.</w:t>
      </w:r>
      <w:r w:rsidR="00CC5044">
        <w:t xml:space="preserve"> </w:t>
      </w:r>
      <w:r w:rsidR="0074163C" w:rsidRPr="00940A89">
        <w:t xml:space="preserve">For the most recent </w:t>
      </w:r>
      <w:r w:rsidR="0074163C">
        <w:t>PI,</w:t>
      </w:r>
      <w:r w:rsidR="0074163C" w:rsidRPr="00940A89">
        <w:t xml:space="preserve"> ple</w:t>
      </w:r>
      <w:r w:rsidR="0074163C">
        <w:t xml:space="preserve">ase refer to the TGA </w:t>
      </w:r>
      <w:hyperlink r:id="rId54" w:history="1">
        <w:r w:rsidR="0074163C" w:rsidRPr="008A698E">
          <w:rPr>
            <w:rStyle w:val="Hyperlink"/>
          </w:rPr>
          <w:t>PI/CMI search facility</w:t>
        </w:r>
        <w:r w:rsidR="0074163C" w:rsidRPr="00EB36D6">
          <w:rPr>
            <w:rStyle w:val="Hyperlink"/>
            <w:color w:val="auto"/>
            <w:u w:val="none"/>
          </w:rPr>
          <w:t>.</w:t>
        </w:r>
      </w:hyperlink>
    </w:p>
    <w:p w14:paraId="33D0260D" w14:textId="77777777" w:rsidR="008E7846" w:rsidRPr="00EB36D6" w:rsidRDefault="008E7846" w:rsidP="00EB36D6">
      <w:r w:rsidRPr="00C80137">
        <w:br w:type="page"/>
      </w:r>
    </w:p>
    <w:p w14:paraId="783FF444" w14:textId="77777777" w:rsidR="00C80137" w:rsidRPr="001D043B" w:rsidRDefault="00C80137" w:rsidP="003A7F6C">
      <w:pPr>
        <w:pStyle w:val="TableTitle"/>
        <w:sectPr w:rsidR="00C80137" w:rsidRPr="001D043B" w:rsidSect="00B452CE">
          <w:headerReference w:type="even" r:id="rId55"/>
          <w:headerReference w:type="default" r:id="rId56"/>
          <w:headerReference w:type="first" r:id="rId57"/>
          <w:footerReference w:type="first" r:id="rId58"/>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0ED4D41A" w14:textId="77777777" w:rsidTr="00A05FA4">
        <w:trPr>
          <w:trHeight w:hRule="exact" w:val="704"/>
        </w:trPr>
        <w:tc>
          <w:tcPr>
            <w:tcW w:w="9175" w:type="dxa"/>
          </w:tcPr>
          <w:p w14:paraId="488AC5D8" w14:textId="77777777" w:rsidR="001C32CD" w:rsidRPr="00487162" w:rsidRDefault="001C32CD" w:rsidP="00A05FA4">
            <w:pPr>
              <w:pStyle w:val="TGASignoff"/>
            </w:pPr>
            <w:r w:rsidRPr="00487162">
              <w:lastRenderedPageBreak/>
              <w:t>Therapeutic Goods Administration</w:t>
            </w:r>
          </w:p>
        </w:tc>
      </w:tr>
      <w:tr w:rsidR="001C32CD" w:rsidRPr="004C239D" w14:paraId="4CE49654" w14:textId="77777777" w:rsidTr="00A05FA4">
        <w:trPr>
          <w:trHeight w:val="1221"/>
        </w:trPr>
        <w:tc>
          <w:tcPr>
            <w:tcW w:w="9175" w:type="dxa"/>
            <w:tcMar>
              <w:top w:w="28" w:type="dxa"/>
            </w:tcMar>
          </w:tcPr>
          <w:p w14:paraId="15D99AC0" w14:textId="77777777" w:rsidR="001C32CD" w:rsidRPr="00487162" w:rsidRDefault="001C32CD" w:rsidP="00A05FA4">
            <w:pPr>
              <w:pStyle w:val="Address"/>
            </w:pPr>
            <w:r w:rsidRPr="00487162">
              <w:t>PO Box 100 Woden ACT 2606 Australia</w:t>
            </w:r>
          </w:p>
          <w:p w14:paraId="58127F28" w14:textId="31C3FD20" w:rsidR="001C32CD" w:rsidRPr="00487162" w:rsidRDefault="001C32CD" w:rsidP="00A05FA4">
            <w:pPr>
              <w:pStyle w:val="Address"/>
            </w:pPr>
            <w:r w:rsidRPr="00487162">
              <w:t xml:space="preserve">Email: </w:t>
            </w:r>
            <w:hyperlink r:id="rId59" w:history="1">
              <w:r w:rsidRPr="004C239D">
                <w:rPr>
                  <w:rStyle w:val="Hyperlink"/>
                </w:rPr>
                <w:t>info@tga.gov.au</w:t>
              </w:r>
            </w:hyperlink>
            <w:r w:rsidRPr="00487162">
              <w:t xml:space="preserve">  Phone: 1800 020 </w:t>
            </w:r>
            <w:proofErr w:type="gramStart"/>
            <w:r w:rsidRPr="00487162">
              <w:t>653  Fax</w:t>
            </w:r>
            <w:proofErr w:type="gramEnd"/>
            <w:r w:rsidRPr="00487162">
              <w:t>: 02 6232 8605</w:t>
            </w:r>
          </w:p>
          <w:p w14:paraId="58A4FF57" w14:textId="46D286BF" w:rsidR="001C32CD" w:rsidRPr="004C239D" w:rsidRDefault="00172397" w:rsidP="00A05FA4">
            <w:pPr>
              <w:pStyle w:val="Address"/>
              <w:spacing w:line="260" w:lineRule="atLeast"/>
              <w:rPr>
                <w:b/>
                <w:color w:val="0000FF"/>
                <w:u w:val="single"/>
              </w:rPr>
            </w:pPr>
            <w:hyperlink r:id="rId60" w:history="1">
              <w:r w:rsidR="007C6B9B" w:rsidRPr="007C6B9B">
                <w:rPr>
                  <w:rStyle w:val="Hyperlink"/>
                  <w:b/>
                </w:rPr>
                <w:t>https://www.tga.gov.au</w:t>
              </w:r>
            </w:hyperlink>
          </w:p>
        </w:tc>
      </w:tr>
    </w:tbl>
    <w:p w14:paraId="7867F9AA" w14:textId="6954A5B7" w:rsidR="00774E1D" w:rsidRPr="008A5E0B" w:rsidRDefault="00774E1D" w:rsidP="004C239D"/>
    <w:sectPr w:rsidR="00774E1D" w:rsidRPr="008A5E0B" w:rsidSect="001C32CD">
      <w:headerReference w:type="even" r:id="rId61"/>
      <w:headerReference w:type="default" r:id="rId62"/>
      <w:footerReference w:type="default" r:id="rId63"/>
      <w:headerReference w:type="first" r:id="rId64"/>
      <w:footerReference w:type="first" r:id="rId65"/>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B3ED59" w14:textId="77777777" w:rsidR="00787E9C" w:rsidRDefault="00787E9C" w:rsidP="00C40A36">
      <w:pPr>
        <w:spacing w:after="0"/>
      </w:pPr>
      <w:r>
        <w:separator/>
      </w:r>
    </w:p>
  </w:endnote>
  <w:endnote w:type="continuationSeparator" w:id="0">
    <w:p w14:paraId="709FB798" w14:textId="77777777" w:rsidR="00787E9C" w:rsidRDefault="00787E9C"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TimesNewRomanPSMT">
    <w:altName w:val="Yu Gothic"/>
    <w:panose1 w:val="00000000000000000000"/>
    <w:charset w:val="80"/>
    <w:family w:val="auto"/>
    <w:notTrueType/>
    <w:pitch w:val="default"/>
    <w:sig w:usb0="00000001" w:usb1="08070000" w:usb2="00000010" w:usb3="00000000" w:csb0="00020000" w:csb1="00000000"/>
  </w:font>
  <w:font w:name="MingLiU">
    <w:altName w:val="細明體"/>
    <w:panose1 w:val="02010609000101010101"/>
    <w:charset w:val="88"/>
    <w:family w:val="modern"/>
    <w:pitch w:val="fixed"/>
    <w:sig w:usb0="A00002FF" w:usb1="28CFFCFA" w:usb2="00000016" w:usb3="00000000" w:csb0="00100001" w:csb1="00000000"/>
  </w:font>
  <w:font w:name="TimesNewRoman">
    <w:altName w:val="Yu Gothic UI"/>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AF4D50" w:rsidRPr="00487162" w14:paraId="555099F7" w14:textId="77777777" w:rsidTr="00DB750B">
      <w:trPr>
        <w:trHeight w:val="269"/>
      </w:trPr>
      <w:tc>
        <w:tcPr>
          <w:tcW w:w="7371" w:type="dxa"/>
          <w:tcMar>
            <w:top w:w="142" w:type="dxa"/>
            <w:bottom w:w="0" w:type="dxa"/>
          </w:tcMar>
        </w:tcPr>
        <w:p w14:paraId="6DB10EA4" w14:textId="71D18419" w:rsidR="00AF4D50" w:rsidRPr="00487162" w:rsidRDefault="00AF4D50" w:rsidP="00460036">
          <w:pPr>
            <w:pStyle w:val="Footer"/>
          </w:pPr>
          <w:proofErr w:type="spellStart"/>
          <w:r w:rsidRPr="00487162">
            <w:t>AusPA</w:t>
          </w:r>
          <w:r>
            <w:t>R</w:t>
          </w:r>
          <w:proofErr w:type="spellEnd"/>
          <w:r>
            <w:t xml:space="preserve"> - </w:t>
          </w:r>
          <w:proofErr w:type="spellStart"/>
          <w:r>
            <w:t>Bimzelx</w:t>
          </w:r>
          <w:proofErr w:type="spellEnd"/>
          <w:r>
            <w:t xml:space="preserve"> </w:t>
          </w:r>
          <w:r w:rsidRPr="00460036">
            <w:t xml:space="preserve">– </w:t>
          </w:r>
          <w:proofErr w:type="spellStart"/>
          <w:r>
            <w:t>bimekizumab</w:t>
          </w:r>
          <w:proofErr w:type="spellEnd"/>
          <w:r w:rsidRPr="00460036">
            <w:t xml:space="preserve"> </w:t>
          </w:r>
          <w:r>
            <w:t xml:space="preserve">- </w:t>
          </w:r>
          <w:r w:rsidRPr="00D907D9">
            <w:t>UCB Pharma</w:t>
          </w:r>
          <w:r>
            <w:t xml:space="preserve"> PM-2020-06299-1-1</w:t>
          </w:r>
          <w:r>
            <w:br/>
          </w:r>
          <w:r w:rsidR="00374270">
            <w:t>FINAL</w:t>
          </w:r>
          <w:r w:rsidRPr="00487162">
            <w:t xml:space="preserve"> </w:t>
          </w:r>
          <w:r w:rsidR="00374270">
            <w:t>18</w:t>
          </w:r>
          <w:r>
            <w:t xml:space="preserve"> </w:t>
          </w:r>
          <w:r w:rsidR="00374270">
            <w:t>April</w:t>
          </w:r>
          <w:r>
            <w:t xml:space="preserve"> 2023</w:t>
          </w:r>
        </w:p>
      </w:tc>
      <w:tc>
        <w:tcPr>
          <w:tcW w:w="1490" w:type="dxa"/>
          <w:tcMar>
            <w:top w:w="142" w:type="dxa"/>
            <w:bottom w:w="0" w:type="dxa"/>
          </w:tcMar>
        </w:tcPr>
        <w:p w14:paraId="3C8BABF5" w14:textId="075A11ED" w:rsidR="00AF4D50" w:rsidRPr="00487162" w:rsidRDefault="00AF4D50" w:rsidP="00DB750B">
          <w:pPr>
            <w:pStyle w:val="Footer"/>
            <w:jc w:val="right"/>
          </w:pPr>
          <w:r w:rsidRPr="00487162">
            <w:t xml:space="preserve">Page </w:t>
          </w:r>
          <w:r>
            <w:fldChar w:fldCharType="begin"/>
          </w:r>
          <w:r>
            <w:instrText xml:space="preserve"> PAGE  \* Arabic </w:instrText>
          </w:r>
          <w:r>
            <w:fldChar w:fldCharType="separate"/>
          </w:r>
          <w:r w:rsidR="00F07139">
            <w:rPr>
              <w:noProof/>
            </w:rPr>
            <w:t>107</w:t>
          </w:r>
          <w:r>
            <w:fldChar w:fldCharType="end"/>
          </w:r>
          <w:r w:rsidRPr="00487162">
            <w:t xml:space="preserve"> of </w:t>
          </w:r>
          <w:fldSimple w:instr=" NUMPAGES  \* Arabic ">
            <w:r w:rsidR="00F07139">
              <w:rPr>
                <w:noProof/>
              </w:rPr>
              <w:t>109</w:t>
            </w:r>
          </w:fldSimple>
        </w:p>
      </w:tc>
    </w:tr>
  </w:tbl>
  <w:p w14:paraId="102F68E8" w14:textId="77777777" w:rsidR="00AF4D50" w:rsidRDefault="00AF4D50"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AF4D50" w:rsidRPr="00487162" w14:paraId="0E0C6D69" w14:textId="77777777" w:rsidTr="00E45619">
      <w:trPr>
        <w:trHeight w:val="269"/>
      </w:trPr>
      <w:tc>
        <w:tcPr>
          <w:tcW w:w="4519" w:type="dxa"/>
          <w:tcBorders>
            <w:top w:val="single" w:sz="4" w:space="0" w:color="auto"/>
          </w:tcBorders>
          <w:tcMar>
            <w:top w:w="142" w:type="dxa"/>
            <w:bottom w:w="0" w:type="dxa"/>
          </w:tcMar>
        </w:tcPr>
        <w:p w14:paraId="06E4A023" w14:textId="77777777" w:rsidR="00AF4D50" w:rsidRPr="00487162" w:rsidRDefault="00AF4D50" w:rsidP="00FE1DEE">
          <w:pPr>
            <w:pStyle w:val="Footer"/>
          </w:pPr>
          <w:r w:rsidRPr="00487162">
            <w:t>Document title, Part #, Section # - Section title</w:t>
          </w:r>
        </w:p>
        <w:p w14:paraId="0BE01019" w14:textId="77777777" w:rsidR="00AF4D50" w:rsidRPr="00487162" w:rsidRDefault="00AF4D50" w:rsidP="00FE1DEE">
          <w:pPr>
            <w:pStyle w:val="Footer"/>
          </w:pPr>
          <w:r w:rsidRPr="00487162">
            <w:t>V1.0 October 2010</w:t>
          </w:r>
        </w:p>
      </w:tc>
      <w:tc>
        <w:tcPr>
          <w:tcW w:w="4342" w:type="dxa"/>
          <w:tcBorders>
            <w:top w:val="single" w:sz="4" w:space="0" w:color="auto"/>
          </w:tcBorders>
          <w:tcMar>
            <w:top w:w="142" w:type="dxa"/>
            <w:bottom w:w="0" w:type="dxa"/>
          </w:tcMar>
        </w:tcPr>
        <w:p w14:paraId="2DD63718" w14:textId="77777777" w:rsidR="00AF4D50" w:rsidRPr="00487162" w:rsidRDefault="00AF4D50"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21</w:t>
            </w:r>
          </w:fldSimple>
        </w:p>
      </w:tc>
    </w:tr>
  </w:tbl>
  <w:p w14:paraId="0DCE18E2" w14:textId="77777777" w:rsidR="00AF4D50" w:rsidRDefault="00AF4D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4F14A" w14:textId="77777777" w:rsidR="00AF4D50" w:rsidRPr="001C32CD" w:rsidRDefault="00AF4D50"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AF4D50" w14:paraId="78527175" w14:textId="77777777" w:rsidTr="0010601F">
      <w:trPr>
        <w:trHeight w:val="108"/>
      </w:trPr>
      <w:tc>
        <w:tcPr>
          <w:tcW w:w="8875" w:type="dxa"/>
          <w:gridSpan w:val="2"/>
          <w:tcBorders>
            <w:bottom w:val="single" w:sz="4" w:space="0" w:color="auto"/>
          </w:tcBorders>
          <w:tcMar>
            <w:right w:w="284" w:type="dxa"/>
          </w:tcMar>
        </w:tcPr>
        <w:p w14:paraId="6A4CD745" w14:textId="77777777" w:rsidR="00AF4D50" w:rsidRDefault="00AF4D50" w:rsidP="006E08B3">
          <w:pPr>
            <w:pStyle w:val="Heading3"/>
          </w:pPr>
          <w:r>
            <w:t>Copyright</w:t>
          </w:r>
        </w:p>
        <w:p w14:paraId="20EB6250" w14:textId="77777777" w:rsidR="00AF4D50" w:rsidRDefault="00AF4D50" w:rsidP="006E08B3">
          <w:r>
            <w:rPr>
              <w:rFonts w:cs="Arial"/>
            </w:rPr>
            <w:t>©</w:t>
          </w:r>
          <w:r>
            <w:t xml:space="preserve"> Commonwealth of Australia [add year]</w:t>
          </w:r>
        </w:p>
        <w:p w14:paraId="01274E4A" w14:textId="77777777" w:rsidR="00AF4D50" w:rsidRDefault="00AF4D50" w:rsidP="006E08B3"/>
        <w:p w14:paraId="5BF31B56" w14:textId="77777777" w:rsidR="00AF4D50" w:rsidRDefault="00AF4D50"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186CA3C3" w14:textId="77777777" w:rsidR="00AF4D50" w:rsidRDefault="00AF4D50" w:rsidP="006E08B3"/>
        <w:p w14:paraId="1AD335E7" w14:textId="77777777" w:rsidR="00AF4D50" w:rsidRDefault="00AF4D50" w:rsidP="006E08B3">
          <w:pPr>
            <w:pStyle w:val="Heading3"/>
          </w:pPr>
          <w:r>
            <w:t>Confidentiality</w:t>
          </w:r>
        </w:p>
        <w:p w14:paraId="33C78C07" w14:textId="77777777" w:rsidR="00AF4D50" w:rsidRDefault="00AF4D50"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0953A95C" w14:textId="77777777" w:rsidR="00AF4D50" w:rsidRDefault="00AF4D50" w:rsidP="006E08B3"/>
        <w:p w14:paraId="6994E677" w14:textId="77777777" w:rsidR="00AF4D50" w:rsidRDefault="00AF4D50" w:rsidP="006E08B3">
          <w:r>
            <w:t>For submission made by individuals, all personal details, other than your name, will be removed from your submission before it is published on the TGA’s Internet site.</w:t>
          </w:r>
        </w:p>
        <w:p w14:paraId="105A5E57" w14:textId="77777777" w:rsidR="00AF4D50" w:rsidRDefault="00AF4D50" w:rsidP="006E08B3"/>
        <w:p w14:paraId="75E1F3CA" w14:textId="77777777" w:rsidR="00AF4D50" w:rsidRDefault="00AF4D50" w:rsidP="006E08B3">
          <w:r>
            <w:t>In addition, a list of parties making submissions will be published. If you do not wish to be identified with your submission you must specifically request this in the space provided in the submission coversheet.</w:t>
          </w:r>
        </w:p>
      </w:tc>
    </w:tr>
    <w:tr w:rsidR="00AF4D50" w14:paraId="122B9DAE" w14:textId="77777777" w:rsidTr="0010601F">
      <w:trPr>
        <w:trHeight w:val="417"/>
      </w:trPr>
      <w:tc>
        <w:tcPr>
          <w:tcW w:w="4519" w:type="dxa"/>
          <w:tcBorders>
            <w:top w:val="single" w:sz="4" w:space="0" w:color="auto"/>
          </w:tcBorders>
          <w:tcMar>
            <w:top w:w="142" w:type="dxa"/>
            <w:bottom w:w="0" w:type="dxa"/>
          </w:tcMar>
        </w:tcPr>
        <w:p w14:paraId="0DD7970F" w14:textId="77777777" w:rsidR="00AF4D50" w:rsidRDefault="00AF4D50" w:rsidP="006E08B3">
          <w:r>
            <w:t>Document title, Part #, Section # - Section title</w:t>
          </w:r>
        </w:p>
        <w:p w14:paraId="22CAD02D" w14:textId="77777777" w:rsidR="00AF4D50" w:rsidRDefault="00AF4D50" w:rsidP="006E08B3">
          <w:r>
            <w:t>V1.0 October 2010</w:t>
          </w:r>
        </w:p>
      </w:tc>
      <w:tc>
        <w:tcPr>
          <w:tcW w:w="4356" w:type="dxa"/>
          <w:tcBorders>
            <w:top w:val="single" w:sz="4" w:space="0" w:color="auto"/>
          </w:tcBorders>
          <w:tcMar>
            <w:top w:w="142" w:type="dxa"/>
            <w:bottom w:w="0" w:type="dxa"/>
          </w:tcMar>
        </w:tcPr>
        <w:p w14:paraId="59A10AE3" w14:textId="77777777" w:rsidR="00AF4D50" w:rsidRDefault="00AF4D50"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21</w:t>
            </w:r>
          </w:fldSimple>
          <w:r>
            <w:t xml:space="preserve">  </w:t>
          </w:r>
        </w:p>
      </w:tc>
    </w:tr>
  </w:tbl>
  <w:p w14:paraId="2E4CCF50" w14:textId="77777777" w:rsidR="00AF4D50" w:rsidRDefault="00AF4D5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31EF2D" w14:textId="77777777" w:rsidR="00787E9C" w:rsidRDefault="00787E9C" w:rsidP="00C40A36">
      <w:pPr>
        <w:spacing w:after="0"/>
      </w:pPr>
      <w:r>
        <w:separator/>
      </w:r>
    </w:p>
  </w:footnote>
  <w:footnote w:type="continuationSeparator" w:id="0">
    <w:p w14:paraId="5EC1234A" w14:textId="77777777" w:rsidR="00787E9C" w:rsidRDefault="00787E9C" w:rsidP="00C40A36">
      <w:pPr>
        <w:spacing w:after="0"/>
      </w:pPr>
      <w:r>
        <w:continuationSeparator/>
      </w:r>
    </w:p>
  </w:footnote>
  <w:footnote w:id="1">
    <w:p w14:paraId="61D4DABB" w14:textId="1786D0F8" w:rsidR="00AF4D50" w:rsidRPr="006E4137" w:rsidRDefault="00AF4D50">
      <w:pPr>
        <w:pStyle w:val="FootnoteText"/>
        <w:rPr>
          <w:lang w:val="en-GB"/>
        </w:rPr>
      </w:pPr>
      <w:r>
        <w:rPr>
          <w:rStyle w:val="FootnoteReference"/>
        </w:rPr>
        <w:footnoteRef/>
      </w:r>
      <w:r>
        <w:t xml:space="preserve"> </w:t>
      </w:r>
      <w:r w:rsidRPr="002267FD">
        <w:t xml:space="preserve">Rendon A, Schäkel K. Psoriasis Pathogenesis and Treatment. </w:t>
      </w:r>
      <w:r w:rsidRPr="006E4137">
        <w:rPr>
          <w:i/>
        </w:rPr>
        <w:t>International Journal of Molecular Sciences</w:t>
      </w:r>
      <w:r w:rsidRPr="002267FD">
        <w:t>. 2019; 20(6):1475.</w:t>
      </w:r>
    </w:p>
  </w:footnote>
  <w:footnote w:id="2">
    <w:p w14:paraId="45FBBF33" w14:textId="2C1B8008" w:rsidR="00AF4D50" w:rsidRPr="00CE6C53" w:rsidRDefault="00AF4D50" w:rsidP="00CE6C53">
      <w:pPr>
        <w:pStyle w:val="FootnoteText"/>
      </w:pPr>
      <w:r>
        <w:rPr>
          <w:rStyle w:val="FootnoteReference"/>
        </w:rPr>
        <w:footnoteRef/>
      </w:r>
      <w:r>
        <w:t xml:space="preserve"> Takeshita J, Grewal S, Langan S, Mehta N, Ogdie A, Van Voorhees A et al. Psoriasis and comorbid diseases: epidemiology. </w:t>
      </w:r>
      <w:r w:rsidRPr="006E4137">
        <w:rPr>
          <w:i/>
        </w:rPr>
        <w:t xml:space="preserve">J Am Acad Dermatol. </w:t>
      </w:r>
      <w:r>
        <w:t>2017; 76: 377-390.</w:t>
      </w:r>
    </w:p>
  </w:footnote>
  <w:footnote w:id="3">
    <w:p w14:paraId="5220FED6" w14:textId="405C2555" w:rsidR="00AF4D50" w:rsidRPr="00CE6C53" w:rsidRDefault="00AF4D50" w:rsidP="00CE6C53">
      <w:pPr>
        <w:pStyle w:val="FootnoteText"/>
      </w:pPr>
      <w:r>
        <w:rPr>
          <w:rStyle w:val="FootnoteReference"/>
        </w:rPr>
        <w:footnoteRef/>
      </w:r>
      <w:r>
        <w:t xml:space="preserve"> Hawkes J, Chan T, Krueger J. Psoriasis pathogenesis and the development of novel targeted immune therapies. </w:t>
      </w:r>
      <w:r w:rsidRPr="006E4137">
        <w:rPr>
          <w:i/>
        </w:rPr>
        <w:t>Journal of Allergy and Clinical Immunology</w:t>
      </w:r>
      <w:r>
        <w:t>. 2017; 140(3): 645-653.</w:t>
      </w:r>
    </w:p>
  </w:footnote>
  <w:footnote w:id="4">
    <w:p w14:paraId="4A4659FE" w14:textId="28DCFF7F" w:rsidR="00AF4D50" w:rsidRPr="006E4137" w:rsidRDefault="00AF4D50">
      <w:pPr>
        <w:pStyle w:val="FootnoteText"/>
        <w:rPr>
          <w:lang w:val="en-GB"/>
        </w:rPr>
      </w:pPr>
      <w:r>
        <w:rPr>
          <w:rStyle w:val="FootnoteReference"/>
        </w:rPr>
        <w:footnoteRef/>
      </w:r>
      <w:r>
        <w:t xml:space="preserve"> </w:t>
      </w:r>
      <w:r w:rsidRPr="00D91E62">
        <w:t xml:space="preserve">Kim J, Krueger JG. Highly effective new treatments for psoriasis target the IL-23/Type 17 T cell autoimmune axis. </w:t>
      </w:r>
      <w:r w:rsidRPr="006E4137">
        <w:rPr>
          <w:i/>
        </w:rPr>
        <w:t>Annu Rev Med</w:t>
      </w:r>
      <w:r w:rsidRPr="00D91E62">
        <w:t xml:space="preserve"> 2017; 68: 255–269.</w:t>
      </w:r>
    </w:p>
  </w:footnote>
  <w:footnote w:id="5">
    <w:p w14:paraId="7516A3B3" w14:textId="238CC197" w:rsidR="00AF4D50" w:rsidRPr="006E4137" w:rsidRDefault="00AF4D50">
      <w:pPr>
        <w:pStyle w:val="FootnoteText"/>
        <w:rPr>
          <w:lang w:val="en-GB"/>
        </w:rPr>
      </w:pPr>
      <w:r>
        <w:rPr>
          <w:rStyle w:val="FootnoteReference"/>
        </w:rPr>
        <w:footnoteRef/>
      </w:r>
      <w:r>
        <w:t xml:space="preserve"> </w:t>
      </w:r>
      <w:r w:rsidRPr="00622931">
        <w:t xml:space="preserve">Blauvelt A, Chiricozzi A. The Immunologic Role of IL-17 in Psoriasis and Psoriatic Arthritis Pathogenesis. </w:t>
      </w:r>
      <w:r w:rsidRPr="006E4137">
        <w:rPr>
          <w:i/>
        </w:rPr>
        <w:t>Clin Rev Allergy Immunol.</w:t>
      </w:r>
      <w:r w:rsidRPr="00622931">
        <w:t xml:space="preserve"> 2018;55(3):379-390.</w:t>
      </w:r>
    </w:p>
  </w:footnote>
  <w:footnote w:id="6">
    <w:p w14:paraId="1374723A" w14:textId="2EB834C7" w:rsidR="00AF4D50" w:rsidRPr="00622931" w:rsidRDefault="00AF4D50" w:rsidP="00622931">
      <w:pPr>
        <w:pStyle w:val="FootnoteText"/>
      </w:pPr>
      <w:r>
        <w:rPr>
          <w:rStyle w:val="FootnoteReference"/>
        </w:rPr>
        <w:footnoteRef/>
      </w:r>
      <w:r>
        <w:t xml:space="preserve"> Zaba L, Fuentes-Duculan J, Eungdamrong N, Abello M, et al. Psoriasis Is Characterized by Accumulation of Immunostimulatory and Th1/Th17 Cell-Polarizing Myeloid Dendritic Cells</w:t>
      </w:r>
      <w:r w:rsidRPr="006E4137">
        <w:rPr>
          <w:i/>
        </w:rPr>
        <w:t>, Journal of Investigative Dermatology</w:t>
      </w:r>
      <w:r>
        <w:t>, 2009;129(1)</w:t>
      </w:r>
    </w:p>
  </w:footnote>
  <w:footnote w:id="7">
    <w:p w14:paraId="237C3F9B" w14:textId="4C7AC3D0" w:rsidR="00AF4D50" w:rsidRPr="006E4137" w:rsidRDefault="00AF4D50">
      <w:pPr>
        <w:pStyle w:val="FootnoteText"/>
        <w:rPr>
          <w:lang w:val="en-GB"/>
        </w:rPr>
      </w:pPr>
      <w:r>
        <w:rPr>
          <w:rStyle w:val="FootnoteReference"/>
        </w:rPr>
        <w:footnoteRef/>
      </w:r>
      <w:r>
        <w:t xml:space="preserve"> </w:t>
      </w:r>
      <w:r w:rsidRPr="0056529C">
        <w:t xml:space="preserve">Capon F. The Genetic Basis of Psoriasis. </w:t>
      </w:r>
      <w:r w:rsidRPr="006E4137">
        <w:rPr>
          <w:i/>
        </w:rPr>
        <w:t>Int J Mol Sci.</w:t>
      </w:r>
      <w:r w:rsidRPr="0056529C">
        <w:t xml:space="preserve"> 2017;18(12):2526.</w:t>
      </w:r>
    </w:p>
  </w:footnote>
  <w:footnote w:id="8">
    <w:p w14:paraId="14C83A94" w14:textId="73562953" w:rsidR="00AF4D50" w:rsidRPr="006E4137" w:rsidRDefault="00AF4D50">
      <w:pPr>
        <w:pStyle w:val="FootnoteText"/>
        <w:rPr>
          <w:lang w:val="en-GB"/>
        </w:rPr>
      </w:pPr>
      <w:r>
        <w:rPr>
          <w:rStyle w:val="FootnoteReference"/>
        </w:rPr>
        <w:footnoteRef/>
      </w:r>
      <w:r>
        <w:t xml:space="preserve"> </w:t>
      </w:r>
      <w:r w:rsidRPr="0056529C">
        <w:t xml:space="preserve">Stawczyk-Macieja M, Szczerkowska-Dobosz A, Rębała K, Purzycka-Bohdan D. Genetic background of skin barrier dysfunction in the pathogenesis of psoriasis vulgaris. </w:t>
      </w:r>
      <w:r w:rsidRPr="006E4137">
        <w:rPr>
          <w:i/>
        </w:rPr>
        <w:t>Postepy Dermatol Alergol.</w:t>
      </w:r>
      <w:r w:rsidRPr="0056529C">
        <w:t xml:space="preserve"> 2015;32(2):123-126.</w:t>
      </w:r>
    </w:p>
  </w:footnote>
  <w:footnote w:id="9">
    <w:p w14:paraId="53B65470" w14:textId="666AA319" w:rsidR="00AF4D50" w:rsidRPr="006E4137" w:rsidRDefault="00AF4D50">
      <w:pPr>
        <w:pStyle w:val="FootnoteText"/>
        <w:rPr>
          <w:lang w:val="en-GB"/>
        </w:rPr>
      </w:pPr>
      <w:r>
        <w:rPr>
          <w:rStyle w:val="FootnoteReference"/>
        </w:rPr>
        <w:footnoteRef/>
      </w:r>
      <w:r>
        <w:t xml:space="preserve"> Parisi</w:t>
      </w:r>
      <w:r w:rsidRPr="005E1C60">
        <w:t xml:space="preserve"> R</w:t>
      </w:r>
      <w:r>
        <w:t xml:space="preserve">, </w:t>
      </w:r>
      <w:r w:rsidRPr="005E1C60">
        <w:t>Iskandar</w:t>
      </w:r>
      <w:r>
        <w:t xml:space="preserve"> I, </w:t>
      </w:r>
      <w:r w:rsidRPr="005E1C60">
        <w:t>Kontopantelis</w:t>
      </w:r>
      <w:r>
        <w:t xml:space="preserve"> E, A</w:t>
      </w:r>
      <w:r w:rsidRPr="005E1C60">
        <w:t>ugustin</w:t>
      </w:r>
      <w:r>
        <w:t xml:space="preserve"> M</w:t>
      </w:r>
      <w:r w:rsidRPr="005E1C60">
        <w:t xml:space="preserve">, </w:t>
      </w:r>
      <w:r>
        <w:t>Griffiths C, Ashcroft D</w:t>
      </w:r>
      <w:r w:rsidRPr="005E1C60">
        <w:t xml:space="preserve">. (2020). National, regional, and worldwide epidemiology of psoriasis: systematic analysis and modelling study on behalf of the Global Psoriasis Atlas. </w:t>
      </w:r>
      <w:r w:rsidRPr="006E4137">
        <w:rPr>
          <w:i/>
        </w:rPr>
        <w:t>British Medical Journal.</w:t>
      </w:r>
      <w:r w:rsidRPr="005E1C60">
        <w:t xml:space="preserve"> </w:t>
      </w:r>
      <w:r>
        <w:t>2020;369. 1590;(</w:t>
      </w:r>
      <w:r w:rsidRPr="005E1C60">
        <w:t>10</w:t>
      </w:r>
      <w:r>
        <w:t>)</w:t>
      </w:r>
      <w:r w:rsidRPr="005E1C60">
        <w:t>.</w:t>
      </w:r>
    </w:p>
  </w:footnote>
  <w:footnote w:id="10">
    <w:p w14:paraId="295E1A0C" w14:textId="33501DFE" w:rsidR="00AF4D50" w:rsidRPr="006E4137" w:rsidRDefault="00AF4D50">
      <w:pPr>
        <w:pStyle w:val="FootnoteText"/>
        <w:rPr>
          <w:lang w:val="en-GB"/>
        </w:rPr>
      </w:pPr>
      <w:r>
        <w:rPr>
          <w:rStyle w:val="FootnoteReference"/>
        </w:rPr>
        <w:footnoteRef/>
      </w:r>
      <w:r>
        <w:t xml:space="preserve"> </w:t>
      </w:r>
      <w:r w:rsidRPr="00237924">
        <w:t>Palfreeman AC, McNam</w:t>
      </w:r>
      <w:r>
        <w:t xml:space="preserve">ee KE, McCann FE. </w:t>
      </w:r>
      <w:r w:rsidRPr="00237924">
        <w:t>New developments in the management of psoriasis and psoriatic a</w:t>
      </w:r>
      <w:r>
        <w:t>rthritis: a focus on apremilast</w:t>
      </w:r>
      <w:r w:rsidRPr="00237924">
        <w:t xml:space="preserve">. </w:t>
      </w:r>
      <w:r w:rsidRPr="006E4137">
        <w:rPr>
          <w:i/>
        </w:rPr>
        <w:t>Drug Design, Development and Therapy.</w:t>
      </w:r>
      <w:r w:rsidRPr="00237924">
        <w:t xml:space="preserve"> 7: 201–10.</w:t>
      </w:r>
    </w:p>
  </w:footnote>
  <w:footnote w:id="11">
    <w:p w14:paraId="7D362E27" w14:textId="62EE2BCB" w:rsidR="00AF4D50" w:rsidRPr="006E4137" w:rsidRDefault="00AF4D50">
      <w:pPr>
        <w:pStyle w:val="FootnoteText"/>
        <w:rPr>
          <w:lang w:val="en-GB"/>
        </w:rPr>
      </w:pPr>
      <w:r>
        <w:rPr>
          <w:rStyle w:val="FootnoteReference"/>
        </w:rPr>
        <w:footnoteRef/>
      </w:r>
      <w:r>
        <w:t xml:space="preserve"> Boehncke WH, Schön MP. Psoriasis</w:t>
      </w:r>
      <w:r w:rsidRPr="00237924">
        <w:t xml:space="preserve">. Lancet. </w:t>
      </w:r>
      <w:r>
        <w:t>2015;</w:t>
      </w:r>
      <w:r w:rsidRPr="00237924">
        <w:t>386 (9997): 983–94.</w:t>
      </w:r>
    </w:p>
  </w:footnote>
  <w:footnote w:id="12">
    <w:p w14:paraId="1F20ED37" w14:textId="2E1E0FEC" w:rsidR="00AF4D50" w:rsidRPr="006E4137" w:rsidRDefault="00AF4D50">
      <w:pPr>
        <w:pStyle w:val="FootnoteText"/>
        <w:rPr>
          <w:lang w:val="en-GB"/>
        </w:rPr>
      </w:pPr>
      <w:r>
        <w:rPr>
          <w:rStyle w:val="FootnoteReference"/>
        </w:rPr>
        <w:footnoteRef/>
      </w:r>
      <w:r>
        <w:t xml:space="preserve"> </w:t>
      </w:r>
      <w:r>
        <w:rPr>
          <w:lang w:val="en-GB"/>
        </w:rPr>
        <w:t xml:space="preserve">Publication adapted from </w:t>
      </w:r>
      <w:r w:rsidRPr="00361341">
        <w:rPr>
          <w:lang w:val="en-GB"/>
        </w:rPr>
        <w:t xml:space="preserve">Baker C, et al. Treatment goals for moderate to severe psoriasis: An Australian consensus. </w:t>
      </w:r>
      <w:r w:rsidRPr="006E4137">
        <w:rPr>
          <w:i/>
          <w:lang w:val="en-GB"/>
        </w:rPr>
        <w:t>Australas J Dermatol</w:t>
      </w:r>
      <w:r w:rsidRPr="00361341">
        <w:rPr>
          <w:lang w:val="en-GB"/>
        </w:rPr>
        <w:t>. 2013 May;54(2):148-54</w:t>
      </w:r>
    </w:p>
  </w:footnote>
  <w:footnote w:id="13">
    <w:p w14:paraId="5545BEDC" w14:textId="32E39C76" w:rsidR="00AF4D50" w:rsidRPr="006E4137" w:rsidRDefault="00AF4D50">
      <w:pPr>
        <w:pStyle w:val="FootnoteText"/>
        <w:rPr>
          <w:lang w:val="en-GB"/>
        </w:rPr>
      </w:pPr>
      <w:r>
        <w:rPr>
          <w:rStyle w:val="FootnoteReference"/>
        </w:rPr>
        <w:footnoteRef/>
      </w:r>
      <w:r>
        <w:t xml:space="preserve"> </w:t>
      </w:r>
      <w:r>
        <w:rPr>
          <w:lang w:val="en-GB"/>
        </w:rPr>
        <w:t xml:space="preserve">Consensus statement available from the Australasian College of Dermatologists website (as at the time of AusPAR publication); available at: </w:t>
      </w:r>
      <w:hyperlink r:id="rId1" w:history="1">
        <w:r w:rsidRPr="001F73B2">
          <w:rPr>
            <w:rStyle w:val="Hyperlink"/>
            <w:lang w:val="en-GB"/>
          </w:rPr>
          <w:t>https://www.dermcoll.edu.au/wp-content/uploads/ACD-Consensus-Statement-Treatment-goals-for-psoriasis-March-2017.pdf</w:t>
        </w:r>
      </w:hyperlink>
      <w:r>
        <w:rPr>
          <w:lang w:val="en-GB"/>
        </w:rPr>
        <w:t xml:space="preserve"> </w:t>
      </w:r>
    </w:p>
  </w:footnote>
  <w:footnote w:id="14">
    <w:p w14:paraId="0670B58D" w14:textId="1C65FEE4" w:rsidR="00AF4D50" w:rsidRDefault="00AF4D50">
      <w:pPr>
        <w:pStyle w:val="FootnoteText"/>
      </w:pPr>
      <w:r>
        <w:rPr>
          <w:rStyle w:val="FootnoteReference"/>
        </w:rPr>
        <w:footnoteRef/>
      </w:r>
      <w:r>
        <w:t xml:space="preserve"> Methotrexate was first registered in Australia on 9 July 1991, ARTG number: </w:t>
      </w:r>
      <w:r w:rsidRPr="00DF27EC">
        <w:t>10777</w:t>
      </w:r>
    </w:p>
  </w:footnote>
  <w:footnote w:id="15">
    <w:p w14:paraId="72CC6AC1" w14:textId="5428AF09" w:rsidR="00AF4D50" w:rsidRDefault="00AF4D50">
      <w:pPr>
        <w:pStyle w:val="FootnoteText"/>
      </w:pPr>
      <w:r>
        <w:rPr>
          <w:rStyle w:val="FootnoteReference"/>
        </w:rPr>
        <w:footnoteRef/>
      </w:r>
      <w:r>
        <w:t xml:space="preserve"> </w:t>
      </w:r>
      <w:r w:rsidRPr="00FB4850">
        <w:t>Ciclosporin</w:t>
      </w:r>
      <w:r>
        <w:t xml:space="preserve"> was first registered in Australia on 21 August 1991. ARTG number: 13341</w:t>
      </w:r>
    </w:p>
  </w:footnote>
  <w:footnote w:id="16">
    <w:p w14:paraId="385CA9C9" w14:textId="3E8859BF" w:rsidR="00AF4D50" w:rsidRDefault="00AF4D50">
      <w:pPr>
        <w:pStyle w:val="FootnoteText"/>
      </w:pPr>
      <w:r>
        <w:rPr>
          <w:rStyle w:val="FootnoteReference"/>
        </w:rPr>
        <w:footnoteRef/>
      </w:r>
      <w:r>
        <w:t xml:space="preserve"> </w:t>
      </w:r>
      <w:r w:rsidRPr="00FB4850">
        <w:t>Hydroxycarbamide</w:t>
      </w:r>
      <w:r>
        <w:t xml:space="preserve"> was first registered in Australia on 18 January 1991. ARTG number: 47486</w:t>
      </w:r>
    </w:p>
  </w:footnote>
  <w:footnote w:id="17">
    <w:p w14:paraId="581482B4" w14:textId="056EB44F" w:rsidR="00AF4D50" w:rsidRDefault="00AF4D50">
      <w:pPr>
        <w:pStyle w:val="FootnoteText"/>
      </w:pPr>
      <w:r>
        <w:rPr>
          <w:rStyle w:val="FootnoteReference"/>
        </w:rPr>
        <w:footnoteRef/>
      </w:r>
      <w:r>
        <w:t xml:space="preserve"> </w:t>
      </w:r>
      <w:r w:rsidRPr="00FB4850">
        <w:t>Acitretin</w:t>
      </w:r>
      <w:r>
        <w:t xml:space="preserve"> was first registered in Australia on 26 May 1995. ARTG number: 52455.</w:t>
      </w:r>
    </w:p>
  </w:footnote>
  <w:footnote w:id="18">
    <w:p w14:paraId="2EB6CDD4" w14:textId="5005B146" w:rsidR="00AF4D50" w:rsidRDefault="00AF4D50">
      <w:pPr>
        <w:pStyle w:val="FootnoteText"/>
      </w:pPr>
      <w:r>
        <w:rPr>
          <w:rStyle w:val="FootnoteReference"/>
        </w:rPr>
        <w:footnoteRef/>
      </w:r>
      <w:r>
        <w:t xml:space="preserve"> </w:t>
      </w:r>
      <w:r w:rsidRPr="00FB4850">
        <w:t>Calcipotriol</w:t>
      </w:r>
      <w:r>
        <w:t xml:space="preserve"> was first registered in Australia on 26 April 1994. ARTG number: 46683.</w:t>
      </w:r>
    </w:p>
  </w:footnote>
  <w:footnote w:id="19">
    <w:p w14:paraId="1F44B7C8" w14:textId="379AFDC1" w:rsidR="00AF4D50" w:rsidRDefault="00AF4D50">
      <w:pPr>
        <w:pStyle w:val="FootnoteText"/>
      </w:pPr>
      <w:r>
        <w:rPr>
          <w:rStyle w:val="FootnoteReference"/>
        </w:rPr>
        <w:footnoteRef/>
      </w:r>
      <w:r>
        <w:t xml:space="preserve"> </w:t>
      </w:r>
      <w:r w:rsidRPr="00FB4850">
        <w:t>Apremilast</w:t>
      </w:r>
      <w:r>
        <w:t xml:space="preserve"> was first registered in Australia on 19 March 2015. ARTG number: 220423.</w:t>
      </w:r>
    </w:p>
  </w:footnote>
  <w:footnote w:id="20">
    <w:p w14:paraId="04D3513B" w14:textId="408B835D" w:rsidR="00AF4D50" w:rsidRDefault="00AF4D50">
      <w:pPr>
        <w:pStyle w:val="FootnoteText"/>
      </w:pPr>
      <w:r>
        <w:rPr>
          <w:rStyle w:val="FootnoteReference"/>
        </w:rPr>
        <w:footnoteRef/>
      </w:r>
      <w:r>
        <w:t xml:space="preserve"> </w:t>
      </w:r>
      <w:r w:rsidRPr="00FB4850">
        <w:t>Adalimumab</w:t>
      </w:r>
      <w:r>
        <w:t xml:space="preserve"> was first registered in Australia on 28 August 2012. ARTG number: 199410.</w:t>
      </w:r>
    </w:p>
  </w:footnote>
  <w:footnote w:id="21">
    <w:p w14:paraId="6F0BC959" w14:textId="2BF6D526" w:rsidR="00AF4D50" w:rsidRDefault="00AF4D50">
      <w:pPr>
        <w:pStyle w:val="FootnoteText"/>
      </w:pPr>
      <w:r>
        <w:rPr>
          <w:rStyle w:val="FootnoteReference"/>
        </w:rPr>
        <w:footnoteRef/>
      </w:r>
      <w:r>
        <w:t xml:space="preserve"> C</w:t>
      </w:r>
      <w:r w:rsidRPr="00FB4850">
        <w:t>ertolizumab</w:t>
      </w:r>
      <w:r w:rsidRPr="002D554B">
        <w:t xml:space="preserve"> </w:t>
      </w:r>
      <w:r>
        <w:t>was first registered in Australia on 20 January 2010. ARTG number: 154726.</w:t>
      </w:r>
    </w:p>
  </w:footnote>
  <w:footnote w:id="22">
    <w:p w14:paraId="5293E0B6" w14:textId="45ECB7A2" w:rsidR="00AF4D50" w:rsidRDefault="00AF4D50">
      <w:pPr>
        <w:pStyle w:val="FootnoteText"/>
      </w:pPr>
      <w:r>
        <w:rPr>
          <w:rStyle w:val="FootnoteReference"/>
        </w:rPr>
        <w:footnoteRef/>
      </w:r>
      <w:r>
        <w:t xml:space="preserve"> E</w:t>
      </w:r>
      <w:r w:rsidRPr="00FB4850">
        <w:t>tanercept</w:t>
      </w:r>
      <w:r>
        <w:t xml:space="preserve"> was first registered in Australia on 20 January 2010. ARTG number: 154726.</w:t>
      </w:r>
    </w:p>
  </w:footnote>
  <w:footnote w:id="23">
    <w:p w14:paraId="4224A586" w14:textId="18F2D7DE" w:rsidR="00AF4D50" w:rsidRDefault="00AF4D50">
      <w:pPr>
        <w:pStyle w:val="FootnoteText"/>
      </w:pPr>
      <w:r>
        <w:rPr>
          <w:rStyle w:val="FootnoteReference"/>
        </w:rPr>
        <w:footnoteRef/>
      </w:r>
      <w:r>
        <w:t xml:space="preserve"> I</w:t>
      </w:r>
      <w:r w:rsidRPr="00FB4850">
        <w:t>nfliximab</w:t>
      </w:r>
      <w:r>
        <w:t xml:space="preserve"> was first registered in Australia on 2 August 2000. ARTG number: 73827.</w:t>
      </w:r>
    </w:p>
  </w:footnote>
  <w:footnote w:id="24">
    <w:p w14:paraId="7A21ADEF" w14:textId="243808FE" w:rsidR="00AF4D50" w:rsidRDefault="00AF4D50">
      <w:pPr>
        <w:pStyle w:val="FootnoteText"/>
      </w:pPr>
      <w:r>
        <w:rPr>
          <w:rStyle w:val="FootnoteReference"/>
        </w:rPr>
        <w:footnoteRef/>
      </w:r>
      <w:r>
        <w:t xml:space="preserve"> </w:t>
      </w:r>
      <w:r w:rsidRPr="00FB4850">
        <w:t>Guselkumab</w:t>
      </w:r>
      <w:r>
        <w:t xml:space="preserve"> was first registered in Australia on 15 March 2018. ARTG number: 286020.</w:t>
      </w:r>
    </w:p>
  </w:footnote>
  <w:footnote w:id="25">
    <w:p w14:paraId="45640C65" w14:textId="54842CEA" w:rsidR="00AF4D50" w:rsidRDefault="00AF4D50">
      <w:pPr>
        <w:pStyle w:val="FootnoteText"/>
      </w:pPr>
      <w:r>
        <w:rPr>
          <w:rStyle w:val="FootnoteReference"/>
        </w:rPr>
        <w:footnoteRef/>
      </w:r>
      <w:r>
        <w:t xml:space="preserve"> T</w:t>
      </w:r>
      <w:r w:rsidRPr="00FB4850">
        <w:t>ildrakizumab</w:t>
      </w:r>
      <w:r>
        <w:t xml:space="preserve"> was first registered in Australia on 10 September 2018. ARTG number: 290683.</w:t>
      </w:r>
    </w:p>
  </w:footnote>
  <w:footnote w:id="26">
    <w:p w14:paraId="2FD5F0C4" w14:textId="1CC4A26B" w:rsidR="00AF4D50" w:rsidRDefault="00AF4D50">
      <w:pPr>
        <w:pStyle w:val="FootnoteText"/>
      </w:pPr>
      <w:r>
        <w:rPr>
          <w:rStyle w:val="FootnoteReference"/>
        </w:rPr>
        <w:footnoteRef/>
      </w:r>
      <w:r>
        <w:t xml:space="preserve"> Risankizumab was first registered in Australia on 16 July 2019. ARTG number: 304226.</w:t>
      </w:r>
    </w:p>
  </w:footnote>
  <w:footnote w:id="27">
    <w:p w14:paraId="638ED81F" w14:textId="6F65FDBE" w:rsidR="00AF4D50" w:rsidRDefault="00AF4D50">
      <w:pPr>
        <w:pStyle w:val="FootnoteText"/>
      </w:pPr>
      <w:r>
        <w:rPr>
          <w:rStyle w:val="FootnoteReference"/>
        </w:rPr>
        <w:footnoteRef/>
      </w:r>
      <w:r>
        <w:t xml:space="preserve"> </w:t>
      </w:r>
      <w:r w:rsidRPr="00FB4850">
        <w:t>Ustekinumab</w:t>
      </w:r>
      <w:r>
        <w:t xml:space="preserve"> was first registered in Australia on 28 July 2009. ARTG number: 149549.</w:t>
      </w:r>
    </w:p>
  </w:footnote>
  <w:footnote w:id="28">
    <w:p w14:paraId="6927B16F" w14:textId="5A5158B7" w:rsidR="00AF4D50" w:rsidRDefault="00AF4D50">
      <w:pPr>
        <w:pStyle w:val="FootnoteText"/>
      </w:pPr>
      <w:r>
        <w:rPr>
          <w:rStyle w:val="FootnoteReference"/>
        </w:rPr>
        <w:footnoteRef/>
      </w:r>
      <w:r>
        <w:t xml:space="preserve"> </w:t>
      </w:r>
      <w:r w:rsidRPr="00FB4850">
        <w:t>Ixekizumab</w:t>
      </w:r>
      <w:r>
        <w:t xml:space="preserve"> was first registered in Australia on 6 September 2016. ARTG number: 253892.</w:t>
      </w:r>
    </w:p>
  </w:footnote>
  <w:footnote w:id="29">
    <w:p w14:paraId="2B1D983B" w14:textId="6C79242E" w:rsidR="00AF4D50" w:rsidRDefault="00AF4D50">
      <w:pPr>
        <w:pStyle w:val="FootnoteText"/>
      </w:pPr>
      <w:r>
        <w:rPr>
          <w:rStyle w:val="FootnoteReference"/>
        </w:rPr>
        <w:footnoteRef/>
      </w:r>
      <w:r>
        <w:t xml:space="preserve"> S</w:t>
      </w:r>
      <w:r w:rsidRPr="00FB4850">
        <w:t>ecukinumab</w:t>
      </w:r>
      <w:r>
        <w:t xml:space="preserve"> was first registered in Australia on 12 January 2015. ARTG number: 218798.</w:t>
      </w:r>
    </w:p>
  </w:footnote>
  <w:footnote w:id="30">
    <w:p w14:paraId="15AE2F5C" w14:textId="25E65570" w:rsidR="00AF4D50" w:rsidRDefault="00AF4D50">
      <w:pPr>
        <w:pStyle w:val="FootnoteText"/>
      </w:pPr>
      <w:r>
        <w:rPr>
          <w:rStyle w:val="FootnoteReference"/>
        </w:rPr>
        <w:footnoteRef/>
      </w:r>
      <w:r>
        <w:t xml:space="preserve"> European Medicines (Evaluation) Agency: </w:t>
      </w:r>
      <w:r w:rsidRPr="00FA5CC4">
        <w:rPr>
          <w:lang w:val="en-US"/>
        </w:rPr>
        <w:t>CHMP/EWP/2454/02</w:t>
      </w:r>
      <w:r>
        <w:rPr>
          <w:lang w:val="en-US"/>
        </w:rPr>
        <w:t xml:space="preserve">: </w:t>
      </w:r>
      <w:r w:rsidRPr="00FA5CC4">
        <w:rPr>
          <w:lang w:val="en-US"/>
        </w:rPr>
        <w:t>Guideline on Clinical Investigation of Medicinal Products Indicated for the Treatment of Psoriasis</w:t>
      </w:r>
      <w:r>
        <w:rPr>
          <w:lang w:val="en-US"/>
        </w:rPr>
        <w:t>.</w:t>
      </w:r>
    </w:p>
  </w:footnote>
  <w:footnote w:id="31">
    <w:p w14:paraId="5A612944" w14:textId="36094D6E" w:rsidR="00AF4D50" w:rsidRDefault="00AF4D50">
      <w:pPr>
        <w:pStyle w:val="FootnoteText"/>
      </w:pPr>
      <w:r>
        <w:rPr>
          <w:rStyle w:val="FootnoteReference"/>
        </w:rPr>
        <w:footnoteRef/>
      </w:r>
      <w:r>
        <w:t xml:space="preserve"> European Medicines Agency (EMA): </w:t>
      </w:r>
      <w:r w:rsidRPr="00A10841">
        <w:t>CHMP/ICH/731268/1998</w:t>
      </w:r>
      <w:r>
        <w:t>:</w:t>
      </w:r>
      <w:r w:rsidRPr="00A10841">
        <w:t xml:space="preserve"> ICH guideline S6 (R1)</w:t>
      </w:r>
      <w:r>
        <w:t xml:space="preserve"> </w:t>
      </w:r>
      <w:r w:rsidRPr="00A10841">
        <w:t>preclinical safety evaluation of biotechnology-derived pharmaceuticals</w:t>
      </w:r>
      <w:r>
        <w:t>.</w:t>
      </w:r>
    </w:p>
  </w:footnote>
  <w:footnote w:id="32">
    <w:p w14:paraId="0A591E27" w14:textId="013EF186" w:rsidR="00AF4D50" w:rsidRDefault="00AF4D50">
      <w:pPr>
        <w:pStyle w:val="FootnoteText"/>
      </w:pPr>
      <w:r>
        <w:rPr>
          <w:rStyle w:val="FootnoteReference"/>
        </w:rPr>
        <w:footnoteRef/>
      </w:r>
      <w:r>
        <w:t xml:space="preserve"> </w:t>
      </w:r>
      <w:r w:rsidRPr="00A10841">
        <w:t>Drugs which, owing to their pharmacological effects, have caused or may be suspected of causing, harmful effects on the human fetus or neonate without causing malformations. These effects may be reversible. Accompanying texts should be consulted for further details.</w:t>
      </w:r>
    </w:p>
  </w:footnote>
  <w:footnote w:id="33">
    <w:p w14:paraId="4808323E" w14:textId="55BE8E4C" w:rsidR="00AF4D50" w:rsidRDefault="00AF4D50">
      <w:pPr>
        <w:pStyle w:val="FootnoteText"/>
      </w:pPr>
      <w:r>
        <w:rPr>
          <w:rStyle w:val="FootnoteReference"/>
        </w:rPr>
        <w:footnoteRef/>
      </w:r>
      <w:r>
        <w:t xml:space="preserve"> PASI90 is </w:t>
      </w:r>
      <w:r w:rsidRPr="00575E89">
        <w:t>an improvement of 90% or better with respect to baseline Psoriasis Area and Severity Index</w:t>
      </w:r>
      <w:r>
        <w:t>.</w:t>
      </w:r>
    </w:p>
  </w:footnote>
  <w:footnote w:id="34">
    <w:p w14:paraId="550C3046" w14:textId="2F34D698" w:rsidR="00AF4D50" w:rsidRPr="006E4137" w:rsidRDefault="00AF4D50">
      <w:pPr>
        <w:pStyle w:val="FootnoteText"/>
        <w:rPr>
          <w:lang w:val="en-GB"/>
        </w:rPr>
      </w:pPr>
      <w:r>
        <w:rPr>
          <w:rStyle w:val="FootnoteReference"/>
        </w:rPr>
        <w:footnoteRef/>
      </w:r>
      <w:r>
        <w:t xml:space="preserve"> </w:t>
      </w:r>
      <w:r w:rsidRPr="002C041E">
        <w:t xml:space="preserve">Fredriksson T, Pettersson U. Severe psoriasis--oral therapy with a new retinoid. </w:t>
      </w:r>
      <w:r w:rsidRPr="006E4137">
        <w:rPr>
          <w:i/>
        </w:rPr>
        <w:t>Dermatologica</w:t>
      </w:r>
      <w:r>
        <w:t xml:space="preserve">. </w:t>
      </w:r>
      <w:r w:rsidRPr="002C041E">
        <w:t>1978;157(4):238-244.</w:t>
      </w:r>
    </w:p>
  </w:footnote>
  <w:footnote w:id="35">
    <w:p w14:paraId="6DB96DE2" w14:textId="3AA81B3C" w:rsidR="00AF4D50" w:rsidRPr="006E4137" w:rsidRDefault="00AF4D50">
      <w:pPr>
        <w:pStyle w:val="FootnoteText"/>
        <w:rPr>
          <w:lang w:val="en-GB"/>
        </w:rPr>
      </w:pPr>
      <w:r>
        <w:rPr>
          <w:rStyle w:val="FootnoteReference"/>
        </w:rPr>
        <w:footnoteRef/>
      </w:r>
      <w:r>
        <w:t xml:space="preserve"> Feldman S, Krueger G. </w:t>
      </w:r>
      <w:r w:rsidRPr="003949E2">
        <w:t>Psoriasis assessment tools in clinical trials</w:t>
      </w:r>
      <w:r>
        <w:t xml:space="preserve">. </w:t>
      </w:r>
      <w:r w:rsidRPr="006E4137">
        <w:rPr>
          <w:i/>
        </w:rPr>
        <w:t>Annals of the Rheumatic Diseases</w:t>
      </w:r>
      <w:r w:rsidRPr="003949E2">
        <w:t xml:space="preserve"> 2005;64:ii65-ii68.</w:t>
      </w:r>
    </w:p>
  </w:footnote>
  <w:footnote w:id="36">
    <w:p w14:paraId="358FE841" w14:textId="60F62697" w:rsidR="00AF4D50" w:rsidRPr="006E4137" w:rsidRDefault="00AF4D50">
      <w:pPr>
        <w:pStyle w:val="FootnoteText"/>
        <w:rPr>
          <w:lang w:val="en-GB"/>
        </w:rPr>
      </w:pPr>
      <w:r>
        <w:rPr>
          <w:rStyle w:val="FootnoteReference"/>
        </w:rPr>
        <w:footnoteRef/>
      </w:r>
      <w:r>
        <w:t xml:space="preserve"> </w:t>
      </w:r>
      <w:r w:rsidRPr="001D4BC6">
        <w:t xml:space="preserve">Puzenat E, Bronsard V, Prey S, et al. What are the best outcome measures for assessing plaque psoriasis severity? A systematic review of the literature. </w:t>
      </w:r>
      <w:r w:rsidRPr="006E4137">
        <w:rPr>
          <w:i/>
        </w:rPr>
        <w:t>J Eur Acad Dermatol Venereol</w:t>
      </w:r>
      <w:r w:rsidRPr="001D4BC6">
        <w:t>. 2010;24 Suppl 2:10-16.</w:t>
      </w:r>
    </w:p>
  </w:footnote>
  <w:footnote w:id="37">
    <w:p w14:paraId="4160F82D" w14:textId="354EED05" w:rsidR="00AF4D50" w:rsidRPr="003949E2" w:rsidRDefault="00AF4D50" w:rsidP="00DB0EAA">
      <w:pPr>
        <w:pStyle w:val="FootnoteText"/>
      </w:pPr>
      <w:r>
        <w:rPr>
          <w:rStyle w:val="FootnoteReference"/>
        </w:rPr>
        <w:footnoteRef/>
      </w:r>
      <w:r>
        <w:t xml:space="preserve"> EMA/EMEA: </w:t>
      </w:r>
      <w:hyperlink r:id="rId2" w:history="1">
        <w:r>
          <w:rPr>
            <w:rStyle w:val="Hyperlink"/>
          </w:rPr>
          <w:t xml:space="preserve">Guideline on clinical investigation of medicinal products indicated for the treatment of psoriasis </w:t>
        </w:r>
      </w:hyperlink>
      <w:r>
        <w:t xml:space="preserve"> (CHMP/EWP/2454/02 corr). TGA-adopted (with annotations); effective date: 28 July 2005.</w:t>
      </w:r>
    </w:p>
  </w:footnote>
  <w:footnote w:id="38">
    <w:p w14:paraId="70EE480F" w14:textId="74176522" w:rsidR="00AF4D50" w:rsidRPr="006E4137" w:rsidRDefault="00AF4D50">
      <w:pPr>
        <w:pStyle w:val="FootnoteText"/>
        <w:rPr>
          <w:lang w:val="en-GB"/>
        </w:rPr>
      </w:pPr>
      <w:r>
        <w:rPr>
          <w:rStyle w:val="FootnoteReference"/>
        </w:rPr>
        <w:footnoteRef/>
      </w:r>
      <w:r>
        <w:t xml:space="preserve"> </w:t>
      </w:r>
      <w:r w:rsidRPr="00AC5D38">
        <w:t>Dr A. Oakley, PASI score, DermNet NZ: clear description with photos of the different redness, thickness and scaling levels</w:t>
      </w:r>
      <w:r>
        <w:t xml:space="preserve">. Available at: </w:t>
      </w:r>
      <w:hyperlink r:id="rId3" w:history="1">
        <w:r>
          <w:rPr>
            <w:rStyle w:val="Hyperlink"/>
          </w:rPr>
          <w:t>PASI (psoriasis area and severity index) | DermNet (dermnetnz.org)</w:t>
        </w:r>
      </w:hyperlink>
    </w:p>
  </w:footnote>
  <w:footnote w:id="39">
    <w:p w14:paraId="47DC389E" w14:textId="13910014" w:rsidR="00AF4D50" w:rsidRDefault="00AF4D50">
      <w:pPr>
        <w:pStyle w:val="FootnoteText"/>
      </w:pPr>
      <w:r>
        <w:rPr>
          <w:rStyle w:val="FootnoteReference"/>
        </w:rPr>
        <w:footnoteRef/>
      </w:r>
      <w:r>
        <w:t xml:space="preserve"> IGA 0/1 is </w:t>
      </w:r>
      <w:r w:rsidRPr="000F6E30">
        <w:rPr>
          <w:lang w:eastAsia="ja-JP"/>
        </w:rPr>
        <w:t xml:space="preserve">defined as Clear [0] or Almost Clear [1] with at least a </w:t>
      </w:r>
      <w:r>
        <w:rPr>
          <w:lang w:eastAsia="ja-JP"/>
        </w:rPr>
        <w:t xml:space="preserve">two </w:t>
      </w:r>
      <w:r w:rsidRPr="000F6E30">
        <w:rPr>
          <w:lang w:eastAsia="ja-JP"/>
        </w:rPr>
        <w:t xml:space="preserve">category </w:t>
      </w:r>
      <w:r w:rsidRPr="00D62155">
        <w:rPr>
          <w:lang w:eastAsia="ja-JP"/>
        </w:rPr>
        <w:t>improvement relative to Baseline</w:t>
      </w:r>
    </w:p>
  </w:footnote>
  <w:footnote w:id="40">
    <w:p w14:paraId="32859BDE" w14:textId="5AE1241B" w:rsidR="00AF4D50" w:rsidRPr="006E4137" w:rsidRDefault="00AF4D50">
      <w:pPr>
        <w:pStyle w:val="FootnoteText"/>
        <w:rPr>
          <w:lang w:val="en-GB"/>
        </w:rPr>
      </w:pPr>
      <w:r>
        <w:rPr>
          <w:rStyle w:val="FootnoteReference"/>
        </w:rPr>
        <w:footnoteRef/>
      </w:r>
      <w:r>
        <w:t xml:space="preserve"> </w:t>
      </w:r>
      <w:r w:rsidRPr="00C90F11">
        <w:t xml:space="preserve">Dand N, Mahil SK, Capon F, Smith CH, Simpson MA, Barker JN. Psoriasis and Genetics. </w:t>
      </w:r>
      <w:r w:rsidRPr="006E4137">
        <w:rPr>
          <w:i/>
        </w:rPr>
        <w:t xml:space="preserve">Acta Derm Venereol. </w:t>
      </w:r>
      <w:r>
        <w:t>2020;100(3):adv00030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EB242" w14:textId="77777777" w:rsidR="00AF4D50" w:rsidRDefault="00AF4D50"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DEF9C" w14:textId="1053A10C" w:rsidR="00AF4D50" w:rsidRDefault="00172397">
    <w:pPr>
      <w:rPr>
        <w:noProof/>
        <w:lang w:eastAsia="en-AU"/>
      </w:rPr>
    </w:pPr>
    <w:r w:rsidRPr="00172397">
      <w:rPr>
        <w:rFonts w:eastAsia="Calibri"/>
        <w:noProof/>
        <w:szCs w:val="20"/>
        <w:lang w:eastAsia="en-AU"/>
      </w:rPr>
      <w:drawing>
        <wp:anchor distT="0" distB="0" distL="114300" distR="114300" simplePos="0" relativeHeight="251661312" behindDoc="0" locked="0" layoutInCell="0" allowOverlap="1" wp14:anchorId="735615B5" wp14:editId="148A5D28">
          <wp:simplePos x="0" y="0"/>
          <wp:positionH relativeFrom="page">
            <wp:align>left</wp:align>
          </wp:positionH>
          <wp:positionV relativeFrom="page">
            <wp:posOffset>3240405</wp:posOffset>
          </wp:positionV>
          <wp:extent cx="7664400" cy="4323600"/>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664400" cy="43236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72397">
      <w:rPr>
        <w:rFonts w:eastAsia="Calibri"/>
        <w:noProof/>
        <w:szCs w:val="20"/>
        <w:lang w:eastAsia="en-AU"/>
      </w:rPr>
      <w:drawing>
        <wp:anchor distT="0" distB="0" distL="114300" distR="114300" simplePos="0" relativeHeight="251659264" behindDoc="0" locked="0" layoutInCell="1" allowOverlap="1" wp14:anchorId="271CA274" wp14:editId="1B2473E4">
          <wp:simplePos x="0" y="0"/>
          <wp:positionH relativeFrom="column">
            <wp:posOffset>-399415</wp:posOffset>
          </wp:positionH>
          <wp:positionV relativeFrom="paragraph">
            <wp:posOffset>-114935</wp:posOffset>
          </wp:positionV>
          <wp:extent cx="2678400" cy="62280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8400" cy="622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10495" w14:textId="77777777" w:rsidR="00AF4D50" w:rsidRDefault="00AF4D5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7F3653" w14:textId="77777777" w:rsidR="00AF4D50" w:rsidRDefault="00AF4D50">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A04EE" w14:textId="77777777" w:rsidR="00AF4D50" w:rsidRDefault="00AF4D50">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776FD" w14:textId="77777777" w:rsidR="00AF4D50" w:rsidRDefault="00AF4D5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7E094" w14:textId="77777777" w:rsidR="00AF4D50" w:rsidRDefault="00AF4D50"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EA229F" w14:textId="77777777" w:rsidR="00AF4D50" w:rsidRDefault="00AF4D50" w:rsidP="006E08B3">
    <w:r>
      <w:t>Therapeutic Goods Administration</w:t>
    </w:r>
  </w:p>
  <w:p w14:paraId="633F256C" w14:textId="77777777" w:rsidR="00AF4D50" w:rsidRDefault="00AF4D50"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CBB475B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99A274A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15:restartNumberingAfterBreak="0">
    <w:nsid w:val="29542994"/>
    <w:multiLevelType w:val="hybridMultilevel"/>
    <w:tmpl w:val="32AC46D8"/>
    <w:lvl w:ilvl="0" w:tplc="276EEEC2">
      <w:start w:val="1"/>
      <w:numFmt w:val="bullet"/>
      <w:lvlText w:val=""/>
      <w:lvlJc w:val="left"/>
      <w:pPr>
        <w:ind w:left="720" w:hanging="360"/>
      </w:pPr>
      <w:rPr>
        <w:rFonts w:ascii="Wingdings" w:hAnsi="Wingding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3"/>
  </w:num>
  <w:num w:numId="4">
    <w:abstractNumId w:val="2"/>
  </w:num>
  <w:num w:numId="5">
    <w:abstractNumId w:val="4"/>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num>
  <w:num w:numId="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30691"/>
    <w:rsid w:val="00002031"/>
    <w:rsid w:val="00004734"/>
    <w:rsid w:val="00006B22"/>
    <w:rsid w:val="00006FAB"/>
    <w:rsid w:val="00007A3E"/>
    <w:rsid w:val="0001276A"/>
    <w:rsid w:val="000246AE"/>
    <w:rsid w:val="000253D0"/>
    <w:rsid w:val="00025C67"/>
    <w:rsid w:val="000277A6"/>
    <w:rsid w:val="00031D82"/>
    <w:rsid w:val="0003207C"/>
    <w:rsid w:val="00032FEF"/>
    <w:rsid w:val="00035933"/>
    <w:rsid w:val="00044772"/>
    <w:rsid w:val="0004541C"/>
    <w:rsid w:val="00052D14"/>
    <w:rsid w:val="00053FE8"/>
    <w:rsid w:val="0005450B"/>
    <w:rsid w:val="0005559E"/>
    <w:rsid w:val="00055924"/>
    <w:rsid w:val="000604D6"/>
    <w:rsid w:val="0006085F"/>
    <w:rsid w:val="0006309E"/>
    <w:rsid w:val="000709C7"/>
    <w:rsid w:val="000734D8"/>
    <w:rsid w:val="00077775"/>
    <w:rsid w:val="0009038A"/>
    <w:rsid w:val="00090471"/>
    <w:rsid w:val="00090A6E"/>
    <w:rsid w:val="000946F2"/>
    <w:rsid w:val="00096AA7"/>
    <w:rsid w:val="000A2614"/>
    <w:rsid w:val="000A3AED"/>
    <w:rsid w:val="000A42AE"/>
    <w:rsid w:val="000B3532"/>
    <w:rsid w:val="000B3A75"/>
    <w:rsid w:val="000B730C"/>
    <w:rsid w:val="000C00C2"/>
    <w:rsid w:val="000C50A5"/>
    <w:rsid w:val="000C690F"/>
    <w:rsid w:val="000D1295"/>
    <w:rsid w:val="000D391B"/>
    <w:rsid w:val="000D3D6D"/>
    <w:rsid w:val="000D4FC7"/>
    <w:rsid w:val="000E6196"/>
    <w:rsid w:val="000E7FB7"/>
    <w:rsid w:val="000F4869"/>
    <w:rsid w:val="000F5B42"/>
    <w:rsid w:val="000F6E6F"/>
    <w:rsid w:val="000F7269"/>
    <w:rsid w:val="000F7D20"/>
    <w:rsid w:val="0010601F"/>
    <w:rsid w:val="0010788A"/>
    <w:rsid w:val="00107A31"/>
    <w:rsid w:val="00107A8B"/>
    <w:rsid w:val="00110EA5"/>
    <w:rsid w:val="00112F56"/>
    <w:rsid w:val="00117C1F"/>
    <w:rsid w:val="00121615"/>
    <w:rsid w:val="00122C2E"/>
    <w:rsid w:val="00124ACD"/>
    <w:rsid w:val="00125299"/>
    <w:rsid w:val="00125318"/>
    <w:rsid w:val="001305A2"/>
    <w:rsid w:val="00133238"/>
    <w:rsid w:val="00133A1B"/>
    <w:rsid w:val="00136839"/>
    <w:rsid w:val="0014197B"/>
    <w:rsid w:val="001447CD"/>
    <w:rsid w:val="001516B1"/>
    <w:rsid w:val="00154EBB"/>
    <w:rsid w:val="00156316"/>
    <w:rsid w:val="00161181"/>
    <w:rsid w:val="00161D56"/>
    <w:rsid w:val="00162D14"/>
    <w:rsid w:val="00163780"/>
    <w:rsid w:val="00165389"/>
    <w:rsid w:val="00170923"/>
    <w:rsid w:val="00172397"/>
    <w:rsid w:val="001729FD"/>
    <w:rsid w:val="00173481"/>
    <w:rsid w:val="0017693F"/>
    <w:rsid w:val="0018110E"/>
    <w:rsid w:val="00181684"/>
    <w:rsid w:val="001843C6"/>
    <w:rsid w:val="001850E0"/>
    <w:rsid w:val="00185407"/>
    <w:rsid w:val="001A03AF"/>
    <w:rsid w:val="001A2158"/>
    <w:rsid w:val="001A2D89"/>
    <w:rsid w:val="001A525F"/>
    <w:rsid w:val="001A5A00"/>
    <w:rsid w:val="001A66B8"/>
    <w:rsid w:val="001B09F9"/>
    <w:rsid w:val="001B1DA4"/>
    <w:rsid w:val="001B5C90"/>
    <w:rsid w:val="001B6448"/>
    <w:rsid w:val="001C32CD"/>
    <w:rsid w:val="001C38F5"/>
    <w:rsid w:val="001C3FED"/>
    <w:rsid w:val="001D0D58"/>
    <w:rsid w:val="001D2984"/>
    <w:rsid w:val="001D2CFA"/>
    <w:rsid w:val="001D4BC6"/>
    <w:rsid w:val="001D60F6"/>
    <w:rsid w:val="001E07CF"/>
    <w:rsid w:val="001E1900"/>
    <w:rsid w:val="001E2AC4"/>
    <w:rsid w:val="001E359E"/>
    <w:rsid w:val="001E59F1"/>
    <w:rsid w:val="001F2CEE"/>
    <w:rsid w:val="001F49EB"/>
    <w:rsid w:val="001F6CBA"/>
    <w:rsid w:val="002003DD"/>
    <w:rsid w:val="00201D4E"/>
    <w:rsid w:val="0020426F"/>
    <w:rsid w:val="00207047"/>
    <w:rsid w:val="002072C9"/>
    <w:rsid w:val="002076C9"/>
    <w:rsid w:val="00213021"/>
    <w:rsid w:val="00220B8A"/>
    <w:rsid w:val="002257F3"/>
    <w:rsid w:val="002267FD"/>
    <w:rsid w:val="00227392"/>
    <w:rsid w:val="002314EA"/>
    <w:rsid w:val="00233456"/>
    <w:rsid w:val="002339A5"/>
    <w:rsid w:val="00233F76"/>
    <w:rsid w:val="00237924"/>
    <w:rsid w:val="00250271"/>
    <w:rsid w:val="00250F35"/>
    <w:rsid w:val="002556AE"/>
    <w:rsid w:val="00257848"/>
    <w:rsid w:val="002578E8"/>
    <w:rsid w:val="00263076"/>
    <w:rsid w:val="00265BF9"/>
    <w:rsid w:val="0027084A"/>
    <w:rsid w:val="00271E85"/>
    <w:rsid w:val="00272FF9"/>
    <w:rsid w:val="00280265"/>
    <w:rsid w:val="00280740"/>
    <w:rsid w:val="00286434"/>
    <w:rsid w:val="00286C59"/>
    <w:rsid w:val="00291957"/>
    <w:rsid w:val="00293F2F"/>
    <w:rsid w:val="002942D1"/>
    <w:rsid w:val="0029474A"/>
    <w:rsid w:val="0029501A"/>
    <w:rsid w:val="002A3721"/>
    <w:rsid w:val="002A5963"/>
    <w:rsid w:val="002B1638"/>
    <w:rsid w:val="002B3624"/>
    <w:rsid w:val="002B7493"/>
    <w:rsid w:val="002C041E"/>
    <w:rsid w:val="002C3647"/>
    <w:rsid w:val="002D0952"/>
    <w:rsid w:val="002D554B"/>
    <w:rsid w:val="002E40B3"/>
    <w:rsid w:val="002E4C9A"/>
    <w:rsid w:val="002E7010"/>
    <w:rsid w:val="002E7BEE"/>
    <w:rsid w:val="002F02E1"/>
    <w:rsid w:val="002F11F8"/>
    <w:rsid w:val="002F3F56"/>
    <w:rsid w:val="002F44B5"/>
    <w:rsid w:val="002F5122"/>
    <w:rsid w:val="00305A86"/>
    <w:rsid w:val="003066FB"/>
    <w:rsid w:val="00310981"/>
    <w:rsid w:val="00311AC0"/>
    <w:rsid w:val="003151B9"/>
    <w:rsid w:val="00315CE7"/>
    <w:rsid w:val="003176FC"/>
    <w:rsid w:val="00320664"/>
    <w:rsid w:val="00322C46"/>
    <w:rsid w:val="00324E45"/>
    <w:rsid w:val="0032583B"/>
    <w:rsid w:val="00327883"/>
    <w:rsid w:val="00332039"/>
    <w:rsid w:val="00332715"/>
    <w:rsid w:val="003347D3"/>
    <w:rsid w:val="003352E3"/>
    <w:rsid w:val="00335504"/>
    <w:rsid w:val="00340C18"/>
    <w:rsid w:val="003442FD"/>
    <w:rsid w:val="00347824"/>
    <w:rsid w:val="00350567"/>
    <w:rsid w:val="003521E8"/>
    <w:rsid w:val="00361341"/>
    <w:rsid w:val="00361537"/>
    <w:rsid w:val="00367CEE"/>
    <w:rsid w:val="00370CE3"/>
    <w:rsid w:val="00371A09"/>
    <w:rsid w:val="003728F3"/>
    <w:rsid w:val="003735BC"/>
    <w:rsid w:val="00374270"/>
    <w:rsid w:val="0037496E"/>
    <w:rsid w:val="00383221"/>
    <w:rsid w:val="00386150"/>
    <w:rsid w:val="00386A4E"/>
    <w:rsid w:val="003874CE"/>
    <w:rsid w:val="00390900"/>
    <w:rsid w:val="003949E2"/>
    <w:rsid w:val="00394D22"/>
    <w:rsid w:val="00397EF9"/>
    <w:rsid w:val="003A55D7"/>
    <w:rsid w:val="003A7F6C"/>
    <w:rsid w:val="003B3A29"/>
    <w:rsid w:val="003B4D60"/>
    <w:rsid w:val="003B7E39"/>
    <w:rsid w:val="003C58DC"/>
    <w:rsid w:val="003C757A"/>
    <w:rsid w:val="003D1E62"/>
    <w:rsid w:val="003E0B99"/>
    <w:rsid w:val="003E2486"/>
    <w:rsid w:val="003E3208"/>
    <w:rsid w:val="003F0B04"/>
    <w:rsid w:val="003F1DAD"/>
    <w:rsid w:val="003F210A"/>
    <w:rsid w:val="0040134E"/>
    <w:rsid w:val="00411D90"/>
    <w:rsid w:val="004133DA"/>
    <w:rsid w:val="00415C90"/>
    <w:rsid w:val="00422557"/>
    <w:rsid w:val="00426699"/>
    <w:rsid w:val="004334C7"/>
    <w:rsid w:val="004377F2"/>
    <w:rsid w:val="00440166"/>
    <w:rsid w:val="00440A2D"/>
    <w:rsid w:val="00441C3F"/>
    <w:rsid w:val="00444D1A"/>
    <w:rsid w:val="0045186A"/>
    <w:rsid w:val="00454BDC"/>
    <w:rsid w:val="004564A7"/>
    <w:rsid w:val="00456765"/>
    <w:rsid w:val="00460036"/>
    <w:rsid w:val="004617BF"/>
    <w:rsid w:val="00463658"/>
    <w:rsid w:val="004637A0"/>
    <w:rsid w:val="004722CC"/>
    <w:rsid w:val="00477EEA"/>
    <w:rsid w:val="00482102"/>
    <w:rsid w:val="00482EFB"/>
    <w:rsid w:val="00485284"/>
    <w:rsid w:val="004858E7"/>
    <w:rsid w:val="00490483"/>
    <w:rsid w:val="004936E4"/>
    <w:rsid w:val="00494E60"/>
    <w:rsid w:val="00497487"/>
    <w:rsid w:val="004A2771"/>
    <w:rsid w:val="004A6189"/>
    <w:rsid w:val="004A7390"/>
    <w:rsid w:val="004B1B8B"/>
    <w:rsid w:val="004B7B76"/>
    <w:rsid w:val="004C239D"/>
    <w:rsid w:val="004C2B1B"/>
    <w:rsid w:val="004C2DCA"/>
    <w:rsid w:val="004C4FBE"/>
    <w:rsid w:val="004C61D2"/>
    <w:rsid w:val="004E29EF"/>
    <w:rsid w:val="004F0C4A"/>
    <w:rsid w:val="004F0F38"/>
    <w:rsid w:val="004F47D6"/>
    <w:rsid w:val="004F775A"/>
    <w:rsid w:val="00500337"/>
    <w:rsid w:val="00501921"/>
    <w:rsid w:val="00505417"/>
    <w:rsid w:val="0052149B"/>
    <w:rsid w:val="00523A21"/>
    <w:rsid w:val="00530354"/>
    <w:rsid w:val="00536159"/>
    <w:rsid w:val="0053625B"/>
    <w:rsid w:val="00542ED6"/>
    <w:rsid w:val="005434C6"/>
    <w:rsid w:val="00543B39"/>
    <w:rsid w:val="00544B9F"/>
    <w:rsid w:val="00545CDB"/>
    <w:rsid w:val="00546154"/>
    <w:rsid w:val="0055007D"/>
    <w:rsid w:val="00550096"/>
    <w:rsid w:val="00551EFF"/>
    <w:rsid w:val="00555280"/>
    <w:rsid w:val="00557742"/>
    <w:rsid w:val="00557FF9"/>
    <w:rsid w:val="00562327"/>
    <w:rsid w:val="0056429B"/>
    <w:rsid w:val="0056529C"/>
    <w:rsid w:val="00570012"/>
    <w:rsid w:val="0057015C"/>
    <w:rsid w:val="005711D5"/>
    <w:rsid w:val="00575E89"/>
    <w:rsid w:val="00576378"/>
    <w:rsid w:val="00577130"/>
    <w:rsid w:val="00577945"/>
    <w:rsid w:val="00577E38"/>
    <w:rsid w:val="0058032A"/>
    <w:rsid w:val="00585322"/>
    <w:rsid w:val="005857C6"/>
    <w:rsid w:val="00592F6E"/>
    <w:rsid w:val="00593AD1"/>
    <w:rsid w:val="00593EA8"/>
    <w:rsid w:val="005960C5"/>
    <w:rsid w:val="005A68B6"/>
    <w:rsid w:val="005A79F5"/>
    <w:rsid w:val="005B3BF0"/>
    <w:rsid w:val="005B5CA7"/>
    <w:rsid w:val="005C1847"/>
    <w:rsid w:val="005C494B"/>
    <w:rsid w:val="005C50C5"/>
    <w:rsid w:val="005C5570"/>
    <w:rsid w:val="005C5B66"/>
    <w:rsid w:val="005C79A4"/>
    <w:rsid w:val="005D3F5B"/>
    <w:rsid w:val="005D5442"/>
    <w:rsid w:val="005D7628"/>
    <w:rsid w:val="005E1C60"/>
    <w:rsid w:val="005F1657"/>
    <w:rsid w:val="005F3D7F"/>
    <w:rsid w:val="00600EA7"/>
    <w:rsid w:val="00603F32"/>
    <w:rsid w:val="00605AD4"/>
    <w:rsid w:val="00606213"/>
    <w:rsid w:val="006136D7"/>
    <w:rsid w:val="0062084B"/>
    <w:rsid w:val="00622931"/>
    <w:rsid w:val="00625A6E"/>
    <w:rsid w:val="00630691"/>
    <w:rsid w:val="00632398"/>
    <w:rsid w:val="00634110"/>
    <w:rsid w:val="00640FC3"/>
    <w:rsid w:val="00642020"/>
    <w:rsid w:val="0064278B"/>
    <w:rsid w:val="006430EE"/>
    <w:rsid w:val="00643CE5"/>
    <w:rsid w:val="00651FED"/>
    <w:rsid w:val="0065337B"/>
    <w:rsid w:val="0065419D"/>
    <w:rsid w:val="006603BC"/>
    <w:rsid w:val="006604D8"/>
    <w:rsid w:val="00664A5B"/>
    <w:rsid w:val="0066735C"/>
    <w:rsid w:val="00671B69"/>
    <w:rsid w:val="00673EF8"/>
    <w:rsid w:val="006763D2"/>
    <w:rsid w:val="00680C08"/>
    <w:rsid w:val="00684BAA"/>
    <w:rsid w:val="00687F90"/>
    <w:rsid w:val="006901BA"/>
    <w:rsid w:val="006916A0"/>
    <w:rsid w:val="006931B1"/>
    <w:rsid w:val="00697067"/>
    <w:rsid w:val="006A15C0"/>
    <w:rsid w:val="006A3BFD"/>
    <w:rsid w:val="006A58A8"/>
    <w:rsid w:val="006B5446"/>
    <w:rsid w:val="006B6821"/>
    <w:rsid w:val="006C3E2A"/>
    <w:rsid w:val="006C61D1"/>
    <w:rsid w:val="006C642F"/>
    <w:rsid w:val="006D03E5"/>
    <w:rsid w:val="006D2B99"/>
    <w:rsid w:val="006D4FFA"/>
    <w:rsid w:val="006D5D3E"/>
    <w:rsid w:val="006E08B3"/>
    <w:rsid w:val="006E1C55"/>
    <w:rsid w:val="006E4137"/>
    <w:rsid w:val="006E4759"/>
    <w:rsid w:val="006E7089"/>
    <w:rsid w:val="006E7D4A"/>
    <w:rsid w:val="006F17AC"/>
    <w:rsid w:val="006F24D2"/>
    <w:rsid w:val="006F25B8"/>
    <w:rsid w:val="006F572E"/>
    <w:rsid w:val="006F6291"/>
    <w:rsid w:val="007046D6"/>
    <w:rsid w:val="00705DB0"/>
    <w:rsid w:val="007112A2"/>
    <w:rsid w:val="00713EB3"/>
    <w:rsid w:val="0072292E"/>
    <w:rsid w:val="00722B57"/>
    <w:rsid w:val="00726284"/>
    <w:rsid w:val="00730F8A"/>
    <w:rsid w:val="00735A8C"/>
    <w:rsid w:val="0074163C"/>
    <w:rsid w:val="0074253D"/>
    <w:rsid w:val="0074381F"/>
    <w:rsid w:val="00744121"/>
    <w:rsid w:val="0074429B"/>
    <w:rsid w:val="007470B1"/>
    <w:rsid w:val="00757B36"/>
    <w:rsid w:val="007615BC"/>
    <w:rsid w:val="00762F05"/>
    <w:rsid w:val="00764B75"/>
    <w:rsid w:val="007652FF"/>
    <w:rsid w:val="007703EF"/>
    <w:rsid w:val="00770CAC"/>
    <w:rsid w:val="00770EF1"/>
    <w:rsid w:val="0077131A"/>
    <w:rsid w:val="00773EF7"/>
    <w:rsid w:val="00774E1D"/>
    <w:rsid w:val="0077562C"/>
    <w:rsid w:val="007765D8"/>
    <w:rsid w:val="0077675A"/>
    <w:rsid w:val="00780355"/>
    <w:rsid w:val="007819FD"/>
    <w:rsid w:val="00785717"/>
    <w:rsid w:val="00785721"/>
    <w:rsid w:val="007867D0"/>
    <w:rsid w:val="00787298"/>
    <w:rsid w:val="00787E9C"/>
    <w:rsid w:val="00793A59"/>
    <w:rsid w:val="00797E57"/>
    <w:rsid w:val="007A46F5"/>
    <w:rsid w:val="007A6505"/>
    <w:rsid w:val="007B6132"/>
    <w:rsid w:val="007B6E9F"/>
    <w:rsid w:val="007C1216"/>
    <w:rsid w:val="007C1AF7"/>
    <w:rsid w:val="007C5F25"/>
    <w:rsid w:val="007C6B9B"/>
    <w:rsid w:val="007D53B6"/>
    <w:rsid w:val="007F1555"/>
    <w:rsid w:val="007F50AC"/>
    <w:rsid w:val="00803C01"/>
    <w:rsid w:val="00804D99"/>
    <w:rsid w:val="00805D27"/>
    <w:rsid w:val="00806DCB"/>
    <w:rsid w:val="00807B99"/>
    <w:rsid w:val="008110BC"/>
    <w:rsid w:val="00815AE8"/>
    <w:rsid w:val="00821776"/>
    <w:rsid w:val="008321F5"/>
    <w:rsid w:val="00832369"/>
    <w:rsid w:val="00833ED8"/>
    <w:rsid w:val="00834660"/>
    <w:rsid w:val="00835163"/>
    <w:rsid w:val="00836637"/>
    <w:rsid w:val="00836BC2"/>
    <w:rsid w:val="00850F6B"/>
    <w:rsid w:val="0085156D"/>
    <w:rsid w:val="00852B28"/>
    <w:rsid w:val="0085641B"/>
    <w:rsid w:val="00857136"/>
    <w:rsid w:val="008572D2"/>
    <w:rsid w:val="00865B03"/>
    <w:rsid w:val="00873C9A"/>
    <w:rsid w:val="00875A6B"/>
    <w:rsid w:val="00883D0E"/>
    <w:rsid w:val="00885B11"/>
    <w:rsid w:val="00886D15"/>
    <w:rsid w:val="008879AA"/>
    <w:rsid w:val="00887DD8"/>
    <w:rsid w:val="00891BA9"/>
    <w:rsid w:val="00893D32"/>
    <w:rsid w:val="00896018"/>
    <w:rsid w:val="008960DD"/>
    <w:rsid w:val="0089635C"/>
    <w:rsid w:val="008A2B9D"/>
    <w:rsid w:val="008A3252"/>
    <w:rsid w:val="008A3D9F"/>
    <w:rsid w:val="008A5E0B"/>
    <w:rsid w:val="008A6D59"/>
    <w:rsid w:val="008B39CC"/>
    <w:rsid w:val="008B40FD"/>
    <w:rsid w:val="008B4B03"/>
    <w:rsid w:val="008B596F"/>
    <w:rsid w:val="008C159F"/>
    <w:rsid w:val="008C1623"/>
    <w:rsid w:val="008C1850"/>
    <w:rsid w:val="008C51A9"/>
    <w:rsid w:val="008D028A"/>
    <w:rsid w:val="008E7846"/>
    <w:rsid w:val="008F02E5"/>
    <w:rsid w:val="008F1CCC"/>
    <w:rsid w:val="008F2967"/>
    <w:rsid w:val="008F489C"/>
    <w:rsid w:val="008F6943"/>
    <w:rsid w:val="00902A21"/>
    <w:rsid w:val="00904D68"/>
    <w:rsid w:val="0090708C"/>
    <w:rsid w:val="009079CB"/>
    <w:rsid w:val="0091523F"/>
    <w:rsid w:val="00920330"/>
    <w:rsid w:val="009219D7"/>
    <w:rsid w:val="00922D53"/>
    <w:rsid w:val="00923A86"/>
    <w:rsid w:val="00923B70"/>
    <w:rsid w:val="00924482"/>
    <w:rsid w:val="00930237"/>
    <w:rsid w:val="00937C17"/>
    <w:rsid w:val="0094022A"/>
    <w:rsid w:val="00940A89"/>
    <w:rsid w:val="00941F77"/>
    <w:rsid w:val="009466CB"/>
    <w:rsid w:val="00946EA5"/>
    <w:rsid w:val="009556D7"/>
    <w:rsid w:val="00960520"/>
    <w:rsid w:val="00961425"/>
    <w:rsid w:val="00963C08"/>
    <w:rsid w:val="009752A5"/>
    <w:rsid w:val="00984CC2"/>
    <w:rsid w:val="0098585A"/>
    <w:rsid w:val="00991579"/>
    <w:rsid w:val="00991AA5"/>
    <w:rsid w:val="009A0BC0"/>
    <w:rsid w:val="009A4CED"/>
    <w:rsid w:val="009A690D"/>
    <w:rsid w:val="009A79C6"/>
    <w:rsid w:val="009B153D"/>
    <w:rsid w:val="009B1D12"/>
    <w:rsid w:val="009B416B"/>
    <w:rsid w:val="009C2290"/>
    <w:rsid w:val="009C4BD5"/>
    <w:rsid w:val="009D7B77"/>
    <w:rsid w:val="009E0BB0"/>
    <w:rsid w:val="009E3FBB"/>
    <w:rsid w:val="009E5A87"/>
    <w:rsid w:val="009F2673"/>
    <w:rsid w:val="009F2ADC"/>
    <w:rsid w:val="009F5C1C"/>
    <w:rsid w:val="009F7353"/>
    <w:rsid w:val="00A01DEF"/>
    <w:rsid w:val="00A04F85"/>
    <w:rsid w:val="00A05FA4"/>
    <w:rsid w:val="00A06FD1"/>
    <w:rsid w:val="00A102E4"/>
    <w:rsid w:val="00A10841"/>
    <w:rsid w:val="00A1219C"/>
    <w:rsid w:val="00A12C42"/>
    <w:rsid w:val="00A138CC"/>
    <w:rsid w:val="00A14DF7"/>
    <w:rsid w:val="00A1667C"/>
    <w:rsid w:val="00A22D57"/>
    <w:rsid w:val="00A30BAF"/>
    <w:rsid w:val="00A3246D"/>
    <w:rsid w:val="00A36FA7"/>
    <w:rsid w:val="00A405A3"/>
    <w:rsid w:val="00A44DDB"/>
    <w:rsid w:val="00A475B7"/>
    <w:rsid w:val="00A47AF7"/>
    <w:rsid w:val="00A47C3E"/>
    <w:rsid w:val="00A50226"/>
    <w:rsid w:val="00A56860"/>
    <w:rsid w:val="00A60BAD"/>
    <w:rsid w:val="00A77F87"/>
    <w:rsid w:val="00A80B5B"/>
    <w:rsid w:val="00A81B00"/>
    <w:rsid w:val="00A84E36"/>
    <w:rsid w:val="00A84F8F"/>
    <w:rsid w:val="00A944B3"/>
    <w:rsid w:val="00A964D1"/>
    <w:rsid w:val="00AA0ED0"/>
    <w:rsid w:val="00AB20A6"/>
    <w:rsid w:val="00AB7BE9"/>
    <w:rsid w:val="00AC2B40"/>
    <w:rsid w:val="00AC2BB2"/>
    <w:rsid w:val="00AC2C3C"/>
    <w:rsid w:val="00AC3F64"/>
    <w:rsid w:val="00AC512D"/>
    <w:rsid w:val="00AC5D38"/>
    <w:rsid w:val="00AD0083"/>
    <w:rsid w:val="00AD3935"/>
    <w:rsid w:val="00AD53DC"/>
    <w:rsid w:val="00AE65EB"/>
    <w:rsid w:val="00AE6640"/>
    <w:rsid w:val="00AE67A7"/>
    <w:rsid w:val="00AF1D94"/>
    <w:rsid w:val="00AF2313"/>
    <w:rsid w:val="00AF306B"/>
    <w:rsid w:val="00AF4D50"/>
    <w:rsid w:val="00AF60C5"/>
    <w:rsid w:val="00B009C6"/>
    <w:rsid w:val="00B01548"/>
    <w:rsid w:val="00B130C5"/>
    <w:rsid w:val="00B13EBD"/>
    <w:rsid w:val="00B1406F"/>
    <w:rsid w:val="00B17431"/>
    <w:rsid w:val="00B17E2D"/>
    <w:rsid w:val="00B21D29"/>
    <w:rsid w:val="00B25034"/>
    <w:rsid w:val="00B33588"/>
    <w:rsid w:val="00B33863"/>
    <w:rsid w:val="00B37D17"/>
    <w:rsid w:val="00B4175E"/>
    <w:rsid w:val="00B41C85"/>
    <w:rsid w:val="00B452CE"/>
    <w:rsid w:val="00B5126D"/>
    <w:rsid w:val="00B54079"/>
    <w:rsid w:val="00B54C25"/>
    <w:rsid w:val="00B57A0A"/>
    <w:rsid w:val="00B63EAE"/>
    <w:rsid w:val="00B65957"/>
    <w:rsid w:val="00B75D2D"/>
    <w:rsid w:val="00B76B91"/>
    <w:rsid w:val="00B77426"/>
    <w:rsid w:val="00B77EB1"/>
    <w:rsid w:val="00B811C6"/>
    <w:rsid w:val="00B855B0"/>
    <w:rsid w:val="00B86D23"/>
    <w:rsid w:val="00B87ED3"/>
    <w:rsid w:val="00B92E08"/>
    <w:rsid w:val="00BA5B14"/>
    <w:rsid w:val="00BB0B78"/>
    <w:rsid w:val="00BB2128"/>
    <w:rsid w:val="00BB75D6"/>
    <w:rsid w:val="00BC622A"/>
    <w:rsid w:val="00BE0A78"/>
    <w:rsid w:val="00BE39F8"/>
    <w:rsid w:val="00BE4AC5"/>
    <w:rsid w:val="00BE4E54"/>
    <w:rsid w:val="00BE6542"/>
    <w:rsid w:val="00BE79F0"/>
    <w:rsid w:val="00BF046D"/>
    <w:rsid w:val="00BF1190"/>
    <w:rsid w:val="00BF2C42"/>
    <w:rsid w:val="00BF3774"/>
    <w:rsid w:val="00BF53ED"/>
    <w:rsid w:val="00BF5D04"/>
    <w:rsid w:val="00BF7063"/>
    <w:rsid w:val="00BF7D10"/>
    <w:rsid w:val="00C009AA"/>
    <w:rsid w:val="00C012B0"/>
    <w:rsid w:val="00C1164D"/>
    <w:rsid w:val="00C13D35"/>
    <w:rsid w:val="00C16861"/>
    <w:rsid w:val="00C23315"/>
    <w:rsid w:val="00C2743F"/>
    <w:rsid w:val="00C304F9"/>
    <w:rsid w:val="00C34133"/>
    <w:rsid w:val="00C346AB"/>
    <w:rsid w:val="00C404A6"/>
    <w:rsid w:val="00C40A36"/>
    <w:rsid w:val="00C44419"/>
    <w:rsid w:val="00C45E7B"/>
    <w:rsid w:val="00C471B1"/>
    <w:rsid w:val="00C50A5B"/>
    <w:rsid w:val="00C525A2"/>
    <w:rsid w:val="00C52E24"/>
    <w:rsid w:val="00C564B3"/>
    <w:rsid w:val="00C6316B"/>
    <w:rsid w:val="00C634A9"/>
    <w:rsid w:val="00C64586"/>
    <w:rsid w:val="00C70A36"/>
    <w:rsid w:val="00C70D53"/>
    <w:rsid w:val="00C73D0B"/>
    <w:rsid w:val="00C74F5C"/>
    <w:rsid w:val="00C772FF"/>
    <w:rsid w:val="00C80137"/>
    <w:rsid w:val="00C801AF"/>
    <w:rsid w:val="00C80256"/>
    <w:rsid w:val="00C90F11"/>
    <w:rsid w:val="00C94CD4"/>
    <w:rsid w:val="00C9747E"/>
    <w:rsid w:val="00CB6BC0"/>
    <w:rsid w:val="00CB7CF3"/>
    <w:rsid w:val="00CC1B7C"/>
    <w:rsid w:val="00CC32C0"/>
    <w:rsid w:val="00CC5044"/>
    <w:rsid w:val="00CC727F"/>
    <w:rsid w:val="00CE6C53"/>
    <w:rsid w:val="00CF15C3"/>
    <w:rsid w:val="00CF2B6F"/>
    <w:rsid w:val="00CF2F3E"/>
    <w:rsid w:val="00CF58B6"/>
    <w:rsid w:val="00CF5DAD"/>
    <w:rsid w:val="00D002DA"/>
    <w:rsid w:val="00D0062D"/>
    <w:rsid w:val="00D017ED"/>
    <w:rsid w:val="00D040D3"/>
    <w:rsid w:val="00D0419E"/>
    <w:rsid w:val="00D04C65"/>
    <w:rsid w:val="00D06E8C"/>
    <w:rsid w:val="00D0756B"/>
    <w:rsid w:val="00D153D8"/>
    <w:rsid w:val="00D201D2"/>
    <w:rsid w:val="00D212F3"/>
    <w:rsid w:val="00D224FE"/>
    <w:rsid w:val="00D23139"/>
    <w:rsid w:val="00D23C64"/>
    <w:rsid w:val="00D24520"/>
    <w:rsid w:val="00D25E1D"/>
    <w:rsid w:val="00D32653"/>
    <w:rsid w:val="00D416A0"/>
    <w:rsid w:val="00D41BC7"/>
    <w:rsid w:val="00D425BB"/>
    <w:rsid w:val="00D453FA"/>
    <w:rsid w:val="00D56348"/>
    <w:rsid w:val="00D62155"/>
    <w:rsid w:val="00D63314"/>
    <w:rsid w:val="00D6493E"/>
    <w:rsid w:val="00D7195D"/>
    <w:rsid w:val="00D72CBA"/>
    <w:rsid w:val="00D7301E"/>
    <w:rsid w:val="00D824CA"/>
    <w:rsid w:val="00D83AE1"/>
    <w:rsid w:val="00D854AC"/>
    <w:rsid w:val="00D855D4"/>
    <w:rsid w:val="00D902C9"/>
    <w:rsid w:val="00D907D9"/>
    <w:rsid w:val="00D91E62"/>
    <w:rsid w:val="00D93466"/>
    <w:rsid w:val="00DA1124"/>
    <w:rsid w:val="00DA3255"/>
    <w:rsid w:val="00DA39D0"/>
    <w:rsid w:val="00DA64CB"/>
    <w:rsid w:val="00DA69D2"/>
    <w:rsid w:val="00DB06B8"/>
    <w:rsid w:val="00DB0EAA"/>
    <w:rsid w:val="00DB17CD"/>
    <w:rsid w:val="00DB6124"/>
    <w:rsid w:val="00DB750B"/>
    <w:rsid w:val="00DB75B7"/>
    <w:rsid w:val="00DC03E1"/>
    <w:rsid w:val="00DC0A2F"/>
    <w:rsid w:val="00DC1948"/>
    <w:rsid w:val="00DC1BBB"/>
    <w:rsid w:val="00DC6E02"/>
    <w:rsid w:val="00DD06F5"/>
    <w:rsid w:val="00DD0DC2"/>
    <w:rsid w:val="00DD28CD"/>
    <w:rsid w:val="00DD4DD2"/>
    <w:rsid w:val="00DE02AE"/>
    <w:rsid w:val="00DE39D1"/>
    <w:rsid w:val="00DF1D7F"/>
    <w:rsid w:val="00DF27EC"/>
    <w:rsid w:val="00DF4BE4"/>
    <w:rsid w:val="00DF7C6F"/>
    <w:rsid w:val="00E02382"/>
    <w:rsid w:val="00E02FB4"/>
    <w:rsid w:val="00E03707"/>
    <w:rsid w:val="00E04D0B"/>
    <w:rsid w:val="00E11C41"/>
    <w:rsid w:val="00E13D48"/>
    <w:rsid w:val="00E13FC7"/>
    <w:rsid w:val="00E20571"/>
    <w:rsid w:val="00E235F7"/>
    <w:rsid w:val="00E23659"/>
    <w:rsid w:val="00E239D4"/>
    <w:rsid w:val="00E26130"/>
    <w:rsid w:val="00E33D42"/>
    <w:rsid w:val="00E40B22"/>
    <w:rsid w:val="00E44ED1"/>
    <w:rsid w:val="00E45619"/>
    <w:rsid w:val="00E4588F"/>
    <w:rsid w:val="00E45972"/>
    <w:rsid w:val="00E46DA3"/>
    <w:rsid w:val="00E51BB1"/>
    <w:rsid w:val="00E55CB0"/>
    <w:rsid w:val="00E624A5"/>
    <w:rsid w:val="00E64BA4"/>
    <w:rsid w:val="00E64D80"/>
    <w:rsid w:val="00E67F21"/>
    <w:rsid w:val="00E7344E"/>
    <w:rsid w:val="00E75EEF"/>
    <w:rsid w:val="00E82665"/>
    <w:rsid w:val="00E85B4B"/>
    <w:rsid w:val="00E964FE"/>
    <w:rsid w:val="00EA20FE"/>
    <w:rsid w:val="00EB0798"/>
    <w:rsid w:val="00EB36D6"/>
    <w:rsid w:val="00EB3BAB"/>
    <w:rsid w:val="00EB40AD"/>
    <w:rsid w:val="00EB586E"/>
    <w:rsid w:val="00EB5FC8"/>
    <w:rsid w:val="00EC463D"/>
    <w:rsid w:val="00EC7A85"/>
    <w:rsid w:val="00EC7D51"/>
    <w:rsid w:val="00ED2922"/>
    <w:rsid w:val="00ED3CAD"/>
    <w:rsid w:val="00ED4138"/>
    <w:rsid w:val="00ED4E8B"/>
    <w:rsid w:val="00ED5A41"/>
    <w:rsid w:val="00ED5CFC"/>
    <w:rsid w:val="00EE1DE8"/>
    <w:rsid w:val="00EE27C2"/>
    <w:rsid w:val="00EF0463"/>
    <w:rsid w:val="00EF482C"/>
    <w:rsid w:val="00EF4BAD"/>
    <w:rsid w:val="00EF59DC"/>
    <w:rsid w:val="00F00AF5"/>
    <w:rsid w:val="00F033EC"/>
    <w:rsid w:val="00F04F68"/>
    <w:rsid w:val="00F05089"/>
    <w:rsid w:val="00F07139"/>
    <w:rsid w:val="00F12670"/>
    <w:rsid w:val="00F14B27"/>
    <w:rsid w:val="00F20680"/>
    <w:rsid w:val="00F2081E"/>
    <w:rsid w:val="00F230D7"/>
    <w:rsid w:val="00F23C97"/>
    <w:rsid w:val="00F25A57"/>
    <w:rsid w:val="00F3148D"/>
    <w:rsid w:val="00F31DE1"/>
    <w:rsid w:val="00F325C5"/>
    <w:rsid w:val="00F32FE0"/>
    <w:rsid w:val="00F35298"/>
    <w:rsid w:val="00F42E8D"/>
    <w:rsid w:val="00F47333"/>
    <w:rsid w:val="00F47E37"/>
    <w:rsid w:val="00F47FBA"/>
    <w:rsid w:val="00F53C07"/>
    <w:rsid w:val="00F54B65"/>
    <w:rsid w:val="00F63DBF"/>
    <w:rsid w:val="00F640B6"/>
    <w:rsid w:val="00F66DF2"/>
    <w:rsid w:val="00F74B79"/>
    <w:rsid w:val="00F80E40"/>
    <w:rsid w:val="00F848D9"/>
    <w:rsid w:val="00F87452"/>
    <w:rsid w:val="00F8770F"/>
    <w:rsid w:val="00F9274D"/>
    <w:rsid w:val="00F931CE"/>
    <w:rsid w:val="00F95260"/>
    <w:rsid w:val="00FA1650"/>
    <w:rsid w:val="00FA4BBA"/>
    <w:rsid w:val="00FA5069"/>
    <w:rsid w:val="00FA5B82"/>
    <w:rsid w:val="00FA639E"/>
    <w:rsid w:val="00FB1601"/>
    <w:rsid w:val="00FB4850"/>
    <w:rsid w:val="00FC1FCA"/>
    <w:rsid w:val="00FC25E4"/>
    <w:rsid w:val="00FC4EF7"/>
    <w:rsid w:val="00FD0824"/>
    <w:rsid w:val="00FD119B"/>
    <w:rsid w:val="00FD1EDC"/>
    <w:rsid w:val="00FE1DEE"/>
    <w:rsid w:val="00FE23C9"/>
    <w:rsid w:val="00FE31D9"/>
    <w:rsid w:val="00FE69B5"/>
    <w:rsid w:val="00FF2126"/>
    <w:rsid w:val="00FF22FF"/>
    <w:rsid w:val="00FF3058"/>
    <w:rsid w:val="00FF396C"/>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1A8FA9"/>
  <w15:docId w15:val="{637951CF-3698-4264-A32C-876AEB5DB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9079CB"/>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9556D7"/>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9556D7"/>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3"/>
      </w:numPr>
    </w:pPr>
  </w:style>
  <w:style w:type="paragraph" w:styleId="ListBullet2">
    <w:name w:val="List Bullet 2"/>
    <w:basedOn w:val="Normal"/>
    <w:uiPriority w:val="2"/>
    <w:qFormat/>
    <w:rsid w:val="004C2DCA"/>
    <w:pPr>
      <w:numPr>
        <w:ilvl w:val="1"/>
        <w:numId w:val="3"/>
      </w:numPr>
    </w:pPr>
  </w:style>
  <w:style w:type="paragraph" w:styleId="ListBullet3">
    <w:name w:val="List Bullet 3"/>
    <w:basedOn w:val="Normal"/>
    <w:uiPriority w:val="2"/>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4"/>
      </w:numPr>
    </w:pPr>
  </w:style>
  <w:style w:type="paragraph" w:customStyle="1" w:styleId="Numberbullet2">
    <w:name w:val="Number bullet 2"/>
    <w:basedOn w:val="ListBullet2"/>
    <w:uiPriority w:val="2"/>
    <w:qFormat/>
    <w:rsid w:val="004C2DCA"/>
    <w:pPr>
      <w:numPr>
        <w:numId w:val="4"/>
      </w:numPr>
    </w:pPr>
  </w:style>
  <w:style w:type="paragraph" w:customStyle="1" w:styleId="Numberbullet3">
    <w:name w:val="Number bullet 3"/>
    <w:basedOn w:val="ListBullet3"/>
    <w:uiPriority w:val="2"/>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9556D7"/>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9556D7"/>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9556D7"/>
    <w:pPr>
      <w:framePr w:hSpace="180" w:wrap="around" w:vAnchor="page" w:hAnchor="text" w:y="3316"/>
      <w:spacing w:after="480" w:line="240" w:lineRule="auto"/>
      <w:contextualSpacing/>
      <w:outlineLvl w:val="0"/>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9556D7"/>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character" w:customStyle="1" w:styleId="UnresolvedMention1">
    <w:name w:val="Unresolved Mention1"/>
    <w:basedOn w:val="DefaultParagraphFont"/>
    <w:uiPriority w:val="99"/>
    <w:semiHidden/>
    <w:unhideWhenUsed/>
    <w:rsid w:val="009F2673"/>
    <w:rPr>
      <w:color w:val="605E5C"/>
      <w:shd w:val="clear" w:color="auto" w:fill="E1DFDD"/>
    </w:rPr>
  </w:style>
  <w:style w:type="paragraph" w:styleId="ListParagraph">
    <w:name w:val="List Paragraph"/>
    <w:aliases w:val="List normal"/>
    <w:basedOn w:val="Normal"/>
    <w:link w:val="ListParagraphChar"/>
    <w:uiPriority w:val="34"/>
    <w:qFormat/>
    <w:rsid w:val="00B65957"/>
    <w:pPr>
      <w:spacing w:before="0" w:line="264" w:lineRule="auto"/>
      <w:ind w:left="720"/>
      <w:contextualSpacing/>
    </w:pPr>
    <w:rPr>
      <w:rFonts w:asciiTheme="minorHAnsi" w:eastAsiaTheme="minorEastAsia" w:hAnsiTheme="minorHAnsi" w:cstheme="minorBidi"/>
      <w:sz w:val="21"/>
      <w:szCs w:val="21"/>
    </w:rPr>
  </w:style>
  <w:style w:type="character" w:customStyle="1" w:styleId="ListParagraphChar">
    <w:name w:val="List Paragraph Char"/>
    <w:aliases w:val="List normal Char"/>
    <w:basedOn w:val="DefaultParagraphFont"/>
    <w:link w:val="ListParagraph"/>
    <w:uiPriority w:val="1"/>
    <w:rsid w:val="00B65957"/>
    <w:rPr>
      <w:rFonts w:eastAsiaTheme="minorEastAsia"/>
      <w:sz w:val="21"/>
      <w:szCs w:val="21"/>
    </w:rPr>
  </w:style>
  <w:style w:type="character" w:customStyle="1" w:styleId="TabletextChar">
    <w:name w:val="Table text Char"/>
    <w:basedOn w:val="DefaultParagraphFont"/>
    <w:link w:val="Tabletext"/>
    <w:rsid w:val="00BF7D10"/>
    <w:rPr>
      <w:rFonts w:ascii="Cambria" w:eastAsia="Cambria" w:hAnsi="Cambria" w:cs="Times New Roman"/>
      <w:sz w:val="19"/>
    </w:rPr>
  </w:style>
  <w:style w:type="paragraph" w:customStyle="1" w:styleId="Style">
    <w:name w:val="Style"/>
    <w:rsid w:val="00BF7D10"/>
    <w:pPr>
      <w:widowControl w:val="0"/>
      <w:autoSpaceDE w:val="0"/>
      <w:autoSpaceDN w:val="0"/>
      <w:adjustRightInd w:val="0"/>
      <w:spacing w:after="0" w:line="240" w:lineRule="auto"/>
    </w:pPr>
    <w:rPr>
      <w:rFonts w:ascii="Times New Roman" w:eastAsiaTheme="minorEastAsia" w:hAnsi="Times New Roman" w:cs="Times New Roman"/>
      <w:sz w:val="24"/>
      <w:szCs w:val="24"/>
      <w:lang w:val="en-US" w:eastAsia="zh-CN"/>
    </w:rPr>
  </w:style>
  <w:style w:type="paragraph" w:styleId="BodyText">
    <w:name w:val="Body Text"/>
    <w:basedOn w:val="Normal"/>
    <w:link w:val="BodyTextChar"/>
    <w:uiPriority w:val="1"/>
    <w:rsid w:val="00BA5B14"/>
    <w:pPr>
      <w:widowControl w:val="0"/>
      <w:autoSpaceDE w:val="0"/>
      <w:autoSpaceDN w:val="0"/>
      <w:spacing w:before="0" w:after="0" w:line="240" w:lineRule="auto"/>
    </w:pPr>
    <w:rPr>
      <w:rFonts w:asciiTheme="minorHAnsi" w:eastAsiaTheme="minorEastAsia" w:hAnsiTheme="minorHAnsi" w:cs="Cambria"/>
      <w:sz w:val="21"/>
      <w:szCs w:val="21"/>
      <w:lang w:eastAsia="en-AU" w:bidi="en-AU"/>
    </w:rPr>
  </w:style>
  <w:style w:type="character" w:customStyle="1" w:styleId="BodyTextChar">
    <w:name w:val="Body Text Char"/>
    <w:basedOn w:val="DefaultParagraphFont"/>
    <w:link w:val="BodyText"/>
    <w:uiPriority w:val="1"/>
    <w:rsid w:val="00BA5B14"/>
    <w:rPr>
      <w:rFonts w:eastAsiaTheme="minorEastAsia" w:cs="Cambria"/>
      <w:sz w:val="21"/>
      <w:szCs w:val="21"/>
      <w:lang w:eastAsia="en-AU" w:bidi="en-AU"/>
    </w:rPr>
  </w:style>
  <w:style w:type="paragraph" w:customStyle="1" w:styleId="Default">
    <w:name w:val="Default"/>
    <w:rsid w:val="007470B1"/>
    <w:pPr>
      <w:autoSpaceDE w:val="0"/>
      <w:autoSpaceDN w:val="0"/>
      <w:adjustRightInd w:val="0"/>
      <w:spacing w:after="0" w:line="240" w:lineRule="auto"/>
    </w:pPr>
    <w:rPr>
      <w:rFonts w:ascii="Cambria" w:hAnsi="Cambria" w:cs="Cambria"/>
      <w:color w:val="000000"/>
      <w:sz w:val="24"/>
      <w:szCs w:val="24"/>
    </w:rPr>
  </w:style>
  <w:style w:type="table" w:styleId="TableGridLight">
    <w:name w:val="Grid Table Light"/>
    <w:basedOn w:val="TableNormal"/>
    <w:uiPriority w:val="40"/>
    <w:rsid w:val="00544B9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26456">
      <w:bodyDiv w:val="1"/>
      <w:marLeft w:val="0"/>
      <w:marRight w:val="0"/>
      <w:marTop w:val="0"/>
      <w:marBottom w:val="0"/>
      <w:divBdr>
        <w:top w:val="none" w:sz="0" w:space="0" w:color="auto"/>
        <w:left w:val="none" w:sz="0" w:space="0" w:color="auto"/>
        <w:bottom w:val="none" w:sz="0" w:space="0" w:color="auto"/>
        <w:right w:val="none" w:sz="0" w:space="0" w:color="auto"/>
      </w:divBdr>
    </w:div>
    <w:div w:id="137693958">
      <w:bodyDiv w:val="1"/>
      <w:marLeft w:val="0"/>
      <w:marRight w:val="0"/>
      <w:marTop w:val="0"/>
      <w:marBottom w:val="0"/>
      <w:divBdr>
        <w:top w:val="none" w:sz="0" w:space="0" w:color="auto"/>
        <w:left w:val="none" w:sz="0" w:space="0" w:color="auto"/>
        <w:bottom w:val="none" w:sz="0" w:space="0" w:color="auto"/>
        <w:right w:val="none" w:sz="0" w:space="0" w:color="auto"/>
      </w:divBdr>
    </w:div>
    <w:div w:id="274289732">
      <w:bodyDiv w:val="1"/>
      <w:marLeft w:val="0"/>
      <w:marRight w:val="0"/>
      <w:marTop w:val="0"/>
      <w:marBottom w:val="0"/>
      <w:divBdr>
        <w:top w:val="none" w:sz="0" w:space="0" w:color="auto"/>
        <w:left w:val="none" w:sz="0" w:space="0" w:color="auto"/>
        <w:bottom w:val="none" w:sz="0" w:space="0" w:color="auto"/>
        <w:right w:val="none" w:sz="0" w:space="0" w:color="auto"/>
      </w:divBdr>
    </w:div>
    <w:div w:id="354310544">
      <w:bodyDiv w:val="1"/>
      <w:marLeft w:val="0"/>
      <w:marRight w:val="0"/>
      <w:marTop w:val="0"/>
      <w:marBottom w:val="0"/>
      <w:divBdr>
        <w:top w:val="none" w:sz="0" w:space="0" w:color="auto"/>
        <w:left w:val="none" w:sz="0" w:space="0" w:color="auto"/>
        <w:bottom w:val="none" w:sz="0" w:space="0" w:color="auto"/>
        <w:right w:val="none" w:sz="0" w:space="0" w:color="auto"/>
      </w:divBdr>
    </w:div>
    <w:div w:id="503741182">
      <w:bodyDiv w:val="1"/>
      <w:marLeft w:val="0"/>
      <w:marRight w:val="0"/>
      <w:marTop w:val="0"/>
      <w:marBottom w:val="0"/>
      <w:divBdr>
        <w:top w:val="none" w:sz="0" w:space="0" w:color="auto"/>
        <w:left w:val="none" w:sz="0" w:space="0" w:color="auto"/>
        <w:bottom w:val="none" w:sz="0" w:space="0" w:color="auto"/>
        <w:right w:val="none" w:sz="0" w:space="0" w:color="auto"/>
      </w:divBdr>
    </w:div>
    <w:div w:id="623192680">
      <w:bodyDiv w:val="1"/>
      <w:marLeft w:val="0"/>
      <w:marRight w:val="0"/>
      <w:marTop w:val="0"/>
      <w:marBottom w:val="0"/>
      <w:divBdr>
        <w:top w:val="none" w:sz="0" w:space="0" w:color="auto"/>
        <w:left w:val="none" w:sz="0" w:space="0" w:color="auto"/>
        <w:bottom w:val="none" w:sz="0" w:space="0" w:color="auto"/>
        <w:right w:val="none" w:sz="0" w:space="0" w:color="auto"/>
      </w:divBdr>
      <w:divsChild>
        <w:div w:id="461312475">
          <w:marLeft w:val="0"/>
          <w:marRight w:val="0"/>
          <w:marTop w:val="0"/>
          <w:marBottom w:val="0"/>
          <w:divBdr>
            <w:top w:val="none" w:sz="0" w:space="0" w:color="auto"/>
            <w:left w:val="none" w:sz="0" w:space="0" w:color="auto"/>
            <w:bottom w:val="none" w:sz="0" w:space="0" w:color="auto"/>
            <w:right w:val="none" w:sz="0" w:space="0" w:color="auto"/>
          </w:divBdr>
        </w:div>
        <w:div w:id="1253050379">
          <w:marLeft w:val="0"/>
          <w:marRight w:val="0"/>
          <w:marTop w:val="0"/>
          <w:marBottom w:val="0"/>
          <w:divBdr>
            <w:top w:val="none" w:sz="0" w:space="0" w:color="auto"/>
            <w:left w:val="none" w:sz="0" w:space="0" w:color="auto"/>
            <w:bottom w:val="none" w:sz="0" w:space="0" w:color="auto"/>
            <w:right w:val="none" w:sz="0" w:space="0" w:color="auto"/>
          </w:divBdr>
          <w:divsChild>
            <w:div w:id="3396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144701">
      <w:bodyDiv w:val="1"/>
      <w:marLeft w:val="0"/>
      <w:marRight w:val="0"/>
      <w:marTop w:val="0"/>
      <w:marBottom w:val="0"/>
      <w:divBdr>
        <w:top w:val="none" w:sz="0" w:space="0" w:color="auto"/>
        <w:left w:val="none" w:sz="0" w:space="0" w:color="auto"/>
        <w:bottom w:val="none" w:sz="0" w:space="0" w:color="auto"/>
        <w:right w:val="none" w:sz="0" w:space="0" w:color="auto"/>
      </w:divBdr>
    </w:div>
    <w:div w:id="704720304">
      <w:bodyDiv w:val="1"/>
      <w:marLeft w:val="0"/>
      <w:marRight w:val="0"/>
      <w:marTop w:val="0"/>
      <w:marBottom w:val="0"/>
      <w:divBdr>
        <w:top w:val="none" w:sz="0" w:space="0" w:color="auto"/>
        <w:left w:val="none" w:sz="0" w:space="0" w:color="auto"/>
        <w:bottom w:val="none" w:sz="0" w:space="0" w:color="auto"/>
        <w:right w:val="none" w:sz="0" w:space="0" w:color="auto"/>
      </w:divBdr>
    </w:div>
    <w:div w:id="860821860">
      <w:bodyDiv w:val="1"/>
      <w:marLeft w:val="0"/>
      <w:marRight w:val="0"/>
      <w:marTop w:val="0"/>
      <w:marBottom w:val="0"/>
      <w:divBdr>
        <w:top w:val="none" w:sz="0" w:space="0" w:color="auto"/>
        <w:left w:val="none" w:sz="0" w:space="0" w:color="auto"/>
        <w:bottom w:val="none" w:sz="0" w:space="0" w:color="auto"/>
        <w:right w:val="none" w:sz="0" w:space="0" w:color="auto"/>
      </w:divBdr>
      <w:divsChild>
        <w:div w:id="1960794720">
          <w:marLeft w:val="0"/>
          <w:marRight w:val="0"/>
          <w:marTop w:val="0"/>
          <w:marBottom w:val="0"/>
          <w:divBdr>
            <w:top w:val="none" w:sz="0" w:space="0" w:color="auto"/>
            <w:left w:val="none" w:sz="0" w:space="0" w:color="auto"/>
            <w:bottom w:val="none" w:sz="0" w:space="0" w:color="auto"/>
            <w:right w:val="none" w:sz="0" w:space="0" w:color="auto"/>
          </w:divBdr>
        </w:div>
      </w:divsChild>
    </w:div>
    <w:div w:id="1260599715">
      <w:bodyDiv w:val="1"/>
      <w:marLeft w:val="0"/>
      <w:marRight w:val="0"/>
      <w:marTop w:val="0"/>
      <w:marBottom w:val="0"/>
      <w:divBdr>
        <w:top w:val="none" w:sz="0" w:space="0" w:color="auto"/>
        <w:left w:val="none" w:sz="0" w:space="0" w:color="auto"/>
        <w:bottom w:val="none" w:sz="0" w:space="0" w:color="auto"/>
        <w:right w:val="none" w:sz="0" w:space="0" w:color="auto"/>
      </w:divBdr>
      <w:divsChild>
        <w:div w:id="1060009669">
          <w:marLeft w:val="0"/>
          <w:marRight w:val="0"/>
          <w:marTop w:val="0"/>
          <w:marBottom w:val="0"/>
          <w:divBdr>
            <w:top w:val="none" w:sz="0" w:space="0" w:color="auto"/>
            <w:left w:val="none" w:sz="0" w:space="0" w:color="auto"/>
            <w:bottom w:val="none" w:sz="0" w:space="0" w:color="auto"/>
            <w:right w:val="none" w:sz="0" w:space="0" w:color="auto"/>
          </w:divBdr>
        </w:div>
        <w:div w:id="301084729">
          <w:marLeft w:val="0"/>
          <w:marRight w:val="0"/>
          <w:marTop w:val="0"/>
          <w:marBottom w:val="0"/>
          <w:divBdr>
            <w:top w:val="none" w:sz="0" w:space="0" w:color="auto"/>
            <w:left w:val="none" w:sz="0" w:space="0" w:color="auto"/>
            <w:bottom w:val="none" w:sz="0" w:space="0" w:color="auto"/>
            <w:right w:val="none" w:sz="0" w:space="0" w:color="auto"/>
          </w:divBdr>
        </w:div>
        <w:div w:id="449789995">
          <w:marLeft w:val="0"/>
          <w:marRight w:val="0"/>
          <w:marTop w:val="0"/>
          <w:marBottom w:val="0"/>
          <w:divBdr>
            <w:top w:val="none" w:sz="0" w:space="0" w:color="auto"/>
            <w:left w:val="none" w:sz="0" w:space="0" w:color="auto"/>
            <w:bottom w:val="none" w:sz="0" w:space="0" w:color="auto"/>
            <w:right w:val="none" w:sz="0" w:space="0" w:color="auto"/>
          </w:divBdr>
        </w:div>
      </w:divsChild>
    </w:div>
    <w:div w:id="1732534712">
      <w:bodyDiv w:val="1"/>
      <w:marLeft w:val="0"/>
      <w:marRight w:val="0"/>
      <w:marTop w:val="0"/>
      <w:marBottom w:val="0"/>
      <w:divBdr>
        <w:top w:val="none" w:sz="0" w:space="0" w:color="auto"/>
        <w:left w:val="none" w:sz="0" w:space="0" w:color="auto"/>
        <w:bottom w:val="none" w:sz="0" w:space="0" w:color="auto"/>
        <w:right w:val="none" w:sz="0" w:space="0" w:color="auto"/>
      </w:divBdr>
    </w:div>
    <w:div w:id="1877965700">
      <w:bodyDiv w:val="1"/>
      <w:marLeft w:val="0"/>
      <w:marRight w:val="0"/>
      <w:marTop w:val="0"/>
      <w:marBottom w:val="0"/>
      <w:divBdr>
        <w:top w:val="none" w:sz="0" w:space="0" w:color="auto"/>
        <w:left w:val="none" w:sz="0" w:space="0" w:color="auto"/>
        <w:bottom w:val="none" w:sz="0" w:space="0" w:color="auto"/>
        <w:right w:val="none" w:sz="0" w:space="0" w:color="auto"/>
      </w:divBdr>
    </w:div>
    <w:div w:id="1878739786">
      <w:bodyDiv w:val="1"/>
      <w:marLeft w:val="0"/>
      <w:marRight w:val="0"/>
      <w:marTop w:val="0"/>
      <w:marBottom w:val="0"/>
      <w:divBdr>
        <w:top w:val="none" w:sz="0" w:space="0" w:color="auto"/>
        <w:left w:val="none" w:sz="0" w:space="0" w:color="auto"/>
        <w:bottom w:val="none" w:sz="0" w:space="0" w:color="auto"/>
        <w:right w:val="none" w:sz="0" w:space="0" w:color="auto"/>
      </w:divBdr>
    </w:div>
    <w:div w:id="1992588413">
      <w:bodyDiv w:val="1"/>
      <w:marLeft w:val="0"/>
      <w:marRight w:val="0"/>
      <w:marTop w:val="0"/>
      <w:marBottom w:val="0"/>
      <w:divBdr>
        <w:top w:val="none" w:sz="0" w:space="0" w:color="auto"/>
        <w:left w:val="none" w:sz="0" w:space="0" w:color="auto"/>
        <w:bottom w:val="none" w:sz="0" w:space="0" w:color="auto"/>
        <w:right w:val="none" w:sz="0" w:space="0" w:color="auto"/>
      </w:divBdr>
    </w:div>
    <w:div w:id="2059670365">
      <w:bodyDiv w:val="1"/>
      <w:marLeft w:val="0"/>
      <w:marRight w:val="0"/>
      <w:marTop w:val="0"/>
      <w:marBottom w:val="0"/>
      <w:divBdr>
        <w:top w:val="none" w:sz="0" w:space="0" w:color="auto"/>
        <w:left w:val="none" w:sz="0" w:space="0" w:color="auto"/>
        <w:bottom w:val="none" w:sz="0" w:space="0" w:color="auto"/>
        <w:right w:val="none" w:sz="0" w:space="0" w:color="auto"/>
      </w:divBdr>
    </w:div>
    <w:div w:id="2065255469">
      <w:bodyDiv w:val="1"/>
      <w:marLeft w:val="0"/>
      <w:marRight w:val="0"/>
      <w:marTop w:val="0"/>
      <w:marBottom w:val="0"/>
      <w:divBdr>
        <w:top w:val="none" w:sz="0" w:space="0" w:color="auto"/>
        <w:left w:val="none" w:sz="0" w:space="0" w:color="auto"/>
        <w:bottom w:val="none" w:sz="0" w:space="0" w:color="auto"/>
        <w:right w:val="none" w:sz="0" w:space="0" w:color="auto"/>
      </w:divBdr>
      <w:divsChild>
        <w:div w:id="280650398">
          <w:marLeft w:val="0"/>
          <w:marRight w:val="0"/>
          <w:marTop w:val="0"/>
          <w:marBottom w:val="0"/>
          <w:divBdr>
            <w:top w:val="none" w:sz="0" w:space="0" w:color="auto"/>
            <w:left w:val="none" w:sz="0" w:space="0" w:color="auto"/>
            <w:bottom w:val="none" w:sz="0" w:space="0" w:color="auto"/>
            <w:right w:val="none" w:sz="0" w:space="0" w:color="auto"/>
          </w:divBdr>
        </w:div>
        <w:div w:id="2040008001">
          <w:marLeft w:val="0"/>
          <w:marRight w:val="0"/>
          <w:marTop w:val="0"/>
          <w:marBottom w:val="0"/>
          <w:divBdr>
            <w:top w:val="none" w:sz="0" w:space="0" w:color="auto"/>
            <w:left w:val="none" w:sz="0" w:space="0" w:color="auto"/>
            <w:bottom w:val="none" w:sz="0" w:space="0" w:color="auto"/>
            <w:right w:val="none" w:sz="0" w:space="0" w:color="auto"/>
          </w:divBdr>
        </w:div>
      </w:divsChild>
    </w:div>
    <w:div w:id="2138911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tga.gov.au/picmi-search-facility" TargetMode="External"/><Relationship Id="rId26" Type="http://schemas.openxmlformats.org/officeDocument/2006/relationships/image" Target="media/image12.png"/><Relationship Id="rId39" Type="http://schemas.openxmlformats.org/officeDocument/2006/relationships/image" Target="media/image22.png"/><Relationship Id="rId21" Type="http://schemas.openxmlformats.org/officeDocument/2006/relationships/image" Target="media/image7.emf"/><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30.emf"/><Relationship Id="rId50" Type="http://schemas.openxmlformats.org/officeDocument/2006/relationships/hyperlink" Target="https://en.wikipedia.org/wiki/Innate_immune_system" TargetMode="External"/><Relationship Id="rId55" Type="http://schemas.openxmlformats.org/officeDocument/2006/relationships/header" Target="header3.xml"/><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hyperlink" Target="https://www.servicesaustralia.gov.au/pb1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emf"/><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hyperlink" Target="https://www.tga.gov.au/committee/advisory-committee-medicines-acm" TargetMode="External"/><Relationship Id="rId58" Type="http://schemas.openxmlformats.org/officeDocument/2006/relationships/footer" Target="footer2.xm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emf"/><Relationship Id="rId28" Type="http://schemas.openxmlformats.org/officeDocument/2006/relationships/hyperlink" Target="file:///C:\Users\HEYYIN\AppData\Local\Microsoft\Windows\INetCache\Content.Outlook\DOG6YE36\PASI%20calculation%20and%20body%20diagram%20-%20face,%20hand%20and%20foot%20form%20(PB114)" TargetMode="External"/><Relationship Id="rId36" Type="http://schemas.openxmlformats.org/officeDocument/2006/relationships/image" Target="media/image19.png"/><Relationship Id="rId49" Type="http://schemas.openxmlformats.org/officeDocument/2006/relationships/hyperlink" Target="https://en.wikipedia.org/wiki/Dendritic_cell" TargetMode="External"/><Relationship Id="rId57" Type="http://schemas.openxmlformats.org/officeDocument/2006/relationships/header" Target="header5.xml"/><Relationship Id="rId61" Type="http://schemas.openxmlformats.org/officeDocument/2006/relationships/header" Target="header6.xml"/><Relationship Id="rId10" Type="http://schemas.openxmlformats.org/officeDocument/2006/relationships/hyperlink" Target="mailto:tga.copyright@tga.gov.au" TargetMode="External"/><Relationship Id="rId19" Type="http://schemas.openxmlformats.org/officeDocument/2006/relationships/image" Target="media/image6.emf"/><Relationship Id="rId31" Type="http://schemas.openxmlformats.org/officeDocument/2006/relationships/image" Target="media/image15.png"/><Relationship Id="rId44" Type="http://schemas.openxmlformats.org/officeDocument/2006/relationships/image" Target="media/image27.png"/><Relationship Id="rId52" Type="http://schemas.openxmlformats.org/officeDocument/2006/relationships/image" Target="media/image31.png"/><Relationship Id="rId60" Type="http://schemas.openxmlformats.org/officeDocument/2006/relationships/hyperlink" Target="https://www.tga.gov.au" TargetMode="External"/><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s://www.tga.gov.au/australian-public-assessment-report-auspar-guidance" TargetMode="External"/><Relationship Id="rId14" Type="http://schemas.openxmlformats.org/officeDocument/2006/relationships/hyperlink" Target="https://www.tga.gov.au/black-triangle-scheme" TargetMode="Externa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4.png"/><Relationship Id="rId35" Type="http://schemas.microsoft.com/office/2007/relationships/hdphoto" Target="media/hdphoto1.wdp"/><Relationship Id="rId43" Type="http://schemas.openxmlformats.org/officeDocument/2006/relationships/image" Target="media/image26.png"/><Relationship Id="rId48" Type="http://schemas.openxmlformats.org/officeDocument/2006/relationships/hyperlink" Target="https://www.tga.gov.au/tgas-risk-management-approach" TargetMode="External"/><Relationship Id="rId56" Type="http://schemas.openxmlformats.org/officeDocument/2006/relationships/header" Target="header4.xml"/><Relationship Id="rId64" Type="http://schemas.openxmlformats.org/officeDocument/2006/relationships/header" Target="header8.xml"/><Relationship Id="rId8" Type="http://schemas.openxmlformats.org/officeDocument/2006/relationships/hyperlink" Target="https://www.tga.gov.au" TargetMode="External"/><Relationship Id="rId51" Type="http://schemas.openxmlformats.org/officeDocument/2006/relationships/hyperlink" Target="https://en.wikipedia.org/wiki/Adaptive_immune_system"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1.emf"/><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hyperlink" Target="mailto:info@tga.gov.au" TargetMode="External"/><Relationship Id="rId67" Type="http://schemas.openxmlformats.org/officeDocument/2006/relationships/theme" Target="theme/theme1.xml"/><Relationship Id="rId20" Type="http://schemas.openxmlformats.org/officeDocument/2006/relationships/hyperlink" Target="https://www.tga.gov.au/resources/resource/international-scientific-guidelines/international-scientific-guideline-guideline-clinical-investigation-medicinal-products-indicated-treatment-psoriasis" TargetMode="External"/><Relationship Id="rId41" Type="http://schemas.openxmlformats.org/officeDocument/2006/relationships/image" Target="media/image24.png"/><Relationship Id="rId54" Type="http://schemas.openxmlformats.org/officeDocument/2006/relationships/hyperlink" Target="https://www.tga.gov.au/picmi-search-facility" TargetMode="External"/><Relationship Id="rId62" Type="http://schemas.openxmlformats.org/officeDocument/2006/relationships/header" Target="header7.xml"/></Relationships>
</file>

<file path=word/_rels/footnotes.xml.rels><?xml version="1.0" encoding="UTF-8" standalone="yes"?>
<Relationships xmlns="http://schemas.openxmlformats.org/package/2006/relationships"><Relationship Id="rId3" Type="http://schemas.openxmlformats.org/officeDocument/2006/relationships/hyperlink" Target="https://dermnetnz.org/topics/pasi-score" TargetMode="External"/><Relationship Id="rId2" Type="http://schemas.openxmlformats.org/officeDocument/2006/relationships/hyperlink" Target="https://www.tga.gov.au/resources/resource/international-scientific-guidelines/international-scientific-guideline-guideline-clinical-investigation-medicinal-products-indicated-treatment-psoriasis" TargetMode="External"/><Relationship Id="rId1" Type="http://schemas.openxmlformats.org/officeDocument/2006/relationships/hyperlink" Target="https://www.dermcoll.edu.au/wp-content/uploads/ACD-Consensus-Statement-Treatment-goals-for-psoriasis-March-2017.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YYIN\AppData\Local\Hewlett-Packard\HP%20TRIM\TEMP\HPTRIM.11028\D22-5542303%20%20AusPAR%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B28494-AF86-4CD5-80B9-6105823621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D22-5542303  AusPAR template.DOTX</Template>
  <TotalTime>68</TotalTime>
  <Pages>110</Pages>
  <Words>34830</Words>
  <Characters>198535</Characters>
  <Application>Microsoft Office Word</Application>
  <DocSecurity>0</DocSecurity>
  <Lines>1654</Lines>
  <Paragraphs>465</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232900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Bimzelx</dc:title>
  <dc:subject>prescription medicine regulation</dc:subject>
  <dc:creator>Therapeutic Goods Administration</dc:creator>
  <cp:keywords/>
  <cp:lastModifiedBy>KOLARIK-O'REILLY, Kristy</cp:lastModifiedBy>
  <cp:revision>9</cp:revision>
  <cp:lastPrinted>2019-08-14T04:30:00Z</cp:lastPrinted>
  <dcterms:created xsi:type="dcterms:W3CDTF">2023-04-18T03:43:00Z</dcterms:created>
  <dcterms:modified xsi:type="dcterms:W3CDTF">2023-04-26T05:27:00Z</dcterms:modified>
  <cp:category/>
</cp:coreProperties>
</file>