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691640DC" w14:textId="77777777" w:rsidTr="00BF1190">
        <w:trPr>
          <w:trHeight w:val="1863"/>
        </w:trPr>
        <w:tc>
          <w:tcPr>
            <w:tcW w:w="3652" w:type="dxa"/>
            <w:tcBorders>
              <w:top w:val="nil"/>
              <w:left w:val="nil"/>
              <w:bottom w:val="nil"/>
              <w:right w:val="nil"/>
            </w:tcBorders>
          </w:tcPr>
          <w:p w14:paraId="11E714D1" w14:textId="310DF143" w:rsidR="008E7846" w:rsidRPr="00096AA7" w:rsidRDefault="00C6113B" w:rsidP="00F931CE">
            <w:pPr>
              <w:pStyle w:val="Date"/>
              <w:framePr w:hSpace="0" w:wrap="auto" w:vAnchor="margin" w:hAnchor="text" w:yAlign="inline"/>
              <w:suppressOverlap w:val="0"/>
            </w:pPr>
            <w:r>
              <w:t>April</w:t>
            </w:r>
            <w:r w:rsidR="00C346AB">
              <w:t xml:space="preserve"> </w:t>
            </w:r>
            <w:r w:rsidR="00F93443">
              <w:t>2023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78031235" w14:textId="77777777" w:rsidTr="0032583B">
        <w:trPr>
          <w:trHeight w:val="868"/>
        </w:trPr>
        <w:tc>
          <w:tcPr>
            <w:tcW w:w="9079" w:type="dxa"/>
          </w:tcPr>
          <w:p w14:paraId="15C314D6" w14:textId="6B606C2A" w:rsidR="0032583B" w:rsidRPr="00A964D1" w:rsidRDefault="0032583B" w:rsidP="00F931CE">
            <w:pPr>
              <w:pStyle w:val="Title"/>
              <w:framePr w:hSpace="0" w:wrap="auto" w:vAnchor="margin" w:yAlign="inline"/>
            </w:pPr>
            <w:r w:rsidRPr="00A964D1">
              <w:t>Australian Public Assessment Report for</w:t>
            </w:r>
            <w:r w:rsidR="00A32DE4">
              <w:t xml:space="preserve"> </w:t>
            </w:r>
            <w:r w:rsidR="00A32DE4" w:rsidRPr="00A32DE4">
              <w:t>S</w:t>
            </w:r>
            <w:r w:rsidR="00A32DE4">
              <w:t>cemblix</w:t>
            </w:r>
          </w:p>
        </w:tc>
      </w:tr>
      <w:tr w:rsidR="0032583B" w:rsidRPr="00B64760" w14:paraId="77CEC4DE" w14:textId="77777777" w:rsidTr="0032583B">
        <w:tc>
          <w:tcPr>
            <w:tcW w:w="9079" w:type="dxa"/>
          </w:tcPr>
          <w:p w14:paraId="28DE6B80" w14:textId="584D5227" w:rsidR="0032583B" w:rsidRPr="008E7846" w:rsidRDefault="00BB75D6" w:rsidP="00F931CE">
            <w:pPr>
              <w:pStyle w:val="Subtitle"/>
              <w:framePr w:hSpace="0" w:wrap="auto" w:vAnchor="margin" w:yAlign="inline"/>
            </w:pPr>
            <w:r>
              <w:t>Active ingredients</w:t>
            </w:r>
            <w:r w:rsidR="0032583B" w:rsidRPr="008E7846">
              <w:t>:</w:t>
            </w:r>
            <w:r w:rsidR="00717FC6">
              <w:t xml:space="preserve"> A</w:t>
            </w:r>
            <w:r w:rsidR="00717FC6" w:rsidRPr="00717FC6">
              <w:t>sciminib</w:t>
            </w:r>
          </w:p>
        </w:tc>
      </w:tr>
      <w:tr w:rsidR="0032583B" w:rsidRPr="003E53BE" w14:paraId="4E7625A0" w14:textId="77777777" w:rsidTr="0032583B">
        <w:trPr>
          <w:trHeight w:val="486"/>
        </w:trPr>
        <w:tc>
          <w:tcPr>
            <w:tcW w:w="9079" w:type="dxa"/>
          </w:tcPr>
          <w:p w14:paraId="526381C4" w14:textId="2D648165" w:rsidR="0032583B" w:rsidRPr="006B58AB" w:rsidRDefault="00460036" w:rsidP="00E334B2">
            <w:pPr>
              <w:pStyle w:val="Subtitle"/>
              <w:framePr w:hSpace="0" w:wrap="auto" w:vAnchor="margin" w:yAlign="inline"/>
              <w:ind w:left="1901" w:hanging="1728"/>
              <w:rPr>
                <w:lang w:val="es-ES"/>
              </w:rPr>
            </w:pPr>
            <w:proofErr w:type="gramStart"/>
            <w:r w:rsidRPr="006B58AB">
              <w:rPr>
                <w:lang w:val="es-ES"/>
              </w:rPr>
              <w:t>Sponsor</w:t>
            </w:r>
            <w:proofErr w:type="gramEnd"/>
            <w:r w:rsidRPr="006B58AB">
              <w:rPr>
                <w:lang w:val="es-ES"/>
              </w:rPr>
              <w:t>:</w:t>
            </w:r>
            <w:r w:rsidR="00717FC6" w:rsidRPr="006B58AB">
              <w:rPr>
                <w:lang w:val="es-ES"/>
              </w:rPr>
              <w:t xml:space="preserve"> Novartis</w:t>
            </w:r>
            <w:r w:rsidR="00E334B2">
              <w:rPr>
                <w:lang w:val="es-ES"/>
              </w:rPr>
              <w:t xml:space="preserve"> </w:t>
            </w:r>
            <w:proofErr w:type="spellStart"/>
            <w:r w:rsidR="00717FC6" w:rsidRPr="006B58AB">
              <w:rPr>
                <w:lang w:val="es-ES"/>
              </w:rPr>
              <w:t>Pharmaceuticals</w:t>
            </w:r>
            <w:proofErr w:type="spellEnd"/>
            <w:r w:rsidR="00FC7BC2">
              <w:rPr>
                <w:lang w:val="es-ES"/>
              </w:rPr>
              <w:t xml:space="preserve"> </w:t>
            </w:r>
            <w:r w:rsidR="00717FC6" w:rsidRPr="006B58AB">
              <w:rPr>
                <w:lang w:val="es-ES"/>
              </w:rPr>
              <w:t>Australia</w:t>
            </w:r>
            <w:r w:rsidR="00C6113B">
              <w:rPr>
                <w:lang w:val="es-ES"/>
              </w:rPr>
              <w:t> </w:t>
            </w:r>
            <w:proofErr w:type="spellStart"/>
            <w:r w:rsidR="00717FC6" w:rsidRPr="006B58AB">
              <w:rPr>
                <w:lang w:val="es-ES"/>
              </w:rPr>
              <w:t>Pty</w:t>
            </w:r>
            <w:proofErr w:type="spellEnd"/>
            <w:r w:rsidR="00C6113B">
              <w:rPr>
                <w:lang w:val="es-ES"/>
              </w:rPr>
              <w:t> </w:t>
            </w:r>
            <w:proofErr w:type="spellStart"/>
            <w:r w:rsidR="00717FC6" w:rsidRPr="006B58AB">
              <w:rPr>
                <w:lang w:val="es-ES"/>
              </w:rPr>
              <w:t>Ltd</w:t>
            </w:r>
            <w:proofErr w:type="spellEnd"/>
          </w:p>
        </w:tc>
      </w:tr>
    </w:tbl>
    <w:p w14:paraId="258E5AC5" w14:textId="77777777" w:rsidR="008E7846" w:rsidRPr="00326754" w:rsidRDefault="008E7846" w:rsidP="0085156D">
      <w:r w:rsidRPr="00326754">
        <w:br w:type="page"/>
      </w:r>
    </w:p>
    <w:p w14:paraId="613D03C4" w14:textId="77777777" w:rsidR="008E7846" w:rsidRPr="001F6CBA" w:rsidRDefault="008E7846" w:rsidP="008E7846">
      <w:pPr>
        <w:pStyle w:val="NonTOCHeading2"/>
      </w:pPr>
      <w:r w:rsidRPr="001F6CBA">
        <w:lastRenderedPageBreak/>
        <w:t>About the Therapeutic Goods Administration (TGA)</w:t>
      </w:r>
    </w:p>
    <w:p w14:paraId="7CC66BFD" w14:textId="4FD738F9" w:rsidR="00AF2313" w:rsidRPr="00391B0C" w:rsidRDefault="00AF2313" w:rsidP="00AF2313">
      <w:pPr>
        <w:pStyle w:val="ListBullet"/>
      </w:pPr>
      <w:r w:rsidRPr="00391B0C">
        <w:t>The Therapeutic Goods Administration (TGA) is part of the Australian Government Department of Health</w:t>
      </w:r>
      <w:r w:rsidR="007F0847">
        <w:t xml:space="preserve"> and Aged Care</w:t>
      </w:r>
      <w:r w:rsidRPr="00391B0C">
        <w:t xml:space="preserve"> and is responsible for regulating therapeutic goods, including medicines, medical devices, and biologicals.</w:t>
      </w:r>
    </w:p>
    <w:p w14:paraId="6329B76D" w14:textId="77777777" w:rsidR="00AF2313" w:rsidRPr="00391B0C" w:rsidRDefault="00AF2313" w:rsidP="00AF2313">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w:t>
      </w:r>
      <w:r w:rsidR="00CC5044" w:rsidRPr="00391B0C">
        <w:t>safety,</w:t>
      </w:r>
      <w:r w:rsidRPr="00391B0C">
        <w:t xml:space="preserve"> and efficacy.</w:t>
      </w:r>
    </w:p>
    <w:p w14:paraId="526ECDCD" w14:textId="77777777" w:rsidR="00AF2313" w:rsidRPr="003C6D1F" w:rsidRDefault="00AF2313" w:rsidP="00AF2313">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FDA1F50" w14:textId="77777777" w:rsidR="00AF2313" w:rsidRPr="003C6D1F" w:rsidRDefault="00AF2313" w:rsidP="00AF2313">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6DF04B34" w14:textId="281EFB50" w:rsidR="00AF2313" w:rsidRDefault="00AF2313" w:rsidP="00AF2313">
      <w:pPr>
        <w:pStyle w:val="ListBullet"/>
      </w:pPr>
      <w:r w:rsidRPr="003C6D1F">
        <w:t xml:space="preserve">To report a problem with a </w:t>
      </w:r>
      <w:r>
        <w:t>therapeutic good</w:t>
      </w:r>
      <w:r w:rsidRPr="003C6D1F">
        <w:t xml:space="preserve">, please see the information on the </w:t>
      </w:r>
      <w:hyperlink r:id="rId11" w:history="1">
        <w:r w:rsidRPr="000F15B4">
          <w:rPr>
            <w:rStyle w:val="Hyperlink"/>
          </w:rPr>
          <w:t>TGA website</w:t>
        </w:r>
      </w:hyperlink>
      <w:r w:rsidRPr="003C6D1F">
        <w:t>.</w:t>
      </w:r>
    </w:p>
    <w:p w14:paraId="3681EF92" w14:textId="77777777" w:rsidR="008E7846" w:rsidRDefault="008E7846" w:rsidP="00875A6B">
      <w:pPr>
        <w:pStyle w:val="NonTOCHeading2"/>
      </w:pPr>
      <w:r>
        <w:t>About AusPARs</w:t>
      </w:r>
    </w:p>
    <w:p w14:paraId="31D07A40" w14:textId="479BEC6D" w:rsidR="00AF2313" w:rsidRPr="003C6D1F" w:rsidRDefault="00AF2313" w:rsidP="00AF2313">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2" w:history="1">
        <w:r w:rsidRPr="005A2EB8">
          <w:rPr>
            <w:rStyle w:val="Hyperlink"/>
          </w:rPr>
          <w:t>Australian Public Assessment Report (AusPAR) guidance</w:t>
        </w:r>
      </w:hyperlink>
      <w:r>
        <w:t>.</w:t>
      </w:r>
    </w:p>
    <w:p w14:paraId="25EEA44C" w14:textId="77777777" w:rsidR="00AF2313" w:rsidRPr="003C6D1F" w:rsidRDefault="00AF2313" w:rsidP="00AF2313">
      <w:pPr>
        <w:pStyle w:val="ListBullet"/>
      </w:pPr>
      <w:r w:rsidRPr="003C6D1F">
        <w:t>AusPARs are prepared and published by the TGA.</w:t>
      </w:r>
    </w:p>
    <w:p w14:paraId="4F21B02E" w14:textId="77777777" w:rsidR="00AF2313" w:rsidRPr="003C6D1F" w:rsidRDefault="00AF2313" w:rsidP="00AF2313">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rsidR="008110BC">
        <w:t xml:space="preserve"> The publication of an AusPAR is an important part of the transparency of the TGA’s decision-making process.</w:t>
      </w:r>
    </w:p>
    <w:p w14:paraId="5A70B3DE" w14:textId="77777777" w:rsidR="00AF2313" w:rsidRPr="003C6D1F" w:rsidRDefault="00AF2313" w:rsidP="00AF2313">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30B13FB7" w14:textId="77777777" w:rsidR="00924482" w:rsidRPr="00DF1D7F" w:rsidRDefault="00924482" w:rsidP="00F54B65">
      <w:pPr>
        <w:pStyle w:val="LegalSubheading"/>
        <w:spacing w:before="3120"/>
      </w:pPr>
      <w:r w:rsidRPr="00DF1D7F">
        <w:t>Copyright</w:t>
      </w:r>
    </w:p>
    <w:p w14:paraId="1AE610D2" w14:textId="43C9EC90"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F93443">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r w:rsidR="00EB36D6" w:rsidRPr="00191B3B">
        <w:rPr>
          <w:rFonts w:cs="Arial"/>
          <w:lang w:val="en-GB"/>
        </w:rPr>
        <w:t>reserved,</w:t>
      </w:r>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3" w:history="1">
        <w:r w:rsidRPr="00191B3B">
          <w:rPr>
            <w:rStyle w:val="Hyperlink"/>
            <w:rFonts w:cs="Arial"/>
            <w:lang w:val="en-GB"/>
          </w:rPr>
          <w:t>tga.copyright@tga.gov.au</w:t>
        </w:r>
      </w:hyperlink>
      <w:r w:rsidRPr="00191B3B">
        <w:rPr>
          <w:rFonts w:cs="Arial"/>
        </w:rPr>
        <w:t>&gt;.</w:t>
      </w:r>
    </w:p>
    <w:p w14:paraId="07200AC1" w14:textId="77777777" w:rsidR="00924482" w:rsidRDefault="00924482" w:rsidP="00924482">
      <w:pPr>
        <w:pStyle w:val="LegalCopy"/>
        <w:sectPr w:rsidR="00924482" w:rsidSect="003D1E62">
          <w:headerReference w:type="default" r:id="rId14"/>
          <w:footerReference w:type="default" r:id="rId15"/>
          <w:headerReference w:type="first" r:id="rId16"/>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color w:val="2B579A"/>
          <w:sz w:val="22"/>
          <w:shd w:val="clear" w:color="auto" w:fill="E6E6E6"/>
        </w:rPr>
        <w:id w:val="5618007"/>
        <w:docPartObj>
          <w:docPartGallery w:val="Table of Contents"/>
          <w:docPartUnique/>
        </w:docPartObj>
      </w:sdtPr>
      <w:sdtEndPr>
        <w:rPr>
          <w:bCs w:val="0"/>
        </w:rPr>
      </w:sdtEndPr>
      <w:sdtContent>
        <w:p w14:paraId="73494602" w14:textId="77777777" w:rsidR="0089635C" w:rsidRPr="0089635C" w:rsidRDefault="0089635C" w:rsidP="0010788A">
          <w:pPr>
            <w:pStyle w:val="Contents"/>
          </w:pPr>
          <w:r w:rsidRPr="0010788A">
            <w:t>Contents</w:t>
          </w:r>
        </w:p>
        <w:p w14:paraId="3DAA843B" w14:textId="25E8D7F5" w:rsidR="00547BEA" w:rsidRDefault="00C525A2">
          <w:pPr>
            <w:pStyle w:val="TOC1"/>
            <w:rPr>
              <w:rFonts w:asciiTheme="minorHAnsi" w:eastAsiaTheme="minorEastAsia" w:hAnsiTheme="minorHAnsi" w:cstheme="minorBidi"/>
              <w:b w:val="0"/>
              <w:noProof/>
              <w:sz w:val="22"/>
              <w:lang w:eastAsia="en-AU"/>
            </w:rPr>
          </w:pPr>
          <w:r>
            <w:rPr>
              <w:color w:val="2B579A"/>
              <w:shd w:val="clear" w:color="auto" w:fill="E6E6E6"/>
            </w:rPr>
            <w:fldChar w:fldCharType="begin"/>
          </w:r>
          <w:r>
            <w:instrText xml:space="preserve"> TOC \h \z \t "Heading 2,1,Heading 3,2" </w:instrText>
          </w:r>
          <w:r>
            <w:rPr>
              <w:color w:val="2B579A"/>
              <w:shd w:val="clear" w:color="auto" w:fill="E6E6E6"/>
            </w:rPr>
            <w:fldChar w:fldCharType="separate"/>
          </w:r>
          <w:hyperlink w:anchor="_Toc131683490" w:history="1">
            <w:r w:rsidR="00547BEA" w:rsidRPr="00D63F53">
              <w:rPr>
                <w:rStyle w:val="Hyperlink"/>
                <w:noProof/>
              </w:rPr>
              <w:t>List of abbreviations</w:t>
            </w:r>
            <w:r w:rsidR="00547BEA">
              <w:rPr>
                <w:noProof/>
                <w:webHidden/>
              </w:rPr>
              <w:tab/>
            </w:r>
            <w:r w:rsidR="00547BEA">
              <w:rPr>
                <w:noProof/>
                <w:webHidden/>
              </w:rPr>
              <w:fldChar w:fldCharType="begin"/>
            </w:r>
            <w:r w:rsidR="00547BEA">
              <w:rPr>
                <w:noProof/>
                <w:webHidden/>
              </w:rPr>
              <w:instrText xml:space="preserve"> PAGEREF _Toc131683490 \h </w:instrText>
            </w:r>
            <w:r w:rsidR="00547BEA">
              <w:rPr>
                <w:noProof/>
                <w:webHidden/>
              </w:rPr>
            </w:r>
            <w:r w:rsidR="00547BEA">
              <w:rPr>
                <w:noProof/>
                <w:webHidden/>
              </w:rPr>
              <w:fldChar w:fldCharType="separate"/>
            </w:r>
            <w:r w:rsidR="00547BEA">
              <w:rPr>
                <w:noProof/>
                <w:webHidden/>
              </w:rPr>
              <w:t>4</w:t>
            </w:r>
            <w:r w:rsidR="00547BEA">
              <w:rPr>
                <w:noProof/>
                <w:webHidden/>
              </w:rPr>
              <w:fldChar w:fldCharType="end"/>
            </w:r>
          </w:hyperlink>
        </w:p>
        <w:p w14:paraId="519FAEA3" w14:textId="7B446196" w:rsidR="00547BEA" w:rsidRDefault="00A6576A">
          <w:pPr>
            <w:pStyle w:val="TOC1"/>
            <w:rPr>
              <w:rFonts w:asciiTheme="minorHAnsi" w:eastAsiaTheme="minorEastAsia" w:hAnsiTheme="minorHAnsi" w:cstheme="minorBidi"/>
              <w:b w:val="0"/>
              <w:noProof/>
              <w:sz w:val="22"/>
              <w:lang w:eastAsia="en-AU"/>
            </w:rPr>
          </w:pPr>
          <w:hyperlink w:anchor="_Toc131683491" w:history="1">
            <w:r w:rsidR="00547BEA" w:rsidRPr="00D63F53">
              <w:rPr>
                <w:rStyle w:val="Hyperlink"/>
                <w:noProof/>
              </w:rPr>
              <w:t>Product submission</w:t>
            </w:r>
            <w:r w:rsidR="00547BEA">
              <w:rPr>
                <w:noProof/>
                <w:webHidden/>
              </w:rPr>
              <w:tab/>
            </w:r>
            <w:r w:rsidR="00547BEA">
              <w:rPr>
                <w:noProof/>
                <w:webHidden/>
              </w:rPr>
              <w:fldChar w:fldCharType="begin"/>
            </w:r>
            <w:r w:rsidR="00547BEA">
              <w:rPr>
                <w:noProof/>
                <w:webHidden/>
              </w:rPr>
              <w:instrText xml:space="preserve"> PAGEREF _Toc131683491 \h </w:instrText>
            </w:r>
            <w:r w:rsidR="00547BEA">
              <w:rPr>
                <w:noProof/>
                <w:webHidden/>
              </w:rPr>
            </w:r>
            <w:r w:rsidR="00547BEA">
              <w:rPr>
                <w:noProof/>
                <w:webHidden/>
              </w:rPr>
              <w:fldChar w:fldCharType="separate"/>
            </w:r>
            <w:r w:rsidR="00547BEA">
              <w:rPr>
                <w:noProof/>
                <w:webHidden/>
              </w:rPr>
              <w:t>6</w:t>
            </w:r>
            <w:r w:rsidR="00547BEA">
              <w:rPr>
                <w:noProof/>
                <w:webHidden/>
              </w:rPr>
              <w:fldChar w:fldCharType="end"/>
            </w:r>
          </w:hyperlink>
        </w:p>
        <w:p w14:paraId="75FB8FEF" w14:textId="4ED1C74B" w:rsidR="00547BEA" w:rsidRDefault="00A6576A">
          <w:pPr>
            <w:pStyle w:val="TOC2"/>
            <w:rPr>
              <w:rFonts w:asciiTheme="minorHAnsi" w:eastAsiaTheme="minorEastAsia" w:hAnsiTheme="minorHAnsi" w:cstheme="minorBidi"/>
              <w:b w:val="0"/>
              <w:noProof/>
              <w:sz w:val="22"/>
              <w:lang w:eastAsia="en-AU"/>
            </w:rPr>
          </w:pPr>
          <w:hyperlink w:anchor="_Toc131683492" w:history="1">
            <w:r w:rsidR="00547BEA" w:rsidRPr="00D63F53">
              <w:rPr>
                <w:rStyle w:val="Hyperlink"/>
                <w:noProof/>
                <w:lang w:eastAsia="en-AU"/>
              </w:rPr>
              <w:t>Submission details</w:t>
            </w:r>
            <w:r w:rsidR="00547BEA">
              <w:rPr>
                <w:noProof/>
                <w:webHidden/>
              </w:rPr>
              <w:tab/>
            </w:r>
            <w:r w:rsidR="00547BEA">
              <w:rPr>
                <w:noProof/>
                <w:webHidden/>
              </w:rPr>
              <w:fldChar w:fldCharType="begin"/>
            </w:r>
            <w:r w:rsidR="00547BEA">
              <w:rPr>
                <w:noProof/>
                <w:webHidden/>
              </w:rPr>
              <w:instrText xml:space="preserve"> PAGEREF _Toc131683492 \h </w:instrText>
            </w:r>
            <w:r w:rsidR="00547BEA">
              <w:rPr>
                <w:noProof/>
                <w:webHidden/>
              </w:rPr>
            </w:r>
            <w:r w:rsidR="00547BEA">
              <w:rPr>
                <w:noProof/>
                <w:webHidden/>
              </w:rPr>
              <w:fldChar w:fldCharType="separate"/>
            </w:r>
            <w:r w:rsidR="00547BEA">
              <w:rPr>
                <w:noProof/>
                <w:webHidden/>
              </w:rPr>
              <w:t>6</w:t>
            </w:r>
            <w:r w:rsidR="00547BEA">
              <w:rPr>
                <w:noProof/>
                <w:webHidden/>
              </w:rPr>
              <w:fldChar w:fldCharType="end"/>
            </w:r>
          </w:hyperlink>
        </w:p>
        <w:p w14:paraId="4ECDB32B" w14:textId="038F7ADF" w:rsidR="00547BEA" w:rsidRDefault="00A6576A">
          <w:pPr>
            <w:pStyle w:val="TOC2"/>
            <w:rPr>
              <w:rFonts w:asciiTheme="minorHAnsi" w:eastAsiaTheme="minorEastAsia" w:hAnsiTheme="minorHAnsi" w:cstheme="minorBidi"/>
              <w:b w:val="0"/>
              <w:noProof/>
              <w:sz w:val="22"/>
              <w:lang w:eastAsia="en-AU"/>
            </w:rPr>
          </w:pPr>
          <w:hyperlink w:anchor="_Toc131683493" w:history="1">
            <w:r w:rsidR="00547BEA" w:rsidRPr="00D63F53">
              <w:rPr>
                <w:rStyle w:val="Hyperlink"/>
                <w:noProof/>
              </w:rPr>
              <w:t>Product background</w:t>
            </w:r>
            <w:r w:rsidR="00547BEA">
              <w:rPr>
                <w:noProof/>
                <w:webHidden/>
              </w:rPr>
              <w:tab/>
            </w:r>
            <w:r w:rsidR="00547BEA">
              <w:rPr>
                <w:noProof/>
                <w:webHidden/>
              </w:rPr>
              <w:fldChar w:fldCharType="begin"/>
            </w:r>
            <w:r w:rsidR="00547BEA">
              <w:rPr>
                <w:noProof/>
                <w:webHidden/>
              </w:rPr>
              <w:instrText xml:space="preserve"> PAGEREF _Toc131683493 \h </w:instrText>
            </w:r>
            <w:r w:rsidR="00547BEA">
              <w:rPr>
                <w:noProof/>
                <w:webHidden/>
              </w:rPr>
            </w:r>
            <w:r w:rsidR="00547BEA">
              <w:rPr>
                <w:noProof/>
                <w:webHidden/>
              </w:rPr>
              <w:fldChar w:fldCharType="separate"/>
            </w:r>
            <w:r w:rsidR="00547BEA">
              <w:rPr>
                <w:noProof/>
                <w:webHidden/>
              </w:rPr>
              <w:t>7</w:t>
            </w:r>
            <w:r w:rsidR="00547BEA">
              <w:rPr>
                <w:noProof/>
                <w:webHidden/>
              </w:rPr>
              <w:fldChar w:fldCharType="end"/>
            </w:r>
          </w:hyperlink>
        </w:p>
        <w:p w14:paraId="445F4F77" w14:textId="55442B8E" w:rsidR="00547BEA" w:rsidRDefault="00A6576A">
          <w:pPr>
            <w:pStyle w:val="TOC2"/>
            <w:rPr>
              <w:rFonts w:asciiTheme="minorHAnsi" w:eastAsiaTheme="minorEastAsia" w:hAnsiTheme="minorHAnsi" w:cstheme="minorBidi"/>
              <w:b w:val="0"/>
              <w:noProof/>
              <w:sz w:val="22"/>
              <w:lang w:eastAsia="en-AU"/>
            </w:rPr>
          </w:pPr>
          <w:hyperlink w:anchor="_Toc131683494" w:history="1">
            <w:r w:rsidR="00547BEA" w:rsidRPr="00D63F53">
              <w:rPr>
                <w:rStyle w:val="Hyperlink"/>
                <w:noProof/>
              </w:rPr>
              <w:t>Regulatory status</w:t>
            </w:r>
            <w:r w:rsidR="00547BEA">
              <w:rPr>
                <w:noProof/>
                <w:webHidden/>
              </w:rPr>
              <w:tab/>
            </w:r>
            <w:r w:rsidR="00547BEA">
              <w:rPr>
                <w:noProof/>
                <w:webHidden/>
              </w:rPr>
              <w:fldChar w:fldCharType="begin"/>
            </w:r>
            <w:r w:rsidR="00547BEA">
              <w:rPr>
                <w:noProof/>
                <w:webHidden/>
              </w:rPr>
              <w:instrText xml:space="preserve"> PAGEREF _Toc131683494 \h </w:instrText>
            </w:r>
            <w:r w:rsidR="00547BEA">
              <w:rPr>
                <w:noProof/>
                <w:webHidden/>
              </w:rPr>
            </w:r>
            <w:r w:rsidR="00547BEA">
              <w:rPr>
                <w:noProof/>
                <w:webHidden/>
              </w:rPr>
              <w:fldChar w:fldCharType="separate"/>
            </w:r>
            <w:r w:rsidR="00547BEA">
              <w:rPr>
                <w:noProof/>
                <w:webHidden/>
              </w:rPr>
              <w:t>9</w:t>
            </w:r>
            <w:r w:rsidR="00547BEA">
              <w:rPr>
                <w:noProof/>
                <w:webHidden/>
              </w:rPr>
              <w:fldChar w:fldCharType="end"/>
            </w:r>
          </w:hyperlink>
        </w:p>
        <w:p w14:paraId="17784FB7" w14:textId="4CD1CC89" w:rsidR="00547BEA" w:rsidRDefault="00A6576A">
          <w:pPr>
            <w:pStyle w:val="TOC2"/>
            <w:rPr>
              <w:rFonts w:asciiTheme="minorHAnsi" w:eastAsiaTheme="minorEastAsia" w:hAnsiTheme="minorHAnsi" w:cstheme="minorBidi"/>
              <w:b w:val="0"/>
              <w:noProof/>
              <w:sz w:val="22"/>
              <w:lang w:eastAsia="en-AU"/>
            </w:rPr>
          </w:pPr>
          <w:hyperlink w:anchor="_Toc131683495" w:history="1">
            <w:r w:rsidR="00547BEA" w:rsidRPr="00D63F53">
              <w:rPr>
                <w:rStyle w:val="Hyperlink"/>
                <w:noProof/>
              </w:rPr>
              <w:t>Product Information</w:t>
            </w:r>
            <w:r w:rsidR="00547BEA">
              <w:rPr>
                <w:noProof/>
                <w:webHidden/>
              </w:rPr>
              <w:tab/>
            </w:r>
            <w:r w:rsidR="00547BEA">
              <w:rPr>
                <w:noProof/>
                <w:webHidden/>
              </w:rPr>
              <w:fldChar w:fldCharType="begin"/>
            </w:r>
            <w:r w:rsidR="00547BEA">
              <w:rPr>
                <w:noProof/>
                <w:webHidden/>
              </w:rPr>
              <w:instrText xml:space="preserve"> PAGEREF _Toc131683495 \h </w:instrText>
            </w:r>
            <w:r w:rsidR="00547BEA">
              <w:rPr>
                <w:noProof/>
                <w:webHidden/>
              </w:rPr>
            </w:r>
            <w:r w:rsidR="00547BEA">
              <w:rPr>
                <w:noProof/>
                <w:webHidden/>
              </w:rPr>
              <w:fldChar w:fldCharType="separate"/>
            </w:r>
            <w:r w:rsidR="00547BEA">
              <w:rPr>
                <w:noProof/>
                <w:webHidden/>
              </w:rPr>
              <w:t>12</w:t>
            </w:r>
            <w:r w:rsidR="00547BEA">
              <w:rPr>
                <w:noProof/>
                <w:webHidden/>
              </w:rPr>
              <w:fldChar w:fldCharType="end"/>
            </w:r>
          </w:hyperlink>
        </w:p>
        <w:p w14:paraId="7D96DDE4" w14:textId="1D02E858" w:rsidR="00547BEA" w:rsidRDefault="00A6576A">
          <w:pPr>
            <w:pStyle w:val="TOC1"/>
            <w:rPr>
              <w:rFonts w:asciiTheme="minorHAnsi" w:eastAsiaTheme="minorEastAsia" w:hAnsiTheme="minorHAnsi" w:cstheme="minorBidi"/>
              <w:b w:val="0"/>
              <w:noProof/>
              <w:sz w:val="22"/>
              <w:lang w:eastAsia="en-AU"/>
            </w:rPr>
          </w:pPr>
          <w:hyperlink w:anchor="_Toc131683496" w:history="1">
            <w:r w:rsidR="00547BEA" w:rsidRPr="00D63F53">
              <w:rPr>
                <w:rStyle w:val="Hyperlink"/>
                <w:noProof/>
              </w:rPr>
              <w:t>Registration timeline</w:t>
            </w:r>
            <w:r w:rsidR="00547BEA">
              <w:rPr>
                <w:noProof/>
                <w:webHidden/>
              </w:rPr>
              <w:tab/>
            </w:r>
            <w:r w:rsidR="00547BEA">
              <w:rPr>
                <w:noProof/>
                <w:webHidden/>
              </w:rPr>
              <w:fldChar w:fldCharType="begin"/>
            </w:r>
            <w:r w:rsidR="00547BEA">
              <w:rPr>
                <w:noProof/>
                <w:webHidden/>
              </w:rPr>
              <w:instrText xml:space="preserve"> PAGEREF _Toc131683496 \h </w:instrText>
            </w:r>
            <w:r w:rsidR="00547BEA">
              <w:rPr>
                <w:noProof/>
                <w:webHidden/>
              </w:rPr>
            </w:r>
            <w:r w:rsidR="00547BEA">
              <w:rPr>
                <w:noProof/>
                <w:webHidden/>
              </w:rPr>
              <w:fldChar w:fldCharType="separate"/>
            </w:r>
            <w:r w:rsidR="00547BEA">
              <w:rPr>
                <w:noProof/>
                <w:webHidden/>
              </w:rPr>
              <w:t>12</w:t>
            </w:r>
            <w:r w:rsidR="00547BEA">
              <w:rPr>
                <w:noProof/>
                <w:webHidden/>
              </w:rPr>
              <w:fldChar w:fldCharType="end"/>
            </w:r>
          </w:hyperlink>
        </w:p>
        <w:p w14:paraId="1FCB7FCC" w14:textId="33AD0B0A" w:rsidR="00547BEA" w:rsidRDefault="00A6576A">
          <w:pPr>
            <w:pStyle w:val="TOC1"/>
            <w:rPr>
              <w:rFonts w:asciiTheme="minorHAnsi" w:eastAsiaTheme="minorEastAsia" w:hAnsiTheme="minorHAnsi" w:cstheme="minorBidi"/>
              <w:b w:val="0"/>
              <w:noProof/>
              <w:sz w:val="22"/>
              <w:lang w:eastAsia="en-AU"/>
            </w:rPr>
          </w:pPr>
          <w:hyperlink w:anchor="_Toc131683497" w:history="1">
            <w:r w:rsidR="00547BEA" w:rsidRPr="00D63F53">
              <w:rPr>
                <w:rStyle w:val="Hyperlink"/>
                <w:noProof/>
              </w:rPr>
              <w:t>Submission overview and risk/benefit assessment</w:t>
            </w:r>
            <w:r w:rsidR="00547BEA">
              <w:rPr>
                <w:noProof/>
                <w:webHidden/>
              </w:rPr>
              <w:tab/>
            </w:r>
            <w:r w:rsidR="00547BEA">
              <w:rPr>
                <w:noProof/>
                <w:webHidden/>
              </w:rPr>
              <w:fldChar w:fldCharType="begin"/>
            </w:r>
            <w:r w:rsidR="00547BEA">
              <w:rPr>
                <w:noProof/>
                <w:webHidden/>
              </w:rPr>
              <w:instrText xml:space="preserve"> PAGEREF _Toc131683497 \h </w:instrText>
            </w:r>
            <w:r w:rsidR="00547BEA">
              <w:rPr>
                <w:noProof/>
                <w:webHidden/>
              </w:rPr>
            </w:r>
            <w:r w:rsidR="00547BEA">
              <w:rPr>
                <w:noProof/>
                <w:webHidden/>
              </w:rPr>
              <w:fldChar w:fldCharType="separate"/>
            </w:r>
            <w:r w:rsidR="00547BEA">
              <w:rPr>
                <w:noProof/>
                <w:webHidden/>
              </w:rPr>
              <w:t>12</w:t>
            </w:r>
            <w:r w:rsidR="00547BEA">
              <w:rPr>
                <w:noProof/>
                <w:webHidden/>
              </w:rPr>
              <w:fldChar w:fldCharType="end"/>
            </w:r>
          </w:hyperlink>
        </w:p>
        <w:p w14:paraId="5CF27446" w14:textId="6D184BEF" w:rsidR="00547BEA" w:rsidRDefault="00A6576A">
          <w:pPr>
            <w:pStyle w:val="TOC2"/>
            <w:rPr>
              <w:rFonts w:asciiTheme="minorHAnsi" w:eastAsiaTheme="minorEastAsia" w:hAnsiTheme="minorHAnsi" w:cstheme="minorBidi"/>
              <w:b w:val="0"/>
              <w:noProof/>
              <w:sz w:val="22"/>
              <w:lang w:eastAsia="en-AU"/>
            </w:rPr>
          </w:pPr>
          <w:hyperlink w:anchor="_Toc131683498" w:history="1">
            <w:r w:rsidR="00547BEA" w:rsidRPr="00D63F53">
              <w:rPr>
                <w:rStyle w:val="Hyperlink"/>
                <w:noProof/>
              </w:rPr>
              <w:t>Quality</w:t>
            </w:r>
            <w:r w:rsidR="00547BEA">
              <w:rPr>
                <w:noProof/>
                <w:webHidden/>
              </w:rPr>
              <w:tab/>
            </w:r>
            <w:r w:rsidR="00547BEA">
              <w:rPr>
                <w:noProof/>
                <w:webHidden/>
              </w:rPr>
              <w:fldChar w:fldCharType="begin"/>
            </w:r>
            <w:r w:rsidR="00547BEA">
              <w:rPr>
                <w:noProof/>
                <w:webHidden/>
              </w:rPr>
              <w:instrText xml:space="preserve"> PAGEREF _Toc131683498 \h </w:instrText>
            </w:r>
            <w:r w:rsidR="00547BEA">
              <w:rPr>
                <w:noProof/>
                <w:webHidden/>
              </w:rPr>
            </w:r>
            <w:r w:rsidR="00547BEA">
              <w:rPr>
                <w:noProof/>
                <w:webHidden/>
              </w:rPr>
              <w:fldChar w:fldCharType="separate"/>
            </w:r>
            <w:r w:rsidR="00547BEA">
              <w:rPr>
                <w:noProof/>
                <w:webHidden/>
              </w:rPr>
              <w:t>13</w:t>
            </w:r>
            <w:r w:rsidR="00547BEA">
              <w:rPr>
                <w:noProof/>
                <w:webHidden/>
              </w:rPr>
              <w:fldChar w:fldCharType="end"/>
            </w:r>
          </w:hyperlink>
        </w:p>
        <w:p w14:paraId="5C637FFD" w14:textId="572A2AE5" w:rsidR="00547BEA" w:rsidRDefault="00A6576A">
          <w:pPr>
            <w:pStyle w:val="TOC2"/>
            <w:rPr>
              <w:rFonts w:asciiTheme="minorHAnsi" w:eastAsiaTheme="minorEastAsia" w:hAnsiTheme="minorHAnsi" w:cstheme="minorBidi"/>
              <w:b w:val="0"/>
              <w:noProof/>
              <w:sz w:val="22"/>
              <w:lang w:eastAsia="en-AU"/>
            </w:rPr>
          </w:pPr>
          <w:hyperlink w:anchor="_Toc131683499" w:history="1">
            <w:r w:rsidR="00547BEA" w:rsidRPr="00D63F53">
              <w:rPr>
                <w:rStyle w:val="Hyperlink"/>
                <w:noProof/>
              </w:rPr>
              <w:t>Nonclinical</w:t>
            </w:r>
            <w:r w:rsidR="00547BEA">
              <w:rPr>
                <w:noProof/>
                <w:webHidden/>
              </w:rPr>
              <w:tab/>
            </w:r>
            <w:r w:rsidR="00547BEA">
              <w:rPr>
                <w:noProof/>
                <w:webHidden/>
              </w:rPr>
              <w:fldChar w:fldCharType="begin"/>
            </w:r>
            <w:r w:rsidR="00547BEA">
              <w:rPr>
                <w:noProof/>
                <w:webHidden/>
              </w:rPr>
              <w:instrText xml:space="preserve"> PAGEREF _Toc131683499 \h </w:instrText>
            </w:r>
            <w:r w:rsidR="00547BEA">
              <w:rPr>
                <w:noProof/>
                <w:webHidden/>
              </w:rPr>
            </w:r>
            <w:r w:rsidR="00547BEA">
              <w:rPr>
                <w:noProof/>
                <w:webHidden/>
              </w:rPr>
              <w:fldChar w:fldCharType="separate"/>
            </w:r>
            <w:r w:rsidR="00547BEA">
              <w:rPr>
                <w:noProof/>
                <w:webHidden/>
              </w:rPr>
              <w:t>13</w:t>
            </w:r>
            <w:r w:rsidR="00547BEA">
              <w:rPr>
                <w:noProof/>
                <w:webHidden/>
              </w:rPr>
              <w:fldChar w:fldCharType="end"/>
            </w:r>
          </w:hyperlink>
        </w:p>
        <w:p w14:paraId="7031EF97" w14:textId="56EE3D34" w:rsidR="00547BEA" w:rsidRDefault="00A6576A">
          <w:pPr>
            <w:pStyle w:val="TOC2"/>
            <w:rPr>
              <w:rFonts w:asciiTheme="minorHAnsi" w:eastAsiaTheme="minorEastAsia" w:hAnsiTheme="minorHAnsi" w:cstheme="minorBidi"/>
              <w:b w:val="0"/>
              <w:noProof/>
              <w:sz w:val="22"/>
              <w:lang w:eastAsia="en-AU"/>
            </w:rPr>
          </w:pPr>
          <w:hyperlink w:anchor="_Toc131683500" w:history="1">
            <w:r w:rsidR="00547BEA" w:rsidRPr="00D63F53">
              <w:rPr>
                <w:rStyle w:val="Hyperlink"/>
                <w:noProof/>
              </w:rPr>
              <w:t>Clinical</w:t>
            </w:r>
            <w:r w:rsidR="00547BEA">
              <w:rPr>
                <w:noProof/>
                <w:webHidden/>
              </w:rPr>
              <w:tab/>
            </w:r>
            <w:r w:rsidR="00547BEA">
              <w:rPr>
                <w:noProof/>
                <w:webHidden/>
              </w:rPr>
              <w:fldChar w:fldCharType="begin"/>
            </w:r>
            <w:r w:rsidR="00547BEA">
              <w:rPr>
                <w:noProof/>
                <w:webHidden/>
              </w:rPr>
              <w:instrText xml:space="preserve"> PAGEREF _Toc131683500 \h </w:instrText>
            </w:r>
            <w:r w:rsidR="00547BEA">
              <w:rPr>
                <w:noProof/>
                <w:webHidden/>
              </w:rPr>
            </w:r>
            <w:r w:rsidR="00547BEA">
              <w:rPr>
                <w:noProof/>
                <w:webHidden/>
              </w:rPr>
              <w:fldChar w:fldCharType="separate"/>
            </w:r>
            <w:r w:rsidR="00547BEA">
              <w:rPr>
                <w:noProof/>
                <w:webHidden/>
              </w:rPr>
              <w:t>14</w:t>
            </w:r>
            <w:r w:rsidR="00547BEA">
              <w:rPr>
                <w:noProof/>
                <w:webHidden/>
              </w:rPr>
              <w:fldChar w:fldCharType="end"/>
            </w:r>
          </w:hyperlink>
        </w:p>
        <w:p w14:paraId="46C15629" w14:textId="04B30F88" w:rsidR="00547BEA" w:rsidRDefault="00A6576A">
          <w:pPr>
            <w:pStyle w:val="TOC2"/>
            <w:rPr>
              <w:rFonts w:asciiTheme="minorHAnsi" w:eastAsiaTheme="minorEastAsia" w:hAnsiTheme="minorHAnsi" w:cstheme="minorBidi"/>
              <w:b w:val="0"/>
              <w:noProof/>
              <w:sz w:val="22"/>
              <w:lang w:eastAsia="en-AU"/>
            </w:rPr>
          </w:pPr>
          <w:hyperlink w:anchor="_Toc131683501" w:history="1">
            <w:r w:rsidR="00547BEA" w:rsidRPr="00D63F53">
              <w:rPr>
                <w:rStyle w:val="Hyperlink"/>
                <w:noProof/>
                <w:lang w:eastAsia="en-AU"/>
              </w:rPr>
              <w:t>Risk management plan</w:t>
            </w:r>
            <w:r w:rsidR="00547BEA">
              <w:rPr>
                <w:noProof/>
                <w:webHidden/>
              </w:rPr>
              <w:tab/>
            </w:r>
            <w:r w:rsidR="00547BEA">
              <w:rPr>
                <w:noProof/>
                <w:webHidden/>
              </w:rPr>
              <w:fldChar w:fldCharType="begin"/>
            </w:r>
            <w:r w:rsidR="00547BEA">
              <w:rPr>
                <w:noProof/>
                <w:webHidden/>
              </w:rPr>
              <w:instrText xml:space="preserve"> PAGEREF _Toc131683501 \h </w:instrText>
            </w:r>
            <w:r w:rsidR="00547BEA">
              <w:rPr>
                <w:noProof/>
                <w:webHidden/>
              </w:rPr>
            </w:r>
            <w:r w:rsidR="00547BEA">
              <w:rPr>
                <w:noProof/>
                <w:webHidden/>
              </w:rPr>
              <w:fldChar w:fldCharType="separate"/>
            </w:r>
            <w:r w:rsidR="00547BEA">
              <w:rPr>
                <w:noProof/>
                <w:webHidden/>
              </w:rPr>
              <w:t>48</w:t>
            </w:r>
            <w:r w:rsidR="00547BEA">
              <w:rPr>
                <w:noProof/>
                <w:webHidden/>
              </w:rPr>
              <w:fldChar w:fldCharType="end"/>
            </w:r>
          </w:hyperlink>
        </w:p>
        <w:p w14:paraId="021348BA" w14:textId="5147DEFE" w:rsidR="00547BEA" w:rsidRDefault="00A6576A">
          <w:pPr>
            <w:pStyle w:val="TOC2"/>
            <w:rPr>
              <w:rFonts w:asciiTheme="minorHAnsi" w:eastAsiaTheme="minorEastAsia" w:hAnsiTheme="minorHAnsi" w:cstheme="minorBidi"/>
              <w:b w:val="0"/>
              <w:noProof/>
              <w:sz w:val="22"/>
              <w:lang w:eastAsia="en-AU"/>
            </w:rPr>
          </w:pPr>
          <w:hyperlink w:anchor="_Toc131683502" w:history="1">
            <w:r w:rsidR="00547BEA" w:rsidRPr="00D63F53">
              <w:rPr>
                <w:rStyle w:val="Hyperlink"/>
                <w:noProof/>
              </w:rPr>
              <w:t>Risk-benefit analysis</w:t>
            </w:r>
            <w:r w:rsidR="00547BEA">
              <w:rPr>
                <w:noProof/>
                <w:webHidden/>
              </w:rPr>
              <w:tab/>
            </w:r>
            <w:r w:rsidR="00547BEA">
              <w:rPr>
                <w:noProof/>
                <w:webHidden/>
              </w:rPr>
              <w:fldChar w:fldCharType="begin"/>
            </w:r>
            <w:r w:rsidR="00547BEA">
              <w:rPr>
                <w:noProof/>
                <w:webHidden/>
              </w:rPr>
              <w:instrText xml:space="preserve"> PAGEREF _Toc131683502 \h </w:instrText>
            </w:r>
            <w:r w:rsidR="00547BEA">
              <w:rPr>
                <w:noProof/>
                <w:webHidden/>
              </w:rPr>
            </w:r>
            <w:r w:rsidR="00547BEA">
              <w:rPr>
                <w:noProof/>
                <w:webHidden/>
              </w:rPr>
              <w:fldChar w:fldCharType="separate"/>
            </w:r>
            <w:r w:rsidR="00547BEA">
              <w:rPr>
                <w:noProof/>
                <w:webHidden/>
              </w:rPr>
              <w:t>51</w:t>
            </w:r>
            <w:r w:rsidR="00547BEA">
              <w:rPr>
                <w:noProof/>
                <w:webHidden/>
              </w:rPr>
              <w:fldChar w:fldCharType="end"/>
            </w:r>
          </w:hyperlink>
        </w:p>
        <w:p w14:paraId="38D9B547" w14:textId="654C9DA1" w:rsidR="00547BEA" w:rsidRDefault="00A6576A">
          <w:pPr>
            <w:pStyle w:val="TOC1"/>
            <w:rPr>
              <w:rFonts w:asciiTheme="minorHAnsi" w:eastAsiaTheme="minorEastAsia" w:hAnsiTheme="minorHAnsi" w:cstheme="minorBidi"/>
              <w:b w:val="0"/>
              <w:noProof/>
              <w:sz w:val="22"/>
              <w:lang w:eastAsia="en-AU"/>
            </w:rPr>
          </w:pPr>
          <w:hyperlink w:anchor="_Toc131683503" w:history="1">
            <w:r w:rsidR="00547BEA" w:rsidRPr="00D63F53">
              <w:rPr>
                <w:rStyle w:val="Hyperlink"/>
                <w:noProof/>
              </w:rPr>
              <w:t>Outcome</w:t>
            </w:r>
            <w:r w:rsidR="00547BEA">
              <w:rPr>
                <w:noProof/>
                <w:webHidden/>
              </w:rPr>
              <w:tab/>
            </w:r>
            <w:r w:rsidR="00547BEA">
              <w:rPr>
                <w:noProof/>
                <w:webHidden/>
              </w:rPr>
              <w:fldChar w:fldCharType="begin"/>
            </w:r>
            <w:r w:rsidR="00547BEA">
              <w:rPr>
                <w:noProof/>
                <w:webHidden/>
              </w:rPr>
              <w:instrText xml:space="preserve"> PAGEREF _Toc131683503 \h </w:instrText>
            </w:r>
            <w:r w:rsidR="00547BEA">
              <w:rPr>
                <w:noProof/>
                <w:webHidden/>
              </w:rPr>
            </w:r>
            <w:r w:rsidR="00547BEA">
              <w:rPr>
                <w:noProof/>
                <w:webHidden/>
              </w:rPr>
              <w:fldChar w:fldCharType="separate"/>
            </w:r>
            <w:r w:rsidR="00547BEA">
              <w:rPr>
                <w:noProof/>
                <w:webHidden/>
              </w:rPr>
              <w:t>54</w:t>
            </w:r>
            <w:r w:rsidR="00547BEA">
              <w:rPr>
                <w:noProof/>
                <w:webHidden/>
              </w:rPr>
              <w:fldChar w:fldCharType="end"/>
            </w:r>
          </w:hyperlink>
        </w:p>
        <w:p w14:paraId="130C36FF" w14:textId="259669E6" w:rsidR="00547BEA" w:rsidRDefault="00A6576A">
          <w:pPr>
            <w:pStyle w:val="TOC2"/>
            <w:rPr>
              <w:rFonts w:asciiTheme="minorHAnsi" w:eastAsiaTheme="minorEastAsia" w:hAnsiTheme="minorHAnsi" w:cstheme="minorBidi"/>
              <w:b w:val="0"/>
              <w:noProof/>
              <w:sz w:val="22"/>
              <w:lang w:eastAsia="en-AU"/>
            </w:rPr>
          </w:pPr>
          <w:hyperlink w:anchor="_Toc131683504" w:history="1">
            <w:r w:rsidR="00547BEA" w:rsidRPr="00D63F53">
              <w:rPr>
                <w:rStyle w:val="Hyperlink"/>
                <w:noProof/>
              </w:rPr>
              <w:t>Specific conditions of registration applying to these goods</w:t>
            </w:r>
            <w:r w:rsidR="00547BEA">
              <w:rPr>
                <w:noProof/>
                <w:webHidden/>
              </w:rPr>
              <w:tab/>
            </w:r>
            <w:r w:rsidR="00547BEA">
              <w:rPr>
                <w:noProof/>
                <w:webHidden/>
              </w:rPr>
              <w:fldChar w:fldCharType="begin"/>
            </w:r>
            <w:r w:rsidR="00547BEA">
              <w:rPr>
                <w:noProof/>
                <w:webHidden/>
              </w:rPr>
              <w:instrText xml:space="preserve"> PAGEREF _Toc131683504 \h </w:instrText>
            </w:r>
            <w:r w:rsidR="00547BEA">
              <w:rPr>
                <w:noProof/>
                <w:webHidden/>
              </w:rPr>
            </w:r>
            <w:r w:rsidR="00547BEA">
              <w:rPr>
                <w:noProof/>
                <w:webHidden/>
              </w:rPr>
              <w:fldChar w:fldCharType="separate"/>
            </w:r>
            <w:r w:rsidR="00547BEA">
              <w:rPr>
                <w:noProof/>
                <w:webHidden/>
              </w:rPr>
              <w:t>54</w:t>
            </w:r>
            <w:r w:rsidR="00547BEA">
              <w:rPr>
                <w:noProof/>
                <w:webHidden/>
              </w:rPr>
              <w:fldChar w:fldCharType="end"/>
            </w:r>
          </w:hyperlink>
        </w:p>
        <w:p w14:paraId="56A682B7" w14:textId="1722B4AD" w:rsidR="00547BEA" w:rsidRDefault="00A6576A">
          <w:pPr>
            <w:pStyle w:val="TOC1"/>
            <w:rPr>
              <w:rFonts w:asciiTheme="minorHAnsi" w:eastAsiaTheme="minorEastAsia" w:hAnsiTheme="minorHAnsi" w:cstheme="minorBidi"/>
              <w:b w:val="0"/>
              <w:noProof/>
              <w:sz w:val="22"/>
              <w:lang w:eastAsia="en-AU"/>
            </w:rPr>
          </w:pPr>
          <w:hyperlink w:anchor="_Toc131683505" w:history="1">
            <w:r w:rsidR="00547BEA" w:rsidRPr="00D63F53">
              <w:rPr>
                <w:rStyle w:val="Hyperlink"/>
                <w:noProof/>
              </w:rPr>
              <w:t>Attachment 1. Product Information</w:t>
            </w:r>
            <w:r w:rsidR="00547BEA">
              <w:rPr>
                <w:noProof/>
                <w:webHidden/>
              </w:rPr>
              <w:tab/>
            </w:r>
            <w:r w:rsidR="00547BEA">
              <w:rPr>
                <w:noProof/>
                <w:webHidden/>
              </w:rPr>
              <w:fldChar w:fldCharType="begin"/>
            </w:r>
            <w:r w:rsidR="00547BEA">
              <w:rPr>
                <w:noProof/>
                <w:webHidden/>
              </w:rPr>
              <w:instrText xml:space="preserve"> PAGEREF _Toc131683505 \h </w:instrText>
            </w:r>
            <w:r w:rsidR="00547BEA">
              <w:rPr>
                <w:noProof/>
                <w:webHidden/>
              </w:rPr>
            </w:r>
            <w:r w:rsidR="00547BEA">
              <w:rPr>
                <w:noProof/>
                <w:webHidden/>
              </w:rPr>
              <w:fldChar w:fldCharType="separate"/>
            </w:r>
            <w:r w:rsidR="00547BEA">
              <w:rPr>
                <w:noProof/>
                <w:webHidden/>
              </w:rPr>
              <w:t>55</w:t>
            </w:r>
            <w:r w:rsidR="00547BEA">
              <w:rPr>
                <w:noProof/>
                <w:webHidden/>
              </w:rPr>
              <w:fldChar w:fldCharType="end"/>
            </w:r>
          </w:hyperlink>
        </w:p>
        <w:p w14:paraId="3E9C0FE6" w14:textId="4CF19B85" w:rsidR="003A7F6C" w:rsidRPr="00B811C6" w:rsidRDefault="00C525A2" w:rsidP="00EB36D6">
          <w:r>
            <w:rPr>
              <w:color w:val="2B579A"/>
              <w:shd w:val="clear" w:color="auto" w:fill="E6E6E6"/>
            </w:rPr>
            <w:fldChar w:fldCharType="end"/>
          </w:r>
        </w:p>
      </w:sdtContent>
    </w:sdt>
    <w:bookmarkStart w:id="2" w:name="_Toc314842482" w:displacedByCustomXml="prev"/>
    <w:p w14:paraId="041AB5F0" w14:textId="77777777" w:rsidR="00FD119B" w:rsidRDefault="00FD119B">
      <w:pPr>
        <w:spacing w:before="0" w:after="200" w:line="0" w:lineRule="auto"/>
      </w:pPr>
      <w:r>
        <w:br w:type="page"/>
      </w:r>
    </w:p>
    <w:p w14:paraId="0FC26FB6" w14:textId="77777777" w:rsidR="00AF2313" w:rsidRDefault="00AF2313" w:rsidP="00AF2313">
      <w:pPr>
        <w:pStyle w:val="Heading2"/>
      </w:pPr>
      <w:bookmarkStart w:id="3" w:name="_Toc98931917"/>
      <w:bookmarkStart w:id="4" w:name="_Toc131683490"/>
      <w:r>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69"/>
      </w:tblGrid>
      <w:tr w:rsidR="009243FF" w14:paraId="2458A806" w14:textId="77777777" w:rsidTr="341B3481">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4A0C9FD2" w14:textId="77777777" w:rsidR="009243FF" w:rsidRDefault="009243FF" w:rsidP="009159FD">
            <w:pPr>
              <w:rPr>
                <w:color w:val="FFFFFF"/>
              </w:rPr>
            </w:pPr>
            <w:bookmarkStart w:id="5" w:name="_Hlk120022409"/>
            <w:r>
              <w:t>Abbreviation</w:t>
            </w:r>
          </w:p>
        </w:tc>
        <w:tc>
          <w:tcPr>
            <w:tcW w:w="3282" w:type="pct"/>
            <w:hideMark/>
          </w:tcPr>
          <w:p w14:paraId="615C132E" w14:textId="77777777" w:rsidR="009243FF" w:rsidRDefault="009243FF" w:rsidP="009159FD">
            <w:r>
              <w:t>Meaning</w:t>
            </w:r>
          </w:p>
        </w:tc>
      </w:tr>
      <w:tr w:rsidR="009243FF" w14:paraId="494BF632"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7832BFA0" w14:textId="77777777" w:rsidR="009243FF" w:rsidRPr="00713132" w:rsidRDefault="009243FF" w:rsidP="009159FD">
            <w:r>
              <w:t>ACM</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4DEE47F9" w14:textId="77777777" w:rsidR="009243FF" w:rsidRPr="00713132" w:rsidRDefault="009243FF" w:rsidP="009159FD">
            <w:r>
              <w:t>Advisory Committee on Medicines</w:t>
            </w:r>
          </w:p>
        </w:tc>
      </w:tr>
      <w:tr w:rsidR="009243FF" w14:paraId="01842886"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0230B4BC" w14:textId="77777777" w:rsidR="009243FF" w:rsidRPr="005F0479" w:rsidRDefault="009243FF" w:rsidP="009159FD">
            <w:pPr>
              <w:rPr>
                <w:color w:val="auto"/>
              </w:rPr>
            </w:pPr>
            <w:r w:rsidRPr="005F0479">
              <w:rPr>
                <w:color w:val="auto"/>
              </w:rPr>
              <w:t>ASA</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2192383C" w14:textId="77777777" w:rsidR="009243FF" w:rsidRPr="005F0479" w:rsidRDefault="009243FF" w:rsidP="009159FD">
            <w:pPr>
              <w:rPr>
                <w:color w:val="auto"/>
              </w:rPr>
            </w:pPr>
            <w:r w:rsidRPr="005F0479">
              <w:rPr>
                <w:color w:val="auto"/>
              </w:rPr>
              <w:t>Australia specific annex</w:t>
            </w:r>
          </w:p>
        </w:tc>
      </w:tr>
      <w:tr w:rsidR="009243FF" w14:paraId="0F71C66C"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4613552D" w14:textId="77777777" w:rsidR="009243FF" w:rsidRPr="00877068" w:rsidRDefault="009243FF" w:rsidP="009159FD">
            <w:pPr>
              <w:rPr>
                <w:i/>
              </w:rPr>
            </w:pPr>
            <w:r w:rsidRPr="00877068">
              <w:rPr>
                <w:i/>
              </w:rPr>
              <w:t>ABL1</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6EB77789" w14:textId="77777777" w:rsidR="009243FF" w:rsidRPr="005F0479" w:rsidRDefault="009243FF" w:rsidP="009159FD">
            <w:r w:rsidRPr="00B15ABE">
              <w:t>Abelson gene</w:t>
            </w:r>
          </w:p>
        </w:tc>
      </w:tr>
      <w:tr w:rsidR="009243FF" w14:paraId="68F065AE"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1AD5D642" w14:textId="77777777" w:rsidR="009243FF" w:rsidRPr="002E4474" w:rsidRDefault="009243FF" w:rsidP="009159FD">
            <w:r>
              <w:t>AUC</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18895E39" w14:textId="40164944" w:rsidR="009243FF" w:rsidRDefault="009243FF" w:rsidP="009159FD">
            <w:r w:rsidRPr="00C015EF">
              <w:t>Area under the</w:t>
            </w:r>
            <w:r w:rsidR="00A2692B">
              <w:t xml:space="preserve"> </w:t>
            </w:r>
            <w:r w:rsidRPr="00C015EF">
              <w:t>concentration time curve</w:t>
            </w:r>
          </w:p>
        </w:tc>
      </w:tr>
      <w:tr w:rsidR="009243FF" w14:paraId="39D72C93"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6979AE28" w14:textId="77777777" w:rsidR="009243FF" w:rsidRPr="005F0479" w:rsidRDefault="009243FF" w:rsidP="009159FD">
            <w:r w:rsidRPr="002E4474">
              <w:t>AUC</w:t>
            </w:r>
            <w:r w:rsidRPr="002E4474">
              <w:rPr>
                <w:vertAlign w:val="subscript"/>
              </w:rPr>
              <w:t>0-inf</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7C1B2E96" w14:textId="77777777" w:rsidR="009243FF" w:rsidRPr="005F0479" w:rsidRDefault="009243FF" w:rsidP="009159FD">
            <w:r>
              <w:t>A</w:t>
            </w:r>
            <w:r w:rsidRPr="002E4474">
              <w:t>rea under the concentration time curve from time zero to infinity</w:t>
            </w:r>
          </w:p>
        </w:tc>
      </w:tr>
      <w:tr w:rsidR="009243FF" w14:paraId="5ABD03EC"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0ED5D574" w14:textId="77777777" w:rsidR="009243FF" w:rsidRPr="002E4474" w:rsidRDefault="009243FF" w:rsidP="009159FD">
            <w:r w:rsidRPr="002E4474">
              <w:t>AUC</w:t>
            </w:r>
            <w:r w:rsidRPr="002E4474">
              <w:rPr>
                <w:vertAlign w:val="subscript"/>
              </w:rPr>
              <w:t>0-last</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3C6A72A5" w14:textId="77777777" w:rsidR="009243FF" w:rsidRDefault="009243FF" w:rsidP="009159FD">
            <w:r>
              <w:t>A</w:t>
            </w:r>
            <w:r w:rsidRPr="002E4474">
              <w:t>rea under the concentration time curve from time zero to time of last quantifiable serum concentration</w:t>
            </w:r>
          </w:p>
        </w:tc>
      </w:tr>
      <w:tr w:rsidR="009243FF" w14:paraId="5C6C2122"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204C68BA" w14:textId="73E57CDB" w:rsidR="009243FF" w:rsidRPr="00FC7BC2" w:rsidRDefault="2F642F01" w:rsidP="341B3481">
            <w:pPr>
              <w:rPr>
                <w:i/>
                <w:iCs/>
              </w:rPr>
            </w:pPr>
            <w:proofErr w:type="gramStart"/>
            <w:r w:rsidRPr="00FC7BC2">
              <w:rPr>
                <w:i/>
                <w:iCs/>
              </w:rPr>
              <w:t>BCR</w:t>
            </w:r>
            <w:r w:rsidR="00EA1CE4">
              <w:rPr>
                <w:i/>
                <w:iCs/>
              </w:rPr>
              <w:t>::</w:t>
            </w:r>
            <w:proofErr w:type="gramEnd"/>
            <w:r w:rsidRPr="00FC7BC2">
              <w:rPr>
                <w:i/>
                <w:iCs/>
              </w:rPr>
              <w:t>ABL</w:t>
            </w:r>
            <w:r w:rsidR="00EA1CE4">
              <w:rPr>
                <w:i/>
                <w:iCs/>
              </w:rPr>
              <w:t>1</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2E5A61F1" w14:textId="77777777" w:rsidR="009243FF" w:rsidRPr="00B202D5" w:rsidRDefault="009243FF" w:rsidP="009159FD">
            <w:r>
              <w:t>Fusion gene (also known as Philadelphia chromosome)</w:t>
            </w:r>
          </w:p>
        </w:tc>
      </w:tr>
      <w:tr w:rsidR="009243FF" w14:paraId="3C07DD71"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3B3FF33D" w14:textId="77777777" w:rsidR="009243FF" w:rsidRPr="00B202D5" w:rsidRDefault="009243FF" w:rsidP="009159FD">
            <w:pPr>
              <w:rPr>
                <w:color w:val="auto"/>
              </w:rPr>
            </w:pPr>
            <w:r w:rsidRPr="00B202D5">
              <w:rPr>
                <w:color w:val="auto"/>
              </w:rPr>
              <w:t xml:space="preserve">CI </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1F63357E" w14:textId="77777777" w:rsidR="009243FF" w:rsidRPr="00B202D5" w:rsidRDefault="009243FF" w:rsidP="009159FD">
            <w:pPr>
              <w:rPr>
                <w:color w:val="auto"/>
              </w:rPr>
            </w:pPr>
            <w:r w:rsidRPr="00B202D5">
              <w:rPr>
                <w:color w:val="auto"/>
              </w:rPr>
              <w:t>Confidence interval</w:t>
            </w:r>
          </w:p>
        </w:tc>
      </w:tr>
      <w:tr w:rsidR="009243FF" w14:paraId="75147E50"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14C71A82" w14:textId="77777777" w:rsidR="009243FF" w:rsidRPr="0050692E" w:rsidRDefault="009243FF" w:rsidP="009159FD">
            <w:r>
              <w:t>C</w:t>
            </w:r>
            <w:r>
              <w:rPr>
                <w:vertAlign w:val="subscript"/>
              </w:rPr>
              <w:t>max</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3550BAA1" w14:textId="77777777" w:rsidR="009243FF" w:rsidRPr="00456D04" w:rsidRDefault="009243FF" w:rsidP="009159FD">
            <w:r>
              <w:t>M</w:t>
            </w:r>
            <w:r w:rsidRPr="002E4474">
              <w:t xml:space="preserve">aximum </w:t>
            </w:r>
            <w:r>
              <w:t xml:space="preserve">plasma </w:t>
            </w:r>
            <w:r w:rsidRPr="002E4474">
              <w:t>concentration</w:t>
            </w:r>
          </w:p>
        </w:tc>
      </w:tr>
      <w:tr w:rsidR="009243FF" w14:paraId="5DB5E331"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2E3EBC5F" w14:textId="77777777" w:rsidR="009243FF" w:rsidRPr="00723C71" w:rsidRDefault="009243FF" w:rsidP="009159FD">
            <w:pPr>
              <w:rPr>
                <w:vertAlign w:val="subscript"/>
              </w:rPr>
            </w:pPr>
            <w:proofErr w:type="spellStart"/>
            <w:r>
              <w:t>C</w:t>
            </w:r>
            <w:r>
              <w:rPr>
                <w:vertAlign w:val="subscript"/>
              </w:rPr>
              <w:t>min</w:t>
            </w:r>
            <w:proofErr w:type="spellEnd"/>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37CD6559" w14:textId="77777777" w:rsidR="009243FF" w:rsidRDefault="009243FF" w:rsidP="009159FD">
            <w:r>
              <w:t>Minimum plasma concentration</w:t>
            </w:r>
          </w:p>
        </w:tc>
      </w:tr>
      <w:tr w:rsidR="009243FF" w14:paraId="42F576EF"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25D9C32B" w14:textId="4A625ED7" w:rsidR="009243FF" w:rsidRPr="00456D04" w:rsidRDefault="009243FF" w:rsidP="009159FD">
            <w:pPr>
              <w:rPr>
                <w:color w:val="auto"/>
              </w:rPr>
            </w:pPr>
            <w:r w:rsidRPr="00456D04">
              <w:rPr>
                <w:color w:val="auto"/>
              </w:rPr>
              <w:t>CMI</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2E20FF78" w14:textId="77777777" w:rsidR="009243FF" w:rsidRPr="00456D04" w:rsidRDefault="009243FF" w:rsidP="009159FD">
            <w:pPr>
              <w:rPr>
                <w:color w:val="auto"/>
              </w:rPr>
            </w:pPr>
            <w:r w:rsidRPr="00456D04">
              <w:rPr>
                <w:color w:val="auto"/>
              </w:rPr>
              <w:t xml:space="preserve">Consumer </w:t>
            </w:r>
            <w:r>
              <w:rPr>
                <w:color w:val="auto"/>
              </w:rPr>
              <w:t>M</w:t>
            </w:r>
            <w:r w:rsidRPr="00456D04">
              <w:rPr>
                <w:color w:val="auto"/>
              </w:rPr>
              <w:t>edicine</w:t>
            </w:r>
            <w:r>
              <w:rPr>
                <w:color w:val="auto"/>
              </w:rPr>
              <w:t>s</w:t>
            </w:r>
            <w:r w:rsidRPr="00456D04">
              <w:rPr>
                <w:color w:val="auto"/>
              </w:rPr>
              <w:t xml:space="preserve"> </w:t>
            </w:r>
            <w:r>
              <w:rPr>
                <w:color w:val="auto"/>
              </w:rPr>
              <w:t>I</w:t>
            </w:r>
            <w:r w:rsidRPr="00456D04">
              <w:rPr>
                <w:color w:val="auto"/>
              </w:rPr>
              <w:t>nformation</w:t>
            </w:r>
          </w:p>
        </w:tc>
      </w:tr>
      <w:tr w:rsidR="009243FF" w14:paraId="209609B7"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5DE08E95" w14:textId="77777777" w:rsidR="009243FF" w:rsidRPr="005B0A27" w:rsidRDefault="009243FF" w:rsidP="009159FD">
            <w:r w:rsidRPr="005B0A27">
              <w:t>CYP</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0ACAC937" w14:textId="77777777" w:rsidR="009243FF" w:rsidRPr="005B0A27" w:rsidRDefault="009243FF" w:rsidP="009159FD">
            <w:r w:rsidRPr="005B0A27">
              <w:t>Cytochrome P450</w:t>
            </w:r>
          </w:p>
        </w:tc>
      </w:tr>
      <w:tr w:rsidR="009243FF" w14:paraId="0FB1F800"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36FF76F1" w14:textId="77777777" w:rsidR="009243FF" w:rsidRDefault="009243FF" w:rsidP="009159FD">
            <w:r>
              <w:t>DLP</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0182BDA4" w14:textId="77777777" w:rsidR="009243FF" w:rsidRPr="00EE38F4" w:rsidRDefault="009243FF" w:rsidP="009159FD">
            <w:r>
              <w:t>Data lock point</w:t>
            </w:r>
          </w:p>
        </w:tc>
      </w:tr>
      <w:tr w:rsidR="009243FF" w14:paraId="0B0E4D8E"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3983CD0D" w14:textId="77777777" w:rsidR="009243FF" w:rsidRPr="00591F64" w:rsidRDefault="009243FF" w:rsidP="009159FD">
            <w:r>
              <w:t>ECOG</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105E41C8" w14:textId="77777777" w:rsidR="009243FF" w:rsidRPr="00591F64" w:rsidRDefault="009243FF" w:rsidP="009159FD">
            <w:r w:rsidRPr="00EE38F4">
              <w:t>Eastern Cooperative Oncology Group</w:t>
            </w:r>
          </w:p>
        </w:tc>
      </w:tr>
      <w:tr w:rsidR="009243FF" w14:paraId="5833B53A"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3EC20765" w14:textId="77777777" w:rsidR="009243FF" w:rsidRPr="00757124" w:rsidRDefault="009243FF" w:rsidP="009159FD">
            <w:r>
              <w:t>E</w:t>
            </w:r>
            <w:r>
              <w:rPr>
                <w:vertAlign w:val="subscript"/>
              </w:rPr>
              <w:t>max</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34A27A1F" w14:textId="77777777" w:rsidR="009243FF" w:rsidRPr="00EE38F4" w:rsidRDefault="009243FF" w:rsidP="009159FD">
            <w:r>
              <w:t>M</w:t>
            </w:r>
            <w:r w:rsidRPr="00757124">
              <w:t>aximum effect attributable to the drug</w:t>
            </w:r>
          </w:p>
        </w:tc>
      </w:tr>
      <w:tr w:rsidR="009243FF" w14:paraId="501615AE"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52BC543A" w14:textId="77777777" w:rsidR="009243FF" w:rsidRPr="00591F64" w:rsidRDefault="009243FF" w:rsidP="009159FD">
            <w:r w:rsidRPr="00591F64">
              <w:t>ESMO</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1DF80CF7" w14:textId="77777777" w:rsidR="009243FF" w:rsidRPr="00591F64" w:rsidRDefault="009243FF" w:rsidP="009159FD">
            <w:r w:rsidRPr="00591F64">
              <w:t>European Society of Medical Oncology</w:t>
            </w:r>
          </w:p>
        </w:tc>
      </w:tr>
      <w:tr w:rsidR="009243FF" w14:paraId="63225A7A"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7A4A85A8" w14:textId="77777777" w:rsidR="009243FF" w:rsidRPr="00456D04" w:rsidRDefault="009243FF" w:rsidP="009159FD">
            <w:pPr>
              <w:rPr>
                <w:color w:val="auto"/>
              </w:rPr>
            </w:pPr>
            <w:r w:rsidRPr="00456D04">
              <w:rPr>
                <w:color w:val="auto"/>
              </w:rPr>
              <w:t>EU</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17F668E2" w14:textId="77777777" w:rsidR="009243FF" w:rsidRPr="00456D04" w:rsidRDefault="009243FF" w:rsidP="009159FD">
            <w:pPr>
              <w:rPr>
                <w:color w:val="auto"/>
              </w:rPr>
            </w:pPr>
            <w:r w:rsidRPr="00456D04">
              <w:rPr>
                <w:color w:val="auto"/>
              </w:rPr>
              <w:t>European Union</w:t>
            </w:r>
          </w:p>
        </w:tc>
      </w:tr>
      <w:tr w:rsidR="008F4C00" w14:paraId="1C352BE1"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4384AE2C" w14:textId="5507C814" w:rsidR="008F4C00" w:rsidRDefault="008F4C00" w:rsidP="009159FD">
            <w:r>
              <w:t>FDA</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541A9E3B" w14:textId="2F8B868E" w:rsidR="008F4C00" w:rsidRDefault="008F4C00" w:rsidP="009159FD">
            <w:r w:rsidRPr="008F4C00">
              <w:t>United States Food and Drug Administration</w:t>
            </w:r>
          </w:p>
        </w:tc>
      </w:tr>
      <w:tr w:rsidR="009243FF" w14:paraId="08645DED"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37F5D2E3" w14:textId="77777777" w:rsidR="009243FF" w:rsidRPr="0050692E" w:rsidRDefault="009243FF" w:rsidP="009159FD">
            <w:r>
              <w:t>MR</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6CA81CC3" w14:textId="77777777" w:rsidR="009243FF" w:rsidRDefault="009243FF" w:rsidP="009159FD">
            <w:r>
              <w:t>Molecular response</w:t>
            </w:r>
          </w:p>
        </w:tc>
      </w:tr>
      <w:tr w:rsidR="009243FF" w14:paraId="01D3098E"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0D7414F5" w14:textId="77777777" w:rsidR="009243FF" w:rsidRPr="00456D04" w:rsidRDefault="009243FF" w:rsidP="009159FD">
            <w:r w:rsidRPr="0050692E">
              <w:t>OATP1B1/3</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3954B5E6" w14:textId="77777777" w:rsidR="009243FF" w:rsidRPr="00456D04" w:rsidRDefault="009243FF" w:rsidP="009159FD">
            <w:r>
              <w:t>O</w:t>
            </w:r>
            <w:r w:rsidRPr="0009364E">
              <w:t>rganic anion-transporting polypeptide 1B1</w:t>
            </w:r>
            <w:r>
              <w:t xml:space="preserve"> and 1B3</w:t>
            </w:r>
          </w:p>
        </w:tc>
      </w:tr>
      <w:tr w:rsidR="009243FF" w14:paraId="25BD9EA7"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18224DA0" w14:textId="77777777" w:rsidR="009243FF" w:rsidRPr="00456D04" w:rsidRDefault="009243FF" w:rsidP="009159FD">
            <w:r>
              <w:t>PCR</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7708C013" w14:textId="77777777" w:rsidR="009243FF" w:rsidRPr="00456D04" w:rsidRDefault="009243FF" w:rsidP="009159FD">
            <w:r>
              <w:t>Polymerase chain reaction</w:t>
            </w:r>
          </w:p>
        </w:tc>
      </w:tr>
      <w:tr w:rsidR="009243FF" w14:paraId="0A14EA07"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767C28FB" w14:textId="77777777" w:rsidR="009243FF" w:rsidRPr="00456D04" w:rsidRDefault="009243FF" w:rsidP="009159FD">
            <w:pPr>
              <w:rPr>
                <w:rStyle w:val="CommentReference"/>
                <w:color w:val="auto"/>
              </w:rPr>
            </w:pPr>
            <w:r w:rsidRPr="00456D04">
              <w:rPr>
                <w:color w:val="auto"/>
              </w:rPr>
              <w:t>PI</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143D2DDB" w14:textId="77777777" w:rsidR="009243FF" w:rsidRPr="00456D04" w:rsidRDefault="009243FF" w:rsidP="009159FD">
            <w:pPr>
              <w:rPr>
                <w:color w:val="auto"/>
              </w:rPr>
            </w:pPr>
            <w:r w:rsidRPr="00456D04">
              <w:rPr>
                <w:color w:val="auto"/>
              </w:rPr>
              <w:t xml:space="preserve">Product </w:t>
            </w:r>
            <w:r>
              <w:rPr>
                <w:color w:val="auto"/>
              </w:rPr>
              <w:t>I</w:t>
            </w:r>
            <w:r w:rsidRPr="00456D04">
              <w:rPr>
                <w:color w:val="auto"/>
              </w:rPr>
              <w:t>nformation</w:t>
            </w:r>
          </w:p>
        </w:tc>
      </w:tr>
      <w:tr w:rsidR="009243FF" w14:paraId="5329BA38"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5F62BC3F" w14:textId="3ADD365F" w:rsidR="009243FF" w:rsidRPr="00456D04" w:rsidRDefault="009243FF" w:rsidP="009159FD">
            <w:pPr>
              <w:rPr>
                <w:color w:val="auto"/>
              </w:rPr>
            </w:pPr>
            <w:r w:rsidRPr="00456D04">
              <w:rPr>
                <w:color w:val="auto"/>
              </w:rPr>
              <w:t>PK</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69DCB572" w14:textId="77777777" w:rsidR="009243FF" w:rsidRPr="00456D04" w:rsidRDefault="009243FF" w:rsidP="009159FD">
            <w:pPr>
              <w:rPr>
                <w:color w:val="auto"/>
              </w:rPr>
            </w:pPr>
            <w:r w:rsidRPr="00456D04">
              <w:rPr>
                <w:color w:val="auto"/>
              </w:rPr>
              <w:t>Pharmacokinetic</w:t>
            </w:r>
            <w:r>
              <w:rPr>
                <w:color w:val="auto"/>
              </w:rPr>
              <w:t>(</w:t>
            </w:r>
            <w:r w:rsidRPr="00456D04">
              <w:rPr>
                <w:color w:val="auto"/>
              </w:rPr>
              <w:t>s</w:t>
            </w:r>
            <w:r>
              <w:rPr>
                <w:color w:val="auto"/>
              </w:rPr>
              <w:t>)</w:t>
            </w:r>
          </w:p>
        </w:tc>
      </w:tr>
      <w:tr w:rsidR="009243FF" w14:paraId="0FE91FD8"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02D9CE17" w14:textId="77777777" w:rsidR="009243FF" w:rsidRPr="00871F07" w:rsidRDefault="009243FF" w:rsidP="009159FD">
            <w:proofErr w:type="spellStart"/>
            <w:r>
              <w:t>PopPK</w:t>
            </w:r>
            <w:proofErr w:type="spellEnd"/>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78C3F05D" w14:textId="77777777" w:rsidR="009243FF" w:rsidRPr="00871F07" w:rsidRDefault="009243FF" w:rsidP="009159FD">
            <w:r>
              <w:t>Population pharmacokinetic(s)</w:t>
            </w:r>
          </w:p>
        </w:tc>
      </w:tr>
      <w:tr w:rsidR="009243FF" w14:paraId="3817DFB8"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7D7755D7" w14:textId="77777777" w:rsidR="009243FF" w:rsidRPr="00871F07" w:rsidRDefault="009243FF" w:rsidP="009159FD">
            <w:pPr>
              <w:rPr>
                <w:color w:val="auto"/>
              </w:rPr>
            </w:pPr>
            <w:r w:rsidRPr="00871F07">
              <w:rPr>
                <w:color w:val="auto"/>
              </w:rPr>
              <w:lastRenderedPageBreak/>
              <w:t>PSUR</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66251808" w14:textId="77777777" w:rsidR="009243FF" w:rsidRPr="00871F07" w:rsidRDefault="009243FF" w:rsidP="009159FD">
            <w:pPr>
              <w:rPr>
                <w:color w:val="auto"/>
              </w:rPr>
            </w:pPr>
            <w:r w:rsidRPr="00871F07">
              <w:rPr>
                <w:color w:val="auto"/>
              </w:rPr>
              <w:t>Periodic safety update reports</w:t>
            </w:r>
          </w:p>
        </w:tc>
      </w:tr>
      <w:tr w:rsidR="009243FF" w14:paraId="41171454"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06EE7681" w14:textId="77777777" w:rsidR="009243FF" w:rsidRDefault="009243FF" w:rsidP="009159FD">
            <w:r>
              <w:t>QTc</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0544F27B" w14:textId="77777777" w:rsidR="009243FF" w:rsidRPr="00456D04" w:rsidRDefault="009243FF" w:rsidP="009159FD">
            <w:pPr>
              <w:tabs>
                <w:tab w:val="center" w:pos="3483"/>
              </w:tabs>
            </w:pPr>
            <w:r w:rsidRPr="00C015EF">
              <w:t>Corrected Q-T interval</w:t>
            </w:r>
          </w:p>
        </w:tc>
      </w:tr>
      <w:tr w:rsidR="009243FF" w14:paraId="7669A680"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2D73A479" w14:textId="77777777" w:rsidR="009243FF" w:rsidRDefault="009243FF" w:rsidP="009159FD">
            <w:proofErr w:type="spellStart"/>
            <w:r>
              <w:t>QTcF</w:t>
            </w:r>
            <w:proofErr w:type="spellEnd"/>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48797426" w14:textId="77777777" w:rsidR="009243FF" w:rsidRPr="00456D04" w:rsidRDefault="009243FF" w:rsidP="009159FD">
            <w:pPr>
              <w:tabs>
                <w:tab w:val="center" w:pos="3483"/>
              </w:tabs>
            </w:pPr>
            <w:r w:rsidRPr="00C015EF">
              <w:t>QT interval corrected using Fridericia’s formula</w:t>
            </w:r>
          </w:p>
        </w:tc>
      </w:tr>
      <w:tr w:rsidR="009243FF" w14:paraId="26175916"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4E256E64" w14:textId="77777777" w:rsidR="009243FF" w:rsidRPr="00456D04" w:rsidRDefault="009243FF" w:rsidP="009159FD">
            <w:pPr>
              <w:rPr>
                <w:color w:val="auto"/>
              </w:rPr>
            </w:pPr>
            <w:r w:rsidRPr="00456D04">
              <w:rPr>
                <w:color w:val="auto"/>
              </w:rPr>
              <w:t>RMP</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0D08CFC4" w14:textId="77777777" w:rsidR="009243FF" w:rsidRPr="00456D04" w:rsidRDefault="009243FF" w:rsidP="009159FD">
            <w:pPr>
              <w:tabs>
                <w:tab w:val="center" w:pos="3483"/>
              </w:tabs>
              <w:rPr>
                <w:color w:val="auto"/>
              </w:rPr>
            </w:pPr>
            <w:r w:rsidRPr="00456D04">
              <w:rPr>
                <w:color w:val="auto"/>
              </w:rPr>
              <w:t>Risk management pla</w:t>
            </w:r>
            <w:r>
              <w:rPr>
                <w:color w:val="auto"/>
              </w:rPr>
              <w:t>n</w:t>
            </w:r>
          </w:p>
        </w:tc>
      </w:tr>
      <w:tr w:rsidR="009243FF" w14:paraId="2FB0AC84"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68C17463" w14:textId="77777777" w:rsidR="009243FF" w:rsidRPr="00456D04" w:rsidRDefault="009243FF" w:rsidP="009159FD">
            <w:r w:rsidRPr="002E4474">
              <w:t>t½)</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609ADA2C" w14:textId="77777777" w:rsidR="009243FF" w:rsidRPr="00456D04" w:rsidRDefault="009243FF" w:rsidP="009159FD">
            <w:r>
              <w:t>H</w:t>
            </w:r>
            <w:r w:rsidRPr="00A61030">
              <w:t>alf-life</w:t>
            </w:r>
          </w:p>
        </w:tc>
      </w:tr>
      <w:tr w:rsidR="009243FF" w14:paraId="2E1A9E3E"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27D71853" w14:textId="77777777" w:rsidR="009243FF" w:rsidRPr="00456D04" w:rsidRDefault="2F642F01" w:rsidP="009159FD">
            <w:pPr>
              <w:rPr>
                <w:color w:val="auto"/>
              </w:rPr>
            </w:pPr>
            <w:r w:rsidRPr="341B3481">
              <w:rPr>
                <w:color w:val="auto"/>
              </w:rPr>
              <w:t>TGA</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01CCEFDD" w14:textId="205E407B" w:rsidR="009243FF" w:rsidRPr="00456D04" w:rsidRDefault="2F642F01" w:rsidP="009159FD">
            <w:pPr>
              <w:rPr>
                <w:color w:val="auto"/>
              </w:rPr>
            </w:pPr>
            <w:r w:rsidRPr="341B3481">
              <w:rPr>
                <w:color w:val="auto"/>
              </w:rPr>
              <w:t>Therapeutic Goods Administration</w:t>
            </w:r>
          </w:p>
        </w:tc>
      </w:tr>
      <w:tr w:rsidR="009243FF" w14:paraId="62A70210"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4E3589C4" w14:textId="77777777" w:rsidR="009243FF" w:rsidRDefault="009243FF" w:rsidP="009159FD">
            <w:r>
              <w:t>UGT</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76F2FB7E" w14:textId="77777777" w:rsidR="009243FF" w:rsidRDefault="009243FF" w:rsidP="009159FD">
            <w:r>
              <w:t>U</w:t>
            </w:r>
            <w:r w:rsidRPr="0050692E">
              <w:t>ridine 5-diphospho-glucuronosyltransferase</w:t>
            </w:r>
          </w:p>
        </w:tc>
      </w:tr>
      <w:tr w:rsidR="009243FF" w14:paraId="6E6F8821" w14:textId="77777777" w:rsidTr="341B3481">
        <w:trPr>
          <w:cantSplit/>
        </w:trPr>
        <w:tc>
          <w:tcPr>
            <w:tcW w:w="1013" w:type="pct"/>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3C07123B" w14:textId="68511DBA" w:rsidR="009243FF" w:rsidRPr="00456D04" w:rsidRDefault="009243FF" w:rsidP="009159FD">
            <w:r>
              <w:t>US</w:t>
            </w:r>
            <w:r w:rsidR="00A2692B">
              <w:t>(</w:t>
            </w:r>
            <w:r>
              <w:t>A</w:t>
            </w:r>
            <w:r w:rsidR="00A2692B">
              <w:t>)</w:t>
            </w:r>
          </w:p>
        </w:tc>
        <w:tc>
          <w:tcPr>
            <w:tcW w:w="3987" w:type="pct"/>
            <w:gridSpan w:val="2"/>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p w14:paraId="765322EB" w14:textId="76A96BEF" w:rsidR="009243FF" w:rsidRPr="00456D04" w:rsidRDefault="009243FF" w:rsidP="009159FD">
            <w:r>
              <w:t xml:space="preserve">United States </w:t>
            </w:r>
            <w:r w:rsidR="00A2692B">
              <w:t>(</w:t>
            </w:r>
            <w:r>
              <w:t>of America</w:t>
            </w:r>
            <w:r w:rsidR="00A2692B">
              <w:t>)</w:t>
            </w:r>
          </w:p>
        </w:tc>
      </w:tr>
      <w:bookmarkEnd w:id="5"/>
    </w:tbl>
    <w:p w14:paraId="08943B46" w14:textId="77777777" w:rsidR="00FD119B" w:rsidRPr="00FD119B" w:rsidRDefault="00FD119B" w:rsidP="00FD119B">
      <w:pPr>
        <w:spacing w:before="0" w:after="200" w:line="0" w:lineRule="auto"/>
        <w:rPr>
          <w:b/>
          <w:i/>
          <w:sz w:val="24"/>
          <w:szCs w:val="24"/>
        </w:rPr>
      </w:pPr>
      <w:r w:rsidRPr="00FD119B">
        <w:rPr>
          <w:b/>
          <w:i/>
          <w:sz w:val="24"/>
          <w:szCs w:val="24"/>
        </w:rPr>
        <w:br w:type="page"/>
      </w:r>
    </w:p>
    <w:p w14:paraId="57729B12" w14:textId="77777777" w:rsidR="008E7846" w:rsidRDefault="009F2673" w:rsidP="008E7846">
      <w:pPr>
        <w:pStyle w:val="Heading2"/>
      </w:pPr>
      <w:bookmarkStart w:id="6" w:name="_Toc131683491"/>
      <w:r>
        <w:lastRenderedPageBreak/>
        <w:t>Pr</w:t>
      </w:r>
      <w:r w:rsidR="008E7846">
        <w:t>oduct submission</w:t>
      </w:r>
      <w:bookmarkEnd w:id="6"/>
      <w:bookmarkEnd w:id="2"/>
      <w:bookmarkEnd w:id="0"/>
    </w:p>
    <w:p w14:paraId="2D0A3AD6" w14:textId="77777777" w:rsidR="008E7846" w:rsidRDefault="008E7846" w:rsidP="009E5A87">
      <w:pPr>
        <w:pStyle w:val="Heading3"/>
        <w:rPr>
          <w:lang w:eastAsia="en-AU"/>
        </w:rPr>
      </w:pPr>
      <w:bookmarkStart w:id="7" w:name="_Toc247691502"/>
      <w:bookmarkStart w:id="8" w:name="_Toc314842483"/>
      <w:bookmarkStart w:id="9" w:name="_Toc131683492"/>
      <w:r>
        <w:rPr>
          <w:lang w:eastAsia="en-AU"/>
        </w:rPr>
        <w:t>Submission details</w:t>
      </w:r>
      <w:bookmarkEnd w:id="7"/>
      <w:bookmarkEnd w:id="8"/>
      <w:bookmarkEnd w:id="9"/>
    </w:p>
    <w:tbl>
      <w:tblPr>
        <w:tblW w:w="5000" w:type="pct"/>
        <w:tblLook w:val="01E0" w:firstRow="1" w:lastRow="1" w:firstColumn="1" w:lastColumn="1" w:noHBand="0" w:noVBand="0"/>
      </w:tblPr>
      <w:tblGrid>
        <w:gridCol w:w="2682"/>
        <w:gridCol w:w="5822"/>
      </w:tblGrid>
      <w:tr w:rsidR="009F2673" w:rsidRPr="003D1E62" w14:paraId="33C0AA34" w14:textId="77777777" w:rsidTr="341B3481">
        <w:tc>
          <w:tcPr>
            <w:tcW w:w="1577" w:type="pct"/>
          </w:tcPr>
          <w:p w14:paraId="7C7FF93B" w14:textId="77777777" w:rsidR="009F2673" w:rsidRPr="003D1E62" w:rsidRDefault="009F2673" w:rsidP="009E5A87">
            <w:pPr>
              <w:rPr>
                <w:i/>
              </w:rPr>
            </w:pPr>
            <w:r>
              <w:rPr>
                <w:i/>
              </w:rPr>
              <w:t>Type of s</w:t>
            </w:r>
            <w:r w:rsidRPr="003D1E62">
              <w:rPr>
                <w:i/>
              </w:rPr>
              <w:t>ubmission</w:t>
            </w:r>
            <w:r>
              <w:rPr>
                <w:i/>
              </w:rPr>
              <w:t>:</w:t>
            </w:r>
          </w:p>
        </w:tc>
        <w:tc>
          <w:tcPr>
            <w:tcW w:w="3423" w:type="pct"/>
          </w:tcPr>
          <w:p w14:paraId="5489564D" w14:textId="00FEC30B" w:rsidR="009F2673" w:rsidRPr="003D1E62" w:rsidRDefault="009F2673" w:rsidP="009E5A87">
            <w:bookmarkStart w:id="10" w:name="_Hlk133403012"/>
            <w:r w:rsidRPr="003D1E62">
              <w:t xml:space="preserve">New </w:t>
            </w:r>
            <w:r>
              <w:t>c</w:t>
            </w:r>
            <w:r w:rsidRPr="003D1E62">
              <w:t xml:space="preserve">hemical </w:t>
            </w:r>
            <w:r>
              <w:t>e</w:t>
            </w:r>
            <w:r w:rsidRPr="003D1E62">
              <w:t>ntity</w:t>
            </w:r>
            <w:bookmarkEnd w:id="10"/>
          </w:p>
        </w:tc>
      </w:tr>
      <w:tr w:rsidR="009F2673" w:rsidRPr="003D1E62" w14:paraId="672DFB5F" w14:textId="77777777" w:rsidTr="341B3481">
        <w:tc>
          <w:tcPr>
            <w:tcW w:w="1577" w:type="pct"/>
          </w:tcPr>
          <w:p w14:paraId="014E6BC1" w14:textId="0FB7EE0B" w:rsidR="009F2673" w:rsidRPr="003D1E62" w:rsidRDefault="009F2673" w:rsidP="009E5A87">
            <w:pPr>
              <w:rPr>
                <w:i/>
              </w:rPr>
            </w:pPr>
            <w:r w:rsidRPr="00460036">
              <w:rPr>
                <w:i/>
              </w:rPr>
              <w:t>Product name:</w:t>
            </w:r>
          </w:p>
        </w:tc>
        <w:tc>
          <w:tcPr>
            <w:tcW w:w="3423" w:type="pct"/>
          </w:tcPr>
          <w:p w14:paraId="38887CF1" w14:textId="45F3E39B" w:rsidR="009F2673" w:rsidRPr="003D1E62" w:rsidRDefault="000973D8" w:rsidP="009E5A87">
            <w:r>
              <w:t>Scemblix</w:t>
            </w:r>
          </w:p>
        </w:tc>
      </w:tr>
      <w:tr w:rsidR="009F2673" w:rsidRPr="003D1E62" w14:paraId="4F553021" w14:textId="77777777" w:rsidTr="341B3481">
        <w:tc>
          <w:tcPr>
            <w:tcW w:w="1577" w:type="pct"/>
          </w:tcPr>
          <w:p w14:paraId="6A115E4D" w14:textId="3172479B" w:rsidR="009F2673" w:rsidRPr="003D1E62" w:rsidRDefault="009F2673" w:rsidP="009E5A87">
            <w:pPr>
              <w:rPr>
                <w:i/>
              </w:rPr>
            </w:pPr>
            <w:r w:rsidRPr="00460036">
              <w:rPr>
                <w:i/>
              </w:rPr>
              <w:t>Active ingredient:</w:t>
            </w:r>
          </w:p>
        </w:tc>
        <w:tc>
          <w:tcPr>
            <w:tcW w:w="3423" w:type="pct"/>
          </w:tcPr>
          <w:p w14:paraId="375B944D" w14:textId="2DDBC217" w:rsidR="009F2673" w:rsidRPr="003D1E62" w:rsidRDefault="00E2563A" w:rsidP="009E5A87">
            <w:r>
              <w:t>A</w:t>
            </w:r>
            <w:r w:rsidR="000973D8">
              <w:t>sciminib</w:t>
            </w:r>
          </w:p>
        </w:tc>
      </w:tr>
      <w:tr w:rsidR="009F2673" w:rsidRPr="003D1E62" w14:paraId="6878492B" w14:textId="77777777" w:rsidTr="341B3481">
        <w:tc>
          <w:tcPr>
            <w:tcW w:w="1577" w:type="pct"/>
          </w:tcPr>
          <w:p w14:paraId="122439E2" w14:textId="77777777" w:rsidR="009F2673" w:rsidRPr="009F2673" w:rsidRDefault="009F2673" w:rsidP="009E5A87">
            <w:pPr>
              <w:rPr>
                <w:i/>
              </w:rPr>
            </w:pPr>
            <w:r w:rsidRPr="003D1E62">
              <w:rPr>
                <w:i/>
              </w:rPr>
              <w:t>Decision</w:t>
            </w:r>
            <w:r w:rsidRPr="009F2673">
              <w:rPr>
                <w:i/>
              </w:rPr>
              <w:t>:</w:t>
            </w:r>
          </w:p>
        </w:tc>
        <w:tc>
          <w:tcPr>
            <w:tcW w:w="3423" w:type="pct"/>
          </w:tcPr>
          <w:p w14:paraId="12CD490E" w14:textId="41AAB075" w:rsidR="009F2673" w:rsidRPr="003D1E62" w:rsidRDefault="009F2673" w:rsidP="009E5A87">
            <w:r w:rsidRPr="00460036">
              <w:t>Approved</w:t>
            </w:r>
          </w:p>
        </w:tc>
      </w:tr>
      <w:tr w:rsidR="009F2673" w:rsidRPr="003D1E62" w14:paraId="688C3CB3" w14:textId="77777777" w:rsidTr="341B3481">
        <w:tc>
          <w:tcPr>
            <w:tcW w:w="1577" w:type="pct"/>
          </w:tcPr>
          <w:p w14:paraId="699BE177" w14:textId="77777777" w:rsidR="009F2673" w:rsidRPr="003D1E62" w:rsidRDefault="009F2673" w:rsidP="009E5A87">
            <w:pPr>
              <w:rPr>
                <w:i/>
              </w:rPr>
            </w:pPr>
            <w:r w:rsidRPr="003D1E62">
              <w:rPr>
                <w:i/>
              </w:rPr>
              <w:t xml:space="preserve">Date of </w:t>
            </w:r>
            <w:r>
              <w:rPr>
                <w:i/>
              </w:rPr>
              <w:t>d</w:t>
            </w:r>
            <w:r w:rsidRPr="003D1E62">
              <w:rPr>
                <w:i/>
              </w:rPr>
              <w:t>ecision:</w:t>
            </w:r>
          </w:p>
        </w:tc>
        <w:tc>
          <w:tcPr>
            <w:tcW w:w="3423" w:type="pct"/>
          </w:tcPr>
          <w:p w14:paraId="1C25932F" w14:textId="013CF4B5" w:rsidR="009F2673" w:rsidRPr="003D1E62" w:rsidRDefault="000973D8" w:rsidP="009E5A87">
            <w:r>
              <w:t>14 July 2022</w:t>
            </w:r>
          </w:p>
        </w:tc>
      </w:tr>
      <w:tr w:rsidR="009F2673" w:rsidRPr="003D1E62" w14:paraId="6893EE02" w14:textId="77777777" w:rsidTr="341B3481">
        <w:tc>
          <w:tcPr>
            <w:tcW w:w="1577" w:type="pct"/>
          </w:tcPr>
          <w:p w14:paraId="67019BEE" w14:textId="77777777" w:rsidR="009F2673" w:rsidRPr="00441C3F" w:rsidRDefault="009F2673" w:rsidP="009E5A87">
            <w:pPr>
              <w:rPr>
                <w:i/>
              </w:rPr>
            </w:pPr>
            <w:r w:rsidRPr="00441C3F">
              <w:rPr>
                <w:i/>
              </w:rPr>
              <w:t>Date of entry onto ARTG</w:t>
            </w:r>
            <w:r>
              <w:rPr>
                <w:i/>
              </w:rPr>
              <w:t>:</w:t>
            </w:r>
          </w:p>
        </w:tc>
        <w:tc>
          <w:tcPr>
            <w:tcW w:w="3423" w:type="pct"/>
          </w:tcPr>
          <w:p w14:paraId="43C7F1CC" w14:textId="7203BC77" w:rsidR="009F2673" w:rsidRPr="009F2673" w:rsidRDefault="000973D8" w:rsidP="009E5A87">
            <w:r>
              <w:t>15 July 2022</w:t>
            </w:r>
          </w:p>
        </w:tc>
      </w:tr>
      <w:tr w:rsidR="009F2673" w:rsidRPr="003D1E62" w14:paraId="2E5232BE" w14:textId="77777777" w:rsidTr="341B3481">
        <w:tc>
          <w:tcPr>
            <w:tcW w:w="1577" w:type="pct"/>
          </w:tcPr>
          <w:p w14:paraId="0E1EA6D6" w14:textId="6088315E" w:rsidR="009F2673" w:rsidRPr="00441C3F" w:rsidRDefault="009F2673" w:rsidP="009E5A87">
            <w:pPr>
              <w:rPr>
                <w:i/>
              </w:rPr>
            </w:pPr>
            <w:r>
              <w:rPr>
                <w:i/>
              </w:rPr>
              <w:t>ARTG numbers:</w:t>
            </w:r>
          </w:p>
        </w:tc>
        <w:tc>
          <w:tcPr>
            <w:tcW w:w="3423" w:type="pct"/>
          </w:tcPr>
          <w:p w14:paraId="48F306A1" w14:textId="6DBC361C" w:rsidR="009F2673" w:rsidRPr="00441C3F" w:rsidRDefault="000973D8" w:rsidP="009E5A87">
            <w:r w:rsidRPr="000973D8">
              <w:t>371018, 371019</w:t>
            </w:r>
          </w:p>
        </w:tc>
      </w:tr>
      <w:tr w:rsidR="009F2673" w:rsidRPr="003D1E62" w14:paraId="18CBF7D0" w14:textId="77777777" w:rsidTr="341B3481">
        <w:tc>
          <w:tcPr>
            <w:tcW w:w="1577" w:type="pct"/>
          </w:tcPr>
          <w:p w14:paraId="22717E37" w14:textId="297A0F31" w:rsidR="009F2673" w:rsidRDefault="001B1DA4" w:rsidP="009E5A87">
            <w:pPr>
              <w:rPr>
                <w:i/>
              </w:rPr>
            </w:pPr>
            <w:r>
              <w:rPr>
                <w:rFonts w:ascii="Wingdings 3" w:hAnsi="Wingdings 3"/>
                <w:sz w:val="34"/>
                <w:szCs w:val="34"/>
                <w:lang w:eastAsia="en-AU"/>
              </w:rPr>
              <w:t></w:t>
            </w:r>
            <w:hyperlink r:id="rId17" w:history="1">
              <w:r w:rsidR="009F2673" w:rsidRPr="009F2673">
                <w:rPr>
                  <w:rStyle w:val="Hyperlink"/>
                  <w:i/>
                </w:rPr>
                <w:t>Black Triangle Scheme</w:t>
              </w:r>
            </w:hyperlink>
            <w:r w:rsidR="009F2673">
              <w:rPr>
                <w:i/>
              </w:rPr>
              <w:t>:</w:t>
            </w:r>
          </w:p>
        </w:tc>
        <w:tc>
          <w:tcPr>
            <w:tcW w:w="3423" w:type="pct"/>
          </w:tcPr>
          <w:p w14:paraId="7703B9A0" w14:textId="31264943" w:rsidR="009F2673" w:rsidRDefault="009F2673" w:rsidP="009E5A87">
            <w:r>
              <w:t>Yes</w:t>
            </w:r>
          </w:p>
          <w:p w14:paraId="21AA2EA3" w14:textId="084AF30B" w:rsidR="009F2673" w:rsidRPr="00487162" w:rsidRDefault="009F2673" w:rsidP="000973D8">
            <w:r>
              <w:t xml:space="preserve">This product will remain in the scheme for 5 years, starting on the date the product is first supplied in </w:t>
            </w:r>
            <w:r w:rsidRPr="00D453FA">
              <w:t>Australia</w:t>
            </w:r>
          </w:p>
        </w:tc>
      </w:tr>
      <w:tr w:rsidR="009F2673" w:rsidRPr="003D1E62" w14:paraId="03882EAF" w14:textId="77777777" w:rsidTr="341B3481">
        <w:tc>
          <w:tcPr>
            <w:tcW w:w="1577" w:type="pct"/>
          </w:tcPr>
          <w:p w14:paraId="63EE9CCF" w14:textId="77777777" w:rsidR="009F2673" w:rsidRPr="009F2673" w:rsidRDefault="009F2673" w:rsidP="009E5A87">
            <w:pPr>
              <w:rPr>
                <w:i/>
              </w:rPr>
            </w:pPr>
            <w:r w:rsidRPr="00487162">
              <w:rPr>
                <w:i/>
              </w:rPr>
              <w:t xml:space="preserve">Sponsor’s </w:t>
            </w:r>
            <w:r>
              <w:rPr>
                <w:i/>
              </w:rPr>
              <w:t>n</w:t>
            </w:r>
            <w:r w:rsidRPr="00487162">
              <w:rPr>
                <w:i/>
              </w:rPr>
              <w:t xml:space="preserve">ame and </w:t>
            </w:r>
            <w:r>
              <w:rPr>
                <w:i/>
              </w:rPr>
              <w:t>a</w:t>
            </w:r>
            <w:r w:rsidRPr="00487162">
              <w:rPr>
                <w:i/>
              </w:rPr>
              <w:t>ddress:</w:t>
            </w:r>
          </w:p>
        </w:tc>
        <w:tc>
          <w:tcPr>
            <w:tcW w:w="3423" w:type="pct"/>
          </w:tcPr>
          <w:p w14:paraId="4ECF8EFF" w14:textId="77777777" w:rsidR="009F2673" w:rsidRPr="006B58AB" w:rsidRDefault="000973D8" w:rsidP="009E5A87">
            <w:pPr>
              <w:rPr>
                <w:lang w:val="en-US"/>
              </w:rPr>
            </w:pPr>
            <w:r w:rsidRPr="006B58AB">
              <w:rPr>
                <w:lang w:val="en-US"/>
              </w:rPr>
              <w:t>Novartis Pharmaceuticals Australia Pty Ltd</w:t>
            </w:r>
          </w:p>
          <w:p w14:paraId="3A336068" w14:textId="77777777" w:rsidR="000973D8" w:rsidRDefault="000973D8" w:rsidP="000973D8">
            <w:r>
              <w:t>54 Waterloo Road</w:t>
            </w:r>
          </w:p>
          <w:p w14:paraId="54029E85" w14:textId="60063CA9" w:rsidR="000973D8" w:rsidRDefault="000973D8" w:rsidP="000973D8">
            <w:r>
              <w:t>Macquarie Park NSW 2113</w:t>
            </w:r>
          </w:p>
        </w:tc>
      </w:tr>
      <w:tr w:rsidR="009F2673" w:rsidRPr="003D1E62" w14:paraId="4DF393CD" w14:textId="77777777" w:rsidTr="341B3481">
        <w:tc>
          <w:tcPr>
            <w:tcW w:w="1577" w:type="pct"/>
          </w:tcPr>
          <w:p w14:paraId="1A73A54D" w14:textId="55AE5006" w:rsidR="009F2673" w:rsidRPr="00487162" w:rsidRDefault="009F2673" w:rsidP="009E5A87">
            <w:pPr>
              <w:rPr>
                <w:i/>
              </w:rPr>
            </w:pPr>
            <w:r>
              <w:rPr>
                <w:i/>
              </w:rPr>
              <w:t>Dose for</w:t>
            </w:r>
            <w:r w:rsidR="000973D8">
              <w:rPr>
                <w:i/>
              </w:rPr>
              <w:t>m</w:t>
            </w:r>
            <w:r>
              <w:rPr>
                <w:i/>
              </w:rPr>
              <w:t>:</w:t>
            </w:r>
          </w:p>
        </w:tc>
        <w:tc>
          <w:tcPr>
            <w:tcW w:w="3423" w:type="pct"/>
          </w:tcPr>
          <w:p w14:paraId="61993783" w14:textId="550CDFFD" w:rsidR="009F2673" w:rsidRDefault="000973D8" w:rsidP="009E5A87">
            <w:r>
              <w:t>Film coated tablet</w:t>
            </w:r>
          </w:p>
        </w:tc>
      </w:tr>
      <w:tr w:rsidR="009F2673" w:rsidRPr="003D1E62" w14:paraId="61F94B3B" w14:textId="77777777" w:rsidTr="341B3481">
        <w:tc>
          <w:tcPr>
            <w:tcW w:w="1577" w:type="pct"/>
          </w:tcPr>
          <w:p w14:paraId="1479F8F1" w14:textId="6546292A" w:rsidR="009F2673" w:rsidRPr="00487162" w:rsidRDefault="009F2673" w:rsidP="009E5A87">
            <w:pPr>
              <w:rPr>
                <w:i/>
              </w:rPr>
            </w:pPr>
            <w:r w:rsidRPr="00487162">
              <w:rPr>
                <w:i/>
              </w:rPr>
              <w:t>Strengths:</w:t>
            </w:r>
          </w:p>
        </w:tc>
        <w:tc>
          <w:tcPr>
            <w:tcW w:w="3423" w:type="pct"/>
          </w:tcPr>
          <w:p w14:paraId="264FE462" w14:textId="4BAF2D7A" w:rsidR="009F2673" w:rsidRDefault="000973D8" w:rsidP="009E5A87">
            <w:r>
              <w:t>20 mg and 40 mg</w:t>
            </w:r>
          </w:p>
        </w:tc>
      </w:tr>
      <w:tr w:rsidR="009F2673" w:rsidRPr="003D1E62" w14:paraId="3FBF3589" w14:textId="77777777" w:rsidTr="341B3481">
        <w:tc>
          <w:tcPr>
            <w:tcW w:w="1577" w:type="pct"/>
          </w:tcPr>
          <w:p w14:paraId="33C80926" w14:textId="3E739821" w:rsidR="009F2673" w:rsidRPr="00487162" w:rsidRDefault="009F2673" w:rsidP="009E5A87">
            <w:pPr>
              <w:rPr>
                <w:i/>
              </w:rPr>
            </w:pPr>
            <w:r w:rsidRPr="00487162">
              <w:rPr>
                <w:i/>
              </w:rPr>
              <w:t>Container:</w:t>
            </w:r>
          </w:p>
        </w:tc>
        <w:tc>
          <w:tcPr>
            <w:tcW w:w="3423" w:type="pct"/>
          </w:tcPr>
          <w:p w14:paraId="1C13D42B" w14:textId="3BF4103D" w:rsidR="009F2673" w:rsidRDefault="000973D8" w:rsidP="009E5A87">
            <w:r>
              <w:t>Blister pack</w:t>
            </w:r>
          </w:p>
        </w:tc>
      </w:tr>
      <w:tr w:rsidR="009F2673" w:rsidRPr="003D1E62" w14:paraId="1C1B92C0" w14:textId="77777777" w:rsidTr="341B3481">
        <w:tc>
          <w:tcPr>
            <w:tcW w:w="1577" w:type="pct"/>
          </w:tcPr>
          <w:p w14:paraId="2575A04A" w14:textId="0FFDCD56" w:rsidR="009F2673" w:rsidRPr="00487162" w:rsidRDefault="009F2673" w:rsidP="009E5A87">
            <w:pPr>
              <w:rPr>
                <w:i/>
              </w:rPr>
            </w:pPr>
            <w:r w:rsidRPr="00487162">
              <w:rPr>
                <w:i/>
              </w:rPr>
              <w:t>Pack sizes:</w:t>
            </w:r>
          </w:p>
        </w:tc>
        <w:tc>
          <w:tcPr>
            <w:tcW w:w="3423" w:type="pct"/>
          </w:tcPr>
          <w:p w14:paraId="2C92F05B" w14:textId="0ADB3030" w:rsidR="009F2673" w:rsidRDefault="000973D8" w:rsidP="009E5A87">
            <w:r>
              <w:t>20 and 60</w:t>
            </w:r>
          </w:p>
        </w:tc>
      </w:tr>
      <w:tr w:rsidR="009F2673" w:rsidRPr="003D1E62" w14:paraId="4C53F554" w14:textId="77777777" w:rsidTr="341B3481">
        <w:tc>
          <w:tcPr>
            <w:tcW w:w="1577" w:type="pct"/>
          </w:tcPr>
          <w:p w14:paraId="68D9925C" w14:textId="77777777" w:rsidR="009F2673" w:rsidRPr="00487162" w:rsidRDefault="009F2673" w:rsidP="009E5A87">
            <w:pPr>
              <w:rPr>
                <w:i/>
              </w:rPr>
            </w:pPr>
            <w:r w:rsidRPr="00487162">
              <w:rPr>
                <w:i/>
              </w:rPr>
              <w:t xml:space="preserve">Approved </w:t>
            </w:r>
            <w:r>
              <w:rPr>
                <w:i/>
              </w:rPr>
              <w:t>t</w:t>
            </w:r>
            <w:r w:rsidRPr="00487162">
              <w:rPr>
                <w:i/>
              </w:rPr>
              <w:t>herapeutic use:</w:t>
            </w:r>
          </w:p>
        </w:tc>
        <w:tc>
          <w:tcPr>
            <w:tcW w:w="3423" w:type="pct"/>
          </w:tcPr>
          <w:p w14:paraId="1AAE960F" w14:textId="386F8980" w:rsidR="000973D8" w:rsidRPr="000973D8" w:rsidRDefault="000973D8" w:rsidP="000973D8">
            <w:pPr>
              <w:rPr>
                <w:i/>
                <w:iCs/>
              </w:rPr>
            </w:pPr>
            <w:r w:rsidRPr="000973D8">
              <w:rPr>
                <w:i/>
                <w:iCs/>
              </w:rPr>
              <w:t>Scemblix is indicated for the treatment of patients 18 years of age and above with:</w:t>
            </w:r>
          </w:p>
          <w:p w14:paraId="6C27C591" w14:textId="270E011A" w:rsidR="000973D8" w:rsidRPr="000973D8" w:rsidRDefault="000973D8" w:rsidP="000973D8">
            <w:pPr>
              <w:pStyle w:val="ListBullet"/>
              <w:rPr>
                <w:i/>
                <w:iCs/>
              </w:rPr>
            </w:pPr>
            <w:r w:rsidRPr="000973D8">
              <w:rPr>
                <w:i/>
                <w:iCs/>
              </w:rPr>
              <w:t>Philadelphia chromosome-positive chronic myeloid leukaemia (Ph+ CML) in chronic phase (CP) previously treated with two or more tyrosine kinase inhibitors (see section 5.1 Clinical trials).</w:t>
            </w:r>
          </w:p>
          <w:p w14:paraId="7DD0BF9D" w14:textId="61216ED1" w:rsidR="009F2673" w:rsidRPr="00487162" w:rsidRDefault="000973D8" w:rsidP="000973D8">
            <w:pPr>
              <w:pStyle w:val="ListBullet"/>
            </w:pPr>
            <w:r w:rsidRPr="000973D8">
              <w:rPr>
                <w:i/>
                <w:iCs/>
              </w:rPr>
              <w:t xml:space="preserve">Ph+ CML in CP with the </w:t>
            </w:r>
            <w:r w:rsidR="00FB39FA" w:rsidRPr="00FB39FA">
              <w:rPr>
                <w:i/>
                <w:iCs/>
              </w:rPr>
              <w:t>T315I</w:t>
            </w:r>
            <w:r w:rsidRPr="000973D8">
              <w:rPr>
                <w:i/>
                <w:iCs/>
              </w:rPr>
              <w:t xml:space="preserve"> mutation.</w:t>
            </w:r>
          </w:p>
        </w:tc>
      </w:tr>
      <w:tr w:rsidR="009F2673" w:rsidRPr="003D1E62" w14:paraId="257C3EB2" w14:textId="77777777" w:rsidTr="341B3481">
        <w:tc>
          <w:tcPr>
            <w:tcW w:w="1577" w:type="pct"/>
          </w:tcPr>
          <w:p w14:paraId="4BF764C4" w14:textId="0F5E779F" w:rsidR="009F2673" w:rsidRPr="00487162" w:rsidRDefault="009F2673" w:rsidP="009E5A87">
            <w:pPr>
              <w:rPr>
                <w:i/>
              </w:rPr>
            </w:pPr>
            <w:r w:rsidRPr="00487162">
              <w:rPr>
                <w:i/>
              </w:rPr>
              <w:t>Route of administration:</w:t>
            </w:r>
          </w:p>
        </w:tc>
        <w:tc>
          <w:tcPr>
            <w:tcW w:w="3423" w:type="pct"/>
          </w:tcPr>
          <w:p w14:paraId="6CE19774" w14:textId="144B7FC4" w:rsidR="009F2673" w:rsidRPr="00487162" w:rsidRDefault="000973D8" w:rsidP="009E5A87">
            <w:r>
              <w:t>Oral</w:t>
            </w:r>
          </w:p>
        </w:tc>
      </w:tr>
      <w:tr w:rsidR="009F2673" w:rsidRPr="003D1E62" w14:paraId="490C4063" w14:textId="77777777" w:rsidTr="341B3481">
        <w:tc>
          <w:tcPr>
            <w:tcW w:w="1577" w:type="pct"/>
          </w:tcPr>
          <w:p w14:paraId="2A7DE864" w14:textId="77777777" w:rsidR="009F2673" w:rsidRPr="00487162" w:rsidRDefault="009F2673" w:rsidP="009E5A87">
            <w:pPr>
              <w:rPr>
                <w:i/>
              </w:rPr>
            </w:pPr>
            <w:r w:rsidRPr="00487162">
              <w:rPr>
                <w:i/>
              </w:rPr>
              <w:t>Dosage:</w:t>
            </w:r>
          </w:p>
        </w:tc>
        <w:tc>
          <w:tcPr>
            <w:tcW w:w="3423" w:type="pct"/>
          </w:tcPr>
          <w:p w14:paraId="47775094" w14:textId="29FAC553" w:rsidR="000973D8" w:rsidRDefault="000973D8" w:rsidP="000973D8">
            <w:r>
              <w:t xml:space="preserve">Treatment with Scemblix should be initiated by a physician experienced in the use of anticancer therapies and should be continued </w:t>
            </w:r>
            <w:proofErr w:type="gramStart"/>
            <w:r>
              <w:t>as long as</w:t>
            </w:r>
            <w:proofErr w:type="gramEnd"/>
            <w:r>
              <w:t xml:space="preserve"> clinical benefit is observed or until unacceptable toxicity occurs.</w:t>
            </w:r>
          </w:p>
          <w:p w14:paraId="3B4900DF" w14:textId="7EEAAAB3" w:rsidR="009F2673" w:rsidRDefault="1A0CA174" w:rsidP="000973D8">
            <w:r>
              <w:t xml:space="preserve">The recommended total daily dose of </w:t>
            </w:r>
            <w:proofErr w:type="spellStart"/>
            <w:r>
              <w:t>Scemblix</w:t>
            </w:r>
            <w:proofErr w:type="spellEnd"/>
            <w:r>
              <w:t xml:space="preserve"> in patients with Philadelphia chromosome positive chronic myeloid leukaemia in chronic phase is 80</w:t>
            </w:r>
            <w:r w:rsidR="478D4EB9">
              <w:t> </w:t>
            </w:r>
            <w:r>
              <w:t xml:space="preserve">mg and in patients with </w:t>
            </w:r>
            <w:r w:rsidR="478D4EB9">
              <w:t xml:space="preserve">Philadelphia chromosome positive chronic myeloid </w:t>
            </w:r>
            <w:r w:rsidR="478D4EB9">
              <w:lastRenderedPageBreak/>
              <w:t xml:space="preserve">leukaemia in chronic phase </w:t>
            </w:r>
            <w:r>
              <w:t>harbouring the T315</w:t>
            </w:r>
            <w:r w:rsidR="1CB49DF7">
              <w:t>I</w:t>
            </w:r>
            <w:r w:rsidR="00A6576A">
              <w:br/>
            </w:r>
            <w:r>
              <w:t xml:space="preserve">mutation is 200 mg, taken orally twice daily at approximately </w:t>
            </w:r>
            <w:proofErr w:type="gramStart"/>
            <w:r>
              <w:t>12</w:t>
            </w:r>
            <w:r w:rsidR="00A6576A">
              <w:t xml:space="preserve"> </w:t>
            </w:r>
            <w:r>
              <w:t>hour</w:t>
            </w:r>
            <w:proofErr w:type="gramEnd"/>
            <w:r>
              <w:t xml:space="preserve"> intervals.</w:t>
            </w:r>
          </w:p>
          <w:p w14:paraId="7AB33BDB" w14:textId="77777777" w:rsidR="009F2673" w:rsidRPr="00487162" w:rsidRDefault="009F2673" w:rsidP="009E5A87">
            <w:r w:rsidRPr="00460036">
              <w:t>For further information regarding dosage, refer to the Product Information.</w:t>
            </w:r>
          </w:p>
        </w:tc>
      </w:tr>
      <w:tr w:rsidR="009F2673" w:rsidRPr="003D1E62" w14:paraId="488A78D5" w14:textId="77777777" w:rsidTr="341B3481">
        <w:tc>
          <w:tcPr>
            <w:tcW w:w="1577" w:type="pct"/>
          </w:tcPr>
          <w:p w14:paraId="760EEB4E" w14:textId="77777777" w:rsidR="009F2673" w:rsidRPr="00487162" w:rsidRDefault="009F2673" w:rsidP="009E5A87">
            <w:pPr>
              <w:rPr>
                <w:i/>
              </w:rPr>
            </w:pPr>
            <w:r w:rsidRPr="00460036">
              <w:rPr>
                <w:i/>
              </w:rPr>
              <w:lastRenderedPageBreak/>
              <w:t>Pregnancy category</w:t>
            </w:r>
            <w:r>
              <w:rPr>
                <w:i/>
              </w:rPr>
              <w:t>:</w:t>
            </w:r>
          </w:p>
        </w:tc>
        <w:tc>
          <w:tcPr>
            <w:tcW w:w="3423" w:type="pct"/>
          </w:tcPr>
          <w:p w14:paraId="35660B45" w14:textId="22A86A74" w:rsidR="009F2673" w:rsidDel="00B370C2" w:rsidRDefault="1A0CA174" w:rsidP="009F2673">
            <w:r>
              <w:t>D</w:t>
            </w:r>
          </w:p>
          <w:p w14:paraId="25A17ACE" w14:textId="5803975B" w:rsidR="000973D8" w:rsidRDefault="000973D8" w:rsidP="009F2673">
            <w:r w:rsidRPr="000973D8">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7BF030BB" w14:textId="5A2DE287" w:rsidR="009F2673" w:rsidRPr="00487162" w:rsidRDefault="009F2673" w:rsidP="000973D8">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034A69CF" w14:textId="77777777" w:rsidR="008E7846" w:rsidRDefault="008E7846" w:rsidP="008E7846">
      <w:pPr>
        <w:pStyle w:val="Heading3"/>
      </w:pPr>
      <w:bookmarkStart w:id="11" w:name="_Toc247691503"/>
      <w:bookmarkStart w:id="12" w:name="_Toc314842484"/>
      <w:bookmarkStart w:id="13" w:name="_Toc131683493"/>
      <w:r>
        <w:t>Product background</w:t>
      </w:r>
      <w:bookmarkEnd w:id="11"/>
      <w:bookmarkEnd w:id="12"/>
      <w:bookmarkEnd w:id="13"/>
    </w:p>
    <w:p w14:paraId="58C9E94A" w14:textId="6BE01551" w:rsidR="009F2673" w:rsidRPr="000A4A42" w:rsidRDefault="009F2673" w:rsidP="009F2673">
      <w:r>
        <w:t xml:space="preserve">This AusPAR describes the </w:t>
      </w:r>
      <w:r w:rsidR="001E359E">
        <w:t>submission</w:t>
      </w:r>
      <w:r>
        <w:t xml:space="preserve"> by </w:t>
      </w:r>
      <w:r w:rsidR="00717FC6">
        <w:t>Novartis Pharmaceuticals Australia Pty Ltd</w:t>
      </w:r>
      <w:r>
        <w:t xml:space="preserve"> (the</w:t>
      </w:r>
      <w:r w:rsidR="00C6113B">
        <w:t> </w:t>
      </w:r>
      <w:r>
        <w:t xml:space="preserve">sponsor) to register </w:t>
      </w:r>
      <w:r w:rsidR="00717FC6">
        <w:t xml:space="preserve">Scemblix </w:t>
      </w:r>
      <w:r>
        <w:t>(</w:t>
      </w:r>
      <w:r w:rsidR="00717FC6">
        <w:t>asciminib</w:t>
      </w:r>
      <w:r>
        <w:t>)</w:t>
      </w:r>
      <w:r w:rsidR="00717FC6">
        <w:t xml:space="preserve"> 20 mg and 40 mg tablets </w:t>
      </w:r>
      <w:r>
        <w:t>for the following proposed indication</w:t>
      </w:r>
      <w:r w:rsidR="00717FC6">
        <w:t>:</w:t>
      </w:r>
    </w:p>
    <w:p w14:paraId="105849EB" w14:textId="2CFFC00A" w:rsidR="001A0FFE" w:rsidRPr="001A0FFE" w:rsidRDefault="001A0FFE" w:rsidP="001A0FFE">
      <w:pPr>
        <w:ind w:left="720"/>
        <w:rPr>
          <w:i/>
          <w:iCs/>
        </w:rPr>
      </w:pPr>
      <w:r w:rsidRPr="001A0FFE">
        <w:rPr>
          <w:i/>
          <w:iCs/>
        </w:rPr>
        <w:t>For the treatment of adult patients with Philadelphia chromosome-positive chronic myeloid leukaemia (Ph+ CML) in chronic phase (CP) previously treated with two or more tyrosine kinase inhibitors.</w:t>
      </w:r>
    </w:p>
    <w:p w14:paraId="56B38BDB" w14:textId="0DE9D621" w:rsidR="00C94608" w:rsidRDefault="00B15ABE" w:rsidP="00B15ABE">
      <w:r w:rsidRPr="00B15ABE">
        <w:t xml:space="preserve">Chronic myeloid </w:t>
      </w:r>
      <w:r w:rsidR="001B10B9">
        <w:t>leukaemia</w:t>
      </w:r>
      <w:r w:rsidRPr="00B15ABE">
        <w:t xml:space="preserve"> is a clonal </w:t>
      </w:r>
      <w:r w:rsidR="00EC188E">
        <w:t>bone marrow stem cell</w:t>
      </w:r>
      <w:r w:rsidR="00EC188E" w:rsidRPr="00B15ABE">
        <w:t xml:space="preserve"> </w:t>
      </w:r>
      <w:r w:rsidRPr="00B15ABE">
        <w:t xml:space="preserve">disorder </w:t>
      </w:r>
      <w:r w:rsidR="00C94608">
        <w:t xml:space="preserve">where there is the </w:t>
      </w:r>
      <w:r w:rsidRPr="00B15ABE">
        <w:t>transfor</w:t>
      </w:r>
      <w:r w:rsidR="00C94608">
        <w:t>mation of</w:t>
      </w:r>
      <w:r>
        <w:t xml:space="preserve"> </w:t>
      </w:r>
      <w:r w:rsidRPr="00B15ABE">
        <w:t>h</w:t>
      </w:r>
      <w:r w:rsidR="00C6113B">
        <w:t>a</w:t>
      </w:r>
      <w:r w:rsidRPr="00B15ABE">
        <w:t xml:space="preserve">ematopoietic progenitor cells </w:t>
      </w:r>
      <w:r w:rsidR="00EC188E">
        <w:t>and</w:t>
      </w:r>
      <w:r w:rsidRPr="00B15ABE">
        <w:t xml:space="preserve"> </w:t>
      </w:r>
      <w:r w:rsidR="0070021A">
        <w:t>dysregulated</w:t>
      </w:r>
      <w:r w:rsidR="00C94608">
        <w:t xml:space="preserve"> </w:t>
      </w:r>
      <w:r w:rsidRPr="00B15ABE">
        <w:t>overproduction of immature myeloid cells and</w:t>
      </w:r>
      <w:r>
        <w:t xml:space="preserve"> </w:t>
      </w:r>
      <w:r w:rsidRPr="00B15ABE">
        <w:t>mature granulocytes in the spleen, bone marrow, and peripheral blood.</w:t>
      </w:r>
    </w:p>
    <w:p w14:paraId="1969CA69" w14:textId="0D6BC081" w:rsidR="00B15ABE" w:rsidRPr="00B15ABE" w:rsidRDefault="00B15ABE" w:rsidP="00B15ABE">
      <w:r w:rsidRPr="00B15ABE">
        <w:t xml:space="preserve">The </w:t>
      </w:r>
      <w:r w:rsidR="00C94608">
        <w:t>classic genetic</w:t>
      </w:r>
      <w:r w:rsidR="00C94608" w:rsidRPr="00B15ABE">
        <w:t xml:space="preserve"> </w:t>
      </w:r>
      <w:r w:rsidR="00C94608">
        <w:t>feature</w:t>
      </w:r>
      <w:r w:rsidRPr="00B15ABE">
        <w:t xml:space="preserve"> </w:t>
      </w:r>
      <w:r w:rsidR="00ED6421">
        <w:t>c</w:t>
      </w:r>
      <w:r w:rsidR="00ED6421" w:rsidRPr="00B15ABE">
        <w:t xml:space="preserve">hronic myeloid </w:t>
      </w:r>
      <w:r w:rsidR="001B10B9">
        <w:t>leukaemia</w:t>
      </w:r>
      <w:r>
        <w:t xml:space="preserve"> </w:t>
      </w:r>
      <w:r w:rsidRPr="00B15ABE">
        <w:t xml:space="preserve">is the </w:t>
      </w:r>
      <w:r w:rsidR="00C94608">
        <w:t xml:space="preserve">presence of </w:t>
      </w:r>
      <w:r w:rsidRPr="00B15ABE">
        <w:t>Philadelphia chromosome found in up to 95% of patients.</w:t>
      </w:r>
      <w:r w:rsidR="0070021A">
        <w:rPr>
          <w:rStyle w:val="FootnoteReference"/>
        </w:rPr>
        <w:footnoteReference w:id="2"/>
      </w:r>
      <w:r w:rsidRPr="00B15ABE">
        <w:t xml:space="preserve"> The P</w:t>
      </w:r>
      <w:r w:rsidR="001A0FFE">
        <w:t>hiladelphia</w:t>
      </w:r>
      <w:r w:rsidRPr="00B15ABE">
        <w:t xml:space="preserve"> chromosome</w:t>
      </w:r>
      <w:r>
        <w:t xml:space="preserve"> </w:t>
      </w:r>
      <w:r w:rsidRPr="00B15ABE">
        <w:t>results from a reciprocal translocation</w:t>
      </w:r>
      <w:r w:rsidR="00F946C7">
        <w:t>,</w:t>
      </w:r>
      <w:r w:rsidRPr="00B15ABE">
        <w:t xml:space="preserve"> t(9;</w:t>
      </w:r>
      <w:proofErr w:type="gramStart"/>
      <w:r w:rsidRPr="00B15ABE">
        <w:t>22)(</w:t>
      </w:r>
      <w:proofErr w:type="gramEnd"/>
      <w:r w:rsidRPr="00B15ABE">
        <w:t>q34;q11)</w:t>
      </w:r>
      <w:r w:rsidR="00F946C7">
        <w:t>,</w:t>
      </w:r>
      <w:r w:rsidRPr="00B15ABE">
        <w:t xml:space="preserve"> which fuses a portion of the </w:t>
      </w:r>
      <w:r w:rsidRPr="00FC7BC2">
        <w:t>Abelson</w:t>
      </w:r>
      <w:r w:rsidRPr="00B15ABE">
        <w:t xml:space="preserve"> </w:t>
      </w:r>
      <w:r w:rsidR="00461CC0" w:rsidRPr="00B15ABE">
        <w:t xml:space="preserve">gene </w:t>
      </w:r>
      <w:r w:rsidRPr="00FA6DA9">
        <w:t>(</w:t>
      </w:r>
      <w:r w:rsidRPr="00C6113B">
        <w:rPr>
          <w:i/>
        </w:rPr>
        <w:t>ABL1</w:t>
      </w:r>
      <w:r w:rsidRPr="00FA6DA9">
        <w:t>)</w:t>
      </w:r>
      <w:r w:rsidRPr="00B15ABE">
        <w:t xml:space="preserve"> on chromosome 9 with a portion of the breakpoint cluster region </w:t>
      </w:r>
      <w:r w:rsidR="009F390F">
        <w:t xml:space="preserve">gene </w:t>
      </w:r>
      <w:r w:rsidRPr="00B15ABE">
        <w:t>(</w:t>
      </w:r>
      <w:r w:rsidRPr="009571C3">
        <w:rPr>
          <w:i/>
        </w:rPr>
        <w:t>BCR</w:t>
      </w:r>
      <w:r w:rsidRPr="00B15ABE">
        <w:t>) on chromosome 22. The resulting fusion gene encodes a chimeric protein (</w:t>
      </w:r>
      <w:proofErr w:type="gramStart"/>
      <w:r w:rsidR="007A021D" w:rsidRPr="00FC7BC2">
        <w:rPr>
          <w:i/>
          <w:iCs/>
        </w:rPr>
        <w:t>BCR::</w:t>
      </w:r>
      <w:proofErr w:type="gramEnd"/>
      <w:r w:rsidR="007A021D" w:rsidRPr="00FC7BC2">
        <w:rPr>
          <w:i/>
          <w:iCs/>
        </w:rPr>
        <w:t>ABL1</w:t>
      </w:r>
      <w:r w:rsidRPr="00B15ABE">
        <w:t xml:space="preserve">), resulting in a constitutively active tyrosine kinase domain. This oncoprotein promotes cell growth and replication through downstream signalling pathways such as </w:t>
      </w:r>
      <w:r w:rsidR="009571C3">
        <w:t>rat sarcoma virus (</w:t>
      </w:r>
      <w:r w:rsidRPr="007F3963">
        <w:t>RAS</w:t>
      </w:r>
      <w:r w:rsidR="009571C3">
        <w:t>),</w:t>
      </w:r>
      <w:r w:rsidR="009571C3" w:rsidRPr="009571C3">
        <w:t xml:space="preserve"> rapidly accelerated fibrosarcoma</w:t>
      </w:r>
      <w:r w:rsidRPr="007F3963">
        <w:t xml:space="preserve"> </w:t>
      </w:r>
      <w:r w:rsidR="009571C3">
        <w:t>(</w:t>
      </w:r>
      <w:r w:rsidRPr="007F3963">
        <w:t>RAF</w:t>
      </w:r>
      <w:r w:rsidR="009571C3">
        <w:t>)</w:t>
      </w:r>
      <w:r w:rsidRPr="007F3963">
        <w:t xml:space="preserve">, JUN kinase, MYC, and </w:t>
      </w:r>
      <w:r w:rsidR="009571C3" w:rsidRPr="009571C3">
        <w:t xml:space="preserve">signal transducer and activator of transcription </w:t>
      </w:r>
      <w:r w:rsidR="009571C3">
        <w:t>(</w:t>
      </w:r>
      <w:r w:rsidRPr="007F3963">
        <w:t>STAT</w:t>
      </w:r>
      <w:r w:rsidR="009571C3">
        <w:t>)</w:t>
      </w:r>
      <w:r w:rsidRPr="007F3963">
        <w:t>.</w:t>
      </w:r>
      <w:r w:rsidR="00163628">
        <w:rPr>
          <w:rStyle w:val="FootnoteReference"/>
        </w:rPr>
        <w:footnoteReference w:id="3"/>
      </w:r>
    </w:p>
    <w:p w14:paraId="40969E14" w14:textId="77777777" w:rsidR="0070021A" w:rsidRDefault="000A1CEB" w:rsidP="00B15ABE">
      <w:r>
        <w:lastRenderedPageBreak/>
        <w:t>The course of c</w:t>
      </w:r>
      <w:r w:rsidR="00BE3130" w:rsidRPr="00B15ABE">
        <w:t xml:space="preserve">hronic myeloid </w:t>
      </w:r>
      <w:r w:rsidR="00BE3130">
        <w:t>leukaemia</w:t>
      </w:r>
      <w:r w:rsidR="00BE3130" w:rsidRPr="00B15ABE">
        <w:t xml:space="preserve"> </w:t>
      </w:r>
      <w:r w:rsidR="00BE3130" w:rsidRPr="00BE3130">
        <w:t>is classified into</w:t>
      </w:r>
      <w:r>
        <w:t xml:space="preserve"> </w:t>
      </w:r>
      <w:r w:rsidR="007175A2">
        <w:t xml:space="preserve">three </w:t>
      </w:r>
      <w:r>
        <w:t xml:space="preserve">phases </w:t>
      </w:r>
      <w:r w:rsidR="007175A2">
        <w:t xml:space="preserve">(chronic, accelerated and blast phase) </w:t>
      </w:r>
      <w:r>
        <w:t>as opposed to stages largely based upon the number of immature white blood cells (or blasts) in the blood or bone marrow.</w:t>
      </w:r>
      <w:bookmarkStart w:id="14" w:name="_Ref131080748"/>
      <w:r>
        <w:rPr>
          <w:rStyle w:val="FootnoteReference"/>
        </w:rPr>
        <w:footnoteReference w:id="4"/>
      </w:r>
      <w:bookmarkEnd w:id="14"/>
    </w:p>
    <w:p w14:paraId="026949F9" w14:textId="77777777" w:rsidR="0070021A" w:rsidRDefault="007175A2" w:rsidP="00B15ABE">
      <w:r>
        <w:t xml:space="preserve">In most cases patients are diagnosed whilst in chronic phase </w:t>
      </w:r>
      <w:r w:rsidRPr="00B15ABE">
        <w:t>which is characterised by overproduction and</w:t>
      </w:r>
      <w:r>
        <w:t xml:space="preserve"> </w:t>
      </w:r>
      <w:r w:rsidRPr="00B15ABE">
        <w:t>accumulation of immature myelogenous cells and mature granulocytes in the spleen, bone</w:t>
      </w:r>
      <w:r>
        <w:t xml:space="preserve"> </w:t>
      </w:r>
      <w:r w:rsidRPr="00B15ABE">
        <w:t>marrow, and peripheral blood.</w:t>
      </w:r>
      <w:bookmarkStart w:id="15" w:name="_Ref131076754"/>
      <w:r>
        <w:rPr>
          <w:rStyle w:val="FootnoteReference"/>
        </w:rPr>
        <w:footnoteReference w:id="5"/>
      </w:r>
      <w:bookmarkEnd w:id="15"/>
    </w:p>
    <w:p w14:paraId="3F01E113" w14:textId="77777777" w:rsidR="0070021A" w:rsidRDefault="007175A2" w:rsidP="00B15ABE">
      <w:r>
        <w:t>When either untreated or not adequately controlled by therapy, chronic myeloid leukaemia may progress into accelerated phase.</w:t>
      </w:r>
      <w:r w:rsidR="00EE582A">
        <w:t xml:space="preserve"> The accelerated phase is characterised by the proliferation of primitive blast cells in the peripheral blood and bone marrow along with worsening of other haematological findings and splenomegaly.</w:t>
      </w:r>
    </w:p>
    <w:p w14:paraId="25DE15C9" w14:textId="51A937F7" w:rsidR="000A1CEB" w:rsidRDefault="00EE582A" w:rsidP="00B15ABE">
      <w:r>
        <w:t>The blast phase (also known as acute phase or blast</w:t>
      </w:r>
      <w:r w:rsidR="005C0F3D">
        <w:t xml:space="preserve"> crisis) represents a worsening from the accelerate phase</w:t>
      </w:r>
      <w:r>
        <w:t xml:space="preserve"> and resembles acute leukaemia with uncontrolled proliferation of myeloid or lymphoid blasts.</w:t>
      </w:r>
      <w:r w:rsidR="005C0F3D" w:rsidRPr="00547BEA">
        <w:rPr>
          <w:vertAlign w:val="superscript"/>
        </w:rPr>
        <w:fldChar w:fldCharType="begin"/>
      </w:r>
      <w:r w:rsidR="005C0F3D" w:rsidRPr="00547BEA">
        <w:rPr>
          <w:vertAlign w:val="superscript"/>
        </w:rPr>
        <w:instrText xml:space="preserve"> NOTEREF _Ref131080748 \h </w:instrText>
      </w:r>
      <w:r w:rsidR="005C0F3D">
        <w:rPr>
          <w:vertAlign w:val="superscript"/>
        </w:rPr>
        <w:instrText xml:space="preserve"> \* MERGEFORMAT </w:instrText>
      </w:r>
      <w:r w:rsidR="005C0F3D" w:rsidRPr="00547BEA">
        <w:rPr>
          <w:vertAlign w:val="superscript"/>
        </w:rPr>
      </w:r>
      <w:r w:rsidR="005C0F3D" w:rsidRPr="00547BEA">
        <w:rPr>
          <w:vertAlign w:val="superscript"/>
        </w:rPr>
        <w:fldChar w:fldCharType="separate"/>
      </w:r>
      <w:r w:rsidR="00547BEA">
        <w:rPr>
          <w:vertAlign w:val="superscript"/>
        </w:rPr>
        <w:t>3</w:t>
      </w:r>
      <w:r w:rsidR="005C0F3D" w:rsidRPr="00547BEA">
        <w:rPr>
          <w:vertAlign w:val="superscript"/>
        </w:rPr>
        <w:fldChar w:fldCharType="end"/>
      </w:r>
      <w:r w:rsidR="005C0F3D" w:rsidRPr="00547BEA">
        <w:rPr>
          <w:vertAlign w:val="superscript"/>
        </w:rPr>
        <w:t>,</w:t>
      </w:r>
      <w:r w:rsidR="005C0F3D" w:rsidRPr="00547BEA">
        <w:rPr>
          <w:vertAlign w:val="superscript"/>
        </w:rPr>
        <w:fldChar w:fldCharType="begin"/>
      </w:r>
      <w:r w:rsidR="005C0F3D" w:rsidRPr="00547BEA">
        <w:rPr>
          <w:vertAlign w:val="superscript"/>
        </w:rPr>
        <w:instrText xml:space="preserve"> NOTEREF _Ref131076754 \h </w:instrText>
      </w:r>
      <w:r w:rsidR="005C0F3D">
        <w:rPr>
          <w:vertAlign w:val="superscript"/>
        </w:rPr>
        <w:instrText xml:space="preserve"> \* MERGEFORMAT </w:instrText>
      </w:r>
      <w:r w:rsidR="005C0F3D" w:rsidRPr="00547BEA">
        <w:rPr>
          <w:vertAlign w:val="superscript"/>
        </w:rPr>
      </w:r>
      <w:r w:rsidR="005C0F3D" w:rsidRPr="00547BEA">
        <w:rPr>
          <w:vertAlign w:val="superscript"/>
        </w:rPr>
        <w:fldChar w:fldCharType="separate"/>
      </w:r>
      <w:r w:rsidR="00547BEA">
        <w:rPr>
          <w:vertAlign w:val="superscript"/>
        </w:rPr>
        <w:t>4</w:t>
      </w:r>
      <w:r w:rsidR="005C0F3D" w:rsidRPr="00547BEA">
        <w:rPr>
          <w:vertAlign w:val="superscript"/>
        </w:rPr>
        <w:fldChar w:fldCharType="end"/>
      </w:r>
    </w:p>
    <w:p w14:paraId="5591C33C" w14:textId="7620BABF" w:rsidR="00163628" w:rsidRDefault="7042480B" w:rsidP="00B15ABE">
      <w:r>
        <w:t xml:space="preserve">The prognosis of </w:t>
      </w:r>
      <w:r w:rsidR="34DCBA3C">
        <w:t xml:space="preserve">chronic myeloid </w:t>
      </w:r>
      <w:r w:rsidR="33350399">
        <w:t>leukaemia</w:t>
      </w:r>
      <w:r>
        <w:t xml:space="preserve"> has changed during the past two decades from a disease with an overall survival of 5</w:t>
      </w:r>
      <w:r w:rsidR="167F2884">
        <w:t xml:space="preserve"> to </w:t>
      </w:r>
      <w:r>
        <w:t>7 years to one in which patients responding to tyrosine kinase inhibitor treatment can expect a near to normal life expectancy.</w:t>
      </w:r>
      <w:r w:rsidR="00163628" w:rsidRPr="00547BEA">
        <w:rPr>
          <w:vertAlign w:val="superscript"/>
        </w:rPr>
        <w:fldChar w:fldCharType="begin"/>
      </w:r>
      <w:r w:rsidR="00163628" w:rsidRPr="00547BEA">
        <w:rPr>
          <w:vertAlign w:val="superscript"/>
        </w:rPr>
        <w:instrText xml:space="preserve"> NOTEREF _Ref131076754 \h </w:instrText>
      </w:r>
      <w:r w:rsidR="00163628">
        <w:rPr>
          <w:vertAlign w:val="superscript"/>
        </w:rPr>
        <w:instrText xml:space="preserve"> \* MERGEFORMAT </w:instrText>
      </w:r>
      <w:r w:rsidR="00163628" w:rsidRPr="00547BEA">
        <w:rPr>
          <w:vertAlign w:val="superscript"/>
        </w:rPr>
      </w:r>
      <w:r w:rsidR="00163628" w:rsidRPr="00547BEA">
        <w:rPr>
          <w:vertAlign w:val="superscript"/>
        </w:rPr>
        <w:fldChar w:fldCharType="separate"/>
      </w:r>
      <w:r w:rsidR="00547BEA">
        <w:rPr>
          <w:vertAlign w:val="superscript"/>
        </w:rPr>
        <w:t>4</w:t>
      </w:r>
      <w:r w:rsidR="00163628" w:rsidRPr="00547BEA">
        <w:rPr>
          <w:vertAlign w:val="superscript"/>
        </w:rPr>
        <w:fldChar w:fldCharType="end"/>
      </w:r>
    </w:p>
    <w:p w14:paraId="7FF341DA" w14:textId="3A6DADA9" w:rsidR="00163628" w:rsidRDefault="7042480B" w:rsidP="00B15ABE">
      <w:r>
        <w:t>Some patients do not respond to the treatment</w:t>
      </w:r>
      <w:r w:rsidR="00163628">
        <w:t xml:space="preserve">. </w:t>
      </w:r>
      <w:r w:rsidR="004F0020">
        <w:t>The f</w:t>
      </w:r>
      <w:r w:rsidR="00163628">
        <w:t xml:space="preserve">ailure to achieve </w:t>
      </w:r>
      <w:r w:rsidR="004F0020">
        <w:t xml:space="preserve">a major response to tyrosine kinase inhibitor treatment is </w:t>
      </w:r>
      <w:r w:rsidR="00BE3130">
        <w:t>termed</w:t>
      </w:r>
      <w:r w:rsidR="004F0020">
        <w:t xml:space="preserve"> primary resistance.</w:t>
      </w:r>
      <w:bookmarkStart w:id="16" w:name="_Ref131077859"/>
      <w:r w:rsidR="004F0020">
        <w:rPr>
          <w:rStyle w:val="FootnoteReference"/>
        </w:rPr>
        <w:footnoteReference w:id="6"/>
      </w:r>
      <w:bookmarkEnd w:id="16"/>
      <w:r w:rsidR="004F0020">
        <w:t xml:space="preserve"> T</w:t>
      </w:r>
      <w:r w:rsidR="004F0020" w:rsidRPr="004F0020">
        <w:t>his is further subdivided into primary h</w:t>
      </w:r>
      <w:r w:rsidR="004F0020">
        <w:t>a</w:t>
      </w:r>
      <w:r w:rsidR="004F0020" w:rsidRPr="004F0020">
        <w:t>ematologic resistance, and primary cytogenetic resistance</w:t>
      </w:r>
      <w:r w:rsidR="004F0020">
        <w:t>. Secondary resistance is said to occur where a patient responds to treatment followed by the subsequent loss of a haematologic or cytogenetic response.</w:t>
      </w:r>
      <w:bookmarkStart w:id="17" w:name="_Ref131077863"/>
      <w:r w:rsidR="004F0020">
        <w:rPr>
          <w:rStyle w:val="FootnoteReference"/>
        </w:rPr>
        <w:footnoteReference w:id="7"/>
      </w:r>
      <w:bookmarkEnd w:id="17"/>
      <w:r w:rsidR="004F0020">
        <w:t xml:space="preserve"> A further number of patients may respond, yet experience problems in tolerating treatment.</w:t>
      </w:r>
      <w:r w:rsidR="004F0020" w:rsidRPr="00547BEA">
        <w:rPr>
          <w:vertAlign w:val="superscript"/>
        </w:rPr>
        <w:fldChar w:fldCharType="begin"/>
      </w:r>
      <w:r w:rsidR="004F0020" w:rsidRPr="00547BEA">
        <w:rPr>
          <w:vertAlign w:val="superscript"/>
        </w:rPr>
        <w:instrText xml:space="preserve"> NOTEREF _Ref131077859 \h </w:instrText>
      </w:r>
      <w:r w:rsidR="004F0020">
        <w:rPr>
          <w:vertAlign w:val="superscript"/>
        </w:rPr>
        <w:instrText xml:space="preserve"> \* MERGEFORMAT </w:instrText>
      </w:r>
      <w:r w:rsidR="004F0020" w:rsidRPr="00547BEA">
        <w:rPr>
          <w:vertAlign w:val="superscript"/>
        </w:rPr>
      </w:r>
      <w:r w:rsidR="004F0020" w:rsidRPr="00547BEA">
        <w:rPr>
          <w:vertAlign w:val="superscript"/>
        </w:rPr>
        <w:fldChar w:fldCharType="separate"/>
      </w:r>
      <w:r w:rsidR="00547BEA">
        <w:rPr>
          <w:vertAlign w:val="superscript"/>
        </w:rPr>
        <w:t>5</w:t>
      </w:r>
      <w:r w:rsidR="004F0020" w:rsidRPr="00547BEA">
        <w:rPr>
          <w:vertAlign w:val="superscript"/>
        </w:rPr>
        <w:fldChar w:fldCharType="end"/>
      </w:r>
      <w:r w:rsidR="004F0020" w:rsidRPr="00547BEA">
        <w:rPr>
          <w:vertAlign w:val="superscript"/>
        </w:rPr>
        <w:t>,</w:t>
      </w:r>
      <w:r w:rsidR="004F0020" w:rsidRPr="00547BEA">
        <w:rPr>
          <w:vertAlign w:val="superscript"/>
        </w:rPr>
        <w:fldChar w:fldCharType="begin"/>
      </w:r>
      <w:r w:rsidR="004F0020" w:rsidRPr="00547BEA">
        <w:rPr>
          <w:vertAlign w:val="superscript"/>
        </w:rPr>
        <w:instrText xml:space="preserve"> NOTEREF _Ref131077863 \h </w:instrText>
      </w:r>
      <w:r w:rsidR="004F0020">
        <w:rPr>
          <w:vertAlign w:val="superscript"/>
        </w:rPr>
        <w:instrText xml:space="preserve"> \* MERGEFORMAT </w:instrText>
      </w:r>
      <w:r w:rsidR="004F0020" w:rsidRPr="00547BEA">
        <w:rPr>
          <w:vertAlign w:val="superscript"/>
        </w:rPr>
      </w:r>
      <w:r w:rsidR="004F0020" w:rsidRPr="00547BEA">
        <w:rPr>
          <w:vertAlign w:val="superscript"/>
        </w:rPr>
        <w:fldChar w:fldCharType="separate"/>
      </w:r>
      <w:r w:rsidR="00547BEA">
        <w:rPr>
          <w:vertAlign w:val="superscript"/>
        </w:rPr>
        <w:t>6</w:t>
      </w:r>
      <w:r w:rsidR="004F0020" w:rsidRPr="00547BEA">
        <w:rPr>
          <w:vertAlign w:val="superscript"/>
        </w:rPr>
        <w:fldChar w:fldCharType="end"/>
      </w:r>
    </w:p>
    <w:p w14:paraId="5FB28F0A" w14:textId="14C0162A" w:rsidR="00B15ABE" w:rsidRPr="00B15ABE" w:rsidRDefault="005C0F3D" w:rsidP="00B15ABE">
      <w:r>
        <w:t>Cytogenetically</w:t>
      </w:r>
      <w:r w:rsidR="7042480B">
        <w:t xml:space="preserve">, the detection of </w:t>
      </w:r>
      <w:proofErr w:type="gramStart"/>
      <w:r w:rsidR="007A021D">
        <w:rPr>
          <w:i/>
          <w:iCs/>
        </w:rPr>
        <w:t>BCR::</w:t>
      </w:r>
      <w:proofErr w:type="gramEnd"/>
      <w:r w:rsidR="007A021D">
        <w:rPr>
          <w:i/>
          <w:iCs/>
        </w:rPr>
        <w:t>ABL1</w:t>
      </w:r>
      <w:r w:rsidR="7042480B">
        <w:t xml:space="preserve"> mutations in </w:t>
      </w:r>
      <w:r w:rsidR="34DCBA3C">
        <w:t xml:space="preserve">chronic myeloid </w:t>
      </w:r>
      <w:r w:rsidR="33350399">
        <w:t>leukaemia</w:t>
      </w:r>
      <w:r w:rsidR="34DCBA3C">
        <w:t xml:space="preserve"> </w:t>
      </w:r>
      <w:r w:rsidR="66569456">
        <w:t xml:space="preserve">in </w:t>
      </w:r>
      <w:r>
        <w:t xml:space="preserve">the </w:t>
      </w:r>
      <w:r w:rsidR="34DCBA3C">
        <w:t>chronic phase</w:t>
      </w:r>
      <w:r w:rsidR="7042480B">
        <w:t xml:space="preserve">, in particular </w:t>
      </w:r>
      <w:r w:rsidR="47C5E758" w:rsidRPr="00547BEA">
        <w:t>T315I</w:t>
      </w:r>
      <w:r w:rsidR="7042480B">
        <w:t xml:space="preserve"> mutation, are associated with a greater likelihood of resistance to </w:t>
      </w:r>
      <w:r w:rsidR="3EB5D9DC">
        <w:t>tyrosine kinase inhibitor</w:t>
      </w:r>
      <w:r w:rsidR="7042480B">
        <w:t xml:space="preserve"> treatment and consequent disease progression.</w:t>
      </w:r>
      <w:r w:rsidR="00163628">
        <w:rPr>
          <w:rStyle w:val="FootnoteReference"/>
        </w:rPr>
        <w:footnoteReference w:id="8"/>
      </w:r>
    </w:p>
    <w:p w14:paraId="60265935" w14:textId="02A14DFB" w:rsidR="00B15ABE" w:rsidRPr="00B15ABE" w:rsidRDefault="00B15ABE" w:rsidP="00B15ABE">
      <w:r w:rsidRPr="00B15ABE">
        <w:t xml:space="preserve">The incidence of </w:t>
      </w:r>
      <w:r w:rsidR="004F233E">
        <w:t>c</w:t>
      </w:r>
      <w:r w:rsidR="004F233E" w:rsidRPr="00B15ABE">
        <w:t xml:space="preserve">hronic myeloid </w:t>
      </w:r>
      <w:r w:rsidR="001B10B9">
        <w:t>leukaemia</w:t>
      </w:r>
      <w:r w:rsidRPr="00B15ABE">
        <w:t xml:space="preserve"> increases exponentially with age with an average age at diagnosis of 65 years. In a </w:t>
      </w:r>
      <w:proofErr w:type="gramStart"/>
      <w:r w:rsidRPr="00B15ABE">
        <w:t>34</w:t>
      </w:r>
      <w:r w:rsidR="001A600E">
        <w:t xml:space="preserve"> </w:t>
      </w:r>
      <w:r w:rsidRPr="00B15ABE">
        <w:t>year</w:t>
      </w:r>
      <w:proofErr w:type="gramEnd"/>
      <w:r w:rsidRPr="00B15ABE">
        <w:t xml:space="preserve"> period leading up to the end of 2016, approximately 3,932 people were diagnosed with </w:t>
      </w:r>
      <w:r w:rsidR="004F233E">
        <w:t>c</w:t>
      </w:r>
      <w:r w:rsidR="004F233E" w:rsidRPr="00B15ABE">
        <w:t xml:space="preserve">hronic myeloid </w:t>
      </w:r>
      <w:r w:rsidR="001B10B9">
        <w:t>leukaemia</w:t>
      </w:r>
      <w:r w:rsidRPr="00B15ABE">
        <w:t xml:space="preserve"> in Australia. From 2012 to 2016, as many as 1448 new patients were diagnosed in this patient population. This corresponds to a </w:t>
      </w:r>
      <w:proofErr w:type="gramStart"/>
      <w:r w:rsidRPr="00B15ABE">
        <w:t>26</w:t>
      </w:r>
      <w:r w:rsidR="001A600E">
        <w:t xml:space="preserve"> </w:t>
      </w:r>
      <w:r w:rsidRPr="00B15ABE">
        <w:t>year</w:t>
      </w:r>
      <w:proofErr w:type="gramEnd"/>
      <w:r w:rsidRPr="00B15ABE">
        <w:t xml:space="preserve"> prevalence of </w:t>
      </w:r>
      <w:r w:rsidRPr="001A600E">
        <w:t>3</w:t>
      </w:r>
      <w:r w:rsidR="001A600E">
        <w:t>5 </w:t>
      </w:r>
      <w:r w:rsidRPr="001A600E">
        <w:t>people</w:t>
      </w:r>
      <w:r w:rsidRPr="00B15ABE">
        <w:t xml:space="preserve"> per 100,000 persons. From 2012 to 2016, 82.6% of persons diagnosed with </w:t>
      </w:r>
      <w:r w:rsidR="004F233E">
        <w:t>c</w:t>
      </w:r>
      <w:r w:rsidR="004F233E" w:rsidRPr="00B15ABE">
        <w:t xml:space="preserve">hronic myeloid </w:t>
      </w:r>
      <w:r w:rsidR="001B10B9">
        <w:t>leukaemia</w:t>
      </w:r>
      <w:r w:rsidRPr="00B15ABE">
        <w:t xml:space="preserve"> survived 5 years after diagnosis</w:t>
      </w:r>
      <w:r w:rsidR="00E80556">
        <w:t>.</w:t>
      </w:r>
      <w:r w:rsidR="00E80556">
        <w:rPr>
          <w:rStyle w:val="FootnoteReference"/>
        </w:rPr>
        <w:footnoteReference w:id="9"/>
      </w:r>
      <w:r w:rsidRPr="00B15ABE">
        <w:t xml:space="preserve"> Based on the 362 new cases of </w:t>
      </w:r>
      <w:r w:rsidR="004F233E">
        <w:t>c</w:t>
      </w:r>
      <w:r w:rsidR="004F233E" w:rsidRPr="00B15ABE">
        <w:t xml:space="preserve">hronic myeloid </w:t>
      </w:r>
      <w:r w:rsidR="001B10B9">
        <w:t>leukaemia</w:t>
      </w:r>
      <w:r w:rsidRPr="00B15ABE">
        <w:t xml:space="preserve"> in 2017, an incidence rate of 1.3 cases per 100,000 persons. In the same year, a total of 101 deaths from </w:t>
      </w:r>
      <w:r w:rsidR="004F233E">
        <w:t>c</w:t>
      </w:r>
      <w:r w:rsidR="004F233E" w:rsidRPr="00B15ABE">
        <w:t xml:space="preserve">hronic myeloid </w:t>
      </w:r>
      <w:r w:rsidR="001B10B9">
        <w:t>leukaemia</w:t>
      </w:r>
      <w:r w:rsidRPr="00B15ABE">
        <w:t xml:space="preserve"> were recorded</w:t>
      </w:r>
      <w:r w:rsidR="00E80556">
        <w:t>.</w:t>
      </w:r>
      <w:r w:rsidR="00E80556">
        <w:rPr>
          <w:rStyle w:val="FootnoteReference"/>
        </w:rPr>
        <w:footnoteReference w:id="10"/>
      </w:r>
    </w:p>
    <w:p w14:paraId="3A3939A5" w14:textId="6BD397C5" w:rsidR="00B15ABE" w:rsidRPr="00B15ABE" w:rsidRDefault="00B15ABE" w:rsidP="00B15ABE">
      <w:r w:rsidRPr="00B15ABE">
        <w:t>In a study of 670 patients with imatinib</w:t>
      </w:r>
      <w:r w:rsidR="007C3822">
        <w:t xml:space="preserve"> </w:t>
      </w:r>
      <w:r w:rsidRPr="00B15ABE">
        <w:t xml:space="preserve">resistant or </w:t>
      </w:r>
      <w:r w:rsidR="00E80556">
        <w:t>imatinib</w:t>
      </w:r>
      <w:r w:rsidR="007C3822">
        <w:t xml:space="preserve"> </w:t>
      </w:r>
      <w:r w:rsidRPr="00B15ABE">
        <w:t xml:space="preserve">intolerant </w:t>
      </w:r>
      <w:r w:rsidR="004F233E">
        <w:t>c</w:t>
      </w:r>
      <w:r w:rsidR="004F233E" w:rsidRPr="00B15ABE">
        <w:t xml:space="preserve">hronic myeloid </w:t>
      </w:r>
      <w:r w:rsidR="001B10B9">
        <w:t>leukaemia</w:t>
      </w:r>
      <w:r w:rsidR="00DC26BD">
        <w:t xml:space="preserve"> in</w:t>
      </w:r>
      <w:r w:rsidR="004F233E">
        <w:t xml:space="preserve"> chronic phase</w:t>
      </w:r>
      <w:r w:rsidRPr="00B15ABE">
        <w:t xml:space="preserve"> who received </w:t>
      </w:r>
      <w:proofErr w:type="spellStart"/>
      <w:r w:rsidRPr="00B15ABE">
        <w:t>dasatinib</w:t>
      </w:r>
      <w:proofErr w:type="spellEnd"/>
      <w:r w:rsidRPr="00B15ABE">
        <w:t xml:space="preserve"> and were followed for </w:t>
      </w:r>
      <w:r w:rsidR="004F233E">
        <w:t>seven</w:t>
      </w:r>
      <w:r w:rsidRPr="00B15ABE">
        <w:t xml:space="preserve"> years, </w:t>
      </w:r>
      <w:proofErr w:type="gramStart"/>
      <w:r w:rsidR="007A021D" w:rsidRPr="00FC7BC2">
        <w:rPr>
          <w:i/>
          <w:iCs/>
        </w:rPr>
        <w:t>BCR::</w:t>
      </w:r>
      <w:proofErr w:type="gramEnd"/>
      <w:r w:rsidR="007A021D" w:rsidRPr="00FC7BC2">
        <w:rPr>
          <w:i/>
          <w:iCs/>
        </w:rPr>
        <w:t>ABL1</w:t>
      </w:r>
      <w:r w:rsidRPr="00B15ABE">
        <w:t xml:space="preserve"> kinase domain mutations were assessed in all patients at </w:t>
      </w:r>
      <w:r w:rsidR="001637E6">
        <w:t>B</w:t>
      </w:r>
      <w:r w:rsidRPr="00B15ABE">
        <w:t xml:space="preserve">aseline and at the end of treatment. </w:t>
      </w:r>
      <w:proofErr w:type="gramStart"/>
      <w:r w:rsidRPr="00B15ABE">
        <w:t>The majority of</w:t>
      </w:r>
      <w:proofErr w:type="gramEnd"/>
      <w:r w:rsidRPr="00B15ABE">
        <w:t xml:space="preserve"> patients who discontinued because of loss of response </w:t>
      </w:r>
      <w:r w:rsidRPr="00B15ABE">
        <w:lastRenderedPageBreak/>
        <w:t xml:space="preserve">did not have a </w:t>
      </w:r>
      <w:r w:rsidRPr="000C70BD">
        <w:rPr>
          <w:i/>
          <w:iCs/>
        </w:rPr>
        <w:t>BCR–ABL1</w:t>
      </w:r>
      <w:r w:rsidRPr="00B15ABE">
        <w:t xml:space="preserve"> mutation at </w:t>
      </w:r>
      <w:r w:rsidR="001637E6">
        <w:t>B</w:t>
      </w:r>
      <w:r w:rsidRPr="00B15ABE">
        <w:t xml:space="preserve">aseline (n = 72) or at end of treatment (n = 71). Of </w:t>
      </w:r>
      <w:r w:rsidRPr="00A50F42">
        <w:t xml:space="preserve">those with mutations, the three most common that emerged while on </w:t>
      </w:r>
      <w:proofErr w:type="spellStart"/>
      <w:r w:rsidRPr="00A50F42">
        <w:t>dasatinib</w:t>
      </w:r>
      <w:proofErr w:type="spellEnd"/>
      <w:r w:rsidRPr="00A50F42">
        <w:t xml:space="preserve"> were </w:t>
      </w:r>
      <w:r w:rsidRPr="00FC7BC2">
        <w:t>V299L</w:t>
      </w:r>
      <w:r w:rsidRPr="00A50F42">
        <w:t xml:space="preserve"> (n =</w:t>
      </w:r>
      <w:r w:rsidR="00ED4920" w:rsidRPr="00A50F42">
        <w:t xml:space="preserve"> </w:t>
      </w:r>
      <w:r w:rsidRPr="00A50F42">
        <w:t xml:space="preserve">10), </w:t>
      </w:r>
      <w:r w:rsidR="00FB39FA" w:rsidRPr="00FC7BC2">
        <w:t>T315I</w:t>
      </w:r>
      <w:r w:rsidRPr="00A50F42">
        <w:t xml:space="preserve"> (n = 19), and </w:t>
      </w:r>
      <w:r w:rsidRPr="00FC7BC2">
        <w:t>F317L</w:t>
      </w:r>
      <w:r w:rsidRPr="00A50F42">
        <w:t xml:space="preserve"> (n = 12), </w:t>
      </w:r>
      <w:r w:rsidRPr="00B15ABE">
        <w:t xml:space="preserve">each a known </w:t>
      </w:r>
      <w:proofErr w:type="spellStart"/>
      <w:r w:rsidRPr="00B15ABE">
        <w:t>dasatinib</w:t>
      </w:r>
      <w:proofErr w:type="spellEnd"/>
      <w:r w:rsidR="007C3822">
        <w:t xml:space="preserve"> </w:t>
      </w:r>
      <w:r w:rsidRPr="00B15ABE">
        <w:t>resistant mutation.</w:t>
      </w:r>
      <w:r w:rsidR="001A0FFE">
        <w:rPr>
          <w:rStyle w:val="FootnoteReference"/>
        </w:rPr>
        <w:footnoteReference w:id="11"/>
      </w:r>
    </w:p>
    <w:p w14:paraId="07138470" w14:textId="2F7243C6" w:rsidR="00B15ABE" w:rsidRPr="00B15ABE" w:rsidRDefault="00B15ABE" w:rsidP="00B15ABE">
      <w:r w:rsidRPr="00B15ABE">
        <w:t>Current approved treatment options for the various stages of</w:t>
      </w:r>
      <w:r w:rsidR="004F233E">
        <w:t xml:space="preserve"> c</w:t>
      </w:r>
      <w:r w:rsidR="004F233E" w:rsidRPr="00B15ABE">
        <w:t xml:space="preserve">hronic myeloid </w:t>
      </w:r>
      <w:r w:rsidR="001B10B9">
        <w:t>leukaemia</w:t>
      </w:r>
      <w:r w:rsidRPr="00B15ABE">
        <w:t xml:space="preserve"> include imatinib,</w:t>
      </w:r>
      <w:bookmarkStart w:id="18" w:name="_Ref127872926"/>
      <w:r w:rsidR="00B84ADE">
        <w:rPr>
          <w:rStyle w:val="FootnoteReference"/>
        </w:rPr>
        <w:footnoteReference w:id="12"/>
      </w:r>
      <w:bookmarkEnd w:id="18"/>
      <w:r w:rsidRPr="00B15ABE">
        <w:t xml:space="preserve"> nilotinib,</w:t>
      </w:r>
      <w:bookmarkStart w:id="19" w:name="_Ref127872877"/>
      <w:r w:rsidR="00B84ADE">
        <w:rPr>
          <w:rStyle w:val="FootnoteReference"/>
        </w:rPr>
        <w:footnoteReference w:id="13"/>
      </w:r>
      <w:bookmarkEnd w:id="19"/>
      <w:r w:rsidRPr="00B15ABE">
        <w:t xml:space="preserve"> </w:t>
      </w:r>
      <w:proofErr w:type="spellStart"/>
      <w:r w:rsidRPr="00B15ABE">
        <w:t>dasatinib</w:t>
      </w:r>
      <w:proofErr w:type="spellEnd"/>
      <w:r w:rsidRPr="00B15ABE">
        <w:t>,</w:t>
      </w:r>
      <w:bookmarkStart w:id="20" w:name="_Ref127872903"/>
      <w:r w:rsidR="00B84ADE">
        <w:rPr>
          <w:rStyle w:val="FootnoteReference"/>
        </w:rPr>
        <w:footnoteReference w:id="14"/>
      </w:r>
      <w:bookmarkEnd w:id="20"/>
      <w:r w:rsidRPr="00B15ABE">
        <w:t xml:space="preserve"> </w:t>
      </w:r>
      <w:bookmarkStart w:id="21" w:name="_Hlk127872660"/>
      <w:r w:rsidRPr="00B15ABE">
        <w:t>bosutinib</w:t>
      </w:r>
      <w:bookmarkEnd w:id="21"/>
      <w:r w:rsidR="00B84ADE">
        <w:t>,</w:t>
      </w:r>
      <w:bookmarkStart w:id="22" w:name="_Ref127872937"/>
      <w:r w:rsidR="00B84ADE">
        <w:rPr>
          <w:rStyle w:val="FootnoteReference"/>
        </w:rPr>
        <w:footnoteReference w:id="15"/>
      </w:r>
      <w:bookmarkEnd w:id="22"/>
      <w:r w:rsidRPr="00B15ABE">
        <w:t xml:space="preserve"> and </w:t>
      </w:r>
      <w:bookmarkStart w:id="23" w:name="_Hlk127872713"/>
      <w:r w:rsidRPr="00B15ABE">
        <w:t>ponatinib</w:t>
      </w:r>
      <w:bookmarkEnd w:id="23"/>
      <w:r w:rsidRPr="00B15ABE">
        <w:t>.</w:t>
      </w:r>
      <w:bookmarkStart w:id="24" w:name="_Ref127872949"/>
      <w:r w:rsidR="00B84ADE">
        <w:rPr>
          <w:rStyle w:val="FootnoteReference"/>
        </w:rPr>
        <w:footnoteReference w:id="16"/>
      </w:r>
      <w:bookmarkEnd w:id="24"/>
      <w:r w:rsidRPr="00B15ABE">
        <w:t xml:space="preserve"> All these products are </w:t>
      </w:r>
      <w:proofErr w:type="gramStart"/>
      <w:r w:rsidRPr="00FC7BC2">
        <w:rPr>
          <w:i/>
          <w:iCs/>
        </w:rPr>
        <w:t>BCR</w:t>
      </w:r>
      <w:r w:rsidR="00C3797E" w:rsidRPr="00FC7BC2">
        <w:rPr>
          <w:i/>
          <w:iCs/>
        </w:rPr>
        <w:t>::</w:t>
      </w:r>
      <w:proofErr w:type="gramEnd"/>
      <w:r w:rsidRPr="00FC7BC2">
        <w:rPr>
          <w:i/>
          <w:iCs/>
        </w:rPr>
        <w:t>ABL</w:t>
      </w:r>
      <w:r w:rsidR="00C3797E" w:rsidRPr="00FC7BC2">
        <w:rPr>
          <w:i/>
          <w:iCs/>
        </w:rPr>
        <w:t>1</w:t>
      </w:r>
      <w:r w:rsidRPr="00B15ABE">
        <w:t xml:space="preserve"> </w:t>
      </w:r>
      <w:r w:rsidR="00382019" w:rsidRPr="00B15ABE">
        <w:t>tyrosine kinase inhibitor</w:t>
      </w:r>
      <w:r w:rsidRPr="00B15ABE">
        <w:t xml:space="preserve">s, though the site of action and other actions of each product differ somewhat. The success of these treatments in treating patients and reducing mortality rates have enabled this disease to be managed as a chronic disease over the last 20 or so years. However, patients can develop resistance to these medicines over time, potentially facilitated via mutations of </w:t>
      </w:r>
      <w:r w:rsidRPr="00FC7BC2">
        <w:t>ABL</w:t>
      </w:r>
      <w:r w:rsidRPr="00B15ABE">
        <w:t>-kinase site. This resistance, and the possible adverse effects associated with these treatments emphasise the need for additional treatment options for these patients. It has been estimated that almost half of this patient population will require a change of therapy in a period of 10 years.</w:t>
      </w:r>
    </w:p>
    <w:p w14:paraId="58BB3739" w14:textId="49ECFFB8" w:rsidR="00382019" w:rsidRPr="00B15ABE" w:rsidRDefault="00B15ABE" w:rsidP="00B15ABE">
      <w:r w:rsidRPr="00382019">
        <w:t>Of the</w:t>
      </w:r>
      <w:r w:rsidRPr="00B15ABE">
        <w:t xml:space="preserve"> above treatments imatinib has no limitation on when it is given in the treatment sequence for patients with </w:t>
      </w:r>
      <w:r w:rsidR="004F233E">
        <w:t>c</w:t>
      </w:r>
      <w:r w:rsidR="004F233E" w:rsidRPr="00B15ABE">
        <w:t xml:space="preserve">hronic myeloid </w:t>
      </w:r>
      <w:r w:rsidR="001B10B9">
        <w:t>leukaemia</w:t>
      </w:r>
      <w:r w:rsidRPr="00B15ABE">
        <w:t>. Nilotinib</w:t>
      </w:r>
      <w:r w:rsidR="006D40F8">
        <w:t>,</w:t>
      </w:r>
      <w:r w:rsidR="006D40F8">
        <w:rPr>
          <w:color w:val="2B579A"/>
          <w:shd w:val="clear" w:color="auto" w:fill="E6E6E6"/>
        </w:rPr>
        <w:fldChar w:fldCharType="begin"/>
      </w:r>
      <w:r w:rsidR="006D40F8">
        <w:instrText xml:space="preserve"> NOTEREF _Ref127872877 \f \h </w:instrText>
      </w:r>
      <w:r w:rsidR="006D40F8">
        <w:rPr>
          <w:color w:val="2B579A"/>
          <w:shd w:val="clear" w:color="auto" w:fill="E6E6E6"/>
        </w:rPr>
      </w:r>
      <w:r w:rsidR="006D40F8">
        <w:rPr>
          <w:color w:val="2B579A"/>
          <w:shd w:val="clear" w:color="auto" w:fill="E6E6E6"/>
        </w:rPr>
        <w:fldChar w:fldCharType="separate"/>
      </w:r>
      <w:r w:rsidR="00547BEA" w:rsidRPr="00547BEA">
        <w:rPr>
          <w:rStyle w:val="FootnoteReference"/>
        </w:rPr>
        <w:t>12</w:t>
      </w:r>
      <w:r w:rsidR="006D40F8">
        <w:rPr>
          <w:color w:val="2B579A"/>
          <w:shd w:val="clear" w:color="auto" w:fill="E6E6E6"/>
        </w:rPr>
        <w:fldChar w:fldCharType="end"/>
      </w:r>
      <w:r w:rsidRPr="00B15ABE">
        <w:t xml:space="preserve"> and dasatinib</w:t>
      </w:r>
      <w:r w:rsidR="006D40F8">
        <w:t>,</w:t>
      </w:r>
      <w:r w:rsidR="006D40F8">
        <w:rPr>
          <w:color w:val="2B579A"/>
          <w:shd w:val="clear" w:color="auto" w:fill="E6E6E6"/>
        </w:rPr>
        <w:fldChar w:fldCharType="begin"/>
      </w:r>
      <w:r w:rsidR="006D40F8">
        <w:instrText xml:space="preserve"> NOTEREF _Ref127872903 \f \h </w:instrText>
      </w:r>
      <w:r w:rsidR="006D40F8">
        <w:rPr>
          <w:color w:val="2B579A"/>
          <w:shd w:val="clear" w:color="auto" w:fill="E6E6E6"/>
        </w:rPr>
      </w:r>
      <w:r w:rsidR="006D40F8">
        <w:rPr>
          <w:color w:val="2B579A"/>
          <w:shd w:val="clear" w:color="auto" w:fill="E6E6E6"/>
        </w:rPr>
        <w:fldChar w:fldCharType="separate"/>
      </w:r>
      <w:r w:rsidR="00547BEA" w:rsidRPr="00547BEA">
        <w:rPr>
          <w:rStyle w:val="FootnoteReference"/>
        </w:rPr>
        <w:t>13</w:t>
      </w:r>
      <w:r w:rsidR="006D40F8">
        <w:rPr>
          <w:color w:val="2B579A"/>
          <w:shd w:val="clear" w:color="auto" w:fill="E6E6E6"/>
        </w:rPr>
        <w:fldChar w:fldCharType="end"/>
      </w:r>
      <w:r w:rsidRPr="00B15ABE">
        <w:t xml:space="preserve"> are approved for newly diagnosed </w:t>
      </w:r>
      <w:r w:rsidR="004F233E">
        <w:t>c</w:t>
      </w:r>
      <w:r w:rsidR="004F233E" w:rsidRPr="00B15ABE">
        <w:t xml:space="preserve">hronic myeloid </w:t>
      </w:r>
      <w:r w:rsidR="001B10B9">
        <w:t>leukaemia</w:t>
      </w:r>
      <w:r w:rsidRPr="00B15ABE">
        <w:t xml:space="preserve"> and for </w:t>
      </w:r>
      <w:r w:rsidR="004F233E">
        <w:t>c</w:t>
      </w:r>
      <w:r w:rsidR="004F233E" w:rsidRPr="00B15ABE">
        <w:t xml:space="preserve">hronic myeloid </w:t>
      </w:r>
      <w:r w:rsidR="001B10B9">
        <w:t>leukaemia</w:t>
      </w:r>
      <w:r w:rsidRPr="00B15ABE">
        <w:t xml:space="preserve"> resistant to a prior therapy, including imatinib.</w:t>
      </w:r>
      <w:r w:rsidR="006D40F8">
        <w:rPr>
          <w:color w:val="2B579A"/>
          <w:shd w:val="clear" w:color="auto" w:fill="E6E6E6"/>
        </w:rPr>
        <w:fldChar w:fldCharType="begin"/>
      </w:r>
      <w:r w:rsidR="006D40F8">
        <w:instrText xml:space="preserve"> NOTEREF _Ref127872926 \f \h </w:instrText>
      </w:r>
      <w:r w:rsidR="006D40F8">
        <w:rPr>
          <w:color w:val="2B579A"/>
          <w:shd w:val="clear" w:color="auto" w:fill="E6E6E6"/>
        </w:rPr>
      </w:r>
      <w:r w:rsidR="006D40F8">
        <w:rPr>
          <w:color w:val="2B579A"/>
          <w:shd w:val="clear" w:color="auto" w:fill="E6E6E6"/>
        </w:rPr>
        <w:fldChar w:fldCharType="separate"/>
      </w:r>
      <w:r w:rsidR="00547BEA" w:rsidRPr="00547BEA">
        <w:rPr>
          <w:rStyle w:val="FootnoteReference"/>
        </w:rPr>
        <w:t>11</w:t>
      </w:r>
      <w:r w:rsidR="006D40F8">
        <w:rPr>
          <w:color w:val="2B579A"/>
          <w:shd w:val="clear" w:color="auto" w:fill="E6E6E6"/>
        </w:rPr>
        <w:fldChar w:fldCharType="end"/>
      </w:r>
      <w:r w:rsidRPr="00B15ABE">
        <w:t xml:space="preserve"> Bosutinib while approved as a third line </w:t>
      </w:r>
      <w:r w:rsidR="00382019" w:rsidRPr="00B15ABE">
        <w:t xml:space="preserve">tyrosine kinase inhibitor </w:t>
      </w:r>
      <w:r w:rsidRPr="00B15ABE">
        <w:t xml:space="preserve">for </w:t>
      </w:r>
      <w:r w:rsidR="004F233E">
        <w:t>c</w:t>
      </w:r>
      <w:r w:rsidR="004F233E" w:rsidRPr="00B15ABE">
        <w:t xml:space="preserve">hronic myeloid </w:t>
      </w:r>
      <w:r w:rsidR="001B10B9">
        <w:t>leukaemia</w:t>
      </w:r>
      <w:r w:rsidRPr="00B15ABE">
        <w:t xml:space="preserve"> is not marketed at this time.</w:t>
      </w:r>
      <w:r w:rsidR="006D40F8">
        <w:rPr>
          <w:color w:val="2B579A"/>
          <w:shd w:val="clear" w:color="auto" w:fill="E6E6E6"/>
        </w:rPr>
        <w:fldChar w:fldCharType="begin"/>
      </w:r>
      <w:r w:rsidR="006D40F8">
        <w:instrText xml:space="preserve"> NOTEREF _Ref127872937 \f \h </w:instrText>
      </w:r>
      <w:r w:rsidR="006D40F8">
        <w:rPr>
          <w:color w:val="2B579A"/>
          <w:shd w:val="clear" w:color="auto" w:fill="E6E6E6"/>
        </w:rPr>
      </w:r>
      <w:r w:rsidR="006D40F8">
        <w:rPr>
          <w:color w:val="2B579A"/>
          <w:shd w:val="clear" w:color="auto" w:fill="E6E6E6"/>
        </w:rPr>
        <w:fldChar w:fldCharType="separate"/>
      </w:r>
      <w:r w:rsidR="00547BEA" w:rsidRPr="00547BEA">
        <w:rPr>
          <w:rStyle w:val="FootnoteReference"/>
        </w:rPr>
        <w:t>14</w:t>
      </w:r>
      <w:r w:rsidR="006D40F8">
        <w:rPr>
          <w:color w:val="2B579A"/>
          <w:shd w:val="clear" w:color="auto" w:fill="E6E6E6"/>
        </w:rPr>
        <w:fldChar w:fldCharType="end"/>
      </w:r>
      <w:r w:rsidRPr="00B15ABE">
        <w:t xml:space="preserve"> Ponatinib is indicated for adult patients with </w:t>
      </w:r>
      <w:r w:rsidR="00382019">
        <w:t>c</w:t>
      </w:r>
      <w:r w:rsidRPr="00B15ABE">
        <w:t xml:space="preserve">hronic phase, accelerated phase, or blast phase </w:t>
      </w:r>
      <w:r w:rsidR="004F233E">
        <w:t>c</w:t>
      </w:r>
      <w:r w:rsidR="004F233E" w:rsidRPr="00B15ABE">
        <w:t xml:space="preserve">hronic myeloid </w:t>
      </w:r>
      <w:r w:rsidR="001B10B9">
        <w:t>leukaemia</w:t>
      </w:r>
      <w:r w:rsidRPr="00B15ABE">
        <w:t xml:space="preserve"> whose disease is resistant to, or who are intolerant of at least two prior tyrosine kinase inhibitors; or where there is a </w:t>
      </w:r>
      <w:r w:rsidR="00FB39FA" w:rsidRPr="00FC7BC2">
        <w:t>T315I</w:t>
      </w:r>
      <w:r w:rsidRPr="00A50F42">
        <w:t xml:space="preserve"> </w:t>
      </w:r>
      <w:r w:rsidRPr="00B15ABE">
        <w:t xml:space="preserve">mutation. For patients with </w:t>
      </w:r>
      <w:r w:rsidR="004F233E">
        <w:t>c</w:t>
      </w:r>
      <w:r w:rsidR="004F233E" w:rsidRPr="00B15ABE">
        <w:t xml:space="preserve">hronic myeloid </w:t>
      </w:r>
      <w:r w:rsidR="001B10B9">
        <w:t>leukaemia</w:t>
      </w:r>
      <w:r w:rsidR="004F233E">
        <w:t xml:space="preserve"> </w:t>
      </w:r>
      <w:r w:rsidR="00DC26BD">
        <w:t xml:space="preserve">in </w:t>
      </w:r>
      <w:r w:rsidR="004F233E">
        <w:t>chronic phase</w:t>
      </w:r>
      <w:r w:rsidRPr="00B15ABE">
        <w:t xml:space="preserve"> with the </w:t>
      </w:r>
      <w:r w:rsidR="007A021D">
        <w:rPr>
          <w:i/>
          <w:iCs/>
        </w:rPr>
        <w:t>BCR::ABL1</w:t>
      </w:r>
      <w:r w:rsidRPr="00FB39FA">
        <w:rPr>
          <w:i/>
          <w:iCs/>
        </w:rPr>
        <w:t xml:space="preserve"> </w:t>
      </w:r>
      <w:r w:rsidR="00FB39FA" w:rsidRPr="00A32381">
        <w:t>T315I</w:t>
      </w:r>
      <w:r w:rsidRPr="00B15ABE">
        <w:t xml:space="preserve"> mutation, ponatinib is the only specifically approved </w:t>
      </w:r>
      <w:r w:rsidR="00382019" w:rsidRPr="00B15ABE">
        <w:t>tyrosine kinase inhibitor</w:t>
      </w:r>
      <w:r w:rsidRPr="00B15ABE">
        <w:t>.</w:t>
      </w:r>
      <w:r w:rsidR="006D40F8">
        <w:rPr>
          <w:color w:val="2B579A"/>
          <w:shd w:val="clear" w:color="auto" w:fill="E6E6E6"/>
        </w:rPr>
        <w:fldChar w:fldCharType="begin"/>
      </w:r>
      <w:r w:rsidR="006D40F8">
        <w:instrText xml:space="preserve"> NOTEREF _Ref127872949 \f \h </w:instrText>
      </w:r>
      <w:r w:rsidR="006D40F8">
        <w:rPr>
          <w:color w:val="2B579A"/>
          <w:shd w:val="clear" w:color="auto" w:fill="E6E6E6"/>
        </w:rPr>
      </w:r>
      <w:r w:rsidR="006D40F8">
        <w:rPr>
          <w:color w:val="2B579A"/>
          <w:shd w:val="clear" w:color="auto" w:fill="E6E6E6"/>
        </w:rPr>
        <w:fldChar w:fldCharType="separate"/>
      </w:r>
      <w:r w:rsidR="00547BEA" w:rsidRPr="00547BEA">
        <w:rPr>
          <w:rStyle w:val="FootnoteReference"/>
        </w:rPr>
        <w:t>15</w:t>
      </w:r>
      <w:r w:rsidR="006D40F8">
        <w:rPr>
          <w:color w:val="2B579A"/>
          <w:shd w:val="clear" w:color="auto" w:fill="E6E6E6"/>
        </w:rPr>
        <w:fldChar w:fldCharType="end"/>
      </w:r>
      <w:r w:rsidRPr="00B15ABE">
        <w:t xml:space="preserve"> While patients with this mutation are not excluded from treatment with the other </w:t>
      </w:r>
      <w:r w:rsidR="007A021D" w:rsidRPr="00FC7BC2">
        <w:rPr>
          <w:i/>
          <w:iCs/>
        </w:rPr>
        <w:t>BCR::ABL1</w:t>
      </w:r>
      <w:r w:rsidRPr="00B15ABE">
        <w:t xml:space="preserve"> </w:t>
      </w:r>
      <w:r w:rsidR="00382019" w:rsidRPr="00B15ABE">
        <w:t>tyrosine kinase inhibitor</w:t>
      </w:r>
      <w:r w:rsidRPr="00B15ABE">
        <w:t xml:space="preserve">s the </w:t>
      </w:r>
      <w:r w:rsidR="00FB39FA" w:rsidRPr="006704BC">
        <w:t>T315I</w:t>
      </w:r>
      <w:r w:rsidRPr="00B15ABE">
        <w:t xml:space="preserve"> mutation confers resistance to imatinib,</w:t>
      </w:r>
      <w:r w:rsidR="006D40F8">
        <w:rPr>
          <w:color w:val="2B579A"/>
          <w:shd w:val="clear" w:color="auto" w:fill="E6E6E6"/>
        </w:rPr>
        <w:fldChar w:fldCharType="begin"/>
      </w:r>
      <w:r w:rsidR="006D40F8">
        <w:instrText xml:space="preserve"> NOTEREF _Ref127872926 \f \h </w:instrText>
      </w:r>
      <w:r w:rsidR="006D40F8">
        <w:rPr>
          <w:color w:val="2B579A"/>
          <w:shd w:val="clear" w:color="auto" w:fill="E6E6E6"/>
        </w:rPr>
      </w:r>
      <w:r w:rsidR="006D40F8">
        <w:rPr>
          <w:color w:val="2B579A"/>
          <w:shd w:val="clear" w:color="auto" w:fill="E6E6E6"/>
        </w:rPr>
        <w:fldChar w:fldCharType="separate"/>
      </w:r>
      <w:r w:rsidR="00547BEA" w:rsidRPr="00547BEA">
        <w:rPr>
          <w:rStyle w:val="FootnoteReference"/>
        </w:rPr>
        <w:t>11</w:t>
      </w:r>
      <w:r w:rsidR="006D40F8">
        <w:rPr>
          <w:color w:val="2B579A"/>
          <w:shd w:val="clear" w:color="auto" w:fill="E6E6E6"/>
        </w:rPr>
        <w:fldChar w:fldCharType="end"/>
      </w:r>
      <w:r w:rsidRPr="00B15ABE">
        <w:t xml:space="preserve"> dasatinib,</w:t>
      </w:r>
      <w:r w:rsidR="006D40F8">
        <w:rPr>
          <w:color w:val="2B579A"/>
          <w:shd w:val="clear" w:color="auto" w:fill="E6E6E6"/>
        </w:rPr>
        <w:fldChar w:fldCharType="begin"/>
      </w:r>
      <w:r w:rsidR="006D40F8">
        <w:instrText xml:space="preserve"> NOTEREF _Ref127872903 \f \h </w:instrText>
      </w:r>
      <w:r w:rsidR="006D40F8">
        <w:rPr>
          <w:color w:val="2B579A"/>
          <w:shd w:val="clear" w:color="auto" w:fill="E6E6E6"/>
        </w:rPr>
      </w:r>
      <w:r w:rsidR="006D40F8">
        <w:rPr>
          <w:color w:val="2B579A"/>
          <w:shd w:val="clear" w:color="auto" w:fill="E6E6E6"/>
        </w:rPr>
        <w:fldChar w:fldCharType="separate"/>
      </w:r>
      <w:r w:rsidR="00547BEA" w:rsidRPr="00547BEA">
        <w:rPr>
          <w:rStyle w:val="FootnoteReference"/>
        </w:rPr>
        <w:t>13</w:t>
      </w:r>
      <w:r w:rsidR="006D40F8">
        <w:rPr>
          <w:color w:val="2B579A"/>
          <w:shd w:val="clear" w:color="auto" w:fill="E6E6E6"/>
        </w:rPr>
        <w:fldChar w:fldCharType="end"/>
      </w:r>
      <w:r w:rsidRPr="00B15ABE">
        <w:t xml:space="preserve"> nilotinib,</w:t>
      </w:r>
      <w:r w:rsidR="006D40F8">
        <w:rPr>
          <w:color w:val="2B579A"/>
          <w:shd w:val="clear" w:color="auto" w:fill="E6E6E6"/>
        </w:rPr>
        <w:fldChar w:fldCharType="begin"/>
      </w:r>
      <w:r w:rsidR="006D40F8">
        <w:instrText xml:space="preserve"> NOTEREF _Ref127872877 \f \h </w:instrText>
      </w:r>
      <w:r w:rsidR="006D40F8">
        <w:rPr>
          <w:color w:val="2B579A"/>
          <w:shd w:val="clear" w:color="auto" w:fill="E6E6E6"/>
        </w:rPr>
      </w:r>
      <w:r w:rsidR="006D40F8">
        <w:rPr>
          <w:color w:val="2B579A"/>
          <w:shd w:val="clear" w:color="auto" w:fill="E6E6E6"/>
        </w:rPr>
        <w:fldChar w:fldCharType="separate"/>
      </w:r>
      <w:r w:rsidR="00547BEA" w:rsidRPr="00547BEA">
        <w:rPr>
          <w:rStyle w:val="FootnoteReference"/>
        </w:rPr>
        <w:t>12</w:t>
      </w:r>
      <w:r w:rsidR="006D40F8">
        <w:rPr>
          <w:color w:val="2B579A"/>
          <w:shd w:val="clear" w:color="auto" w:fill="E6E6E6"/>
        </w:rPr>
        <w:fldChar w:fldCharType="end"/>
      </w:r>
      <w:r w:rsidRPr="00B15ABE">
        <w:t xml:space="preserve"> and bosutinib.</w:t>
      </w:r>
      <w:r w:rsidR="006D40F8">
        <w:rPr>
          <w:color w:val="2B579A"/>
          <w:shd w:val="clear" w:color="auto" w:fill="E6E6E6"/>
        </w:rPr>
        <w:fldChar w:fldCharType="begin"/>
      </w:r>
      <w:r w:rsidR="006D40F8">
        <w:instrText xml:space="preserve"> NOTEREF _Ref127872937 \f \h </w:instrText>
      </w:r>
      <w:r w:rsidR="006D40F8">
        <w:rPr>
          <w:color w:val="2B579A"/>
          <w:shd w:val="clear" w:color="auto" w:fill="E6E6E6"/>
        </w:rPr>
      </w:r>
      <w:r w:rsidR="006D40F8">
        <w:rPr>
          <w:color w:val="2B579A"/>
          <w:shd w:val="clear" w:color="auto" w:fill="E6E6E6"/>
        </w:rPr>
        <w:fldChar w:fldCharType="separate"/>
      </w:r>
      <w:r w:rsidR="00547BEA" w:rsidRPr="00547BEA">
        <w:rPr>
          <w:rStyle w:val="FootnoteReference"/>
        </w:rPr>
        <w:t>14</w:t>
      </w:r>
      <w:r w:rsidR="006D40F8">
        <w:rPr>
          <w:color w:val="2B579A"/>
          <w:shd w:val="clear" w:color="auto" w:fill="E6E6E6"/>
        </w:rPr>
        <w:fldChar w:fldCharType="end"/>
      </w:r>
      <w:r w:rsidRPr="00B15ABE">
        <w:t xml:space="preserve"> Allogeneic stem cell transplantation may be a treatment alternative in eligible patients with resistance or intolerance to two or more </w:t>
      </w:r>
      <w:r w:rsidR="00382019" w:rsidRPr="00B15ABE">
        <w:t>tyrosine kinase inhibitor</w:t>
      </w:r>
      <w:r w:rsidR="00382019">
        <w:t>s</w:t>
      </w:r>
      <w:r w:rsidRPr="00B15ABE">
        <w:t>.</w:t>
      </w:r>
    </w:p>
    <w:p w14:paraId="2210E5AE" w14:textId="241B0AE4" w:rsidR="009F2673" w:rsidRPr="000A4A42" w:rsidRDefault="009F2673" w:rsidP="009F2673">
      <w:bookmarkStart w:id="25" w:name="_Toc314842485"/>
      <w:bookmarkStart w:id="26" w:name="_Toc247691504"/>
      <w:r w:rsidRPr="000A4A42">
        <w:t xml:space="preserve">This </w:t>
      </w:r>
      <w:r w:rsidR="00BB0B78">
        <w:t>submission</w:t>
      </w:r>
      <w:r w:rsidRPr="000A4A42">
        <w:t xml:space="preserve"> was evaluated as part of the </w:t>
      </w:r>
      <w:hyperlink r:id="rId18" w:history="1">
        <w:r>
          <w:rPr>
            <w:rStyle w:val="Hyperlink"/>
          </w:rPr>
          <w:t>Australia-Canada-Singapore-Switzerland-United Kingdom (ACCESS) Consortium</w:t>
        </w:r>
      </w:hyperlink>
      <w:r w:rsidRPr="000A4A42">
        <w:t xml:space="preserve"> with work-sharing between the TGA</w:t>
      </w:r>
      <w:r w:rsidRPr="00E61C82">
        <w:t xml:space="preserve">, </w:t>
      </w:r>
      <w:r w:rsidRPr="00E61C82">
        <w:rPr>
          <w:iCs/>
        </w:rPr>
        <w:t xml:space="preserve">Health Canada, Health Sciences Authority Singapore, </w:t>
      </w:r>
      <w:proofErr w:type="spellStart"/>
      <w:r w:rsidRPr="00E61C82">
        <w:rPr>
          <w:iCs/>
        </w:rPr>
        <w:t>Swissmedic</w:t>
      </w:r>
      <w:proofErr w:type="spellEnd"/>
      <w:r w:rsidRPr="00E61C82">
        <w:rPr>
          <w:iCs/>
        </w:rPr>
        <w:t xml:space="preserve"> and the </w:t>
      </w:r>
      <w:r w:rsidRPr="00E61C82">
        <w:t>Medicines and Healthcare Products Regulatory Agency</w:t>
      </w:r>
      <w:r w:rsidRPr="00E61C82">
        <w:rPr>
          <w:iCs/>
        </w:rPr>
        <w:t xml:space="preserve"> (MHRA)</w:t>
      </w:r>
      <w:r w:rsidR="008C1106">
        <w:rPr>
          <w:iCs/>
        </w:rPr>
        <w:t xml:space="preserve"> in the United Kingdom</w:t>
      </w:r>
      <w:r w:rsidR="00E61C82">
        <w:rPr>
          <w:iCs/>
        </w:rPr>
        <w:t xml:space="preserve">. </w:t>
      </w:r>
      <w:r w:rsidRPr="000A4A42">
        <w:t>Each regulator made independent decisions regarding approval (market authorisation) of the new medicine.</w:t>
      </w:r>
    </w:p>
    <w:p w14:paraId="3224C532" w14:textId="0CAA7A8B" w:rsidR="008E7846" w:rsidRPr="003F31A2" w:rsidRDefault="00386150" w:rsidP="008E7846">
      <w:pPr>
        <w:pStyle w:val="Heading3"/>
      </w:pPr>
      <w:bookmarkStart w:id="27" w:name="_Ref131414980"/>
      <w:bookmarkStart w:id="28" w:name="_Toc131683494"/>
      <w:r>
        <w:t>Regulatory s</w:t>
      </w:r>
      <w:r w:rsidR="008E7846">
        <w:t>tatus</w:t>
      </w:r>
      <w:bookmarkEnd w:id="25"/>
      <w:bookmarkEnd w:id="26"/>
      <w:bookmarkEnd w:id="27"/>
      <w:bookmarkEnd w:id="28"/>
    </w:p>
    <w:p w14:paraId="47ADD0CD" w14:textId="218E2C60" w:rsidR="00332715" w:rsidRDefault="00332715" w:rsidP="00332715">
      <w:bookmarkStart w:id="29" w:name="_Toc247691505"/>
      <w:bookmarkStart w:id="30" w:name="_Toc314842486"/>
      <w:r>
        <w:t>This product is considered a new chemical entity</w:t>
      </w:r>
      <w:r w:rsidR="0000526D">
        <w:t xml:space="preserve"> </w:t>
      </w:r>
      <w:r>
        <w:t>for Australian regulatory purposes.</w:t>
      </w:r>
    </w:p>
    <w:p w14:paraId="47392373" w14:textId="45B8B6A0" w:rsidR="008C1106" w:rsidRDefault="00332715" w:rsidP="00332715">
      <w:r>
        <w:t xml:space="preserve">At the time the TGA considered this </w:t>
      </w:r>
      <w:r w:rsidR="00BB0B78">
        <w:t>submission</w:t>
      </w:r>
      <w:r>
        <w:t xml:space="preserve">, similar </w:t>
      </w:r>
      <w:r w:rsidR="00BB0B78">
        <w:t>submission</w:t>
      </w:r>
      <w:r w:rsidR="008C1106">
        <w:t>s</w:t>
      </w:r>
      <w:r>
        <w:t xml:space="preserve"> had been approved in </w:t>
      </w:r>
      <w:r w:rsidR="00B205A3">
        <w:t>the United States of America (USA) in October 2021 and Japan in March 2022</w:t>
      </w:r>
      <w:r>
        <w:t xml:space="preserve">. A similar </w:t>
      </w:r>
      <w:r w:rsidR="00BB0B78">
        <w:t>submission</w:t>
      </w:r>
      <w:r>
        <w:t xml:space="preserve"> was </w:t>
      </w:r>
      <w:r w:rsidR="008C1106">
        <w:t xml:space="preserve">also </w:t>
      </w:r>
      <w:r>
        <w:t>under consideration in</w:t>
      </w:r>
      <w:r w:rsidR="00B205A3">
        <w:t xml:space="preserve"> the European Union (EU) (submitted in June</w:t>
      </w:r>
      <w:r w:rsidR="008C1106">
        <w:t> </w:t>
      </w:r>
      <w:r w:rsidR="00B205A3">
        <w:t>2021)</w:t>
      </w:r>
      <w:r w:rsidR="008C1106">
        <w:t>.</w:t>
      </w:r>
    </w:p>
    <w:p w14:paraId="2139250F" w14:textId="3C7D8686" w:rsidR="00332715" w:rsidRDefault="00F26FF0" w:rsidP="00332715">
      <w:r>
        <w:lastRenderedPageBreak/>
        <w:t>S</w:t>
      </w:r>
      <w:r w:rsidR="008C1106">
        <w:t>ubmission</w:t>
      </w:r>
      <w:r>
        <w:t>s</w:t>
      </w:r>
      <w:r w:rsidR="008C1106">
        <w:t xml:space="preserve"> to </w:t>
      </w:r>
      <w:r>
        <w:t>constituent</w:t>
      </w:r>
      <w:r w:rsidR="008C1106">
        <w:t xml:space="preserve"> members of the </w:t>
      </w:r>
      <w:hyperlink r:id="rId19" w:history="1">
        <w:r w:rsidR="008C1106" w:rsidRPr="00F26FF0">
          <w:rPr>
            <w:rStyle w:val="Hyperlink"/>
          </w:rPr>
          <w:t>ACCESS consortium</w:t>
        </w:r>
      </w:hyperlink>
      <w:r w:rsidR="008C1106">
        <w:t xml:space="preserve"> were</w:t>
      </w:r>
      <w:r>
        <w:t xml:space="preserve"> made as follows:</w:t>
      </w:r>
      <w:r w:rsidR="00B205A3">
        <w:t xml:space="preserve"> </w:t>
      </w:r>
      <w:r>
        <w:t xml:space="preserve">Australia (submitted in August 2021), </w:t>
      </w:r>
      <w:r w:rsidR="00B205A3">
        <w:t>Switzerland (submitted in July 2021), Singapore</w:t>
      </w:r>
      <w:r>
        <w:t> </w:t>
      </w:r>
      <w:r w:rsidR="00B205A3">
        <w:t>(submitted in July 2021), Canada (submitted in August 2021) and the United</w:t>
      </w:r>
      <w:r>
        <w:t> </w:t>
      </w:r>
      <w:r w:rsidR="00B205A3">
        <w:t>Kingdom (submitted in July 2021)</w:t>
      </w:r>
      <w:r w:rsidR="00332715">
        <w:t>.</w:t>
      </w:r>
      <w:r w:rsidR="00FC7BC2">
        <w:t xml:space="preserve"> </w:t>
      </w:r>
      <w:r w:rsidR="0072292E">
        <w:t xml:space="preserve">The following table </w:t>
      </w:r>
      <w:r w:rsidR="00332715">
        <w:t xml:space="preserve">summarises these </w:t>
      </w:r>
      <w:r w:rsidR="00BB0B78">
        <w:t>submissions</w:t>
      </w:r>
      <w:r w:rsidR="00332715">
        <w:t xml:space="preserve"> and provides the indications where approved.</w:t>
      </w:r>
    </w:p>
    <w:p w14:paraId="284F851F" w14:textId="284F4415" w:rsidR="00324E45" w:rsidRPr="00F0146F" w:rsidRDefault="00324E45" w:rsidP="00324E45">
      <w:pPr>
        <w:pStyle w:val="TableTitle"/>
      </w:pPr>
      <w:bookmarkStart w:id="31" w:name="_Ref99705479"/>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47BEA">
        <w:rPr>
          <w:noProof/>
        </w:rPr>
        <w:t>1</w:t>
      </w:r>
      <w:r>
        <w:rPr>
          <w:color w:val="2B579A"/>
          <w:shd w:val="clear" w:color="auto" w:fill="E6E6E6"/>
        </w:rPr>
        <w:fldChar w:fldCharType="end"/>
      </w:r>
      <w:bookmarkEnd w:id="31"/>
      <w:r>
        <w:t>: International regulatory status</w:t>
      </w:r>
    </w:p>
    <w:tbl>
      <w:tblPr>
        <w:tblStyle w:val="TableTGAblue"/>
        <w:tblW w:w="0" w:type="auto"/>
        <w:tblLook w:val="04A0" w:firstRow="1" w:lastRow="0" w:firstColumn="1" w:lastColumn="0" w:noHBand="0" w:noVBand="1"/>
      </w:tblPr>
      <w:tblGrid>
        <w:gridCol w:w="1555"/>
        <w:gridCol w:w="1842"/>
        <w:gridCol w:w="2410"/>
        <w:gridCol w:w="2687"/>
      </w:tblGrid>
      <w:tr w:rsidR="00006FAB" w14:paraId="5D494AF7" w14:textId="77777777" w:rsidTr="00B205A3">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auto"/>
              <w:left w:val="single" w:sz="4" w:space="0" w:color="auto"/>
              <w:bottom w:val="single" w:sz="4" w:space="0" w:color="auto"/>
              <w:right w:val="single" w:sz="4" w:space="0" w:color="auto"/>
            </w:tcBorders>
          </w:tcPr>
          <w:p w14:paraId="0DB2B37B" w14:textId="77777777" w:rsidR="00006FAB" w:rsidRDefault="00006FAB" w:rsidP="00006FAB">
            <w:pPr>
              <w:ind w:left="0" w:right="0"/>
            </w:pPr>
            <w:r>
              <w:t>Region</w:t>
            </w:r>
          </w:p>
        </w:tc>
        <w:tc>
          <w:tcPr>
            <w:tcW w:w="1842" w:type="dxa"/>
            <w:tcBorders>
              <w:top w:val="single" w:sz="4" w:space="0" w:color="auto"/>
              <w:left w:val="single" w:sz="4" w:space="0" w:color="auto"/>
              <w:bottom w:val="single" w:sz="4" w:space="0" w:color="auto"/>
              <w:right w:val="single" w:sz="4" w:space="0" w:color="auto"/>
            </w:tcBorders>
          </w:tcPr>
          <w:p w14:paraId="1B9C3886" w14:textId="77777777" w:rsidR="00006FAB" w:rsidRDefault="00006FAB" w:rsidP="00006FAB">
            <w:pPr>
              <w:ind w:left="0" w:right="0"/>
            </w:pPr>
            <w:r>
              <w:t>Submission date</w:t>
            </w:r>
          </w:p>
        </w:tc>
        <w:tc>
          <w:tcPr>
            <w:tcW w:w="2410" w:type="dxa"/>
            <w:tcBorders>
              <w:top w:val="single" w:sz="4" w:space="0" w:color="auto"/>
              <w:left w:val="single" w:sz="4" w:space="0" w:color="auto"/>
              <w:bottom w:val="single" w:sz="4" w:space="0" w:color="auto"/>
              <w:right w:val="single" w:sz="4" w:space="0" w:color="auto"/>
            </w:tcBorders>
          </w:tcPr>
          <w:p w14:paraId="5331210E" w14:textId="77777777" w:rsidR="00006FAB" w:rsidRDefault="00006FAB" w:rsidP="00006FAB">
            <w:pPr>
              <w:ind w:left="0" w:right="0"/>
            </w:pPr>
            <w:r>
              <w:t>Status</w:t>
            </w:r>
          </w:p>
        </w:tc>
        <w:tc>
          <w:tcPr>
            <w:tcW w:w="2687" w:type="dxa"/>
            <w:tcBorders>
              <w:top w:val="single" w:sz="4" w:space="0" w:color="auto"/>
              <w:left w:val="single" w:sz="4" w:space="0" w:color="auto"/>
              <w:bottom w:val="single" w:sz="4" w:space="0" w:color="auto"/>
              <w:right w:val="single" w:sz="4" w:space="0" w:color="auto"/>
            </w:tcBorders>
          </w:tcPr>
          <w:p w14:paraId="1ECDEEA7" w14:textId="77777777" w:rsidR="00006FAB" w:rsidRDefault="00006FAB" w:rsidP="00006FAB">
            <w:pPr>
              <w:ind w:left="0" w:right="0"/>
            </w:pPr>
            <w:r>
              <w:t>Approved indications</w:t>
            </w:r>
          </w:p>
        </w:tc>
      </w:tr>
      <w:tr w:rsidR="00006FAB" w14:paraId="56A60381" w14:textId="77777777" w:rsidTr="00B205A3">
        <w:tc>
          <w:tcPr>
            <w:tcW w:w="1555" w:type="dxa"/>
            <w:tcBorders>
              <w:top w:val="single" w:sz="4" w:space="0" w:color="auto"/>
            </w:tcBorders>
          </w:tcPr>
          <w:p w14:paraId="5FCDDED0" w14:textId="1E1D8C12" w:rsidR="00006FAB" w:rsidRDefault="0000526D" w:rsidP="00006FAB">
            <w:pPr>
              <w:ind w:left="0" w:right="0"/>
            </w:pPr>
            <w:r>
              <w:t>United States of America</w:t>
            </w:r>
          </w:p>
        </w:tc>
        <w:tc>
          <w:tcPr>
            <w:tcW w:w="1842" w:type="dxa"/>
            <w:tcBorders>
              <w:top w:val="single" w:sz="4" w:space="0" w:color="auto"/>
            </w:tcBorders>
          </w:tcPr>
          <w:p w14:paraId="77E9BFC7" w14:textId="5C276661" w:rsidR="00006FAB" w:rsidRDefault="0000526D" w:rsidP="00006FAB">
            <w:pPr>
              <w:ind w:left="0" w:right="0"/>
            </w:pPr>
            <w:r>
              <w:t>June 2021</w:t>
            </w:r>
          </w:p>
        </w:tc>
        <w:tc>
          <w:tcPr>
            <w:tcW w:w="2410" w:type="dxa"/>
            <w:tcBorders>
              <w:top w:val="single" w:sz="4" w:space="0" w:color="auto"/>
            </w:tcBorders>
          </w:tcPr>
          <w:p w14:paraId="5D6F3CE9" w14:textId="61386599" w:rsidR="00006FAB" w:rsidRDefault="00006FAB" w:rsidP="00006FAB">
            <w:pPr>
              <w:ind w:left="0" w:right="0"/>
            </w:pPr>
            <w:r w:rsidRPr="00006FAB">
              <w:t xml:space="preserve">Approved </w:t>
            </w:r>
            <w:r w:rsidR="00B205A3">
              <w:t>October</w:t>
            </w:r>
            <w:r w:rsidR="008C1106">
              <w:t> </w:t>
            </w:r>
            <w:r w:rsidR="00B205A3">
              <w:t>2021</w:t>
            </w:r>
          </w:p>
        </w:tc>
        <w:tc>
          <w:tcPr>
            <w:tcW w:w="2687" w:type="dxa"/>
            <w:tcBorders>
              <w:top w:val="single" w:sz="4" w:space="0" w:color="auto"/>
            </w:tcBorders>
          </w:tcPr>
          <w:p w14:paraId="0F80AE29" w14:textId="77A1E865" w:rsidR="00006FAB" w:rsidRPr="00B205A3" w:rsidRDefault="00B205A3" w:rsidP="00B205A3">
            <w:pPr>
              <w:ind w:left="0"/>
              <w:rPr>
                <w:i/>
                <w:iCs/>
              </w:rPr>
            </w:pPr>
            <w:r w:rsidRPr="00B205A3">
              <w:rPr>
                <w:i/>
                <w:iCs/>
              </w:rPr>
              <w:t xml:space="preserve">Treatment of adult patients with Philadelphia chromosome-positive chronic myeloid leukaemia (Ph+ CML) in chronic phase (CP), previously treated with two or more tyrosine kinase inhibitors (TKIs) and Ph+ CML-CP </w:t>
            </w:r>
            <w:proofErr w:type="spellStart"/>
            <w:r w:rsidRPr="00B205A3">
              <w:rPr>
                <w:i/>
                <w:iCs/>
              </w:rPr>
              <w:t>harboring</w:t>
            </w:r>
            <w:proofErr w:type="spellEnd"/>
            <w:r w:rsidRPr="00B205A3">
              <w:rPr>
                <w:i/>
                <w:iCs/>
              </w:rPr>
              <w:t xml:space="preserve"> the T315I mutation</w:t>
            </w:r>
          </w:p>
        </w:tc>
      </w:tr>
      <w:tr w:rsidR="00B205A3" w14:paraId="694B2185" w14:textId="77777777" w:rsidTr="00B205A3">
        <w:tc>
          <w:tcPr>
            <w:tcW w:w="1555" w:type="dxa"/>
          </w:tcPr>
          <w:p w14:paraId="39E156F0" w14:textId="7925A9CE" w:rsidR="00B205A3" w:rsidRDefault="00B205A3" w:rsidP="00B205A3">
            <w:pPr>
              <w:ind w:left="0" w:right="0"/>
            </w:pPr>
            <w:r>
              <w:t>Japan</w:t>
            </w:r>
          </w:p>
        </w:tc>
        <w:tc>
          <w:tcPr>
            <w:tcW w:w="1842" w:type="dxa"/>
          </w:tcPr>
          <w:p w14:paraId="14D0FE52" w14:textId="34F036DA" w:rsidR="00B205A3" w:rsidRDefault="00B205A3" w:rsidP="00B205A3">
            <w:pPr>
              <w:ind w:left="0" w:right="0"/>
            </w:pPr>
            <w:r>
              <w:t>August 2021</w:t>
            </w:r>
          </w:p>
        </w:tc>
        <w:tc>
          <w:tcPr>
            <w:tcW w:w="2410" w:type="dxa"/>
          </w:tcPr>
          <w:p w14:paraId="30B94E0E" w14:textId="5F8E663A" w:rsidR="00B205A3" w:rsidRDefault="00B205A3" w:rsidP="00B205A3">
            <w:pPr>
              <w:ind w:left="0" w:right="0"/>
            </w:pPr>
            <w:r>
              <w:t>Approved March 2022</w:t>
            </w:r>
          </w:p>
        </w:tc>
        <w:tc>
          <w:tcPr>
            <w:tcW w:w="2687" w:type="dxa"/>
          </w:tcPr>
          <w:p w14:paraId="4FF446C0" w14:textId="1DFC3D59" w:rsidR="00B205A3" w:rsidRPr="00B205A3" w:rsidRDefault="00B205A3" w:rsidP="00B205A3">
            <w:pPr>
              <w:ind w:left="0" w:right="0"/>
              <w:rPr>
                <w:i/>
                <w:iCs/>
              </w:rPr>
            </w:pPr>
            <w:r w:rsidRPr="00B205A3">
              <w:rPr>
                <w:i/>
                <w:iCs/>
              </w:rPr>
              <w:t>CML with resistance or intolerance to previous therapy</w:t>
            </w:r>
          </w:p>
        </w:tc>
      </w:tr>
      <w:tr w:rsidR="00B205A3" w14:paraId="7694C730" w14:textId="77777777" w:rsidTr="00B205A3">
        <w:tc>
          <w:tcPr>
            <w:tcW w:w="1555" w:type="dxa"/>
          </w:tcPr>
          <w:p w14:paraId="7CC89AE2" w14:textId="4F33E055" w:rsidR="00B205A3" w:rsidRDefault="00B205A3" w:rsidP="00B205A3">
            <w:pPr>
              <w:ind w:left="0"/>
            </w:pPr>
            <w:r>
              <w:t>European Union</w:t>
            </w:r>
          </w:p>
        </w:tc>
        <w:tc>
          <w:tcPr>
            <w:tcW w:w="1842" w:type="dxa"/>
          </w:tcPr>
          <w:p w14:paraId="36EAD2A1" w14:textId="248AF932" w:rsidR="00B205A3" w:rsidRDefault="00B205A3" w:rsidP="00B205A3">
            <w:pPr>
              <w:ind w:left="0"/>
            </w:pPr>
            <w:r>
              <w:t xml:space="preserve">June 2021 </w:t>
            </w:r>
          </w:p>
        </w:tc>
        <w:tc>
          <w:tcPr>
            <w:tcW w:w="2410" w:type="dxa"/>
          </w:tcPr>
          <w:p w14:paraId="699F2E25" w14:textId="19B96F9D" w:rsidR="00B205A3" w:rsidRPr="00006FAB" w:rsidRDefault="00B205A3" w:rsidP="008C1106">
            <w:pPr>
              <w:ind w:left="0"/>
            </w:pPr>
            <w:r w:rsidRPr="00006FAB">
              <w:t>Under consideration</w:t>
            </w:r>
          </w:p>
        </w:tc>
        <w:tc>
          <w:tcPr>
            <w:tcW w:w="2687" w:type="dxa"/>
          </w:tcPr>
          <w:p w14:paraId="1ABA4278" w14:textId="0A315F25" w:rsidR="00B205A3" w:rsidRPr="00006FAB" w:rsidRDefault="00B205A3" w:rsidP="00B205A3">
            <w:pPr>
              <w:ind w:left="0"/>
            </w:pPr>
            <w:r w:rsidRPr="00006FAB">
              <w:t>Under consideration</w:t>
            </w:r>
          </w:p>
        </w:tc>
      </w:tr>
      <w:tr w:rsidR="00B205A3" w14:paraId="7DF6C30E" w14:textId="77777777" w:rsidTr="00B205A3">
        <w:tc>
          <w:tcPr>
            <w:tcW w:w="1555" w:type="dxa"/>
          </w:tcPr>
          <w:p w14:paraId="44AA7539" w14:textId="61C5F70D" w:rsidR="00B205A3" w:rsidRDefault="00B205A3" w:rsidP="00B205A3">
            <w:pPr>
              <w:ind w:left="0"/>
            </w:pPr>
            <w:r>
              <w:t>Switzerland</w:t>
            </w:r>
          </w:p>
        </w:tc>
        <w:tc>
          <w:tcPr>
            <w:tcW w:w="1842" w:type="dxa"/>
          </w:tcPr>
          <w:p w14:paraId="5A5FDE0D" w14:textId="1256E4CD" w:rsidR="00B205A3" w:rsidRDefault="00B205A3" w:rsidP="00B205A3">
            <w:pPr>
              <w:ind w:left="0"/>
            </w:pPr>
            <w:r>
              <w:t>July 2021</w:t>
            </w:r>
          </w:p>
        </w:tc>
        <w:tc>
          <w:tcPr>
            <w:tcW w:w="2410" w:type="dxa"/>
          </w:tcPr>
          <w:p w14:paraId="2AD68A77" w14:textId="05EB2EE8" w:rsidR="00B205A3" w:rsidRPr="00006FAB" w:rsidRDefault="00B205A3" w:rsidP="00B205A3">
            <w:pPr>
              <w:ind w:left="0"/>
            </w:pPr>
            <w:r w:rsidRPr="00006FAB">
              <w:t>Under consideration</w:t>
            </w:r>
            <w:r>
              <w:t xml:space="preserve"> as part of ACCESS Consortium</w:t>
            </w:r>
          </w:p>
        </w:tc>
        <w:tc>
          <w:tcPr>
            <w:tcW w:w="2687" w:type="dxa"/>
          </w:tcPr>
          <w:p w14:paraId="038AC6BC" w14:textId="29284535" w:rsidR="00B205A3" w:rsidRPr="00006FAB" w:rsidRDefault="00B205A3" w:rsidP="00B205A3">
            <w:pPr>
              <w:ind w:left="0"/>
            </w:pPr>
            <w:r w:rsidRPr="00006FAB">
              <w:t>Under consideration</w:t>
            </w:r>
          </w:p>
        </w:tc>
      </w:tr>
      <w:tr w:rsidR="00B205A3" w14:paraId="6CFE9F1B" w14:textId="77777777" w:rsidTr="00B205A3">
        <w:tc>
          <w:tcPr>
            <w:tcW w:w="1555" w:type="dxa"/>
          </w:tcPr>
          <w:p w14:paraId="3BE66549" w14:textId="4C121578" w:rsidR="00B205A3" w:rsidRDefault="00B205A3" w:rsidP="00B205A3">
            <w:pPr>
              <w:ind w:left="0"/>
            </w:pPr>
            <w:r>
              <w:t>Singapore</w:t>
            </w:r>
          </w:p>
        </w:tc>
        <w:tc>
          <w:tcPr>
            <w:tcW w:w="1842" w:type="dxa"/>
          </w:tcPr>
          <w:p w14:paraId="10C8737F" w14:textId="3914A13A" w:rsidR="00B205A3" w:rsidRDefault="00B205A3" w:rsidP="00B205A3">
            <w:pPr>
              <w:ind w:left="0"/>
            </w:pPr>
            <w:r>
              <w:t>July 2021</w:t>
            </w:r>
          </w:p>
        </w:tc>
        <w:tc>
          <w:tcPr>
            <w:tcW w:w="2410" w:type="dxa"/>
          </w:tcPr>
          <w:p w14:paraId="750377AC" w14:textId="44CABA07" w:rsidR="00B205A3" w:rsidRPr="00006FAB" w:rsidRDefault="00B205A3" w:rsidP="00B205A3">
            <w:pPr>
              <w:ind w:left="0"/>
            </w:pPr>
            <w:r w:rsidRPr="00006FAB">
              <w:t>Under consideration</w:t>
            </w:r>
            <w:r>
              <w:t xml:space="preserve"> as part of ACCESS Consortium</w:t>
            </w:r>
          </w:p>
        </w:tc>
        <w:tc>
          <w:tcPr>
            <w:tcW w:w="2687" w:type="dxa"/>
          </w:tcPr>
          <w:p w14:paraId="2112E597" w14:textId="5734233A" w:rsidR="00B205A3" w:rsidRPr="00006FAB" w:rsidRDefault="00B205A3" w:rsidP="00B205A3">
            <w:pPr>
              <w:ind w:left="0"/>
            </w:pPr>
            <w:r w:rsidRPr="00006FAB">
              <w:t>Under consideration</w:t>
            </w:r>
          </w:p>
        </w:tc>
      </w:tr>
      <w:tr w:rsidR="00B205A3" w14:paraId="21F6C2CF" w14:textId="77777777" w:rsidTr="00B205A3">
        <w:tc>
          <w:tcPr>
            <w:tcW w:w="1555" w:type="dxa"/>
          </w:tcPr>
          <w:p w14:paraId="7F2AB30F" w14:textId="78E95FFB" w:rsidR="00B205A3" w:rsidRDefault="00B205A3" w:rsidP="00B205A3">
            <w:pPr>
              <w:ind w:left="0"/>
            </w:pPr>
            <w:r>
              <w:t>Canada</w:t>
            </w:r>
          </w:p>
        </w:tc>
        <w:tc>
          <w:tcPr>
            <w:tcW w:w="1842" w:type="dxa"/>
          </w:tcPr>
          <w:p w14:paraId="24244827" w14:textId="3D1BF3E8" w:rsidR="00B205A3" w:rsidRDefault="00B205A3" w:rsidP="00B205A3">
            <w:pPr>
              <w:ind w:left="0"/>
            </w:pPr>
            <w:r>
              <w:t>August 2021</w:t>
            </w:r>
          </w:p>
        </w:tc>
        <w:tc>
          <w:tcPr>
            <w:tcW w:w="2410" w:type="dxa"/>
          </w:tcPr>
          <w:p w14:paraId="1EF0C3D5" w14:textId="5BA8F2EC" w:rsidR="00B205A3" w:rsidRPr="00006FAB" w:rsidRDefault="00B205A3" w:rsidP="00B205A3">
            <w:pPr>
              <w:ind w:left="0"/>
            </w:pPr>
            <w:r w:rsidRPr="00006FAB">
              <w:t>Under consideration</w:t>
            </w:r>
            <w:r>
              <w:t xml:space="preserve"> as part of ACCESS Consortium</w:t>
            </w:r>
          </w:p>
        </w:tc>
        <w:tc>
          <w:tcPr>
            <w:tcW w:w="2687" w:type="dxa"/>
          </w:tcPr>
          <w:p w14:paraId="159576AF" w14:textId="52440DAA" w:rsidR="00B205A3" w:rsidRPr="00006FAB" w:rsidRDefault="00B205A3" w:rsidP="00B205A3">
            <w:pPr>
              <w:ind w:left="0"/>
            </w:pPr>
            <w:r w:rsidRPr="00006FAB">
              <w:t>Under consideration</w:t>
            </w:r>
          </w:p>
        </w:tc>
      </w:tr>
      <w:tr w:rsidR="00B205A3" w14:paraId="40FD9705" w14:textId="77777777" w:rsidTr="00B205A3">
        <w:tc>
          <w:tcPr>
            <w:tcW w:w="1555" w:type="dxa"/>
          </w:tcPr>
          <w:p w14:paraId="4FE7D00A" w14:textId="65D683FB" w:rsidR="00B205A3" w:rsidRDefault="00B205A3" w:rsidP="00B205A3">
            <w:pPr>
              <w:ind w:left="0"/>
            </w:pPr>
            <w:r>
              <w:t>United Kingdom</w:t>
            </w:r>
          </w:p>
        </w:tc>
        <w:tc>
          <w:tcPr>
            <w:tcW w:w="1842" w:type="dxa"/>
          </w:tcPr>
          <w:p w14:paraId="0B24EAF9" w14:textId="2E041C9E" w:rsidR="00B205A3" w:rsidRDefault="00B205A3" w:rsidP="00B205A3">
            <w:pPr>
              <w:ind w:left="0"/>
            </w:pPr>
            <w:r>
              <w:t>July 2021</w:t>
            </w:r>
          </w:p>
        </w:tc>
        <w:tc>
          <w:tcPr>
            <w:tcW w:w="2410" w:type="dxa"/>
          </w:tcPr>
          <w:p w14:paraId="2257160B" w14:textId="506E7FBF" w:rsidR="00B205A3" w:rsidRPr="00006FAB" w:rsidRDefault="00B205A3" w:rsidP="00B205A3">
            <w:pPr>
              <w:ind w:left="0"/>
            </w:pPr>
            <w:r w:rsidRPr="00006FAB">
              <w:t>Under consideration</w:t>
            </w:r>
            <w:r>
              <w:t xml:space="preserve"> as part of ACCESS Consortium</w:t>
            </w:r>
          </w:p>
        </w:tc>
        <w:tc>
          <w:tcPr>
            <w:tcW w:w="2687" w:type="dxa"/>
          </w:tcPr>
          <w:p w14:paraId="01F577B2" w14:textId="6F38B797" w:rsidR="00B205A3" w:rsidRPr="00006FAB" w:rsidRDefault="00B205A3" w:rsidP="00B205A3">
            <w:pPr>
              <w:ind w:left="0"/>
            </w:pPr>
            <w:r w:rsidRPr="00006FAB">
              <w:t>Under consideration</w:t>
            </w:r>
          </w:p>
        </w:tc>
      </w:tr>
    </w:tbl>
    <w:p w14:paraId="2D80002A" w14:textId="4162786B" w:rsidR="000F2BC7" w:rsidRPr="002F6FAE" w:rsidRDefault="000F2BC7" w:rsidP="002F6FAE">
      <w:r w:rsidRPr="002F6FAE">
        <w:t xml:space="preserve">Asciminib was evaluated as a priority and orphan drug by the </w:t>
      </w:r>
      <w:r w:rsidR="00334FD0" w:rsidRPr="00334FD0">
        <w:t xml:space="preserve">United States Food and Drug Administration </w:t>
      </w:r>
      <w:r w:rsidR="00334FD0">
        <w:t>(</w:t>
      </w:r>
      <w:r w:rsidRPr="002F6FAE">
        <w:t>FDA</w:t>
      </w:r>
      <w:r w:rsidR="00334FD0">
        <w:t>)</w:t>
      </w:r>
      <w:r w:rsidRPr="002F6FAE">
        <w:t xml:space="preserve"> and was granted an </w:t>
      </w:r>
      <w:r w:rsidR="00F26FF0">
        <w:t>A</w:t>
      </w:r>
      <w:r w:rsidRPr="002F6FAE">
        <w:t xml:space="preserve">ccelerated </w:t>
      </w:r>
      <w:r w:rsidR="00F26FF0">
        <w:t>A</w:t>
      </w:r>
      <w:r w:rsidRPr="002F6FAE">
        <w:t>pproval in October 2021</w:t>
      </w:r>
      <w:r w:rsidR="00F26FF0">
        <w:t>;</w:t>
      </w:r>
      <w:r w:rsidR="00F26FF0">
        <w:rPr>
          <w:rStyle w:val="FootnoteReference"/>
        </w:rPr>
        <w:footnoteReference w:id="17"/>
      </w:r>
      <w:r w:rsidRPr="002F6FAE">
        <w:t xml:space="preserve"> for the </w:t>
      </w:r>
      <w:r w:rsidRPr="002F6FAE">
        <w:lastRenderedPageBreak/>
        <w:t>third and subsequent line of therapy in Philadelphia chromosome</w:t>
      </w:r>
      <w:r w:rsidR="009571C3" w:rsidRPr="002F6FAE">
        <w:t xml:space="preserve"> </w:t>
      </w:r>
      <w:r w:rsidRPr="002F6FAE">
        <w:t>positive chronic myeloid leuk</w:t>
      </w:r>
      <w:r w:rsidR="002F6FAE">
        <w:t>a</w:t>
      </w:r>
      <w:r w:rsidRPr="002F6FAE">
        <w:t xml:space="preserve">emia in chronic phase and full marketing authorisation for treatment of </w:t>
      </w:r>
      <w:r w:rsidR="002F6FAE" w:rsidRPr="002F6FAE">
        <w:t>Philadelphia chromosome positive chronic myeloid leuk</w:t>
      </w:r>
      <w:r w:rsidR="002F6FAE">
        <w:t>a</w:t>
      </w:r>
      <w:r w:rsidR="002F6FAE" w:rsidRPr="002F6FAE">
        <w:t xml:space="preserve">emia in chronic phase </w:t>
      </w:r>
      <w:r w:rsidRPr="002F6FAE">
        <w:t>with the T315I mutation without regard to prior lines of therapy. The indications in the USA are as follows:</w:t>
      </w:r>
    </w:p>
    <w:p w14:paraId="7DE41137" w14:textId="2C9F8957" w:rsidR="000F2BC7" w:rsidRPr="008F4C00" w:rsidRDefault="000F2BC7" w:rsidP="008F4C00">
      <w:pPr>
        <w:ind w:left="360"/>
        <w:rPr>
          <w:i/>
          <w:iCs/>
          <w:lang w:val="en-US"/>
        </w:rPr>
      </w:pPr>
      <w:r w:rsidRPr="008F4C00">
        <w:rPr>
          <w:i/>
          <w:iCs/>
          <w:lang w:val="en-US"/>
        </w:rPr>
        <w:t>S</w:t>
      </w:r>
      <w:r w:rsidR="00334FD0" w:rsidRPr="008F4C00">
        <w:rPr>
          <w:i/>
          <w:iCs/>
          <w:lang w:val="en-US"/>
        </w:rPr>
        <w:t>cemblix</w:t>
      </w:r>
      <w:r w:rsidRPr="008F4C00">
        <w:rPr>
          <w:i/>
          <w:iCs/>
          <w:lang w:val="en-US"/>
        </w:rPr>
        <w:t xml:space="preserve"> is a kinase inhibitor indicated for the treatment of adult patients</w:t>
      </w:r>
      <w:r w:rsidR="002F6FAE" w:rsidRPr="008F4C00">
        <w:rPr>
          <w:i/>
          <w:iCs/>
          <w:lang w:val="en-US"/>
        </w:rPr>
        <w:t xml:space="preserve"> </w:t>
      </w:r>
      <w:r w:rsidRPr="008F4C00">
        <w:rPr>
          <w:i/>
          <w:iCs/>
          <w:lang w:val="en-US"/>
        </w:rPr>
        <w:t>with:</w:t>
      </w:r>
    </w:p>
    <w:p w14:paraId="42FE7CDE" w14:textId="252B92E6" w:rsidR="00101FE3" w:rsidRPr="008F4C00" w:rsidRDefault="000F2BC7" w:rsidP="008F4C00">
      <w:pPr>
        <w:pStyle w:val="ListBullet"/>
        <w:ind w:left="720"/>
        <w:rPr>
          <w:i/>
          <w:iCs/>
          <w:lang w:val="en-US"/>
        </w:rPr>
      </w:pPr>
      <w:r w:rsidRPr="008F4C00">
        <w:rPr>
          <w:i/>
          <w:iCs/>
          <w:lang w:val="en-US"/>
        </w:rPr>
        <w:t>Philadelphia chromosome-positive chronic myeloid leukemia (Ph+ CML)</w:t>
      </w:r>
      <w:r w:rsidR="002F6FAE" w:rsidRPr="008F4C00">
        <w:rPr>
          <w:i/>
          <w:iCs/>
          <w:lang w:val="en-US"/>
        </w:rPr>
        <w:t xml:space="preserve"> </w:t>
      </w:r>
      <w:r w:rsidRPr="008F4C00">
        <w:rPr>
          <w:i/>
          <w:iCs/>
          <w:lang w:val="en-US"/>
        </w:rPr>
        <w:t>in chronic phase (CP), previously treated with two or more tyrosine kinase</w:t>
      </w:r>
      <w:r w:rsidR="002F6FAE" w:rsidRPr="008F4C00">
        <w:rPr>
          <w:i/>
          <w:iCs/>
          <w:lang w:val="en-US"/>
        </w:rPr>
        <w:t xml:space="preserve"> </w:t>
      </w:r>
      <w:r w:rsidRPr="008F4C00">
        <w:rPr>
          <w:i/>
          <w:iCs/>
          <w:lang w:val="en-US"/>
        </w:rPr>
        <w:t>inhibitors (TKIs)</w:t>
      </w:r>
      <w:r w:rsidR="00101FE3" w:rsidRPr="008F4C00">
        <w:rPr>
          <w:i/>
          <w:iCs/>
          <w:lang w:val="en-US"/>
        </w:rPr>
        <w:t>.</w:t>
      </w:r>
    </w:p>
    <w:p w14:paraId="4FBEB0F7" w14:textId="5ADC6E5F" w:rsidR="00101FE3" w:rsidRPr="008F4C00" w:rsidRDefault="000F2BC7" w:rsidP="653028F1">
      <w:pPr>
        <w:pStyle w:val="ListBullet"/>
        <w:numPr>
          <w:ilvl w:val="0"/>
          <w:numId w:val="0"/>
        </w:numPr>
        <w:ind w:left="720"/>
        <w:rPr>
          <w:i/>
          <w:iCs/>
          <w:lang w:val="en-US"/>
        </w:rPr>
      </w:pPr>
      <w:r w:rsidRPr="653028F1">
        <w:rPr>
          <w:i/>
          <w:iCs/>
          <w:lang w:val="en-US"/>
        </w:rPr>
        <w:t>This indication is approved under accelerated approval based on major molecular response (MMR). Continued approval for this indication may be contingent upon verification and description of clinical benefit in a confirmatory trial(s).</w:t>
      </w:r>
    </w:p>
    <w:p w14:paraId="115B8393" w14:textId="13AF45AB" w:rsidR="000F2BC7" w:rsidRPr="002F6FAE" w:rsidRDefault="000F2BC7" w:rsidP="008F4C00">
      <w:pPr>
        <w:pStyle w:val="ListBullet"/>
        <w:ind w:left="720"/>
        <w:rPr>
          <w:lang w:val="en-US"/>
        </w:rPr>
      </w:pPr>
      <w:r w:rsidRPr="008F4C00">
        <w:rPr>
          <w:i/>
          <w:iCs/>
          <w:lang w:val="en-US"/>
        </w:rPr>
        <w:t>Ph+ CML in CP with the T315I mutation</w:t>
      </w:r>
    </w:p>
    <w:p w14:paraId="0C2F93F5" w14:textId="03F39653" w:rsidR="000F2BC7" w:rsidRDefault="7EE4E867" w:rsidP="002F6FAE">
      <w:pPr>
        <w:rPr>
          <w:lang w:val="en-US"/>
        </w:rPr>
      </w:pPr>
      <w:bookmarkStart w:id="32" w:name="_Hlk99951532"/>
      <w:r w:rsidRPr="653028F1">
        <w:rPr>
          <w:lang w:val="en-US"/>
        </w:rPr>
        <w:t xml:space="preserve">The </w:t>
      </w:r>
      <w:r w:rsidR="00343347">
        <w:rPr>
          <w:lang w:val="en-US"/>
        </w:rPr>
        <w:t>US FDA’s A</w:t>
      </w:r>
      <w:r w:rsidRPr="653028F1">
        <w:rPr>
          <w:lang w:val="en-US"/>
        </w:rPr>
        <w:t xml:space="preserve">ccelerated </w:t>
      </w:r>
      <w:r w:rsidR="00343347">
        <w:rPr>
          <w:lang w:val="en-US"/>
        </w:rPr>
        <w:t>A</w:t>
      </w:r>
      <w:r w:rsidRPr="653028F1">
        <w:rPr>
          <w:lang w:val="en-US"/>
        </w:rPr>
        <w:t xml:space="preserve">pproval (similar to </w:t>
      </w:r>
      <w:hyperlink r:id="rId20" w:history="1">
        <w:r w:rsidRPr="00343347">
          <w:rPr>
            <w:rStyle w:val="Hyperlink"/>
            <w:lang w:val="en-US"/>
          </w:rPr>
          <w:t>provisional approval</w:t>
        </w:r>
      </w:hyperlink>
      <w:r w:rsidRPr="653028F1">
        <w:rPr>
          <w:lang w:val="en-US"/>
        </w:rPr>
        <w:t xml:space="preserve"> in Australia) was due to the lack of Week 96 efficacy data from the pivotal study supporting approval.</w:t>
      </w:r>
      <w:r w:rsidR="7AF47C50" w:rsidRPr="653028F1">
        <w:rPr>
          <w:lang w:val="en-US"/>
        </w:rPr>
        <w:t xml:space="preserve"> </w:t>
      </w:r>
      <w:r w:rsidRPr="653028F1">
        <w:rPr>
          <w:lang w:val="en-US"/>
        </w:rPr>
        <w:t>In its multidisciplinary review, the reviewers recommended that post</w:t>
      </w:r>
      <w:r w:rsidR="00180168">
        <w:rPr>
          <w:lang w:val="en-US"/>
        </w:rPr>
        <w:t>-</w:t>
      </w:r>
      <w:r w:rsidRPr="653028F1">
        <w:rPr>
          <w:lang w:val="en-US"/>
        </w:rPr>
        <w:t>market studies in the following areas be conducted:</w:t>
      </w:r>
    </w:p>
    <w:p w14:paraId="184BCF89" w14:textId="1D0674C3" w:rsidR="000F2BC7" w:rsidRPr="002F6FAE" w:rsidRDefault="000F2BC7" w:rsidP="002F6FAE">
      <w:pPr>
        <w:pStyle w:val="ListBullet"/>
        <w:rPr>
          <w:lang w:val="en-US"/>
        </w:rPr>
      </w:pPr>
      <w:r w:rsidRPr="002F6FAE">
        <w:rPr>
          <w:lang w:val="en-US"/>
        </w:rPr>
        <w:t>Dosage recommendations when asciminib is co-administered with breast cancer resistant protein substrates</w:t>
      </w:r>
    </w:p>
    <w:p w14:paraId="2F6570B8" w14:textId="4EED33F7" w:rsidR="000F2BC7" w:rsidRPr="002F6FAE" w:rsidRDefault="000F2BC7" w:rsidP="002F6FAE">
      <w:pPr>
        <w:pStyle w:val="ListBullet"/>
        <w:rPr>
          <w:lang w:val="en-US"/>
        </w:rPr>
      </w:pPr>
      <w:r>
        <w:t>Dosage recommendations when asciminib is co-administered with</w:t>
      </w:r>
      <w:r w:rsidR="002F6FAE" w:rsidRPr="00D170D7">
        <w:t xml:space="preserve">, </w:t>
      </w:r>
      <w:r w:rsidR="002F6FAE" w:rsidRPr="0009364E">
        <w:t>organic anion-transporting polypeptide 1B1</w:t>
      </w:r>
      <w:r w:rsidR="002F6FAE">
        <w:t xml:space="preserve"> and 1B3 (</w:t>
      </w:r>
      <w:r>
        <w:t>OATP1B1/3</w:t>
      </w:r>
      <w:r w:rsidR="002F6FAE">
        <w:t>)</w:t>
      </w:r>
      <w:r>
        <w:t xml:space="preserve"> substrates</w:t>
      </w:r>
    </w:p>
    <w:p w14:paraId="61A2144A" w14:textId="7048F8A2" w:rsidR="000F2BC7" w:rsidRPr="002F6FAE" w:rsidRDefault="000F2BC7" w:rsidP="002F6FAE">
      <w:pPr>
        <w:pStyle w:val="ListBullet"/>
        <w:rPr>
          <w:lang w:val="en-US"/>
        </w:rPr>
      </w:pPr>
      <w:r>
        <w:t>Dose recommendation when co</w:t>
      </w:r>
      <w:r w:rsidR="00180168">
        <w:t>-</w:t>
      </w:r>
      <w:r>
        <w:t xml:space="preserve">administration of asciminib with strong </w:t>
      </w:r>
      <w:r w:rsidR="002F6FAE">
        <w:t>cytochrome P450’s;</w:t>
      </w:r>
      <w:bookmarkStart w:id="33" w:name="_Ref127877652"/>
      <w:r w:rsidR="002F6FAE">
        <w:rPr>
          <w:rStyle w:val="FootnoteReference"/>
        </w:rPr>
        <w:footnoteReference w:id="18"/>
      </w:r>
      <w:bookmarkEnd w:id="33"/>
      <w:r w:rsidR="002F6FAE" w:rsidRPr="00D170D7">
        <w:t xml:space="preserve"> </w:t>
      </w:r>
      <w:r>
        <w:t xml:space="preserve">CYP3A and </w:t>
      </w:r>
      <w:r w:rsidR="002F6FAE">
        <w:t>u</w:t>
      </w:r>
      <w:r w:rsidR="002F6FAE" w:rsidRPr="0095166B">
        <w:t>ridine 5-diphospho-glucuronosyltransferase</w:t>
      </w:r>
      <w:r w:rsidR="002F6FAE">
        <w:t xml:space="preserve"> (</w:t>
      </w:r>
      <w:r>
        <w:t>UGT</w:t>
      </w:r>
      <w:r w:rsidR="002F6FAE">
        <w:t>)</w:t>
      </w:r>
      <w:r>
        <w:t xml:space="preserve"> inducer</w:t>
      </w:r>
    </w:p>
    <w:p w14:paraId="21F145BC" w14:textId="675C1A21" w:rsidR="000F2BC7" w:rsidRPr="002F6FAE" w:rsidRDefault="000F2BC7" w:rsidP="002F6FAE">
      <w:pPr>
        <w:pStyle w:val="ListBullet"/>
        <w:rPr>
          <w:lang w:val="en-US"/>
        </w:rPr>
      </w:pPr>
      <w:r>
        <w:t>Dosing strategies with concomitant use of asciminib with oral drug products containing hydroxypropyl-β</w:t>
      </w:r>
      <w:r w:rsidR="00343347">
        <w:noBreakHyphen/>
      </w:r>
      <w:r>
        <w:t>cyclodextrin.</w:t>
      </w:r>
    </w:p>
    <w:p w14:paraId="1879A2EB" w14:textId="77777777" w:rsidR="00101FE3" w:rsidRDefault="000F2BC7" w:rsidP="002F6FAE">
      <w:r w:rsidRPr="002F6FAE">
        <w:t>The above recommendations were not included in the final conditions of approval by the FDA. A paediatric study was required</w:t>
      </w:r>
      <w:bookmarkEnd w:id="32"/>
      <w:r w:rsidR="00101FE3">
        <w:t>.</w:t>
      </w:r>
    </w:p>
    <w:p w14:paraId="0EB5C180" w14:textId="1A591807" w:rsidR="000F2BC7" w:rsidRPr="002F6FAE" w:rsidRDefault="000F2BC7" w:rsidP="002F6FAE">
      <w:r w:rsidRPr="002F6FAE">
        <w:t xml:space="preserve">In the EU, the </w:t>
      </w:r>
      <w:r w:rsidR="00343347">
        <w:t>m</w:t>
      </w:r>
      <w:r w:rsidRPr="002F6FAE">
        <w:t xml:space="preserve">arket </w:t>
      </w:r>
      <w:r w:rsidR="00343347">
        <w:t>a</w:t>
      </w:r>
      <w:r w:rsidRPr="002F6FAE">
        <w:t>uthori</w:t>
      </w:r>
      <w:r w:rsidR="00343347">
        <w:t>s</w:t>
      </w:r>
      <w:r w:rsidRPr="002F6FAE">
        <w:t xml:space="preserve">ation </w:t>
      </w:r>
      <w:r w:rsidR="00343347">
        <w:t>a</w:t>
      </w:r>
      <w:r w:rsidRPr="002F6FAE">
        <w:t xml:space="preserve">pplication submission was completed on </w:t>
      </w:r>
      <w:r w:rsidR="002F6FAE">
        <w:t>22 June </w:t>
      </w:r>
      <w:r w:rsidRPr="002F6FAE">
        <w:t>2021 and the indication in the EU is the same as has been proposed to the TGA.</w:t>
      </w:r>
    </w:p>
    <w:p w14:paraId="0251C921" w14:textId="408C70EA" w:rsidR="008E7846" w:rsidRDefault="008E7846" w:rsidP="00940A89">
      <w:pPr>
        <w:pStyle w:val="Heading3"/>
      </w:pPr>
      <w:bookmarkStart w:id="34" w:name="_Toc131683495"/>
      <w:r>
        <w:t>Product Information</w:t>
      </w:r>
      <w:bookmarkEnd w:id="29"/>
      <w:bookmarkEnd w:id="30"/>
      <w:bookmarkEnd w:id="34"/>
    </w:p>
    <w:p w14:paraId="169DBA5A" w14:textId="32DAA693" w:rsidR="00332715" w:rsidRDefault="00332715" w:rsidP="00332715">
      <w:bookmarkStart w:id="35" w:name="_Toc504480011"/>
      <w:bookmarkStart w:id="36" w:name="_Toc247691506"/>
      <w:bookmarkStart w:id="37" w:name="_Toc314842487"/>
      <w:r>
        <w:t xml:space="preserve">The Product Information (PI) approved with the submission which is described in this AusPAR can be found as Attachment 1. For the most recent PI, please refer to the TGA </w:t>
      </w:r>
      <w:hyperlink r:id="rId21" w:history="1">
        <w:r>
          <w:rPr>
            <w:rStyle w:val="Hyperlink"/>
          </w:rPr>
          <w:t>PI/CMI search facility</w:t>
        </w:r>
        <w:r w:rsidRPr="009556D7">
          <w:rPr>
            <w:rStyle w:val="Hyperlink"/>
            <w:color w:val="auto"/>
            <w:u w:val="none"/>
          </w:rPr>
          <w:t>.</w:t>
        </w:r>
      </w:hyperlink>
    </w:p>
    <w:p w14:paraId="52920721" w14:textId="77777777" w:rsidR="00500337" w:rsidRDefault="00500337" w:rsidP="00500337">
      <w:pPr>
        <w:pStyle w:val="Heading2"/>
      </w:pPr>
      <w:bookmarkStart w:id="38" w:name="_Toc131683496"/>
      <w:r>
        <w:lastRenderedPageBreak/>
        <w:t>Registration timeline</w:t>
      </w:r>
      <w:bookmarkEnd w:id="35"/>
      <w:bookmarkEnd w:id="38"/>
    </w:p>
    <w:p w14:paraId="47286B35" w14:textId="77777777" w:rsidR="0074163C" w:rsidRPr="00C93EC1" w:rsidRDefault="0074163C" w:rsidP="0074163C">
      <w:r w:rsidRPr="00C93EC1">
        <w:t xml:space="preserve">The following table captures the key steps and dates for this </w:t>
      </w:r>
      <w:r w:rsidR="00804D99">
        <w:t>submission</w:t>
      </w:r>
      <w:r w:rsidRPr="00C93EC1">
        <w:t>.</w:t>
      </w:r>
    </w:p>
    <w:p w14:paraId="229A3204" w14:textId="6DF1907E" w:rsidR="0074163C" w:rsidRPr="006A58A8" w:rsidRDefault="0074163C" w:rsidP="0074163C">
      <w:pPr>
        <w:pStyle w:val="TableTitle"/>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47BEA">
        <w:rPr>
          <w:noProof/>
        </w:rPr>
        <w:t>2</w:t>
      </w:r>
      <w:r>
        <w:rPr>
          <w:color w:val="2B579A"/>
          <w:shd w:val="clear" w:color="auto" w:fill="E6E6E6"/>
        </w:rPr>
        <w:fldChar w:fldCharType="end"/>
      </w:r>
      <w:r>
        <w:t>:</w:t>
      </w:r>
      <w:r w:rsidRPr="006A58A8">
        <w:t xml:space="preserve"> Timeline for Submission </w:t>
      </w:r>
      <w:r w:rsidR="00BA573D" w:rsidRPr="00BA573D">
        <w:t>PM-2021-03048-1-6</w:t>
      </w:r>
    </w:p>
    <w:tbl>
      <w:tblPr>
        <w:tblStyle w:val="TableTGAblue"/>
        <w:tblW w:w="0" w:type="auto"/>
        <w:tblLook w:val="04A0" w:firstRow="1" w:lastRow="0" w:firstColumn="1" w:lastColumn="0" w:noHBand="0" w:noVBand="1"/>
      </w:tblPr>
      <w:tblGrid>
        <w:gridCol w:w="5665"/>
        <w:gridCol w:w="2829"/>
      </w:tblGrid>
      <w:tr w:rsidR="0074163C" w14:paraId="3E7AABAB" w14:textId="77777777" w:rsidTr="00A6576A">
        <w:trPr>
          <w:cnfStyle w:val="100000000000" w:firstRow="1" w:lastRow="0" w:firstColumn="0" w:lastColumn="0" w:oddVBand="0" w:evenVBand="0" w:oddHBand="0" w:evenHBand="0" w:firstRowFirstColumn="0" w:firstRowLastColumn="0" w:lastRowFirstColumn="0" w:lastRowLastColumn="0"/>
        </w:trPr>
        <w:tc>
          <w:tcPr>
            <w:tcW w:w="5665" w:type="dxa"/>
            <w:tcBorders>
              <w:top w:val="single" w:sz="4" w:space="0" w:color="auto"/>
              <w:left w:val="single" w:sz="4" w:space="0" w:color="auto"/>
              <w:bottom w:val="single" w:sz="4" w:space="0" w:color="auto"/>
              <w:right w:val="single" w:sz="4" w:space="0" w:color="auto"/>
            </w:tcBorders>
          </w:tcPr>
          <w:p w14:paraId="3ACC3D2A" w14:textId="77777777" w:rsidR="0074163C" w:rsidRDefault="0074163C" w:rsidP="009E5A87">
            <w:r>
              <w:t>Description</w:t>
            </w:r>
          </w:p>
        </w:tc>
        <w:tc>
          <w:tcPr>
            <w:tcW w:w="2829" w:type="dxa"/>
            <w:tcBorders>
              <w:top w:val="single" w:sz="4" w:space="0" w:color="auto"/>
              <w:left w:val="single" w:sz="4" w:space="0" w:color="auto"/>
              <w:bottom w:val="single" w:sz="4" w:space="0" w:color="auto"/>
              <w:right w:val="single" w:sz="4" w:space="0" w:color="auto"/>
            </w:tcBorders>
          </w:tcPr>
          <w:p w14:paraId="48534B40" w14:textId="77777777" w:rsidR="0074163C" w:rsidRDefault="0074163C" w:rsidP="009E5A87">
            <w:r>
              <w:t>Date</w:t>
            </w:r>
          </w:p>
        </w:tc>
      </w:tr>
      <w:tr w:rsidR="0074163C" w14:paraId="5C832816" w14:textId="77777777" w:rsidTr="00A6576A">
        <w:tc>
          <w:tcPr>
            <w:tcW w:w="5665" w:type="dxa"/>
            <w:tcBorders>
              <w:top w:val="single" w:sz="4" w:space="0" w:color="auto"/>
            </w:tcBorders>
          </w:tcPr>
          <w:p w14:paraId="03189BA9" w14:textId="77777777" w:rsidR="0074163C" w:rsidRDefault="0074163C" w:rsidP="009E5A87">
            <w:r>
              <w:t>Submission dossier accepted and first round evaluation commenced</w:t>
            </w:r>
          </w:p>
        </w:tc>
        <w:tc>
          <w:tcPr>
            <w:tcW w:w="2829" w:type="dxa"/>
            <w:tcBorders>
              <w:top w:val="single" w:sz="4" w:space="0" w:color="auto"/>
            </w:tcBorders>
          </w:tcPr>
          <w:p w14:paraId="62186262" w14:textId="0C2A7752" w:rsidR="0074163C" w:rsidRDefault="00BA573D" w:rsidP="009E5A87">
            <w:r>
              <w:t>27 August 2021</w:t>
            </w:r>
          </w:p>
        </w:tc>
      </w:tr>
      <w:tr w:rsidR="0074163C" w14:paraId="257C9DD0" w14:textId="77777777" w:rsidTr="00A6576A">
        <w:tc>
          <w:tcPr>
            <w:tcW w:w="5665" w:type="dxa"/>
          </w:tcPr>
          <w:p w14:paraId="2EA5C6B5" w14:textId="77777777" w:rsidR="0074163C" w:rsidRDefault="0074163C" w:rsidP="009E5A87">
            <w:r>
              <w:t>First round evaluation completed</w:t>
            </w:r>
          </w:p>
        </w:tc>
        <w:tc>
          <w:tcPr>
            <w:tcW w:w="2829" w:type="dxa"/>
          </w:tcPr>
          <w:p w14:paraId="28C4EB1E" w14:textId="25E7D55F" w:rsidR="0074163C" w:rsidRDefault="00BA573D" w:rsidP="009E5A87">
            <w:r>
              <w:t>24 December 2021</w:t>
            </w:r>
          </w:p>
        </w:tc>
      </w:tr>
      <w:tr w:rsidR="0074163C" w14:paraId="58CB1422" w14:textId="77777777" w:rsidTr="00A6576A">
        <w:tc>
          <w:tcPr>
            <w:tcW w:w="5665" w:type="dxa"/>
          </w:tcPr>
          <w:p w14:paraId="38BF0C14" w14:textId="77777777" w:rsidR="0074163C" w:rsidRDefault="0074163C" w:rsidP="009E5A87">
            <w:r>
              <w:t>Sponsor provides responses on questions raised in first round evaluation</w:t>
            </w:r>
          </w:p>
        </w:tc>
        <w:tc>
          <w:tcPr>
            <w:tcW w:w="2829" w:type="dxa"/>
          </w:tcPr>
          <w:p w14:paraId="143F3B1A" w14:textId="69FF6387" w:rsidR="0074163C" w:rsidRDefault="00BA573D" w:rsidP="009E5A87">
            <w:r>
              <w:t>10 February 2022</w:t>
            </w:r>
          </w:p>
        </w:tc>
      </w:tr>
      <w:tr w:rsidR="0074163C" w14:paraId="616FD443" w14:textId="77777777" w:rsidTr="00A6576A">
        <w:tc>
          <w:tcPr>
            <w:tcW w:w="5665" w:type="dxa"/>
          </w:tcPr>
          <w:p w14:paraId="01D04555" w14:textId="77777777" w:rsidR="0074163C" w:rsidRDefault="0074163C" w:rsidP="009E5A87">
            <w:r>
              <w:t>Second round evaluation completed</w:t>
            </w:r>
          </w:p>
        </w:tc>
        <w:tc>
          <w:tcPr>
            <w:tcW w:w="2829" w:type="dxa"/>
          </w:tcPr>
          <w:p w14:paraId="2E006D5A" w14:textId="545A3B5C" w:rsidR="0074163C" w:rsidRDefault="00BA573D" w:rsidP="009E5A87">
            <w:r>
              <w:t>27 June 2022</w:t>
            </w:r>
          </w:p>
        </w:tc>
      </w:tr>
      <w:tr w:rsidR="0074163C" w14:paraId="1859E3E8" w14:textId="77777777" w:rsidTr="00A6576A">
        <w:tc>
          <w:tcPr>
            <w:tcW w:w="5665" w:type="dxa"/>
          </w:tcPr>
          <w:p w14:paraId="1A2EF286" w14:textId="31490DD4" w:rsidR="0074163C" w:rsidRDefault="0074163C" w:rsidP="009E5A87">
            <w:r>
              <w:t xml:space="preserve">Delegate’s Overall benefit-risk assessment </w:t>
            </w:r>
            <w:r w:rsidRPr="00BA573D">
              <w:rPr>
                <w:color w:val="auto"/>
              </w:rPr>
              <w:t>and request for Advisory Committee advice</w:t>
            </w:r>
          </w:p>
        </w:tc>
        <w:tc>
          <w:tcPr>
            <w:tcW w:w="2829" w:type="dxa"/>
          </w:tcPr>
          <w:p w14:paraId="161AAC8A" w14:textId="12B6723A" w:rsidR="0074163C" w:rsidRDefault="00BA573D" w:rsidP="009E5A87">
            <w:r>
              <w:t>28 April 2022</w:t>
            </w:r>
          </w:p>
        </w:tc>
      </w:tr>
      <w:tr w:rsidR="0074163C" w14:paraId="11AEC0AF" w14:textId="77777777" w:rsidTr="00A6576A">
        <w:tc>
          <w:tcPr>
            <w:tcW w:w="5665" w:type="dxa"/>
          </w:tcPr>
          <w:p w14:paraId="4B88F07B" w14:textId="77777777" w:rsidR="0074163C" w:rsidRDefault="0074163C" w:rsidP="009E5A87">
            <w:r>
              <w:t>Sponsor’s pre-Advisory Committee response</w:t>
            </w:r>
          </w:p>
        </w:tc>
        <w:tc>
          <w:tcPr>
            <w:tcW w:w="2829" w:type="dxa"/>
          </w:tcPr>
          <w:p w14:paraId="5F7E772C" w14:textId="4C3F594C" w:rsidR="0074163C" w:rsidRDefault="00BA573D" w:rsidP="009E5A87">
            <w:r>
              <w:t>16 May 2022</w:t>
            </w:r>
          </w:p>
        </w:tc>
      </w:tr>
      <w:tr w:rsidR="0074163C" w14:paraId="6583799A" w14:textId="77777777" w:rsidTr="00A6576A">
        <w:tc>
          <w:tcPr>
            <w:tcW w:w="5665" w:type="dxa"/>
          </w:tcPr>
          <w:p w14:paraId="7822AA0D" w14:textId="77777777" w:rsidR="0074163C" w:rsidRDefault="0074163C" w:rsidP="009E5A87">
            <w:r>
              <w:t>Advisory Committee meeting</w:t>
            </w:r>
          </w:p>
        </w:tc>
        <w:tc>
          <w:tcPr>
            <w:tcW w:w="2829" w:type="dxa"/>
          </w:tcPr>
          <w:p w14:paraId="64E2A291" w14:textId="129C3EFA" w:rsidR="0074163C" w:rsidRDefault="00BA573D" w:rsidP="009E5A87">
            <w:r>
              <w:t>2</w:t>
            </w:r>
            <w:r w:rsidR="00776049">
              <w:t xml:space="preserve"> and </w:t>
            </w:r>
            <w:r>
              <w:t>3 June 2022</w:t>
            </w:r>
          </w:p>
        </w:tc>
      </w:tr>
      <w:tr w:rsidR="0074163C" w14:paraId="2EFFE244" w14:textId="77777777" w:rsidTr="00A6576A">
        <w:tc>
          <w:tcPr>
            <w:tcW w:w="5665" w:type="dxa"/>
          </w:tcPr>
          <w:p w14:paraId="7FDCFC7B" w14:textId="77777777" w:rsidR="0074163C" w:rsidRDefault="0074163C" w:rsidP="009E5A87">
            <w:r>
              <w:t>Registration decision (Outcome)</w:t>
            </w:r>
          </w:p>
        </w:tc>
        <w:tc>
          <w:tcPr>
            <w:tcW w:w="2829" w:type="dxa"/>
          </w:tcPr>
          <w:p w14:paraId="5BCEFE55" w14:textId="702DF4AF" w:rsidR="0074163C" w:rsidRDefault="00BA573D" w:rsidP="009E5A87">
            <w:r>
              <w:t>14 July 2022</w:t>
            </w:r>
          </w:p>
        </w:tc>
      </w:tr>
      <w:tr w:rsidR="0074163C" w14:paraId="25537A33" w14:textId="77777777" w:rsidTr="00A6576A">
        <w:tc>
          <w:tcPr>
            <w:tcW w:w="5665" w:type="dxa"/>
          </w:tcPr>
          <w:p w14:paraId="299806F2" w14:textId="77777777" w:rsidR="0074163C" w:rsidRDefault="0074163C" w:rsidP="009E5A87">
            <w:r w:rsidRPr="005A79F5">
              <w:t>Completion of administrative activities and registration on the ARTG</w:t>
            </w:r>
          </w:p>
        </w:tc>
        <w:tc>
          <w:tcPr>
            <w:tcW w:w="2829" w:type="dxa"/>
          </w:tcPr>
          <w:p w14:paraId="484F4D40" w14:textId="087D9F8B" w:rsidR="0074163C" w:rsidRDefault="00BA573D" w:rsidP="009E5A87">
            <w:r>
              <w:t>15 July 2022</w:t>
            </w:r>
          </w:p>
        </w:tc>
      </w:tr>
      <w:tr w:rsidR="0074163C" w14:paraId="05BCA1A6" w14:textId="77777777" w:rsidTr="00A6576A">
        <w:tc>
          <w:tcPr>
            <w:tcW w:w="5665" w:type="dxa"/>
          </w:tcPr>
          <w:p w14:paraId="0E83CA3A" w14:textId="77777777" w:rsidR="0074163C" w:rsidRDefault="0074163C" w:rsidP="009E5A87">
            <w:r>
              <w:t>Number of working days from submission dossier acceptance to registration decision*</w:t>
            </w:r>
          </w:p>
        </w:tc>
        <w:tc>
          <w:tcPr>
            <w:tcW w:w="2829" w:type="dxa"/>
          </w:tcPr>
          <w:p w14:paraId="70F1C26C" w14:textId="5316CFB0" w:rsidR="0074163C" w:rsidRDefault="00BA573D" w:rsidP="009E5A87">
            <w:r>
              <w:t>171</w:t>
            </w:r>
          </w:p>
        </w:tc>
      </w:tr>
    </w:tbl>
    <w:p w14:paraId="30920CE3" w14:textId="77777777" w:rsidR="0074163C" w:rsidRDefault="0074163C" w:rsidP="0074163C">
      <w:pPr>
        <w:pStyle w:val="TableDescription"/>
      </w:pPr>
      <w:r>
        <w:t>*</w:t>
      </w:r>
      <w:r w:rsidRPr="00BF3774">
        <w:t xml:space="preserve">Statutory </w:t>
      </w:r>
      <w:r>
        <w:t xml:space="preserve">timeframe for standard </w:t>
      </w:r>
      <w:r w:rsidR="00BB0B78">
        <w:t>submission</w:t>
      </w:r>
      <w:r>
        <w:t>s is 255 working days</w:t>
      </w:r>
    </w:p>
    <w:p w14:paraId="20FA2CBC" w14:textId="77777777" w:rsidR="008E7846" w:rsidRPr="00792A32" w:rsidRDefault="00006FAB" w:rsidP="008E7846">
      <w:pPr>
        <w:pStyle w:val="Heading2"/>
      </w:pPr>
      <w:bookmarkStart w:id="39" w:name="_Toc196046504"/>
      <w:bookmarkStart w:id="40" w:name="_Toc247691527"/>
      <w:bookmarkStart w:id="41" w:name="_Toc314842510"/>
      <w:bookmarkStart w:id="42" w:name="_Toc131683497"/>
      <w:bookmarkStart w:id="43" w:name="_Toc163441390"/>
      <w:bookmarkEnd w:id="36"/>
      <w:bookmarkEnd w:id="37"/>
      <w:bookmarkEnd w:id="1"/>
      <w:r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39"/>
      <w:bookmarkEnd w:id="40"/>
      <w:bookmarkEnd w:id="41"/>
      <w:bookmarkEnd w:id="42"/>
    </w:p>
    <w:p w14:paraId="3892FA58" w14:textId="77777777" w:rsidR="005A79F5" w:rsidRDefault="005A79F5" w:rsidP="0074163C">
      <w:pPr>
        <w:pStyle w:val="Instructions"/>
        <w:rPr>
          <w:i w:val="0"/>
          <w:color w:val="auto"/>
        </w:rPr>
      </w:pPr>
      <w:bookmarkStart w:id="44" w:name="_Toc247691528"/>
      <w:bookmarkStart w:id="45" w:name="_Toc314842511"/>
      <w:r w:rsidRPr="005A79F5">
        <w:rPr>
          <w:i w:val="0"/>
          <w:color w:val="auto"/>
        </w:rPr>
        <w:t>A summary of the TGA’s assessment for this submission is provided below</w:t>
      </w:r>
      <w:r>
        <w:rPr>
          <w:i w:val="0"/>
          <w:color w:val="auto"/>
        </w:rPr>
        <w:t>.</w:t>
      </w:r>
    </w:p>
    <w:p w14:paraId="44570CBA" w14:textId="77777777" w:rsidR="0074163C" w:rsidRDefault="0074163C" w:rsidP="0074163C">
      <w:r w:rsidRPr="0026538D">
        <w:t>This section is a TGA summary of wording used in TGA’s evaluation report, which discussed numerous aspects of overseas evaluation reports and included some information that was commercial-in-confidence.</w:t>
      </w:r>
    </w:p>
    <w:p w14:paraId="106ABEA5" w14:textId="39339F1B" w:rsidR="008E7846" w:rsidRDefault="008E7846" w:rsidP="008E7846">
      <w:pPr>
        <w:pStyle w:val="Heading3"/>
      </w:pPr>
      <w:bookmarkStart w:id="46" w:name="_Toc131683498"/>
      <w:r>
        <w:t>Quality</w:t>
      </w:r>
      <w:bookmarkEnd w:id="44"/>
      <w:bookmarkEnd w:id="45"/>
      <w:bookmarkEnd w:id="46"/>
    </w:p>
    <w:p w14:paraId="0C6B8F2D" w14:textId="0E2873ED" w:rsidR="006F41FD" w:rsidRPr="006F41FD" w:rsidRDefault="006F41FD" w:rsidP="00281B1A">
      <w:r w:rsidRPr="006F41FD">
        <w:t>Asciminib hydrochloride has a molecular formula C</w:t>
      </w:r>
      <w:r w:rsidRPr="00281B1A">
        <w:rPr>
          <w:vertAlign w:val="subscript"/>
        </w:rPr>
        <w:t>20</w:t>
      </w:r>
      <w:r w:rsidRPr="006F41FD">
        <w:t>H</w:t>
      </w:r>
      <w:r w:rsidRPr="00281B1A">
        <w:rPr>
          <w:vertAlign w:val="subscript"/>
        </w:rPr>
        <w:t>18</w:t>
      </w:r>
      <w:r w:rsidRPr="006F41FD">
        <w:t>ClF</w:t>
      </w:r>
      <w:r w:rsidRPr="00281B1A">
        <w:rPr>
          <w:vertAlign w:val="subscript"/>
        </w:rPr>
        <w:t>2</w:t>
      </w:r>
      <w:r w:rsidRPr="006F41FD">
        <w:t>N</w:t>
      </w:r>
      <w:r w:rsidRPr="00281B1A">
        <w:rPr>
          <w:vertAlign w:val="subscript"/>
        </w:rPr>
        <w:t>5</w:t>
      </w:r>
      <w:r w:rsidRPr="006F41FD">
        <w:t>O</w:t>
      </w:r>
      <w:r w:rsidRPr="00281B1A">
        <w:rPr>
          <w:vertAlign w:val="subscript"/>
        </w:rPr>
        <w:t>3</w:t>
      </w:r>
      <w:r w:rsidRPr="006F41FD">
        <w:t xml:space="preserve">.HCl; the free base has a molecular weight of 449.8. Asciminib </w:t>
      </w:r>
      <w:r>
        <w:t>hydrochloride</w:t>
      </w:r>
      <w:r w:rsidRPr="006F41FD">
        <w:t xml:space="preserve"> is a crystal</w:t>
      </w:r>
      <w:r w:rsidR="001F0901">
        <w:t xml:space="preserve">line powder with </w:t>
      </w:r>
      <w:proofErr w:type="spellStart"/>
      <w:r w:rsidR="001F0901">
        <w:t>pKa</w:t>
      </w:r>
      <w:proofErr w:type="spellEnd"/>
      <w:r w:rsidR="001F0901">
        <w:t xml:space="preserve"> 3.9 and pH-</w:t>
      </w:r>
      <w:r w:rsidRPr="006F41FD">
        <w:t>dependent solubility.</w:t>
      </w:r>
      <w:r w:rsidR="001F0901">
        <w:t xml:space="preserve"> The skeletal formula of asciminib hydrochloride is shown in </w:t>
      </w:r>
      <w:r w:rsidR="001F0901">
        <w:fldChar w:fldCharType="begin"/>
      </w:r>
      <w:r w:rsidR="001F0901">
        <w:instrText xml:space="preserve"> REF _Ref131145711 \h </w:instrText>
      </w:r>
      <w:r w:rsidR="001F0901">
        <w:fldChar w:fldCharType="separate"/>
      </w:r>
      <w:r w:rsidR="00547BEA">
        <w:t xml:space="preserve">Figure </w:t>
      </w:r>
      <w:r w:rsidR="00547BEA">
        <w:rPr>
          <w:noProof/>
        </w:rPr>
        <w:t>1</w:t>
      </w:r>
      <w:r w:rsidR="001F0901">
        <w:fldChar w:fldCharType="end"/>
      </w:r>
      <w:r w:rsidR="001F0901">
        <w:t>, below.</w:t>
      </w:r>
    </w:p>
    <w:p w14:paraId="55FF36A6" w14:textId="59D68155" w:rsidR="00306B38" w:rsidRPr="00306B38" w:rsidRDefault="00306B38" w:rsidP="00306B38">
      <w:pPr>
        <w:pStyle w:val="FigureTitle"/>
      </w:pPr>
      <w:bookmarkStart w:id="47" w:name="_Ref131145711"/>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47BEA">
        <w:rPr>
          <w:noProof/>
        </w:rPr>
        <w:t>1</w:t>
      </w:r>
      <w:r>
        <w:rPr>
          <w:color w:val="2B579A"/>
          <w:shd w:val="clear" w:color="auto" w:fill="E6E6E6"/>
        </w:rPr>
        <w:fldChar w:fldCharType="end"/>
      </w:r>
      <w:bookmarkEnd w:id="47"/>
      <w:r>
        <w:t xml:space="preserve">: </w:t>
      </w:r>
      <w:r w:rsidR="001F0901">
        <w:t xml:space="preserve">Skeletal formula </w:t>
      </w:r>
      <w:r>
        <w:t>of asciminib</w:t>
      </w:r>
      <w:r w:rsidR="001F0901">
        <w:t xml:space="preserve"> hydrochloride</w:t>
      </w:r>
    </w:p>
    <w:p w14:paraId="6651BE25" w14:textId="2A34414F" w:rsidR="009D3B16" w:rsidRDefault="00306B38" w:rsidP="004139A8">
      <w:r>
        <w:rPr>
          <w:noProof/>
          <w:color w:val="2B579A"/>
          <w:shd w:val="clear" w:color="auto" w:fill="E6E6E6"/>
          <w:lang w:val="en-GB" w:eastAsia="en-GB"/>
        </w:rPr>
        <w:drawing>
          <wp:inline distT="0" distB="0" distL="0" distR="0" wp14:anchorId="453E3B9E" wp14:editId="0C342B52">
            <wp:extent cx="4124325" cy="1582590"/>
            <wp:effectExtent l="0" t="0" r="0" b="0"/>
            <wp:docPr id="20" name="Picture 20" descr="Structure of ascim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ructure of asciminib"/>
                    <pic:cNvPicPr/>
                  </pic:nvPicPr>
                  <pic:blipFill>
                    <a:blip r:embed="rId22"/>
                    <a:stretch>
                      <a:fillRect/>
                    </a:stretch>
                  </pic:blipFill>
                  <pic:spPr>
                    <a:xfrm>
                      <a:off x="0" y="0"/>
                      <a:ext cx="4135738" cy="1586969"/>
                    </a:xfrm>
                    <a:prstGeom prst="rect">
                      <a:avLst/>
                    </a:prstGeom>
                  </pic:spPr>
                </pic:pic>
              </a:graphicData>
            </a:graphic>
          </wp:inline>
        </w:drawing>
      </w:r>
    </w:p>
    <w:p w14:paraId="31BA4539" w14:textId="04651A6B" w:rsidR="001F0901" w:rsidRDefault="001F0901" w:rsidP="004139A8">
      <w:r>
        <w:t>The a</w:t>
      </w:r>
      <w:r w:rsidRPr="004139A8">
        <w:t>sciminib drug substance is manufactured following synthesis with chemical transformations in the side chains and chemical transformations in the main chain, followed by hydrochloride salt formation.</w:t>
      </w:r>
    </w:p>
    <w:p w14:paraId="450338B1" w14:textId="1489F66B" w:rsidR="004139A8" w:rsidRDefault="004139A8" w:rsidP="004139A8">
      <w:r>
        <w:t>Scemblix</w:t>
      </w:r>
      <w:r w:rsidR="00281B1A">
        <w:rPr>
          <w:vertAlign w:val="superscript"/>
        </w:rPr>
        <w:t xml:space="preserve"> </w:t>
      </w:r>
      <w:r>
        <w:t>(asciminib) is to be supplied in the dose form of film-coated oral tablets, in two strengths as follows:</w:t>
      </w:r>
    </w:p>
    <w:p w14:paraId="14273528" w14:textId="77777777" w:rsidR="004139A8" w:rsidRDefault="004139A8" w:rsidP="004139A8">
      <w:pPr>
        <w:pStyle w:val="ListBullet"/>
      </w:pPr>
      <w:r>
        <w:t>20 mg tablets are pale yellow, round, biconvex, film-coated tablets with bevelled edges, approximately 6.2 mm diameter, unscored, debossed with the sponsor’s logo on one side and ‘20’ on the other side.</w:t>
      </w:r>
    </w:p>
    <w:p w14:paraId="03303D05" w14:textId="77777777" w:rsidR="004139A8" w:rsidRDefault="004139A8" w:rsidP="004139A8">
      <w:pPr>
        <w:pStyle w:val="ListBullet"/>
      </w:pPr>
      <w:r>
        <w:t xml:space="preserve">40 mg tablets are </w:t>
      </w:r>
      <w:proofErr w:type="gramStart"/>
      <w:r>
        <w:t>violet white</w:t>
      </w:r>
      <w:proofErr w:type="gramEnd"/>
      <w:r>
        <w:t>, round, biconvex, film-coated tablets with bevelled edges, approximately 8.2 mm in diameter, unscored, debossed with the sponsor’s logo on one side and ’40’ on the other side.</w:t>
      </w:r>
    </w:p>
    <w:p w14:paraId="39AD0B9C" w14:textId="0BBF1E06" w:rsidR="004139A8" w:rsidRDefault="004E46FF" w:rsidP="00882EA6">
      <w:r w:rsidRPr="00882EA6">
        <w:t>Both strengths of tablets (20 mg and 40 mg) are packaged in polyv</w:t>
      </w:r>
      <w:r w:rsidR="00882EA6" w:rsidRPr="00882EA6">
        <w:t>inyl chloride/ aluminium blisters in packs of 20 and 60 tablets. Scemblix has a shelf life of 24 months</w:t>
      </w:r>
      <w:r w:rsidR="00882EA6">
        <w:t xml:space="preserve"> when stored at or below 25 °C</w:t>
      </w:r>
      <w:r w:rsidR="00D470CB">
        <w:t>.</w:t>
      </w:r>
    </w:p>
    <w:p w14:paraId="1D251F11" w14:textId="2490E6A4" w:rsidR="001F0901" w:rsidRPr="00882EA6" w:rsidRDefault="001F0901" w:rsidP="00882EA6">
      <w:r>
        <w:t xml:space="preserve">With respect to submission, </w:t>
      </w:r>
      <w:r w:rsidRPr="001F0901">
        <w:t xml:space="preserve">all </w:t>
      </w:r>
      <w:r>
        <w:t>quality and pharmaceutical chemistry</w:t>
      </w:r>
      <w:r w:rsidRPr="001F0901">
        <w:t xml:space="preserve"> requirements have been satisfactorily</w:t>
      </w:r>
      <w:r>
        <w:t xml:space="preserve"> satisfied in Australia.</w:t>
      </w:r>
    </w:p>
    <w:p w14:paraId="3270685D" w14:textId="77777777" w:rsidR="008E7846" w:rsidRDefault="008E7846" w:rsidP="008E7846">
      <w:pPr>
        <w:pStyle w:val="Heading3"/>
      </w:pPr>
      <w:bookmarkStart w:id="48" w:name="_Toc314842512"/>
      <w:bookmarkStart w:id="49" w:name="_Toc131683499"/>
      <w:r>
        <w:t>Nonclinical</w:t>
      </w:r>
      <w:bookmarkEnd w:id="48"/>
      <w:bookmarkEnd w:id="49"/>
    </w:p>
    <w:p w14:paraId="3074F976" w14:textId="235EABFB" w:rsidR="00D170D7" w:rsidRPr="00D170D7" w:rsidRDefault="00D170D7" w:rsidP="00D170D7">
      <w:r w:rsidRPr="00D170D7">
        <w:t xml:space="preserve">Asciminib is a small molecule, inhibitor of </w:t>
      </w:r>
      <w:proofErr w:type="gramStart"/>
      <w:r w:rsidR="007A021D" w:rsidRPr="00281B1A">
        <w:rPr>
          <w:i/>
          <w:iCs/>
        </w:rPr>
        <w:t>BCR::</w:t>
      </w:r>
      <w:proofErr w:type="gramEnd"/>
      <w:r w:rsidR="007A021D" w:rsidRPr="00281B1A">
        <w:rPr>
          <w:i/>
          <w:iCs/>
        </w:rPr>
        <w:t>ABL1</w:t>
      </w:r>
      <w:r w:rsidRPr="00D170D7">
        <w:t xml:space="preserve"> </w:t>
      </w:r>
      <w:r w:rsidR="00C55988">
        <w:t xml:space="preserve">tyrosine kinase </w:t>
      </w:r>
      <w:r w:rsidRPr="00D170D7">
        <w:t>with the molecular formula C</w:t>
      </w:r>
      <w:r w:rsidRPr="00CC552E">
        <w:rPr>
          <w:vertAlign w:val="subscript"/>
        </w:rPr>
        <w:t>20</w:t>
      </w:r>
      <w:r w:rsidRPr="00D170D7">
        <w:t>H</w:t>
      </w:r>
      <w:r w:rsidRPr="00CC552E">
        <w:rPr>
          <w:vertAlign w:val="subscript"/>
        </w:rPr>
        <w:t>18</w:t>
      </w:r>
      <w:r w:rsidRPr="00D170D7">
        <w:t>ClF</w:t>
      </w:r>
      <w:r w:rsidRPr="00CC552E">
        <w:rPr>
          <w:vertAlign w:val="subscript"/>
        </w:rPr>
        <w:t>2</w:t>
      </w:r>
      <w:r w:rsidRPr="00D170D7">
        <w:t>N</w:t>
      </w:r>
      <w:r w:rsidRPr="00CC552E">
        <w:rPr>
          <w:vertAlign w:val="subscript"/>
        </w:rPr>
        <w:t>5</w:t>
      </w:r>
      <w:r w:rsidRPr="00D170D7">
        <w:t>O</w:t>
      </w:r>
      <w:r w:rsidRPr="00CC552E">
        <w:rPr>
          <w:vertAlign w:val="subscript"/>
        </w:rPr>
        <w:t>3</w:t>
      </w:r>
      <w:r w:rsidRPr="00D170D7">
        <w:t xml:space="preserve">. The drug product contains no novel excipients. Asciminib is a first-in-class </w:t>
      </w:r>
      <w:r w:rsidR="007A021D" w:rsidRPr="00281B1A">
        <w:rPr>
          <w:i/>
          <w:iCs/>
        </w:rPr>
        <w:t>BCR::ABL1</w:t>
      </w:r>
      <w:r w:rsidRPr="00D170D7">
        <w:t xml:space="preserve"> inhibitor and is expected to specifically target the ABL </w:t>
      </w:r>
      <w:proofErr w:type="spellStart"/>
      <w:r w:rsidR="009D3B16">
        <w:t>m</w:t>
      </w:r>
      <w:r w:rsidRPr="00D170D7">
        <w:t>yristoyl</w:t>
      </w:r>
      <w:proofErr w:type="spellEnd"/>
      <w:r w:rsidRPr="00D170D7">
        <w:t xml:space="preserve"> </w:t>
      </w:r>
      <w:r w:rsidR="009D3B16">
        <w:t>p</w:t>
      </w:r>
      <w:r w:rsidRPr="00D170D7">
        <w:t xml:space="preserve">ocket, with the potential to overcome resistance/intolerance to </w:t>
      </w:r>
      <w:r w:rsidR="00B51FD1">
        <w:t xml:space="preserve">previously </w:t>
      </w:r>
      <w:r w:rsidRPr="00D170D7">
        <w:t xml:space="preserve">approved </w:t>
      </w:r>
      <w:r w:rsidRPr="00B15ABE">
        <w:t xml:space="preserve">tyrosine kinase </w:t>
      </w:r>
      <w:r w:rsidRPr="00E61C82">
        <w:t>inhibitor</w:t>
      </w:r>
      <w:r w:rsidRPr="00D170D7">
        <w:t>s (</w:t>
      </w:r>
      <w:r w:rsidR="00B51FD1">
        <w:t>such as</w:t>
      </w:r>
      <w:r w:rsidRPr="00D170D7">
        <w:t xml:space="preserve"> imatinib,</w:t>
      </w:r>
      <w:r w:rsidR="006D40F8">
        <w:rPr>
          <w:color w:val="2B579A"/>
          <w:shd w:val="clear" w:color="auto" w:fill="E6E6E6"/>
        </w:rPr>
        <w:fldChar w:fldCharType="begin"/>
      </w:r>
      <w:r w:rsidR="006D40F8">
        <w:instrText xml:space="preserve"> NOTEREF _Ref127872926 \f \h </w:instrText>
      </w:r>
      <w:r w:rsidR="006D40F8">
        <w:rPr>
          <w:color w:val="2B579A"/>
          <w:shd w:val="clear" w:color="auto" w:fill="E6E6E6"/>
        </w:rPr>
      </w:r>
      <w:r w:rsidR="006D40F8">
        <w:rPr>
          <w:color w:val="2B579A"/>
          <w:shd w:val="clear" w:color="auto" w:fill="E6E6E6"/>
        </w:rPr>
        <w:fldChar w:fldCharType="separate"/>
      </w:r>
      <w:r w:rsidR="00547BEA" w:rsidRPr="00547BEA">
        <w:rPr>
          <w:rStyle w:val="FootnoteReference"/>
        </w:rPr>
        <w:t>11</w:t>
      </w:r>
      <w:r w:rsidR="006D40F8">
        <w:rPr>
          <w:color w:val="2B579A"/>
          <w:shd w:val="clear" w:color="auto" w:fill="E6E6E6"/>
        </w:rPr>
        <w:fldChar w:fldCharType="end"/>
      </w:r>
      <w:r w:rsidRPr="00D170D7">
        <w:t xml:space="preserve"> dasatinib,</w:t>
      </w:r>
      <w:r w:rsidR="006D40F8">
        <w:rPr>
          <w:color w:val="2B579A"/>
          <w:shd w:val="clear" w:color="auto" w:fill="E6E6E6"/>
        </w:rPr>
        <w:fldChar w:fldCharType="begin"/>
      </w:r>
      <w:r w:rsidR="006D40F8">
        <w:instrText xml:space="preserve"> NOTEREF _Ref127872903 \f \h </w:instrText>
      </w:r>
      <w:r w:rsidR="006D40F8">
        <w:rPr>
          <w:color w:val="2B579A"/>
          <w:shd w:val="clear" w:color="auto" w:fill="E6E6E6"/>
        </w:rPr>
      </w:r>
      <w:r w:rsidR="006D40F8">
        <w:rPr>
          <w:color w:val="2B579A"/>
          <w:shd w:val="clear" w:color="auto" w:fill="E6E6E6"/>
        </w:rPr>
        <w:fldChar w:fldCharType="separate"/>
      </w:r>
      <w:r w:rsidR="00547BEA" w:rsidRPr="00547BEA">
        <w:rPr>
          <w:rStyle w:val="FootnoteReference"/>
        </w:rPr>
        <w:t>13</w:t>
      </w:r>
      <w:r w:rsidR="006D40F8">
        <w:rPr>
          <w:color w:val="2B579A"/>
          <w:shd w:val="clear" w:color="auto" w:fill="E6E6E6"/>
        </w:rPr>
        <w:fldChar w:fldCharType="end"/>
      </w:r>
      <w:r w:rsidRPr="00D170D7">
        <w:t xml:space="preserve"> nilotinib,</w:t>
      </w:r>
      <w:r w:rsidR="006D40F8">
        <w:rPr>
          <w:color w:val="2B579A"/>
          <w:shd w:val="clear" w:color="auto" w:fill="E6E6E6"/>
        </w:rPr>
        <w:fldChar w:fldCharType="begin"/>
      </w:r>
      <w:r w:rsidR="006D40F8">
        <w:instrText xml:space="preserve"> NOTEREF _Ref127872877 \f \h </w:instrText>
      </w:r>
      <w:r w:rsidR="006D40F8">
        <w:rPr>
          <w:color w:val="2B579A"/>
          <w:shd w:val="clear" w:color="auto" w:fill="E6E6E6"/>
        </w:rPr>
      </w:r>
      <w:r w:rsidR="006D40F8">
        <w:rPr>
          <w:color w:val="2B579A"/>
          <w:shd w:val="clear" w:color="auto" w:fill="E6E6E6"/>
        </w:rPr>
        <w:fldChar w:fldCharType="separate"/>
      </w:r>
      <w:r w:rsidR="00547BEA" w:rsidRPr="00547BEA">
        <w:rPr>
          <w:rStyle w:val="FootnoteReference"/>
        </w:rPr>
        <w:t>12</w:t>
      </w:r>
      <w:r w:rsidR="006D40F8">
        <w:rPr>
          <w:color w:val="2B579A"/>
          <w:shd w:val="clear" w:color="auto" w:fill="E6E6E6"/>
        </w:rPr>
        <w:fldChar w:fldCharType="end"/>
      </w:r>
      <w:r w:rsidRPr="00D170D7">
        <w:t xml:space="preserve"> bosutinib</w:t>
      </w:r>
      <w:r w:rsidR="006D40F8">
        <w:t>,</w:t>
      </w:r>
      <w:r w:rsidR="006D40F8">
        <w:rPr>
          <w:color w:val="2B579A"/>
          <w:shd w:val="clear" w:color="auto" w:fill="E6E6E6"/>
        </w:rPr>
        <w:fldChar w:fldCharType="begin"/>
      </w:r>
      <w:r w:rsidR="006D40F8">
        <w:instrText xml:space="preserve"> NOTEREF _Ref127872937 \f \h </w:instrText>
      </w:r>
      <w:r w:rsidR="006D40F8">
        <w:rPr>
          <w:color w:val="2B579A"/>
          <w:shd w:val="clear" w:color="auto" w:fill="E6E6E6"/>
        </w:rPr>
      </w:r>
      <w:r w:rsidR="006D40F8">
        <w:rPr>
          <w:color w:val="2B579A"/>
          <w:shd w:val="clear" w:color="auto" w:fill="E6E6E6"/>
        </w:rPr>
        <w:fldChar w:fldCharType="separate"/>
      </w:r>
      <w:r w:rsidR="00547BEA" w:rsidRPr="00547BEA">
        <w:rPr>
          <w:rStyle w:val="FootnoteReference"/>
        </w:rPr>
        <w:t>14</w:t>
      </w:r>
      <w:r w:rsidR="006D40F8">
        <w:rPr>
          <w:color w:val="2B579A"/>
          <w:shd w:val="clear" w:color="auto" w:fill="E6E6E6"/>
        </w:rPr>
        <w:fldChar w:fldCharType="end"/>
      </w:r>
      <w:r w:rsidRPr="00D170D7">
        <w:t xml:space="preserve"> and ponatinib).</w:t>
      </w:r>
      <w:r w:rsidR="006D40F8">
        <w:rPr>
          <w:color w:val="2B579A"/>
          <w:shd w:val="clear" w:color="auto" w:fill="E6E6E6"/>
        </w:rPr>
        <w:fldChar w:fldCharType="begin"/>
      </w:r>
      <w:r w:rsidR="006D40F8">
        <w:instrText xml:space="preserve"> NOTEREF _Ref127872949 \f \h </w:instrText>
      </w:r>
      <w:r w:rsidR="006D40F8">
        <w:rPr>
          <w:color w:val="2B579A"/>
          <w:shd w:val="clear" w:color="auto" w:fill="E6E6E6"/>
        </w:rPr>
      </w:r>
      <w:r w:rsidR="006D40F8">
        <w:rPr>
          <w:color w:val="2B579A"/>
          <w:shd w:val="clear" w:color="auto" w:fill="E6E6E6"/>
        </w:rPr>
        <w:fldChar w:fldCharType="separate"/>
      </w:r>
      <w:r w:rsidR="00547BEA" w:rsidRPr="00547BEA">
        <w:rPr>
          <w:rStyle w:val="FootnoteReference"/>
        </w:rPr>
        <w:t>15</w:t>
      </w:r>
      <w:r w:rsidR="006D40F8">
        <w:rPr>
          <w:color w:val="2B579A"/>
          <w:shd w:val="clear" w:color="auto" w:fill="E6E6E6"/>
        </w:rPr>
        <w:fldChar w:fldCharType="end"/>
      </w:r>
      <w:r w:rsidR="006D40F8" w:rsidRPr="00D170D7">
        <w:t xml:space="preserve"> </w:t>
      </w:r>
    </w:p>
    <w:p w14:paraId="18A7C19F" w14:textId="7AB8F1AE" w:rsidR="00D170D7" w:rsidRPr="00D170D7" w:rsidRDefault="00D170D7" w:rsidP="00D170D7">
      <w:r w:rsidRPr="00D170D7">
        <w:t>The primary pharmacology studies support the proposed indication</w:t>
      </w:r>
      <w:r>
        <w:t>. N</w:t>
      </w:r>
      <w:r w:rsidRPr="00D170D7">
        <w:t>o relevant off</w:t>
      </w:r>
      <w:r w:rsidR="00B51FD1">
        <w:t>-</w:t>
      </w:r>
      <w:r w:rsidRPr="00D170D7">
        <w:t>target effects are predicted based on the secondary pharmacodynamic screens.</w:t>
      </w:r>
    </w:p>
    <w:p w14:paraId="76BBBE29" w14:textId="2F5BD971" w:rsidR="00D170D7" w:rsidRPr="00BC5016" w:rsidRDefault="00D170D7" w:rsidP="004134EB">
      <w:pPr>
        <w:rPr>
          <w:vertAlign w:val="subscript"/>
        </w:rPr>
      </w:pPr>
      <w:r w:rsidRPr="00D170D7">
        <w:t xml:space="preserve">No adverse effects on cardiovascular, </w:t>
      </w:r>
      <w:proofErr w:type="gramStart"/>
      <w:r w:rsidRPr="00D170D7">
        <w:t>respiratory</w:t>
      </w:r>
      <w:proofErr w:type="gramEnd"/>
      <w:r w:rsidRPr="00D170D7">
        <w:t xml:space="preserve"> and </w:t>
      </w:r>
      <w:r>
        <w:t>central nervous system</w:t>
      </w:r>
      <w:r w:rsidRPr="00D170D7">
        <w:t xml:space="preserve"> function are predicted based on the nonclinical studies. Moderate cardiovascular effects (increased heart rate, decreased systolic pressure, decreased mean arterial pressure, and decreased arterial pulse pressure) were seen in dogs dosed orally at 600 mg/kg, but </w:t>
      </w:r>
      <w:r w:rsidRPr="00E35082">
        <w:t>QT</w:t>
      </w:r>
      <w:r w:rsidRPr="00D170D7">
        <w:t xml:space="preserve"> prolongation</w:t>
      </w:r>
      <w:r w:rsidR="00F534DD">
        <w:t>;</w:t>
      </w:r>
      <w:bookmarkStart w:id="50" w:name="_Ref127174863"/>
      <w:r w:rsidR="00F534DD" w:rsidRPr="00F534DD">
        <w:rPr>
          <w:rStyle w:val="FootnoteReference"/>
        </w:rPr>
        <w:t xml:space="preserve"> </w:t>
      </w:r>
      <w:bookmarkStart w:id="51" w:name="_Ref127878095"/>
      <w:r w:rsidR="00F534DD">
        <w:rPr>
          <w:rStyle w:val="FootnoteReference"/>
        </w:rPr>
        <w:footnoteReference w:id="19"/>
      </w:r>
      <w:bookmarkEnd w:id="50"/>
      <w:bookmarkEnd w:id="51"/>
      <w:r w:rsidRPr="00D170D7">
        <w:t xml:space="preserve"> (observed clinically) was not observed at doses up to 60 mg/kg </w:t>
      </w:r>
      <w:r w:rsidRPr="004134EB">
        <w:t>(</w:t>
      </w:r>
      <w:r w:rsidR="004134EB" w:rsidRPr="004134EB">
        <w:t xml:space="preserve">estimated exposure ratio at </w:t>
      </w:r>
      <w:r w:rsidR="00B51FD1">
        <w:t>maximum concentration (</w:t>
      </w:r>
      <w:r w:rsidR="004134EB" w:rsidRPr="004134EB">
        <w:t>C</w:t>
      </w:r>
      <w:r w:rsidR="004134EB" w:rsidRPr="004134EB">
        <w:rPr>
          <w:vertAlign w:val="subscript"/>
        </w:rPr>
        <w:t>max</w:t>
      </w:r>
      <w:r w:rsidR="00B51FD1">
        <w:t>)</w:t>
      </w:r>
      <w:r w:rsidRPr="001B10B9">
        <w:t xml:space="preserve"> </w:t>
      </w:r>
      <w:r w:rsidR="00E35082" w:rsidRPr="001B10B9">
        <w:t>greater than or equal to</w:t>
      </w:r>
      <w:r w:rsidRPr="001B10B9">
        <w:t xml:space="preserve"> 8</w:t>
      </w:r>
      <w:r w:rsidRPr="00D170D7">
        <w:t>).</w:t>
      </w:r>
    </w:p>
    <w:p w14:paraId="1B7B1D16" w14:textId="347B8593" w:rsidR="00D170D7" w:rsidRPr="00D170D7" w:rsidRDefault="00D170D7" w:rsidP="00D170D7">
      <w:r w:rsidRPr="00D170D7">
        <w:lastRenderedPageBreak/>
        <w:t xml:space="preserve">Based on </w:t>
      </w:r>
      <w:r w:rsidRPr="004134EB">
        <w:rPr>
          <w:i/>
          <w:iCs/>
        </w:rPr>
        <w:t>in vitro</w:t>
      </w:r>
      <w:r w:rsidRPr="00D170D7">
        <w:t xml:space="preserve"> data asciminib has the potential to inhibit</w:t>
      </w:r>
      <w:r w:rsidR="0009364E">
        <w:t xml:space="preserve"> cytochrome P450’s</w:t>
      </w:r>
      <w:r w:rsidRPr="00D170D7">
        <w:t xml:space="preserve"> </w:t>
      </w:r>
      <w:r w:rsidR="0009364E">
        <w:t>(</w:t>
      </w:r>
      <w:r w:rsidRPr="00D170D7">
        <w:t>CYPs</w:t>
      </w:r>
      <w:r w:rsidR="0009364E">
        <w:t>)</w:t>
      </w:r>
      <w:r w:rsidR="00A409DB">
        <w:rPr>
          <w:color w:val="2B579A"/>
          <w:shd w:val="clear" w:color="auto" w:fill="E6E6E6"/>
        </w:rPr>
        <w:fldChar w:fldCharType="begin"/>
      </w:r>
      <w:r w:rsidR="00A409DB">
        <w:instrText xml:space="preserve"> NOTEREF _Ref127877652 \f \h </w:instrText>
      </w:r>
      <w:r w:rsidR="00A409DB">
        <w:rPr>
          <w:color w:val="2B579A"/>
          <w:shd w:val="clear" w:color="auto" w:fill="E6E6E6"/>
        </w:rPr>
      </w:r>
      <w:r w:rsidR="00A409DB">
        <w:rPr>
          <w:color w:val="2B579A"/>
          <w:shd w:val="clear" w:color="auto" w:fill="E6E6E6"/>
        </w:rPr>
        <w:fldChar w:fldCharType="separate"/>
      </w:r>
      <w:r w:rsidR="00547BEA" w:rsidRPr="00547BEA">
        <w:rPr>
          <w:rStyle w:val="FootnoteReference"/>
        </w:rPr>
        <w:t>17</w:t>
      </w:r>
      <w:r w:rsidR="00A409DB">
        <w:rPr>
          <w:color w:val="2B579A"/>
          <w:shd w:val="clear" w:color="auto" w:fill="E6E6E6"/>
        </w:rPr>
        <w:fldChar w:fldCharType="end"/>
      </w:r>
      <w:r w:rsidRPr="00D170D7">
        <w:t xml:space="preserve"> </w:t>
      </w:r>
      <w:r w:rsidR="0009364E">
        <w:t>CYP</w:t>
      </w:r>
      <w:r w:rsidRPr="00D170D7">
        <w:t xml:space="preserve">2C8, </w:t>
      </w:r>
      <w:r w:rsidR="0009364E">
        <w:t>CYP</w:t>
      </w:r>
      <w:r w:rsidRPr="00D170D7">
        <w:t xml:space="preserve">2C9 and </w:t>
      </w:r>
      <w:r w:rsidR="0009364E">
        <w:t>CYP</w:t>
      </w:r>
      <w:r w:rsidRPr="00D170D7">
        <w:t xml:space="preserve">3A4/5, and </w:t>
      </w:r>
      <w:r w:rsidR="0095166B">
        <w:t>u</w:t>
      </w:r>
      <w:r w:rsidR="0095166B" w:rsidRPr="0095166B">
        <w:t>ridine 5-diphospho-glucuronosyltransferase</w:t>
      </w:r>
      <w:r w:rsidR="0095166B">
        <w:t xml:space="preserve"> </w:t>
      </w:r>
      <w:r w:rsidR="00BC5016">
        <w:t xml:space="preserve">(UGT) </w:t>
      </w:r>
      <w:r w:rsidR="0095166B">
        <w:t xml:space="preserve">1A1 </w:t>
      </w:r>
      <w:r w:rsidR="0009364E">
        <w:t>gene</w:t>
      </w:r>
      <w:r w:rsidR="00BC5016">
        <w:t xml:space="preserve"> (</w:t>
      </w:r>
      <w:r w:rsidR="00BC5016" w:rsidRPr="00D170D7">
        <w:t>UGT1A1</w:t>
      </w:r>
      <w:r w:rsidR="00BC5016">
        <w:t>)</w:t>
      </w:r>
      <w:r w:rsidRPr="00D170D7">
        <w:t xml:space="preserve">. It was also an inducer of CYP1A2 and CYP3A4 </w:t>
      </w:r>
      <w:r w:rsidRPr="00E87723">
        <w:rPr>
          <w:i/>
          <w:iCs/>
        </w:rPr>
        <w:t>in vitro</w:t>
      </w:r>
      <w:r w:rsidRPr="00D170D7">
        <w:t xml:space="preserve"> and may reduce the exposure of CYP1A2 and CYP3A4 substrates on co</w:t>
      </w:r>
      <w:r w:rsidR="0009364E">
        <w:noBreakHyphen/>
      </w:r>
      <w:r w:rsidRPr="00D170D7">
        <w:t xml:space="preserve">administration. Inhibition of </w:t>
      </w:r>
      <w:r w:rsidR="00AA10DB">
        <w:t>b</w:t>
      </w:r>
      <w:r w:rsidR="00AA10DB" w:rsidRPr="00AA10DB">
        <w:t>reast cancer resistance protein</w:t>
      </w:r>
      <w:r w:rsidRPr="00D170D7">
        <w:t xml:space="preserve">, </w:t>
      </w:r>
      <w:r w:rsidR="00AA10DB">
        <w:t>P-glycoprotein</w:t>
      </w:r>
      <w:r w:rsidRPr="00D170D7">
        <w:t xml:space="preserve">, </w:t>
      </w:r>
      <w:r w:rsidR="0009364E" w:rsidRPr="0009364E">
        <w:t>organic anion-transporting polypeptide</w:t>
      </w:r>
      <w:r w:rsidR="00180168">
        <w:t>s</w:t>
      </w:r>
      <w:r w:rsidR="0009364E" w:rsidRPr="0009364E">
        <w:t xml:space="preserve"> 1B1</w:t>
      </w:r>
      <w:r w:rsidR="0009364E">
        <w:t xml:space="preserve"> and 1B3 (</w:t>
      </w:r>
      <w:r w:rsidRPr="00BC5016">
        <w:t>OATP1B1/3</w:t>
      </w:r>
      <w:r w:rsidR="0009364E" w:rsidRPr="00BC5016">
        <w:t>)</w:t>
      </w:r>
      <w:r w:rsidRPr="00BC5016">
        <w:t>,</w:t>
      </w:r>
      <w:r w:rsidRPr="00D170D7">
        <w:t xml:space="preserve"> </w:t>
      </w:r>
      <w:r w:rsidR="0009364E">
        <w:t>organic cation transporter 1</w:t>
      </w:r>
      <w:r w:rsidRPr="00D170D7">
        <w:t xml:space="preserve">, </w:t>
      </w:r>
      <w:r w:rsidR="0009364E">
        <w:t>organic cation transporter 3</w:t>
      </w:r>
      <w:r w:rsidRPr="00D170D7">
        <w:t xml:space="preserve"> and</w:t>
      </w:r>
      <w:r w:rsidR="00C64334" w:rsidRPr="00C64334">
        <w:t xml:space="preserve"> </w:t>
      </w:r>
      <w:r w:rsidR="00C64334">
        <w:t>m</w:t>
      </w:r>
      <w:r w:rsidR="00C64334" w:rsidRPr="00C64334">
        <w:t>ultidrug and toxin extrusion protein</w:t>
      </w:r>
      <w:r w:rsidR="00C64334">
        <w:t xml:space="preserve"> 2</w:t>
      </w:r>
      <w:r w:rsidRPr="00D170D7">
        <w:t xml:space="preserve"> transporters occurred </w:t>
      </w:r>
      <w:r w:rsidRPr="00E87723">
        <w:rPr>
          <w:i/>
          <w:iCs/>
        </w:rPr>
        <w:t>in vitro</w:t>
      </w:r>
      <w:r w:rsidRPr="00D170D7">
        <w:t xml:space="preserve"> at clinically relevant concentrations.</w:t>
      </w:r>
    </w:p>
    <w:p w14:paraId="5D17A7F0" w14:textId="33C00929" w:rsidR="00D170D7" w:rsidRPr="00D170D7" w:rsidRDefault="00D170D7" w:rsidP="00D170D7">
      <w:r w:rsidRPr="00D170D7">
        <w:t>Clinically relevant target organs identified in toxicity studies included liver, the haematopoietic system (anaemia)</w:t>
      </w:r>
      <w:r w:rsidR="004134EB">
        <w:t>,</w:t>
      </w:r>
      <w:r w:rsidRPr="00D170D7">
        <w:t xml:space="preserve"> adrenal gland and pancreas. These effects were seen at clinically relevant exposures.</w:t>
      </w:r>
    </w:p>
    <w:p w14:paraId="6F927EF2" w14:textId="7235DCFC" w:rsidR="00D170D7" w:rsidRPr="00D170D7" w:rsidRDefault="00D170D7" w:rsidP="00D170D7">
      <w:r w:rsidRPr="00D170D7">
        <w:t xml:space="preserve">Asciminib is not expected to pose a genotoxic concern. However, an outstanding assurance on the </w:t>
      </w:r>
      <w:r w:rsidRPr="00E87723">
        <w:rPr>
          <w:i/>
          <w:iCs/>
        </w:rPr>
        <w:t>in vivo</w:t>
      </w:r>
      <w:r w:rsidRPr="00D170D7">
        <w:t xml:space="preserve"> study remains to be provided.</w:t>
      </w:r>
    </w:p>
    <w:p w14:paraId="621D052B" w14:textId="39AC26AF" w:rsidR="00D170D7" w:rsidRPr="00D170D7" w:rsidRDefault="00E87723" w:rsidP="00D170D7">
      <w:r>
        <w:t>P</w:t>
      </w:r>
      <w:r w:rsidR="00D170D7" w:rsidRPr="00D170D7">
        <w:t xml:space="preserve">hototoxicity was observed in mice </w:t>
      </w:r>
      <w:r w:rsidR="00D170D7" w:rsidRPr="00E87723">
        <w:rPr>
          <w:i/>
          <w:iCs/>
        </w:rPr>
        <w:t>in vitro</w:t>
      </w:r>
      <w:r w:rsidR="00D170D7" w:rsidRPr="00D170D7">
        <w:t xml:space="preserve"> and </w:t>
      </w:r>
      <w:r w:rsidR="00D170D7" w:rsidRPr="00E87723">
        <w:rPr>
          <w:i/>
          <w:iCs/>
        </w:rPr>
        <w:t>in vivo</w:t>
      </w:r>
      <w:r w:rsidR="00D170D7" w:rsidRPr="00D170D7">
        <w:t xml:space="preserve"> (</w:t>
      </w:r>
      <w:r w:rsidR="00B51FD1">
        <w:t xml:space="preserve">at an exposure ratio at </w:t>
      </w:r>
      <w:r w:rsidR="00D170D7" w:rsidRPr="00281B1A">
        <w:t>C</w:t>
      </w:r>
      <w:r w:rsidR="00D170D7" w:rsidRPr="007624D1">
        <w:rPr>
          <w:vertAlign w:val="subscript"/>
        </w:rPr>
        <w:t>max</w:t>
      </w:r>
      <w:r w:rsidR="00D170D7" w:rsidRPr="00D170D7">
        <w:t xml:space="preserve"> </w:t>
      </w:r>
      <w:r w:rsidR="00B51FD1">
        <w:t>of about</w:t>
      </w:r>
      <w:r w:rsidR="00D170D7" w:rsidRPr="00D170D7">
        <w:t xml:space="preserve"> 8), and asciminib and/or its metabolites showed potential for retention in melanin</w:t>
      </w:r>
      <w:r w:rsidR="004134EB">
        <w:t xml:space="preserve"> </w:t>
      </w:r>
      <w:r w:rsidR="00D170D7" w:rsidRPr="00D170D7">
        <w:t>containing tissues.</w:t>
      </w:r>
    </w:p>
    <w:p w14:paraId="0E5C3B2F" w14:textId="46FCD192" w:rsidR="00D170D7" w:rsidRPr="00D170D7" w:rsidRDefault="00D170D7" w:rsidP="00D170D7">
      <w:r w:rsidRPr="00D170D7">
        <w:t xml:space="preserve">The </w:t>
      </w:r>
      <w:r w:rsidR="004134EB">
        <w:t>s</w:t>
      </w:r>
      <w:r w:rsidRPr="00D170D7">
        <w:t>ponsor has proposed Pregnancy Category B3.</w:t>
      </w:r>
      <w:r w:rsidR="007624D1">
        <w:rPr>
          <w:rStyle w:val="FootnoteReference"/>
        </w:rPr>
        <w:footnoteReference w:id="20"/>
      </w:r>
      <w:r w:rsidRPr="00D170D7">
        <w:t xml:space="preserve"> Given that direct drug related embryotoxicity, fetotoxicity and teratogenicity were observed at low exposure ratios, in both rats and rabbits, Pregnancy Category D is recommended for this product.</w:t>
      </w:r>
      <w:r w:rsidR="007624D1">
        <w:rPr>
          <w:rStyle w:val="FootnoteReference"/>
        </w:rPr>
        <w:footnoteReference w:id="21"/>
      </w:r>
    </w:p>
    <w:p w14:paraId="40B151E4" w14:textId="6C009C09" w:rsidR="00E35082" w:rsidRPr="00D170D7" w:rsidRDefault="00E35082" w:rsidP="00E35082">
      <w:r w:rsidRPr="00D170D7">
        <w:t>There are no nonclinical objections to registration.</w:t>
      </w:r>
    </w:p>
    <w:p w14:paraId="1B5D4851" w14:textId="1EEAA197" w:rsidR="008E7846" w:rsidRDefault="008E7846" w:rsidP="008E7846">
      <w:pPr>
        <w:pStyle w:val="Heading3"/>
      </w:pPr>
      <w:bookmarkStart w:id="52" w:name="_Toc247691530"/>
      <w:bookmarkStart w:id="53" w:name="_Toc314842513"/>
      <w:bookmarkStart w:id="54" w:name="_Toc131683500"/>
      <w:r>
        <w:t>Clinical</w:t>
      </w:r>
      <w:bookmarkEnd w:id="52"/>
      <w:bookmarkEnd w:id="53"/>
      <w:bookmarkEnd w:id="54"/>
    </w:p>
    <w:p w14:paraId="0E76FD55" w14:textId="77777777" w:rsidR="00790444" w:rsidRDefault="00790444" w:rsidP="00790444">
      <w:pPr>
        <w:pStyle w:val="Heading4"/>
      </w:pPr>
      <w:r>
        <w:t>Summary of clinical studies</w:t>
      </w:r>
    </w:p>
    <w:p w14:paraId="05E16AD1" w14:textId="53307222" w:rsidR="00790444" w:rsidRDefault="00790444" w:rsidP="00790444">
      <w:r>
        <w:t>The clinical dossier consisted of</w:t>
      </w:r>
      <w:r w:rsidR="00B51FD1">
        <w:t xml:space="preserve"> the following studies</w:t>
      </w:r>
      <w:r>
        <w:t>:</w:t>
      </w:r>
    </w:p>
    <w:p w14:paraId="30BE1657" w14:textId="2DEC182B" w:rsidR="00CC0101" w:rsidRDefault="00CC0101" w:rsidP="00CC0101">
      <w:pPr>
        <w:pStyle w:val="ListBullet"/>
      </w:pPr>
      <w:r>
        <w:t>One bioavailability study:</w:t>
      </w:r>
    </w:p>
    <w:p w14:paraId="5567E543" w14:textId="514658E6" w:rsidR="00CC0101" w:rsidRDefault="00CC0101" w:rsidP="00CC0101">
      <w:pPr>
        <w:pStyle w:val="ListBullet2"/>
      </w:pPr>
      <w:r>
        <w:t xml:space="preserve">Study E2101, a Phase </w:t>
      </w:r>
      <w:r w:rsidR="008C1724">
        <w:t>I</w:t>
      </w:r>
      <w:r>
        <w:t xml:space="preserve"> open label, single centre, two group study to evaluate the effects of imatinib and food on the pharmacokinetics </w:t>
      </w:r>
      <w:r w:rsidR="00D46362">
        <w:t xml:space="preserve">(PK) </w:t>
      </w:r>
      <w:r>
        <w:t>of asciminib final market image formulation in healthy subjects.</w:t>
      </w:r>
    </w:p>
    <w:p w14:paraId="15332D03" w14:textId="7258C3EF" w:rsidR="00CC0101" w:rsidRDefault="00CC0101" w:rsidP="00CC0101">
      <w:pPr>
        <w:pStyle w:val="ListBullet"/>
      </w:pPr>
      <w:r>
        <w:t>Two comparative bioavailability and bioequivalence studies:</w:t>
      </w:r>
    </w:p>
    <w:p w14:paraId="33CB8B99" w14:textId="7E89539A" w:rsidR="00790444" w:rsidRDefault="00790444" w:rsidP="00CC0101">
      <w:pPr>
        <w:pStyle w:val="ListBullet2"/>
      </w:pPr>
      <w:r>
        <w:t>Study A2101</w:t>
      </w:r>
      <w:r w:rsidR="00CC0101">
        <w:t>, a</w:t>
      </w:r>
      <w:r w:rsidR="00612911">
        <w:t xml:space="preserve"> Phase I,</w:t>
      </w:r>
      <w:r w:rsidR="00CC0101">
        <w:t xml:space="preserve"> s</w:t>
      </w:r>
      <w:r>
        <w:t>ingle centre, two arm, cross over, randomised, open label study in healthy subjects</w:t>
      </w:r>
      <w:r w:rsidR="00CC0101">
        <w:t xml:space="preserve"> to evaluate relative bioavailability and food effect of asciminib following a single oral dose (40 mg) asciminib</w:t>
      </w:r>
      <w:r w:rsidR="00F7220D">
        <w:t>.</w:t>
      </w:r>
    </w:p>
    <w:p w14:paraId="62B2689F" w14:textId="0F67A1AB" w:rsidR="00790444" w:rsidRDefault="00790444" w:rsidP="00CC0101">
      <w:pPr>
        <w:pStyle w:val="ListBullet2"/>
      </w:pPr>
      <w:r>
        <w:t>Study A2104</w:t>
      </w:r>
      <w:r w:rsidR="00CC0101">
        <w:t>, a</w:t>
      </w:r>
      <w:r w:rsidR="00333359">
        <w:t>n</w:t>
      </w:r>
      <w:r w:rsidR="00CC0101">
        <w:t xml:space="preserve"> o</w:t>
      </w:r>
      <w:r>
        <w:t>pen label, single dose, randomised cross over study in healthy subjects</w:t>
      </w:r>
      <w:r w:rsidR="00CC0101">
        <w:t xml:space="preserve"> to characterise relative bioavailability of asciminib final market image formulation</w:t>
      </w:r>
      <w:r w:rsidR="00333359">
        <w:t xml:space="preserve"> tablet in comparison to the capsule (fasted)</w:t>
      </w:r>
      <w:r w:rsidR="00F7220D">
        <w:t>.</w:t>
      </w:r>
    </w:p>
    <w:p w14:paraId="0D0CC12E" w14:textId="6CBDC4C4" w:rsidR="00333359" w:rsidRDefault="006E5D2D" w:rsidP="00333359">
      <w:pPr>
        <w:pStyle w:val="ListBullet"/>
      </w:pPr>
      <w:r>
        <w:t xml:space="preserve">One </w:t>
      </w:r>
      <w:r w:rsidR="00333359">
        <w:t>pharmacokinetic and initial intolerability study</w:t>
      </w:r>
      <w:r w:rsidR="00D47EFA">
        <w:t xml:space="preserve"> in healthy subjects</w:t>
      </w:r>
      <w:r w:rsidR="00333359">
        <w:t>:</w:t>
      </w:r>
    </w:p>
    <w:p w14:paraId="6343F0D2" w14:textId="5A9F47AF" w:rsidR="00333359" w:rsidRDefault="00333359" w:rsidP="00333359">
      <w:pPr>
        <w:pStyle w:val="ListBullet2"/>
      </w:pPr>
      <w:r>
        <w:lastRenderedPageBreak/>
        <w:t>Study A2102, a</w:t>
      </w:r>
      <w:r w:rsidR="00D46362">
        <w:t xml:space="preserve"> Phase I,</w:t>
      </w:r>
      <w:r>
        <w:t xml:space="preserve"> single centre, open label study to investigate the absorption, distribution, metabolism, and excretion of asciminib after a single oral dose of 80 mg asciminib in healthy subjects.</w:t>
      </w:r>
    </w:p>
    <w:p w14:paraId="68064CFB" w14:textId="04F52B5E" w:rsidR="00333359" w:rsidRDefault="006E5D2D" w:rsidP="00333359">
      <w:pPr>
        <w:pStyle w:val="ListBullet"/>
      </w:pPr>
      <w:r>
        <w:t xml:space="preserve">One </w:t>
      </w:r>
      <w:r w:rsidR="00333359">
        <w:t xml:space="preserve">pharmacokinetic and initial tolerability study </w:t>
      </w:r>
      <w:r w:rsidR="00D47EFA">
        <w:t>in patients</w:t>
      </w:r>
      <w:r w:rsidR="00333359">
        <w:t>:</w:t>
      </w:r>
    </w:p>
    <w:p w14:paraId="05DD72A4" w14:textId="0BF20D3F" w:rsidR="00333359" w:rsidRDefault="00333359" w:rsidP="00333359">
      <w:pPr>
        <w:pStyle w:val="ListBullet2"/>
      </w:pPr>
      <w:r>
        <w:t>Study X2101, a Phase I, multicentre, open label study of oral asciminib in patients with chronic myeloid leukaemia or Philadelphia chromosome positive acute lymphoblastic leukaemia.</w:t>
      </w:r>
    </w:p>
    <w:p w14:paraId="2B420AEF" w14:textId="4C8D5AC3" w:rsidR="00333359" w:rsidRDefault="006E5D2D" w:rsidP="00333359">
      <w:pPr>
        <w:pStyle w:val="ListBullet"/>
      </w:pPr>
      <w:r>
        <w:t>Two i</w:t>
      </w:r>
      <w:r w:rsidR="00333359">
        <w:t>ntrinsic factor pharmacokinetic studies:</w:t>
      </w:r>
    </w:p>
    <w:p w14:paraId="3404AC58" w14:textId="1C90E969" w:rsidR="00333359" w:rsidRDefault="00333359" w:rsidP="00333359">
      <w:pPr>
        <w:pStyle w:val="ListBullet2"/>
      </w:pPr>
      <w:r>
        <w:t>Study A2103, a Phase I, open label, multicentre, single dose study to evaluate the pharmacokinetics of asciminib in healthy patients with normal hepatic function and subjects with impaired hepatic function.</w:t>
      </w:r>
    </w:p>
    <w:p w14:paraId="325476C0" w14:textId="3C5090D2" w:rsidR="00333359" w:rsidRDefault="00333359" w:rsidP="00333359">
      <w:pPr>
        <w:pStyle w:val="ListBullet2"/>
      </w:pPr>
      <w:r>
        <w:t>Study A2105, a Phase I, open label, single dose study to evaluate the pharmacokinetics and safety of a single 40 mg oral dose of asciminib in subjects with impaired renal function compared to matched control subjects with normal renal function.</w:t>
      </w:r>
    </w:p>
    <w:p w14:paraId="4685EEBB" w14:textId="65DFCBB8" w:rsidR="00333359" w:rsidRDefault="006E5D2D" w:rsidP="00333359">
      <w:pPr>
        <w:pStyle w:val="ListBullet"/>
      </w:pPr>
      <w:r>
        <w:t>Three e</w:t>
      </w:r>
      <w:r w:rsidR="00333359">
        <w:t>xtrinsic factor pharmacokinetic studies:</w:t>
      </w:r>
    </w:p>
    <w:p w14:paraId="07A98C5C" w14:textId="2B91BF63" w:rsidR="0015605C" w:rsidRDefault="0015605C" w:rsidP="00333359">
      <w:pPr>
        <w:pStyle w:val="ListBullet2"/>
      </w:pPr>
      <w:r>
        <w:t>Study A1101</w:t>
      </w:r>
      <w:r w:rsidR="00333359">
        <w:t>, a</w:t>
      </w:r>
      <w:r w:rsidR="00612911">
        <w:t xml:space="preserve"> Phase I</w:t>
      </w:r>
      <w:r w:rsidR="00333359">
        <w:t xml:space="preserve"> s</w:t>
      </w:r>
      <w:r>
        <w:t>ingle centre, open label, adaptive, three period, single sequence study</w:t>
      </w:r>
      <w:r w:rsidR="00333359">
        <w:t xml:space="preserve"> to assess the effect of acid reducing agents on the </w:t>
      </w:r>
      <w:r w:rsidR="00D46362">
        <w:t>PK</w:t>
      </w:r>
      <w:r w:rsidR="00333359">
        <w:t xml:space="preserve"> of a single dose of asciminib</w:t>
      </w:r>
      <w:r>
        <w:t xml:space="preserve"> in healthy subjects</w:t>
      </w:r>
      <w:r w:rsidR="00F7220D">
        <w:t>.</w:t>
      </w:r>
    </w:p>
    <w:p w14:paraId="1DF6B905" w14:textId="1C669591" w:rsidR="000C4379" w:rsidRDefault="000C4379" w:rsidP="00333359">
      <w:pPr>
        <w:pStyle w:val="ListBullet2"/>
      </w:pPr>
      <w:r>
        <w:t>Study A2106</w:t>
      </w:r>
      <w:r w:rsidR="00333359">
        <w:t>, a Phase I, s</w:t>
      </w:r>
      <w:r>
        <w:t xml:space="preserve">ingle centre, open label, fixed </w:t>
      </w:r>
      <w:proofErr w:type="gramStart"/>
      <w:r>
        <w:t>sequence</w:t>
      </w:r>
      <w:proofErr w:type="gramEnd"/>
      <w:r>
        <w:t xml:space="preserve"> and staged drug-drug interaction study</w:t>
      </w:r>
      <w:r w:rsidR="00333359">
        <w:t xml:space="preserve"> to investigate the effect of asciminib in </w:t>
      </w:r>
      <w:r w:rsidR="00D46362">
        <w:t>PK</w:t>
      </w:r>
      <w:r w:rsidR="00333359">
        <w:t xml:space="preserve"> of </w:t>
      </w:r>
      <w:r w:rsidR="00E07471">
        <w:t>midazolam</w:t>
      </w:r>
      <w:r w:rsidR="00D46362">
        <w:t>;</w:t>
      </w:r>
      <w:r w:rsidR="00D46362">
        <w:rPr>
          <w:rStyle w:val="FootnoteReference"/>
        </w:rPr>
        <w:footnoteReference w:id="22"/>
      </w:r>
      <w:r w:rsidR="00E07471">
        <w:t xml:space="preserve"> (a sensitive CYP3A substrate), warfarin</w:t>
      </w:r>
      <w:r w:rsidR="00A5429F">
        <w:t>;</w:t>
      </w:r>
      <w:r w:rsidR="00A5429F">
        <w:rPr>
          <w:rStyle w:val="FootnoteReference"/>
        </w:rPr>
        <w:footnoteReference w:id="23"/>
      </w:r>
      <w:r w:rsidR="00E07471">
        <w:t xml:space="preserve"> (a sensitive CYP2C9 substrate) and repaglinide (a sensitive CYP2C8 substrate) in healthy subjects.</w:t>
      </w:r>
    </w:p>
    <w:p w14:paraId="47653AA8" w14:textId="6FA968BA" w:rsidR="000C4379" w:rsidRDefault="000C4379" w:rsidP="00333359">
      <w:pPr>
        <w:pStyle w:val="ListBullet2"/>
      </w:pPr>
      <w:r>
        <w:t>Study A2107</w:t>
      </w:r>
      <w:r w:rsidR="00E07471">
        <w:t>, a Phase I, o</w:t>
      </w:r>
      <w:r>
        <w:t>pen label, two period, single sequence cross over drug-drug interaction study</w:t>
      </w:r>
      <w:r w:rsidR="00E07471">
        <w:t xml:space="preserve"> to assess the effect of itraconazole,</w:t>
      </w:r>
      <w:r w:rsidR="00A5429F">
        <w:rPr>
          <w:rStyle w:val="FootnoteReference"/>
        </w:rPr>
        <w:footnoteReference w:id="24"/>
      </w:r>
      <w:r w:rsidR="00E07471">
        <w:t xml:space="preserve"> clarithromycin</w:t>
      </w:r>
      <w:r w:rsidR="00A5429F">
        <w:t>;</w:t>
      </w:r>
      <w:r w:rsidR="00A5429F">
        <w:rPr>
          <w:rStyle w:val="FootnoteReference"/>
        </w:rPr>
        <w:footnoteReference w:id="25"/>
      </w:r>
      <w:r w:rsidR="00E07471">
        <w:t xml:space="preserve"> (strong CYP3A) inhibitors, quinidine (P glycoprotein inhibitor) and rifampicin</w:t>
      </w:r>
      <w:r w:rsidR="00612911">
        <w:t>;</w:t>
      </w:r>
      <w:r w:rsidR="00612911">
        <w:rPr>
          <w:rStyle w:val="FootnoteReference"/>
        </w:rPr>
        <w:footnoteReference w:id="26"/>
      </w:r>
      <w:r w:rsidR="00E07471">
        <w:t xml:space="preserve"> (strong CYP3A inducer) on the pharmacokinetics of asciminib</w:t>
      </w:r>
      <w:r>
        <w:t xml:space="preserve"> in healthy subjects.</w:t>
      </w:r>
    </w:p>
    <w:p w14:paraId="219D03D4" w14:textId="62F10213" w:rsidR="00E07471" w:rsidRDefault="006E5D2D" w:rsidP="00E07471">
      <w:pPr>
        <w:pStyle w:val="ListBullet"/>
      </w:pPr>
      <w:r>
        <w:t>One a</w:t>
      </w:r>
      <w:r w:rsidR="00E07471">
        <w:t>ctive controlled study:</w:t>
      </w:r>
    </w:p>
    <w:p w14:paraId="5E9357F0" w14:textId="0CC164DC" w:rsidR="00333359" w:rsidRDefault="000C4379" w:rsidP="00E07471">
      <w:pPr>
        <w:pStyle w:val="ListBullet2"/>
      </w:pPr>
      <w:r>
        <w:t>Study A2301</w:t>
      </w:r>
      <w:r w:rsidR="00D47EFA">
        <w:t xml:space="preserve"> (also known as the ASCEMBL trial)</w:t>
      </w:r>
      <w:r w:rsidR="00E07471">
        <w:t>, a</w:t>
      </w:r>
      <w:r>
        <w:t xml:space="preserve"> Phase III, multicentre, open label, randomised study or oral asciminib versus bosutinib in patients with chronic myeloid leukaemia in chronic phase previously treated with two or more tyrosine kinase inhibitors.</w:t>
      </w:r>
      <w:r w:rsidR="00333359" w:rsidRPr="00333359">
        <w:t xml:space="preserve"> </w:t>
      </w:r>
    </w:p>
    <w:p w14:paraId="3675380B" w14:textId="0BCBA524" w:rsidR="00A61030" w:rsidRDefault="00A61030" w:rsidP="00A61030">
      <w:r>
        <w:t>The first-in-human study (Study X2101) with asciminib is an ongoing, open</w:t>
      </w:r>
      <w:r w:rsidR="00F534DD">
        <w:t xml:space="preserve"> </w:t>
      </w:r>
      <w:r>
        <w:t xml:space="preserve">label dose escalation study primarily to estimate the maximum tolerated dose and/or recommended dose for expansion of single agent asciminib in </w:t>
      </w:r>
      <w:r w:rsidR="004F233E">
        <w:t>c</w:t>
      </w:r>
      <w:r w:rsidR="004F233E" w:rsidRPr="00B15ABE">
        <w:t xml:space="preserve">hronic myeloid </w:t>
      </w:r>
      <w:r w:rsidR="001B10B9">
        <w:t>leukaemia</w:t>
      </w:r>
      <w:r>
        <w:t xml:space="preserve">. The safety, </w:t>
      </w:r>
      <w:proofErr w:type="gramStart"/>
      <w:r>
        <w:t>tolerability</w:t>
      </w:r>
      <w:proofErr w:type="gramEnd"/>
      <w:r>
        <w:t xml:space="preserve"> and </w:t>
      </w:r>
      <w:r w:rsidRPr="00D0398A">
        <w:t>PK</w:t>
      </w:r>
      <w:r>
        <w:t xml:space="preserve"> profile of asciminib and pharmacodynamic changes in peripheral blood mononuclear cells and bone marrow aspirates were assessed. Doses of monotherapy asciminib ranged from 10</w:t>
      </w:r>
      <w:r w:rsidR="004134EB">
        <w:t xml:space="preserve"> mg </w:t>
      </w:r>
      <w:r>
        <w:t xml:space="preserve">to 280 mg twice a day and, 40 mg to 200 mg once </w:t>
      </w:r>
      <w:r w:rsidR="000820A3">
        <w:t>daily</w:t>
      </w:r>
      <w:r>
        <w:t xml:space="preserve"> as capsules or tablets.</w:t>
      </w:r>
    </w:p>
    <w:p w14:paraId="48074984" w14:textId="432F55E6" w:rsidR="00A61030" w:rsidRDefault="00A61030" w:rsidP="00A61030">
      <w:r>
        <w:t>The pivotal study for the proposed indication is Study CABL001A2301 (</w:t>
      </w:r>
      <w:r w:rsidR="00D47EFA">
        <w:t xml:space="preserve">abbreviated as </w:t>
      </w:r>
      <w:r w:rsidR="00923872">
        <w:t xml:space="preserve">Study </w:t>
      </w:r>
      <w:r>
        <w:t>A2301</w:t>
      </w:r>
      <w:r w:rsidR="00D47EFA">
        <w:t xml:space="preserve">, </w:t>
      </w:r>
      <w:proofErr w:type="gramStart"/>
      <w:r w:rsidR="00D47EFA">
        <w:t>and also</w:t>
      </w:r>
      <w:proofErr w:type="gramEnd"/>
      <w:r w:rsidR="00D47EFA">
        <w:t xml:space="preserve"> known as the</w:t>
      </w:r>
      <w:r w:rsidR="00923872">
        <w:t xml:space="preserve"> </w:t>
      </w:r>
      <w:r>
        <w:t>ASCEMBL</w:t>
      </w:r>
      <w:r w:rsidR="00923872">
        <w:t xml:space="preserve"> trial</w:t>
      </w:r>
      <w:r>
        <w:t xml:space="preserve">), an ongoing, randomised, active controlled Phase III study evaluating </w:t>
      </w:r>
      <w:proofErr w:type="spellStart"/>
      <w:r>
        <w:t>asciminib</w:t>
      </w:r>
      <w:proofErr w:type="spellEnd"/>
      <w:r>
        <w:t xml:space="preserve"> versus bosutinib</w:t>
      </w:r>
      <w:r w:rsidR="00FE77E1">
        <w:t>;</w:t>
      </w:r>
      <w:r>
        <w:rPr>
          <w:color w:val="2B579A"/>
          <w:shd w:val="clear" w:color="auto" w:fill="E6E6E6"/>
        </w:rPr>
        <w:fldChar w:fldCharType="begin"/>
      </w:r>
      <w:r>
        <w:instrText xml:space="preserve"> NOTEREF _Ref127872937 \f \h </w:instrText>
      </w:r>
      <w:r>
        <w:rPr>
          <w:color w:val="2B579A"/>
          <w:shd w:val="clear" w:color="auto" w:fill="E6E6E6"/>
        </w:rPr>
      </w:r>
      <w:r>
        <w:rPr>
          <w:color w:val="2B579A"/>
          <w:shd w:val="clear" w:color="auto" w:fill="E6E6E6"/>
        </w:rPr>
        <w:fldChar w:fldCharType="separate"/>
      </w:r>
      <w:r w:rsidR="00547BEA" w:rsidRPr="00547BEA">
        <w:rPr>
          <w:rStyle w:val="FootnoteReference"/>
        </w:rPr>
        <w:t>14</w:t>
      </w:r>
      <w:r>
        <w:rPr>
          <w:color w:val="2B579A"/>
          <w:shd w:val="clear" w:color="auto" w:fill="E6E6E6"/>
        </w:rPr>
        <w:fldChar w:fldCharType="end"/>
      </w:r>
      <w:r>
        <w:t xml:space="preserve"> in patients with </w:t>
      </w:r>
      <w:r w:rsidR="004F233E">
        <w:t xml:space="preserve">chronic </w:t>
      </w:r>
      <w:r w:rsidR="004F233E">
        <w:lastRenderedPageBreak/>
        <w:t xml:space="preserve">myeloid </w:t>
      </w:r>
      <w:r w:rsidR="001B10B9">
        <w:t>leukaemia</w:t>
      </w:r>
      <w:r>
        <w:t xml:space="preserve"> in chronic phase, previously treated with two or more tyrosine kinase inhibitors.</w:t>
      </w:r>
    </w:p>
    <w:p w14:paraId="1FE02A59" w14:textId="60179CFE" w:rsidR="00A61030" w:rsidRPr="00A61030" w:rsidRDefault="00A61030" w:rsidP="00A61030">
      <w:pPr>
        <w:pStyle w:val="Heading4"/>
      </w:pPr>
      <w:r w:rsidRPr="00A61030">
        <w:t>Pharmacology</w:t>
      </w:r>
    </w:p>
    <w:p w14:paraId="380FD4DD" w14:textId="0E003273" w:rsidR="00A61030" w:rsidRPr="00A61030" w:rsidRDefault="00A61030" w:rsidP="00A61030">
      <w:r w:rsidRPr="00A61030">
        <w:t xml:space="preserve">The clinical pharmacology program for asciminib was built upon studies conducted </w:t>
      </w:r>
      <w:r w:rsidRPr="00A61030">
        <w:rPr>
          <w:i/>
          <w:iCs/>
        </w:rPr>
        <w:t>in vitro</w:t>
      </w:r>
      <w:r w:rsidRPr="00A61030">
        <w:t xml:space="preserve">, in healthy subjects, in non-cancer subjects with renal and hepatic impairment, as well as in patients with </w:t>
      </w:r>
      <w:r w:rsidR="004F233E">
        <w:t>c</w:t>
      </w:r>
      <w:r w:rsidR="004F233E" w:rsidRPr="00B15ABE">
        <w:t xml:space="preserve">hronic myeloid </w:t>
      </w:r>
      <w:r w:rsidR="001B10B9">
        <w:t>leukaemia</w:t>
      </w:r>
      <w:r w:rsidRPr="00A61030">
        <w:t xml:space="preserve">. The PK profile of asciminib has been evaluated in patients with </w:t>
      </w:r>
      <w:r w:rsidR="004F233E">
        <w:t>c</w:t>
      </w:r>
      <w:r w:rsidR="004F233E" w:rsidRPr="00B15ABE">
        <w:t xml:space="preserve">hronic myeloid </w:t>
      </w:r>
      <w:r w:rsidR="001B10B9">
        <w:t>leukaemia</w:t>
      </w:r>
      <w:r w:rsidRPr="00A61030">
        <w:t xml:space="preserve"> at a dose range between 10</w:t>
      </w:r>
      <w:r w:rsidR="004134EB">
        <w:t> mg</w:t>
      </w:r>
      <w:r w:rsidRPr="00A61030">
        <w:t xml:space="preserve"> to 200 mg twice a day and 80</w:t>
      </w:r>
      <w:r w:rsidR="004134EB">
        <w:t> mg</w:t>
      </w:r>
      <w:r w:rsidRPr="00A61030">
        <w:t xml:space="preserve"> to 200 mg once </w:t>
      </w:r>
      <w:r w:rsidR="000820A3">
        <w:t>daily</w:t>
      </w:r>
      <w:r w:rsidRPr="00A61030">
        <w:t xml:space="preserve"> and in healthy subjects administered single and multiple doses of 40 mg and a single 80 mg dose (for absorption, distribution, </w:t>
      </w:r>
      <w:proofErr w:type="gramStart"/>
      <w:r w:rsidRPr="00A61030">
        <w:t>metabolism</w:t>
      </w:r>
      <w:proofErr w:type="gramEnd"/>
      <w:r w:rsidRPr="00A61030">
        <w:t xml:space="preserve"> and excretion evaluation).</w:t>
      </w:r>
    </w:p>
    <w:p w14:paraId="7BC6FF7C" w14:textId="0844A19A" w:rsidR="00A61030" w:rsidRPr="00A61030" w:rsidRDefault="00A61030" w:rsidP="00301804">
      <w:pPr>
        <w:pStyle w:val="Heading5"/>
      </w:pPr>
      <w:r w:rsidRPr="00A61030">
        <w:t>Pharmacokinetics</w:t>
      </w:r>
    </w:p>
    <w:p w14:paraId="1D5B1DAE" w14:textId="77777777" w:rsidR="00281B1A" w:rsidRDefault="00A61030" w:rsidP="009144D6">
      <w:r w:rsidRPr="00A61030">
        <w:t xml:space="preserve">The PK of asciminib was evaluated in </w:t>
      </w:r>
      <w:r>
        <w:t>nine</w:t>
      </w:r>
      <w:r w:rsidRPr="00A61030">
        <w:t xml:space="preserve"> healthy subject studies (n</w:t>
      </w:r>
      <w:r>
        <w:t xml:space="preserve"> </w:t>
      </w:r>
      <w:r w:rsidRPr="00A61030">
        <w:t>=</w:t>
      </w:r>
      <w:r>
        <w:t xml:space="preserve"> </w:t>
      </w:r>
      <w:proofErr w:type="gramStart"/>
      <w:r w:rsidRPr="00A61030">
        <w:t>310;</w:t>
      </w:r>
      <w:proofErr w:type="gramEnd"/>
      <w:r w:rsidRPr="00A61030">
        <w:t xml:space="preserve"> includ</w:t>
      </w:r>
      <w:r w:rsidR="00186B8A">
        <w:t>ing</w:t>
      </w:r>
      <w:r w:rsidRPr="00A61030">
        <w:t xml:space="preserve"> 24</w:t>
      </w:r>
      <w:r>
        <w:t> </w:t>
      </w:r>
      <w:r w:rsidRPr="00A61030">
        <w:t>subjects</w:t>
      </w:r>
      <w:r>
        <w:t xml:space="preserve"> </w:t>
      </w:r>
      <w:r w:rsidRPr="00A61030">
        <w:t xml:space="preserve">with impaired hepatic function and </w:t>
      </w:r>
      <w:r>
        <w:t>eight</w:t>
      </w:r>
      <w:r w:rsidRPr="00A61030">
        <w:t xml:space="preserve"> subjects with impaired renal function) and in patients in </w:t>
      </w:r>
      <w:r>
        <w:t xml:space="preserve">two </w:t>
      </w:r>
      <w:r w:rsidRPr="00A61030">
        <w:t>studies (n</w:t>
      </w:r>
      <w:r>
        <w:t xml:space="preserve"> </w:t>
      </w:r>
      <w:r w:rsidRPr="00A61030">
        <w:t xml:space="preserve">= 353). </w:t>
      </w:r>
      <w:r w:rsidR="00287719">
        <w:t>Asciminib was administered as a free form and hydrochloride salt form during development. The capsule formulation (solid dispersion) covering the strengths of 5 mg, 20 mg, and 50 mg and the initial film coated tablet formulation with the strength of 20 mg were manufactured containing asciminib free form</w:t>
      </w:r>
      <w:r w:rsidR="00281B1A">
        <w:t>.</w:t>
      </w:r>
    </w:p>
    <w:p w14:paraId="72409160" w14:textId="22705780" w:rsidR="00A61030" w:rsidRPr="00A61030" w:rsidRDefault="0052236C" w:rsidP="009144D6">
      <w:r>
        <w:t>After extensive polymorphism evaluation and the first relative bioavailability study asciminib hydrochloride drug substance was selected for later phase development of the film coated tablet. The formulation was then optimised to provide the film coated tablet intended for commercialisation at the strengths of 20 mg and 40 mg, and the clinical performance of this formulation was assessed in a second relative bioavailability study (Study CABL</w:t>
      </w:r>
      <w:r w:rsidR="00287719">
        <w:t>00</w:t>
      </w:r>
      <w:r>
        <w:t>1A2104</w:t>
      </w:r>
      <w:r w:rsidR="00737086">
        <w:t xml:space="preserve"> (Study A2104)</w:t>
      </w:r>
      <w:r>
        <w:t xml:space="preserve">). </w:t>
      </w:r>
      <w:r w:rsidR="00A61030" w:rsidRPr="00A61030">
        <w:t>The</w:t>
      </w:r>
      <w:r w:rsidR="00ED6421" w:rsidRPr="00ED6421">
        <w:t xml:space="preserve"> </w:t>
      </w:r>
      <w:r w:rsidR="00ED6421">
        <w:t>g</w:t>
      </w:r>
      <w:r w:rsidR="00ED6421" w:rsidRPr="00ED6421">
        <w:t>eometric mean ratio</w:t>
      </w:r>
      <w:r w:rsidR="00ED6421">
        <w:t xml:space="preserve"> </w:t>
      </w:r>
      <w:r w:rsidR="00A61030" w:rsidRPr="00A61030">
        <w:t xml:space="preserve">and 90% </w:t>
      </w:r>
      <w:r w:rsidR="00ED6421">
        <w:t>confidence interval</w:t>
      </w:r>
      <w:r w:rsidR="00737086">
        <w:t>s</w:t>
      </w:r>
      <w:r w:rsidR="00ED6421">
        <w:t xml:space="preserve"> (</w:t>
      </w:r>
      <w:r w:rsidR="00A61030" w:rsidRPr="00D0398A">
        <w:t>C</w:t>
      </w:r>
      <w:r w:rsidR="00ED6421" w:rsidRPr="00D0398A">
        <w:t>I</w:t>
      </w:r>
      <w:r w:rsidR="00ED6421">
        <w:t>)</w:t>
      </w:r>
      <w:r w:rsidR="00A61030" w:rsidRPr="00A61030">
        <w:t xml:space="preserve"> of asciminib PK parameters were within the reference range of 0.</w:t>
      </w:r>
      <w:r w:rsidR="00AF2F6D">
        <w:t>8</w:t>
      </w:r>
      <w:r w:rsidR="00A61030" w:rsidRPr="00A61030">
        <w:t xml:space="preserve"> to 1.25. The </w:t>
      </w:r>
      <w:r w:rsidR="00D0398A">
        <w:t>geometric mean ratio</w:t>
      </w:r>
      <w:r>
        <w:t xml:space="preserve"> (tablet versus capsule)</w:t>
      </w:r>
      <w:r w:rsidR="00A61030" w:rsidRPr="00A61030">
        <w:t xml:space="preserve"> and 90% CI for </w:t>
      </w:r>
      <w:r w:rsidR="00ED6421">
        <w:t>a</w:t>
      </w:r>
      <w:r w:rsidR="00ED6421" w:rsidRPr="00ED6421">
        <w:t>rea under the concentration</w:t>
      </w:r>
      <w:r w:rsidR="00737086">
        <w:t>-</w:t>
      </w:r>
      <w:r w:rsidR="00ED6421" w:rsidRPr="00ED6421">
        <w:t>time curve from time zero to infinity</w:t>
      </w:r>
      <w:r w:rsidR="00ED6421">
        <w:t xml:space="preserve"> (</w:t>
      </w:r>
      <w:r w:rsidR="00A61030" w:rsidRPr="00D0398A">
        <w:t>AUC</w:t>
      </w:r>
      <w:r w:rsidR="00ED6421" w:rsidRPr="00D0398A">
        <w:rPr>
          <w:vertAlign w:val="subscript"/>
        </w:rPr>
        <w:t>0-</w:t>
      </w:r>
      <w:r w:rsidR="00A61030" w:rsidRPr="00D0398A">
        <w:rPr>
          <w:vertAlign w:val="subscript"/>
        </w:rPr>
        <w:t>inf</w:t>
      </w:r>
      <w:r w:rsidR="00ED6421" w:rsidRPr="00D0398A">
        <w:t>)</w:t>
      </w:r>
      <w:r w:rsidR="00A61030" w:rsidRPr="00D0398A">
        <w:t xml:space="preserve">, </w:t>
      </w:r>
      <w:r w:rsidR="00ED6421" w:rsidRPr="00D0398A">
        <w:t>area under the concentration time curve from time zero to time of last quantifiable serum concentration (</w:t>
      </w:r>
      <w:r w:rsidR="00A61030" w:rsidRPr="00D0398A">
        <w:t>AUC</w:t>
      </w:r>
      <w:r w:rsidR="00ED6421" w:rsidRPr="00D0398A">
        <w:rPr>
          <w:vertAlign w:val="subscript"/>
        </w:rPr>
        <w:t>0-</w:t>
      </w:r>
      <w:r w:rsidR="00A61030" w:rsidRPr="00D0398A">
        <w:rPr>
          <w:vertAlign w:val="subscript"/>
        </w:rPr>
        <w:t>last</w:t>
      </w:r>
      <w:r w:rsidR="00ED6421" w:rsidRPr="00D0398A">
        <w:t>)</w:t>
      </w:r>
      <w:r w:rsidR="00A61030" w:rsidRPr="00D0398A">
        <w:t xml:space="preserve"> and</w:t>
      </w:r>
      <w:r w:rsidR="00ED6421" w:rsidRPr="00D0398A">
        <w:t xml:space="preserve"> maximum concentration (</w:t>
      </w:r>
      <w:r w:rsidR="00A61030" w:rsidRPr="00D0398A">
        <w:t>C</w:t>
      </w:r>
      <w:r w:rsidR="00A61030" w:rsidRPr="00D0398A">
        <w:rPr>
          <w:vertAlign w:val="subscript"/>
        </w:rPr>
        <w:t>max</w:t>
      </w:r>
      <w:r w:rsidR="00ED6421" w:rsidRPr="00D0398A">
        <w:t>)</w:t>
      </w:r>
      <w:r w:rsidR="00A61030" w:rsidRPr="00D0398A">
        <w:t xml:space="preserve"> were</w:t>
      </w:r>
      <w:r w:rsidR="00A61030" w:rsidRPr="00A61030">
        <w:t xml:space="preserve"> 1 (90% CI: 0.909, 1.1), 1.01 (90% CI: 0.911, 1.11), and 0.909 (90% CI: 0.805, 1.03), respectively.</w:t>
      </w:r>
    </w:p>
    <w:p w14:paraId="3215FEEB" w14:textId="1EC03E2C" w:rsidR="00A61030" w:rsidRDefault="00A61030" w:rsidP="00A61030">
      <w:r w:rsidRPr="00A61030">
        <w:t>Study X2101</w:t>
      </w:r>
      <w:r w:rsidR="00ED6421">
        <w:t xml:space="preserve"> </w:t>
      </w:r>
      <w:r w:rsidRPr="00A61030">
        <w:t>is an ongoing, Phase I, multicentre, open</w:t>
      </w:r>
      <w:r w:rsidR="005A027A">
        <w:t xml:space="preserve"> </w:t>
      </w:r>
      <w:r w:rsidRPr="00A61030">
        <w:t xml:space="preserve">label study of oral asciminib in patients with </w:t>
      </w:r>
      <w:r w:rsidR="004F233E">
        <w:t>c</w:t>
      </w:r>
      <w:r w:rsidR="004F233E" w:rsidRPr="00B15ABE">
        <w:t xml:space="preserve">hronic myeloid </w:t>
      </w:r>
      <w:r w:rsidR="001B10B9">
        <w:t>leukaemia</w:t>
      </w:r>
      <w:r w:rsidRPr="00A61030">
        <w:t xml:space="preserve"> or Philadelphia</w:t>
      </w:r>
      <w:r w:rsidR="00D826F9">
        <w:t xml:space="preserve"> c</w:t>
      </w:r>
      <w:r w:rsidRPr="00A61030">
        <w:t>hromosome</w:t>
      </w:r>
      <w:r w:rsidR="00D826F9">
        <w:t xml:space="preserve"> </w:t>
      </w:r>
      <w:r w:rsidRPr="00A61030">
        <w:t xml:space="preserve">positive acute lymphoblastic </w:t>
      </w:r>
      <w:r w:rsidR="001B10B9">
        <w:t>leukaemia</w:t>
      </w:r>
      <w:r w:rsidRPr="00A61030">
        <w:t xml:space="preserve">. This study has </w:t>
      </w:r>
      <w:r w:rsidR="00ED6421">
        <w:t>five</w:t>
      </w:r>
      <w:r w:rsidRPr="00A61030">
        <w:t xml:space="preserve"> arms with asciminib given as single agent in Arm 1 and in combination with nilotinib (Arm 2), imatinib (Arm 3), or </w:t>
      </w:r>
      <w:proofErr w:type="spellStart"/>
      <w:r w:rsidRPr="00A61030">
        <w:t>dasatinib</w:t>
      </w:r>
      <w:proofErr w:type="spellEnd"/>
      <w:r w:rsidRPr="00A61030">
        <w:t xml:space="preserve"> (Arm 4) in patients with chronic myeloid </w:t>
      </w:r>
      <w:r w:rsidR="001B10B9">
        <w:t>leukaemia</w:t>
      </w:r>
      <w:r w:rsidR="00DC26BD">
        <w:t xml:space="preserve"> in</w:t>
      </w:r>
      <w:r w:rsidR="004F233E">
        <w:t xml:space="preserve"> </w:t>
      </w:r>
      <w:r w:rsidRPr="00A61030">
        <w:t xml:space="preserve">chronic phase and accelerated phase. In Arm 5, asciminib was studied as a single agent in patients with chronic myeloid </w:t>
      </w:r>
      <w:r w:rsidR="001B10B9">
        <w:t>leukaemia</w:t>
      </w:r>
      <w:r w:rsidR="00D0398A">
        <w:t xml:space="preserve"> in </w:t>
      </w:r>
      <w:r w:rsidRPr="00A61030">
        <w:t xml:space="preserve">blast phase and </w:t>
      </w:r>
      <w:r w:rsidR="004F233E" w:rsidRPr="00A61030">
        <w:t xml:space="preserve">Philadelphia </w:t>
      </w:r>
      <w:r w:rsidR="00D0398A">
        <w:t>c</w:t>
      </w:r>
      <w:r w:rsidR="004F233E" w:rsidRPr="00A61030">
        <w:t>hromosome</w:t>
      </w:r>
      <w:r w:rsidR="00D0398A">
        <w:t xml:space="preserve"> </w:t>
      </w:r>
      <w:r w:rsidR="004F233E" w:rsidRPr="00A61030">
        <w:t>positive</w:t>
      </w:r>
      <w:r w:rsidRPr="00A61030">
        <w:t xml:space="preserve"> acute lymphoblastic </w:t>
      </w:r>
      <w:r w:rsidR="001B10B9">
        <w:t>leukaemia</w:t>
      </w:r>
      <w:r w:rsidRPr="00A61030">
        <w:t xml:space="preserve">. A total of 132 patients in Arm 1 were given doses from 10 mg </w:t>
      </w:r>
      <w:r w:rsidR="004F233E">
        <w:t>twice a day</w:t>
      </w:r>
      <w:r w:rsidRPr="00A61030">
        <w:t xml:space="preserve"> to 200</w:t>
      </w:r>
      <w:r w:rsidR="004F233E">
        <w:t> </w:t>
      </w:r>
      <w:r w:rsidRPr="00A61030">
        <w:t xml:space="preserve">mg </w:t>
      </w:r>
      <w:r w:rsidR="004F233E">
        <w:t xml:space="preserve">once </w:t>
      </w:r>
      <w:r w:rsidR="000820A3">
        <w:t>daily</w:t>
      </w:r>
      <w:r w:rsidR="004F233E">
        <w:t xml:space="preserve"> </w:t>
      </w:r>
      <w:r w:rsidRPr="00A61030">
        <w:t>(the maximum tolerated dose) and PK data from Arm 1 were included in the PK assessment.</w:t>
      </w:r>
    </w:p>
    <w:p w14:paraId="6A0773EE" w14:textId="4AC41D6A" w:rsidR="00A61030" w:rsidRPr="00A61030" w:rsidRDefault="00A61030" w:rsidP="00A61030">
      <w:r w:rsidRPr="00A61030">
        <w:t xml:space="preserve">Asciminib, administered orally once or twice daily was rapidly absorbed with a median </w:t>
      </w:r>
      <w:r w:rsidR="004F233E">
        <w:t>t</w:t>
      </w:r>
      <w:r w:rsidR="004F233E" w:rsidRPr="004F233E">
        <w:t>ime after administration of a drug when the maximum plasma concentration is reached</w:t>
      </w:r>
      <w:r w:rsidR="00AF2F6D">
        <w:t xml:space="preserve"> </w:t>
      </w:r>
      <w:r w:rsidR="00D0233A">
        <w:t>at</w:t>
      </w:r>
      <w:r w:rsidRPr="00A61030">
        <w:t xml:space="preserve"> 2 to 3 hours, independent of dose. No time</w:t>
      </w:r>
      <w:r w:rsidR="00737086">
        <w:t>-</w:t>
      </w:r>
      <w:r w:rsidRPr="00A61030">
        <w:t xml:space="preserve">dependent PK was observed. </w:t>
      </w:r>
      <w:r w:rsidR="00AF2F6D">
        <w:t>M</w:t>
      </w:r>
      <w:r w:rsidR="00AF2F6D" w:rsidRPr="00D0398A">
        <w:t>aximum concentration</w:t>
      </w:r>
      <w:r w:rsidRPr="00A61030">
        <w:t xml:space="preserve"> and </w:t>
      </w:r>
      <w:r w:rsidR="004F233E">
        <w:t>a</w:t>
      </w:r>
      <w:r w:rsidR="004F233E" w:rsidRPr="004F233E">
        <w:t>rea under the concentration</w:t>
      </w:r>
      <w:r w:rsidR="00737086">
        <w:t>-</w:t>
      </w:r>
      <w:r w:rsidR="004F233E" w:rsidRPr="004F233E">
        <w:t xml:space="preserve">time curve </w:t>
      </w:r>
      <w:r w:rsidR="004F233E">
        <w:t>(</w:t>
      </w:r>
      <w:r w:rsidRPr="00A61030">
        <w:t>AUC</w:t>
      </w:r>
      <w:r w:rsidR="004F233E">
        <w:t>)</w:t>
      </w:r>
      <w:r w:rsidRPr="00A61030">
        <w:t xml:space="preserve"> increase in a slightly more than dose proportional manner for the </w:t>
      </w:r>
      <w:r w:rsidR="004F233E">
        <w:t>twice a day</w:t>
      </w:r>
      <w:r w:rsidRPr="00A61030">
        <w:t xml:space="preserve"> dosing regimen. Steady state was reached by Day 3. The apparent terminal elimination half-life (</w:t>
      </w:r>
      <w:r w:rsidRPr="00D0398A">
        <w:t>t</w:t>
      </w:r>
      <w:r w:rsidR="00737086" w:rsidRPr="00281B1A">
        <w:rPr>
          <w:vertAlign w:val="subscript"/>
        </w:rPr>
        <w:t>1/2</w:t>
      </w:r>
      <w:r w:rsidRPr="00D0398A">
        <w:t>)</w:t>
      </w:r>
      <w:r w:rsidRPr="00A61030">
        <w:t xml:space="preserve"> across studies was estimated to be between 7 and 15 hours, the apparent clearance of asciminib was 4.34</w:t>
      </w:r>
      <w:r w:rsidR="00AF2F6D">
        <w:t> </w:t>
      </w:r>
      <w:r w:rsidRPr="00A61030">
        <w:t>L/hr (based on noncompartmental PK analysis of single dose of 80 mg in</w:t>
      </w:r>
      <w:r w:rsidR="00D0398A">
        <w:t xml:space="preserve"> human a</w:t>
      </w:r>
      <w:r w:rsidR="00D0398A" w:rsidRPr="00D0398A">
        <w:t>bsorption, distribution, metabolism, and excretion</w:t>
      </w:r>
      <w:r w:rsidRPr="00A61030">
        <w:t xml:space="preserve"> study in healthy subjects).</w:t>
      </w:r>
    </w:p>
    <w:p w14:paraId="3AF75CAF" w14:textId="1AE579CB" w:rsidR="00A61030" w:rsidRPr="00A61030" w:rsidRDefault="00A61030" w:rsidP="00A61030">
      <w:r w:rsidRPr="00A61030">
        <w:lastRenderedPageBreak/>
        <w:t xml:space="preserve">Renal clearance of asciminib was estimated to be 0.108 L/hr which was 2.5% of the total </w:t>
      </w:r>
      <w:r w:rsidR="009C3145">
        <w:t>apparent clearance</w:t>
      </w:r>
      <w:r w:rsidRPr="00A61030">
        <w:t xml:space="preserve"> (4.34 L/hr), indicating that renal clearance of asciminib was minimal. Apparent volume of distribution was 89 L. Metabolites detected in human plasma were </w:t>
      </w:r>
      <w:r w:rsidR="00737086">
        <w:t xml:space="preserve">metabolite </w:t>
      </w:r>
      <w:r w:rsidRPr="00A61030">
        <w:t xml:space="preserve">M30.5 (SWO996, direct O-glucuronide of asciminib; 4.93%), </w:t>
      </w:r>
      <w:r w:rsidR="00737086">
        <w:t xml:space="preserve">metabolite </w:t>
      </w:r>
      <w:r w:rsidRPr="00A61030">
        <w:t xml:space="preserve">M44 (oxidation of the </w:t>
      </w:r>
      <w:proofErr w:type="spellStart"/>
      <w:r w:rsidRPr="00A61030">
        <w:t>pyrrolidinol</w:t>
      </w:r>
      <w:proofErr w:type="spellEnd"/>
      <w:r w:rsidRPr="00A61030">
        <w:t xml:space="preserve"> ring alcohol to a ketone; 1.88%) and </w:t>
      </w:r>
      <w:r w:rsidR="00737086">
        <w:t xml:space="preserve">metabolite </w:t>
      </w:r>
      <w:r w:rsidRPr="00A61030">
        <w:t xml:space="preserve">M29.5 (CRE850, alcohol formed from oxidative opening of the </w:t>
      </w:r>
      <w:proofErr w:type="spellStart"/>
      <w:r w:rsidRPr="00A61030">
        <w:t>pyrrolidinol</w:t>
      </w:r>
      <w:proofErr w:type="spellEnd"/>
      <w:r w:rsidRPr="00A61030">
        <w:t xml:space="preserve"> ring; 0.39%). Ten radiolabelled metabolites of asciminib were characterised and quantified in the excreta (Study A2102).</w:t>
      </w:r>
    </w:p>
    <w:p w14:paraId="53D97BF7" w14:textId="1263DEE5" w:rsidR="00A61030" w:rsidRPr="00A61030" w:rsidRDefault="00A61030" w:rsidP="00E65AA9">
      <w:r w:rsidRPr="000E14B0">
        <w:t xml:space="preserve">The biotransformation of asciminib occurred predominantly by oxidation at the </w:t>
      </w:r>
      <w:proofErr w:type="spellStart"/>
      <w:r w:rsidRPr="000E14B0">
        <w:t>pyrrolidinol</w:t>
      </w:r>
      <w:proofErr w:type="spellEnd"/>
      <w:r w:rsidRPr="000E14B0">
        <w:t xml:space="preserve"> ring and direct glucuronidation.</w:t>
      </w:r>
    </w:p>
    <w:p w14:paraId="59758B25" w14:textId="3E551317" w:rsidR="00A61030" w:rsidRPr="00A61030" w:rsidRDefault="00A61030" w:rsidP="00A61030">
      <w:r w:rsidRPr="00A61030">
        <w:t>In a dedicated hepatic impairment study, compared to non-cancer subjects with normal hepatic function:</w:t>
      </w:r>
    </w:p>
    <w:p w14:paraId="0D67F12C" w14:textId="5C8C600D" w:rsidR="00A61030" w:rsidRPr="00A61030" w:rsidRDefault="00A61030" w:rsidP="000E14B0">
      <w:pPr>
        <w:pStyle w:val="ListBullet"/>
      </w:pPr>
      <w:r w:rsidRPr="00A61030">
        <w:t>Mild hepatic impairment resulted in 22% higher AUC</w:t>
      </w:r>
      <w:r w:rsidR="000E14B0" w:rsidRPr="000E14B0">
        <w:rPr>
          <w:vertAlign w:val="subscript"/>
        </w:rPr>
        <w:t>0-</w:t>
      </w:r>
      <w:r w:rsidRPr="000E14B0">
        <w:rPr>
          <w:vertAlign w:val="subscript"/>
        </w:rPr>
        <w:t xml:space="preserve">inf </w:t>
      </w:r>
      <w:r w:rsidRPr="00A61030">
        <w:t>(</w:t>
      </w:r>
      <w:r w:rsidR="000E14B0" w:rsidRPr="000E14B0">
        <w:t>geometric mean ratio</w:t>
      </w:r>
      <w:r w:rsidRPr="00A61030">
        <w:t xml:space="preserve"> </w:t>
      </w:r>
      <w:r w:rsidR="000E14B0">
        <w:t>(</w:t>
      </w:r>
      <w:r w:rsidRPr="00A61030">
        <w:t>90%</w:t>
      </w:r>
      <w:r w:rsidR="00F06B5A">
        <w:t> </w:t>
      </w:r>
      <w:r w:rsidRPr="00A61030">
        <w:t>CI</w:t>
      </w:r>
      <w:r w:rsidR="000E14B0">
        <w:t>)</w:t>
      </w:r>
      <w:r w:rsidRPr="00A61030">
        <w:t xml:space="preserve"> 1.22 </w:t>
      </w:r>
      <w:r w:rsidR="000E14B0">
        <w:t>(</w:t>
      </w:r>
      <w:r w:rsidRPr="00A61030">
        <w:t>0.964, 1.54</w:t>
      </w:r>
      <w:r w:rsidR="000E14B0">
        <w:t>)</w:t>
      </w:r>
      <w:r w:rsidRPr="00A61030">
        <w:t>), 21% higher AUC</w:t>
      </w:r>
      <w:r w:rsidR="000E14B0" w:rsidRPr="000E14B0">
        <w:rPr>
          <w:vertAlign w:val="subscript"/>
        </w:rPr>
        <w:t>0-</w:t>
      </w:r>
      <w:r w:rsidRPr="000E14B0">
        <w:rPr>
          <w:vertAlign w:val="subscript"/>
        </w:rPr>
        <w:t>last</w:t>
      </w:r>
      <w:r w:rsidR="00737086">
        <w:t>;</w:t>
      </w:r>
      <w:r w:rsidR="00737086">
        <w:rPr>
          <w:rStyle w:val="FootnoteReference"/>
        </w:rPr>
        <w:footnoteReference w:id="27"/>
      </w:r>
      <w:r w:rsidRPr="000E14B0">
        <w:rPr>
          <w:vertAlign w:val="subscript"/>
        </w:rPr>
        <w:t xml:space="preserve"> </w:t>
      </w:r>
      <w:r w:rsidRPr="00A61030">
        <w:t xml:space="preserve">(1.21 </w:t>
      </w:r>
      <w:r w:rsidR="000E14B0">
        <w:t>(</w:t>
      </w:r>
      <w:r w:rsidRPr="00A61030">
        <w:t>0.96, 1.53</w:t>
      </w:r>
      <w:r w:rsidR="000E14B0">
        <w:t>)</w:t>
      </w:r>
      <w:r w:rsidRPr="00A61030">
        <w:t>), 26% higher C</w:t>
      </w:r>
      <w:r w:rsidRPr="000E14B0">
        <w:rPr>
          <w:vertAlign w:val="subscript"/>
        </w:rPr>
        <w:t>max</w:t>
      </w:r>
      <w:r w:rsidRPr="00A61030">
        <w:t xml:space="preserve"> (1.26 </w:t>
      </w:r>
      <w:r w:rsidR="000E14B0">
        <w:t>(</w:t>
      </w:r>
      <w:r w:rsidRPr="00A61030">
        <w:t>1.05, 1.52</w:t>
      </w:r>
      <w:r w:rsidR="000E14B0">
        <w:t>)</w:t>
      </w:r>
      <w:r w:rsidRPr="00A61030">
        <w:t>).</w:t>
      </w:r>
    </w:p>
    <w:p w14:paraId="679BD995" w14:textId="2DFECBE0" w:rsidR="00A61030" w:rsidRPr="00A61030" w:rsidRDefault="00A61030" w:rsidP="000E14B0">
      <w:pPr>
        <w:pStyle w:val="ListBullet"/>
      </w:pPr>
      <w:r w:rsidRPr="00A61030">
        <w:t>Moderate hepatic impairment resulted in 3% higher AUC</w:t>
      </w:r>
      <w:r w:rsidR="000E14B0" w:rsidRPr="000E14B0">
        <w:rPr>
          <w:vertAlign w:val="subscript"/>
        </w:rPr>
        <w:t>0-</w:t>
      </w:r>
      <w:r w:rsidRPr="000E14B0">
        <w:rPr>
          <w:vertAlign w:val="subscript"/>
        </w:rPr>
        <w:t xml:space="preserve">inf </w:t>
      </w:r>
      <w:r w:rsidRPr="00A61030">
        <w:t>(</w:t>
      </w:r>
      <w:r w:rsidR="000E14B0" w:rsidRPr="000E14B0">
        <w:t>geometric mean ratio</w:t>
      </w:r>
      <w:r w:rsidRPr="00A61030">
        <w:t xml:space="preserve"> </w:t>
      </w:r>
      <w:r w:rsidR="000E14B0">
        <w:t>(</w:t>
      </w:r>
      <w:r w:rsidRPr="00A61030">
        <w:t>90% CI</w:t>
      </w:r>
      <w:r w:rsidR="000E14B0">
        <w:t>)</w:t>
      </w:r>
      <w:r w:rsidRPr="00A61030">
        <w:t xml:space="preserve"> 1.03 </w:t>
      </w:r>
      <w:r w:rsidR="000E14B0">
        <w:t>(</w:t>
      </w:r>
      <w:r w:rsidRPr="00A61030">
        <w:t>0.813, 1.3</w:t>
      </w:r>
      <w:r w:rsidR="000E14B0">
        <w:t>)</w:t>
      </w:r>
      <w:r w:rsidRPr="00A61030">
        <w:t>) and AUC</w:t>
      </w:r>
      <w:r w:rsidR="000E14B0" w:rsidRPr="000E14B0">
        <w:rPr>
          <w:vertAlign w:val="subscript"/>
        </w:rPr>
        <w:t>0-</w:t>
      </w:r>
      <w:r w:rsidRPr="000E14B0">
        <w:rPr>
          <w:vertAlign w:val="subscript"/>
        </w:rPr>
        <w:t>last</w:t>
      </w:r>
      <w:r w:rsidRPr="00A61030">
        <w:t xml:space="preserve"> (1.03 </w:t>
      </w:r>
      <w:r w:rsidR="000E14B0">
        <w:t>(</w:t>
      </w:r>
      <w:r w:rsidRPr="00A61030">
        <w:t>0.812, 1.3</w:t>
      </w:r>
      <w:r w:rsidR="000E14B0">
        <w:t>)</w:t>
      </w:r>
      <w:r w:rsidRPr="00A61030">
        <w:t>), and 1.7% lower C</w:t>
      </w:r>
      <w:r w:rsidRPr="000E14B0">
        <w:rPr>
          <w:vertAlign w:val="subscript"/>
        </w:rPr>
        <w:t>max</w:t>
      </w:r>
      <w:r w:rsidRPr="00A61030">
        <w:t xml:space="preserve"> (0.983 </w:t>
      </w:r>
      <w:r w:rsidR="000E14B0">
        <w:t>(</w:t>
      </w:r>
      <w:r w:rsidRPr="00A61030">
        <w:t>0.819, 1.18</w:t>
      </w:r>
      <w:r w:rsidR="000E14B0">
        <w:t>)</w:t>
      </w:r>
      <w:r w:rsidRPr="00A61030">
        <w:t>).</w:t>
      </w:r>
    </w:p>
    <w:p w14:paraId="60F71699" w14:textId="22E0092C" w:rsidR="00A61030" w:rsidRPr="00A61030" w:rsidRDefault="00A61030" w:rsidP="00F06B5A">
      <w:pPr>
        <w:pStyle w:val="ListBullet"/>
      </w:pPr>
      <w:r w:rsidRPr="00A61030">
        <w:t>Severe hepatic impairment resulted in 66% higher AUC</w:t>
      </w:r>
      <w:r w:rsidR="00F06B5A" w:rsidRPr="00F06B5A">
        <w:rPr>
          <w:vertAlign w:val="subscript"/>
        </w:rPr>
        <w:t>0-</w:t>
      </w:r>
      <w:r w:rsidRPr="00F06B5A">
        <w:rPr>
          <w:vertAlign w:val="subscript"/>
        </w:rPr>
        <w:t xml:space="preserve">inf </w:t>
      </w:r>
      <w:r w:rsidRPr="00A61030">
        <w:t>(</w:t>
      </w:r>
      <w:r w:rsidR="00F06B5A" w:rsidRPr="000E14B0">
        <w:t>geometric mean ratio</w:t>
      </w:r>
      <w:r w:rsidRPr="00A61030">
        <w:t xml:space="preserve"> </w:t>
      </w:r>
      <w:r w:rsidR="00F06B5A">
        <w:t>(</w:t>
      </w:r>
      <w:r w:rsidRPr="00A61030">
        <w:t>90% CI</w:t>
      </w:r>
      <w:r w:rsidR="00F06B5A">
        <w:t>)</w:t>
      </w:r>
      <w:r w:rsidRPr="00A61030">
        <w:t xml:space="preserve"> 1.66 </w:t>
      </w:r>
      <w:r w:rsidR="00F06B5A">
        <w:t>(</w:t>
      </w:r>
      <w:r w:rsidRPr="00A61030">
        <w:t>1.3, 2.12</w:t>
      </w:r>
      <w:r w:rsidR="00F06B5A">
        <w:t>)</w:t>
      </w:r>
      <w:r w:rsidRPr="00A61030">
        <w:t>), 55% higher AUC</w:t>
      </w:r>
      <w:r w:rsidR="00F06B5A" w:rsidRPr="00F06B5A">
        <w:rPr>
          <w:vertAlign w:val="subscript"/>
        </w:rPr>
        <w:t>0-</w:t>
      </w:r>
      <w:r w:rsidRPr="00F06B5A">
        <w:rPr>
          <w:vertAlign w:val="subscript"/>
        </w:rPr>
        <w:t>last</w:t>
      </w:r>
      <w:r w:rsidRPr="00A61030">
        <w:t xml:space="preserve"> (1.55 </w:t>
      </w:r>
      <w:r w:rsidR="00F06B5A">
        <w:t>(</w:t>
      </w:r>
      <w:r w:rsidRPr="00A61030">
        <w:t>1.22, 1.95</w:t>
      </w:r>
      <w:r w:rsidR="00F06B5A">
        <w:t>)</w:t>
      </w:r>
      <w:r w:rsidRPr="00A61030">
        <w:t>), and 29% (1.29</w:t>
      </w:r>
      <w:r w:rsidR="00F06B5A">
        <w:t> (</w:t>
      </w:r>
      <w:r w:rsidRPr="00A61030">
        <w:t>1.08, 1.55</w:t>
      </w:r>
      <w:r w:rsidR="00F06B5A">
        <w:t>)</w:t>
      </w:r>
      <w:r w:rsidRPr="00A61030">
        <w:t>) higher C</w:t>
      </w:r>
      <w:r w:rsidRPr="00F06B5A">
        <w:rPr>
          <w:vertAlign w:val="subscript"/>
        </w:rPr>
        <w:t>max</w:t>
      </w:r>
      <w:r w:rsidRPr="00A61030">
        <w:t>.</w:t>
      </w:r>
    </w:p>
    <w:p w14:paraId="022AD3E3" w14:textId="15557674" w:rsidR="00A61030" w:rsidRPr="00A61030" w:rsidRDefault="00A61030" w:rsidP="00A61030">
      <w:r w:rsidRPr="00A61030">
        <w:t>In a dedicated renal impairment study compared to the normal renal function cohort, the severe renal impairment cohort had an increase of 56% in AUC</w:t>
      </w:r>
      <w:r w:rsidR="00F06B5A" w:rsidRPr="00F06B5A">
        <w:rPr>
          <w:vertAlign w:val="subscript"/>
        </w:rPr>
        <w:t>0-</w:t>
      </w:r>
      <w:r w:rsidRPr="00F06B5A">
        <w:rPr>
          <w:vertAlign w:val="subscript"/>
        </w:rPr>
        <w:t xml:space="preserve">inf </w:t>
      </w:r>
      <w:r w:rsidRPr="00A61030">
        <w:t>(</w:t>
      </w:r>
      <w:r w:rsidR="00F06B5A" w:rsidRPr="000E14B0">
        <w:t>geometric mean ratio</w:t>
      </w:r>
      <w:r w:rsidRPr="00A61030">
        <w:t xml:space="preserve"> </w:t>
      </w:r>
      <w:r w:rsidR="00F06B5A">
        <w:t>(</w:t>
      </w:r>
      <w:r w:rsidRPr="00A61030">
        <w:t>90%</w:t>
      </w:r>
      <w:r w:rsidR="00F06B5A">
        <w:t xml:space="preserve"> </w:t>
      </w:r>
      <w:r w:rsidRPr="00A61030">
        <w:t>CI</w:t>
      </w:r>
      <w:r w:rsidR="00F06B5A">
        <w:t>)</w:t>
      </w:r>
      <w:r w:rsidRPr="00A61030">
        <w:t xml:space="preserve">; 1.56 </w:t>
      </w:r>
      <w:r w:rsidR="00F06B5A">
        <w:t>(</w:t>
      </w:r>
      <w:r w:rsidRPr="00A61030">
        <w:t>1.05, 2.3</w:t>
      </w:r>
      <w:r w:rsidR="00F06B5A">
        <w:t>)</w:t>
      </w:r>
      <w:r w:rsidRPr="00A61030">
        <w:t>), and 49% in AUC</w:t>
      </w:r>
      <w:r w:rsidR="00F06B5A" w:rsidRPr="00F06B5A">
        <w:rPr>
          <w:vertAlign w:val="subscript"/>
        </w:rPr>
        <w:t>0-</w:t>
      </w:r>
      <w:r w:rsidRPr="00F06B5A">
        <w:rPr>
          <w:vertAlign w:val="subscript"/>
        </w:rPr>
        <w:t xml:space="preserve">last </w:t>
      </w:r>
      <w:r w:rsidRPr="00A61030">
        <w:t>(</w:t>
      </w:r>
      <w:r w:rsidR="00F06B5A" w:rsidRPr="000E14B0">
        <w:t>geometric mean ratio</w:t>
      </w:r>
      <w:r w:rsidRPr="00A61030">
        <w:t xml:space="preserve"> </w:t>
      </w:r>
      <w:r w:rsidR="00F06B5A">
        <w:t>(</w:t>
      </w:r>
      <w:r w:rsidRPr="00A61030">
        <w:t>90%</w:t>
      </w:r>
      <w:r w:rsidR="00F06B5A">
        <w:t xml:space="preserve"> </w:t>
      </w:r>
      <w:r w:rsidRPr="00A61030">
        <w:t>CI</w:t>
      </w:r>
      <w:r w:rsidR="00F06B5A">
        <w:t>)</w:t>
      </w:r>
      <w:r w:rsidRPr="00A61030">
        <w:t xml:space="preserve">; 1.49 </w:t>
      </w:r>
      <w:r w:rsidR="00F06B5A">
        <w:t>(</w:t>
      </w:r>
      <w:r w:rsidRPr="00A61030">
        <w:t>1.01, 2.2</w:t>
      </w:r>
      <w:r w:rsidR="00F06B5A">
        <w:t>)</w:t>
      </w:r>
      <w:r w:rsidRPr="00A61030">
        <w:t>) values with comparable C</w:t>
      </w:r>
      <w:r w:rsidRPr="00F06B5A">
        <w:rPr>
          <w:vertAlign w:val="subscript"/>
        </w:rPr>
        <w:t>max</w:t>
      </w:r>
      <w:r w:rsidRPr="00A61030">
        <w:t xml:space="preserve"> (</w:t>
      </w:r>
      <w:r w:rsidR="00F06B5A">
        <w:t xml:space="preserve">plus </w:t>
      </w:r>
      <w:r w:rsidRPr="00A61030">
        <w:t>8%) (</w:t>
      </w:r>
      <w:r w:rsidR="00F06B5A" w:rsidRPr="000E14B0">
        <w:t>geometric mean ratio</w:t>
      </w:r>
      <w:r w:rsidRPr="00A61030">
        <w:t xml:space="preserve"> </w:t>
      </w:r>
      <w:r w:rsidR="00F06B5A">
        <w:t>(</w:t>
      </w:r>
      <w:r w:rsidRPr="00A61030">
        <w:t>90% CI</w:t>
      </w:r>
      <w:r w:rsidR="00F06B5A">
        <w:t>)</w:t>
      </w:r>
      <w:r w:rsidRPr="00A61030">
        <w:t xml:space="preserve">: 1.08 </w:t>
      </w:r>
      <w:r w:rsidR="00F06B5A">
        <w:t>(</w:t>
      </w:r>
      <w:r w:rsidRPr="00A61030">
        <w:t>0.719,1.61</w:t>
      </w:r>
      <w:r w:rsidR="00F06B5A">
        <w:t>)</w:t>
      </w:r>
      <w:r w:rsidRPr="00A61030">
        <w:t>). The study did not compare PK in patients with mild or moderate renal impairment given the relatively minor differences observed in patients with severe renal impairment.</w:t>
      </w:r>
    </w:p>
    <w:p w14:paraId="400F58F2" w14:textId="1FC9E386" w:rsidR="00A61030" w:rsidRPr="00A61030" w:rsidRDefault="00A61030" w:rsidP="00A61030">
      <w:r w:rsidRPr="00A61030">
        <w:t xml:space="preserve">In </w:t>
      </w:r>
      <w:r w:rsidR="0026538D">
        <w:t>drug-drug interaction</w:t>
      </w:r>
      <w:r w:rsidRPr="00A61030">
        <w:t xml:space="preserve"> studies asciminib 40 mg </w:t>
      </w:r>
      <w:r w:rsidR="00F06B5A">
        <w:t>twice a day</w:t>
      </w:r>
      <w:r w:rsidRPr="00A61030">
        <w:t xml:space="preserve"> had </w:t>
      </w:r>
      <w:proofErr w:type="gramStart"/>
      <w:r w:rsidRPr="00A61030">
        <w:t>no</w:t>
      </w:r>
      <w:proofErr w:type="gramEnd"/>
      <w:r w:rsidRPr="00A61030">
        <w:t xml:space="preserve"> clinically significant </w:t>
      </w:r>
      <w:r w:rsidR="00EF2E97">
        <w:t>CYP-related;</w:t>
      </w:r>
      <w:r w:rsidR="00EF2E97" w:rsidRPr="00281B1A">
        <w:rPr>
          <w:vertAlign w:val="superscript"/>
        </w:rPr>
        <w:fldChar w:fldCharType="begin"/>
      </w:r>
      <w:r w:rsidR="00EF2E97" w:rsidRPr="00281B1A">
        <w:rPr>
          <w:vertAlign w:val="superscript"/>
        </w:rPr>
        <w:instrText xml:space="preserve"> NOTEREF _Ref127877652 \h </w:instrText>
      </w:r>
      <w:r w:rsidR="00EF2E97">
        <w:rPr>
          <w:vertAlign w:val="superscript"/>
        </w:rPr>
        <w:instrText xml:space="preserve"> \* MERGEFORMAT </w:instrText>
      </w:r>
      <w:r w:rsidR="00EF2E97" w:rsidRPr="00281B1A">
        <w:rPr>
          <w:vertAlign w:val="superscript"/>
        </w:rPr>
      </w:r>
      <w:r w:rsidR="00EF2E97" w:rsidRPr="00281B1A">
        <w:rPr>
          <w:vertAlign w:val="superscript"/>
        </w:rPr>
        <w:fldChar w:fldCharType="separate"/>
      </w:r>
      <w:r w:rsidR="00547BEA">
        <w:rPr>
          <w:vertAlign w:val="superscript"/>
        </w:rPr>
        <w:t>17</w:t>
      </w:r>
      <w:r w:rsidR="00EF2E97" w:rsidRPr="00281B1A">
        <w:rPr>
          <w:vertAlign w:val="superscript"/>
        </w:rPr>
        <w:fldChar w:fldCharType="end"/>
      </w:r>
      <w:r w:rsidR="00EF2E97">
        <w:t xml:space="preserve"> </w:t>
      </w:r>
      <w:r w:rsidRPr="00A61030">
        <w:t>effect</w:t>
      </w:r>
      <w:r w:rsidR="00EF2E97">
        <w:t>s</w:t>
      </w:r>
      <w:r w:rsidRPr="00A61030">
        <w:t xml:space="preserve"> on the PK of midazolam (sensitive CYP3A substrate), warfarin (sensitive CYP2CP substrate) or repaglinide (sensitive CYP2C8 substrate). Asciminib was weakly affected by strong CYP3A4 inducers (rifampicin) and inhibitors (itraconazole, clarithromycin) and not affected by strong </w:t>
      </w:r>
      <w:r w:rsidR="00F06B5A">
        <w:t>P-glycoprotein</w:t>
      </w:r>
      <w:r w:rsidRPr="00A61030">
        <w:t xml:space="preserve"> inhibitor (quinidine). It was incidentally discovered in Study A2107 that cyclodextrin, an excipient in the itraconazole oral solution given in that study, may sequester asciminib, reducing its absorption.</w:t>
      </w:r>
    </w:p>
    <w:p w14:paraId="20E2C663" w14:textId="21967B49" w:rsidR="00A61030" w:rsidRPr="00A61030" w:rsidRDefault="00A61030" w:rsidP="00A61030">
      <w:r w:rsidRPr="00A61030">
        <w:t>When asciminib was co</w:t>
      </w:r>
      <w:r w:rsidR="007C3822">
        <w:t>-</w:t>
      </w:r>
      <w:r w:rsidRPr="00A61030">
        <w:t xml:space="preserve">administered with imatinib the </w:t>
      </w:r>
      <w:r w:rsidR="00F06B5A">
        <w:t>geometric mean ratio</w:t>
      </w:r>
      <w:r w:rsidRPr="00A61030">
        <w:t>s (90% CI) for AUC</w:t>
      </w:r>
      <w:r w:rsidR="00F06B5A" w:rsidRPr="00F06B5A">
        <w:rPr>
          <w:vertAlign w:val="subscript"/>
        </w:rPr>
        <w:t>0-</w:t>
      </w:r>
      <w:r w:rsidRPr="00F06B5A">
        <w:rPr>
          <w:vertAlign w:val="subscript"/>
        </w:rPr>
        <w:t xml:space="preserve">inf </w:t>
      </w:r>
      <w:r w:rsidRPr="00A61030">
        <w:t>and</w:t>
      </w:r>
      <w:r w:rsidR="00F06B5A">
        <w:t xml:space="preserve"> </w:t>
      </w:r>
      <w:r w:rsidRPr="00A61030">
        <w:t>AUC</w:t>
      </w:r>
      <w:r w:rsidR="00F06B5A" w:rsidRPr="00F06B5A">
        <w:rPr>
          <w:vertAlign w:val="subscript"/>
        </w:rPr>
        <w:t>0-</w:t>
      </w:r>
      <w:r w:rsidRPr="00F06B5A">
        <w:rPr>
          <w:vertAlign w:val="subscript"/>
        </w:rPr>
        <w:t xml:space="preserve">last </w:t>
      </w:r>
      <w:r w:rsidRPr="00A61030">
        <w:t xml:space="preserve">were 2.08 (1.93, 2.24) and 2.07 (1.92, 2.23), respectively, indicating </w:t>
      </w:r>
      <w:r w:rsidR="00F06B5A">
        <w:t>a</w:t>
      </w:r>
      <w:r w:rsidRPr="00A61030">
        <w:t>pproximately a</w:t>
      </w:r>
      <w:r w:rsidR="00F06B5A">
        <w:t xml:space="preserve"> </w:t>
      </w:r>
      <w:r w:rsidRPr="00A61030">
        <w:t>doubling of the asciminib total systemic exposure compared to when administered alone. Exposure to imatinib was reduced by approximately 27% when co-administered with asciminib compared to when administered alone. Rabeprazole (strong proton pump inhibitor) had no effect on the bioavailability of asciminib.</w:t>
      </w:r>
    </w:p>
    <w:p w14:paraId="4516C5B7" w14:textId="5FBDBA0E" w:rsidR="00A61030" w:rsidRDefault="00A61030" w:rsidP="00A61030">
      <w:r w:rsidRPr="00A61030">
        <w:t>Food decreases the bioavailability of asciminib. Following low</w:t>
      </w:r>
      <w:r w:rsidR="005A027A">
        <w:t xml:space="preserve"> </w:t>
      </w:r>
      <w:r w:rsidRPr="00A61030">
        <w:t>fat and high</w:t>
      </w:r>
      <w:r w:rsidR="005A027A">
        <w:t xml:space="preserve"> </w:t>
      </w:r>
      <w:r w:rsidRPr="00A61030">
        <w:t>fat meal, AUC</w:t>
      </w:r>
      <w:r w:rsidR="00F06B5A" w:rsidRPr="00F06B5A">
        <w:rPr>
          <w:vertAlign w:val="subscript"/>
        </w:rPr>
        <w:t>0</w:t>
      </w:r>
      <w:r w:rsidR="00F06B5A">
        <w:rPr>
          <w:vertAlign w:val="subscript"/>
        </w:rPr>
        <w:noBreakHyphen/>
      </w:r>
      <w:r w:rsidRPr="00F06B5A">
        <w:rPr>
          <w:vertAlign w:val="subscript"/>
        </w:rPr>
        <w:t>inf</w:t>
      </w:r>
      <w:r w:rsidR="00F06B5A">
        <w:rPr>
          <w:vertAlign w:val="subscript"/>
        </w:rPr>
        <w:t xml:space="preserve"> </w:t>
      </w:r>
      <w:r w:rsidRPr="00A61030">
        <w:t>was decreased by 30% and 62.3%, respectively.</w:t>
      </w:r>
    </w:p>
    <w:p w14:paraId="56FF71A1" w14:textId="0DA66967" w:rsidR="00DD0E24" w:rsidRPr="00DD0E24" w:rsidRDefault="00DD0E24" w:rsidP="00301804">
      <w:pPr>
        <w:pStyle w:val="Heading5"/>
      </w:pPr>
      <w:r w:rsidRPr="00DD0E24">
        <w:lastRenderedPageBreak/>
        <w:t xml:space="preserve">Population </w:t>
      </w:r>
      <w:r>
        <w:t>pharmacokinetic</w:t>
      </w:r>
      <w:r w:rsidRPr="00DD0E24">
        <w:t xml:space="preserve"> data</w:t>
      </w:r>
    </w:p>
    <w:p w14:paraId="2A6A15A1" w14:textId="162A270E" w:rsidR="00DD0E24" w:rsidRPr="00DD0E24" w:rsidRDefault="00DD0E24" w:rsidP="00DD0E24">
      <w:r w:rsidRPr="00DD0E24">
        <w:t>Based on</w:t>
      </w:r>
      <w:r>
        <w:t xml:space="preserve"> population pharmacokinetic</w:t>
      </w:r>
      <w:r w:rsidRPr="00DD0E24">
        <w:t xml:space="preserve"> </w:t>
      </w:r>
      <w:r>
        <w:t>(</w:t>
      </w:r>
      <w:proofErr w:type="spellStart"/>
      <w:r w:rsidR="00461CC0">
        <w:t>p</w:t>
      </w:r>
      <w:r w:rsidRPr="00DD0E24">
        <w:t>opPK</w:t>
      </w:r>
      <w:proofErr w:type="spellEnd"/>
      <w:r>
        <w:t>)</w:t>
      </w:r>
      <w:r w:rsidRPr="00DD0E24">
        <w:t xml:space="preserve"> modelling and considering first pass extraction in gut and liver in addition to absorption, the absolute bioavailability was estimated to be approximately 73%.</w:t>
      </w:r>
    </w:p>
    <w:p w14:paraId="3C8CCCEA" w14:textId="60A94844" w:rsidR="00DD0E24" w:rsidRPr="00DD0E24" w:rsidRDefault="00DD0E24" w:rsidP="00DD0E24">
      <w:r w:rsidRPr="00DD0E24">
        <w:t>Pop</w:t>
      </w:r>
      <w:r w:rsidR="00EC4692">
        <w:t>ulation pharmacokinetic</w:t>
      </w:r>
      <w:r w:rsidRPr="00DD0E24">
        <w:t xml:space="preserve"> predictions indicated that approximately 90% of the patients maintained</w:t>
      </w:r>
      <w:r w:rsidR="007B4B7F">
        <w:t xml:space="preserve"> </w:t>
      </w:r>
      <w:r w:rsidR="00EF2E97">
        <w:t>minimum concentration (</w:t>
      </w:r>
      <w:proofErr w:type="spellStart"/>
      <w:r w:rsidR="007B4B7F" w:rsidRPr="00DD0E24">
        <w:t>C</w:t>
      </w:r>
      <w:r w:rsidR="007B4B7F" w:rsidRPr="00DD0E24">
        <w:rPr>
          <w:vertAlign w:val="subscript"/>
        </w:rPr>
        <w:t>min</w:t>
      </w:r>
      <w:proofErr w:type="spellEnd"/>
      <w:r w:rsidR="00EF2E97">
        <w:t xml:space="preserve">) </w:t>
      </w:r>
      <w:r w:rsidRPr="00DD0E24">
        <w:t>at steady state</w:t>
      </w:r>
      <w:r>
        <w:t xml:space="preserve"> </w:t>
      </w:r>
      <w:r w:rsidRPr="00DD0E24">
        <w:t>(302</w:t>
      </w:r>
      <w:r>
        <w:t> </w:t>
      </w:r>
      <w:r w:rsidRPr="00DD0E24">
        <w:t>ng/mL) above the efficacy threshold</w:t>
      </w:r>
      <w:r>
        <w:t xml:space="preserve"> </w:t>
      </w:r>
      <w:r w:rsidRPr="00DD0E24">
        <w:t>(121</w:t>
      </w:r>
      <w:r>
        <w:t> </w:t>
      </w:r>
      <w:r w:rsidRPr="00DD0E24">
        <w:t>ng/mL) established in the preclinical studies (</w:t>
      </w:r>
      <w:r>
        <w:t>90%</w:t>
      </w:r>
      <w:r w:rsidRPr="00DD0E24">
        <w:t xml:space="preserve"> maximal inhibitory concentration</w:t>
      </w:r>
      <w:r>
        <w:t xml:space="preserve"> (</w:t>
      </w:r>
      <w:r w:rsidRPr="00DD0E24">
        <w:t>IC</w:t>
      </w:r>
      <w:r w:rsidRPr="00A409DB">
        <w:rPr>
          <w:vertAlign w:val="subscript"/>
        </w:rPr>
        <w:t>90</w:t>
      </w:r>
      <w:r>
        <w:t>)</w:t>
      </w:r>
      <w:r w:rsidRPr="00DD0E24">
        <w:t xml:space="preserve"> of pSTAT5 inhibition in KCL-22 mouse xenograft model). A dose of asciminib 80</w:t>
      </w:r>
      <w:r w:rsidR="007B4B7F">
        <w:t> </w:t>
      </w:r>
      <w:r w:rsidRPr="00DD0E24">
        <w:t xml:space="preserve">mg </w:t>
      </w:r>
      <w:r w:rsidR="007B4B7F">
        <w:t xml:space="preserve">once </w:t>
      </w:r>
      <w:r w:rsidR="000820A3">
        <w:t>daily</w:t>
      </w:r>
      <w:r w:rsidRPr="00DD0E24">
        <w:t xml:space="preserve"> (</w:t>
      </w:r>
      <w:proofErr w:type="spellStart"/>
      <w:r w:rsidR="00461CC0">
        <w:t>p</w:t>
      </w:r>
      <w:r w:rsidRPr="00DD0E24">
        <w:t>opPK</w:t>
      </w:r>
      <w:proofErr w:type="spellEnd"/>
      <w:r w:rsidRPr="00DD0E24">
        <w:t xml:space="preserve"> mean </w:t>
      </w:r>
      <w:proofErr w:type="spellStart"/>
      <w:r w:rsidRPr="00DD0E24">
        <w:t>C</w:t>
      </w:r>
      <w:r w:rsidRPr="007B4B7F">
        <w:rPr>
          <w:vertAlign w:val="subscript"/>
        </w:rPr>
        <w:t>min</w:t>
      </w:r>
      <w:proofErr w:type="spellEnd"/>
      <w:r w:rsidRPr="00DD0E24">
        <w:t xml:space="preserve"> estimate at steady state: 255</w:t>
      </w:r>
      <w:r w:rsidR="007B4B7F">
        <w:t> </w:t>
      </w:r>
      <w:r w:rsidRPr="00DD0E24">
        <w:t>ng/mL (</w:t>
      </w:r>
      <w:r w:rsidR="007B4B7F">
        <w:t>c</w:t>
      </w:r>
      <w:r w:rsidR="007B4B7F" w:rsidRPr="007B4B7F">
        <w:t xml:space="preserve">oefficient of variation </w:t>
      </w:r>
      <w:r w:rsidR="007B4B7F">
        <w:t>(</w:t>
      </w:r>
      <w:r w:rsidRPr="00AF2F6D">
        <w:t>CV</w:t>
      </w:r>
      <w:r w:rsidR="007B4B7F">
        <w:t>)</w:t>
      </w:r>
      <w:r w:rsidRPr="00DD0E24">
        <w:t>: 73%) (</w:t>
      </w:r>
      <w:r w:rsidR="007B4B7F">
        <w:t>that is,</w:t>
      </w:r>
      <w:r w:rsidRPr="00DD0E24">
        <w:t xml:space="preserve"> 15.3</w:t>
      </w:r>
      <w:r w:rsidR="007B4B7F">
        <w:t> </w:t>
      </w:r>
      <w:proofErr w:type="spellStart"/>
      <w:r w:rsidRPr="00DD0E24">
        <w:t>nM</w:t>
      </w:r>
      <w:proofErr w:type="spellEnd"/>
      <w:r w:rsidRPr="00DD0E24">
        <w:t xml:space="preserve"> </w:t>
      </w:r>
      <w:r w:rsidR="007B4B7F">
        <w:t>(</w:t>
      </w:r>
      <w:r w:rsidRPr="00DD0E24">
        <w:t>unbound concentration</w:t>
      </w:r>
      <w:r w:rsidR="007B4B7F">
        <w:t>)</w:t>
      </w:r>
      <w:r w:rsidRPr="00DD0E24">
        <w:t xml:space="preserve">) is predicted to achieve efficacious asciminib concentrations as observed for asciminib 40 mg </w:t>
      </w:r>
      <w:r w:rsidR="007B4B7F">
        <w:t>twice a day</w:t>
      </w:r>
      <w:r w:rsidRPr="00DD0E24">
        <w:t>.</w:t>
      </w:r>
    </w:p>
    <w:p w14:paraId="49AD422D" w14:textId="77804D50" w:rsidR="00DD0E24" w:rsidRPr="00DD0E24" w:rsidRDefault="00DD0E24" w:rsidP="00DD0E24">
      <w:r w:rsidRPr="00DD0E24">
        <w:t>In a modelling analysis of healthy subjects, the asciminib clearance for a typical individual (</w:t>
      </w:r>
      <w:r w:rsidR="007B4B7F">
        <w:t>that is, a</w:t>
      </w:r>
      <w:r w:rsidRPr="00DD0E24">
        <w:t xml:space="preserve"> 70</w:t>
      </w:r>
      <w:r w:rsidR="007B4B7F">
        <w:t> </w:t>
      </w:r>
      <w:r w:rsidRPr="00DD0E24">
        <w:t>kg male, with normal renal function) was 6.31</w:t>
      </w:r>
      <w:r w:rsidR="007B4B7F">
        <w:t> </w:t>
      </w:r>
      <w:r w:rsidRPr="00DD0E24">
        <w:t>L/hr for a total daily dose of 80</w:t>
      </w:r>
      <w:r w:rsidR="007B4B7F">
        <w:t> </w:t>
      </w:r>
      <w:r w:rsidRPr="00DD0E24">
        <w:t xml:space="preserve">mg. In Study X2101, the geometric mean average accumulation ratio ranged from 1.65 to 2.29 for the </w:t>
      </w:r>
      <w:r w:rsidR="007B4B7F">
        <w:t>twice a day</w:t>
      </w:r>
      <w:r w:rsidRPr="00DD0E24">
        <w:t xml:space="preserve"> dosing (1.65 at 40</w:t>
      </w:r>
      <w:r w:rsidR="007B4B7F">
        <w:t> </w:t>
      </w:r>
      <w:r w:rsidRPr="00DD0E24">
        <w:t xml:space="preserve">mg </w:t>
      </w:r>
      <w:r w:rsidR="007B4B7F">
        <w:t>twice a day</w:t>
      </w:r>
      <w:r w:rsidRPr="00DD0E24">
        <w:t xml:space="preserve">) and from 1.12 to 1.3 for the </w:t>
      </w:r>
      <w:r w:rsidR="007B4B7F">
        <w:t xml:space="preserve">once </w:t>
      </w:r>
      <w:r w:rsidR="000820A3">
        <w:t>daily</w:t>
      </w:r>
      <w:r w:rsidRPr="00DD0E24">
        <w:t xml:space="preserve"> dosing (1.3 at 80</w:t>
      </w:r>
      <w:r w:rsidR="007B4B7F">
        <w:t> </w:t>
      </w:r>
      <w:r w:rsidRPr="00DD0E24">
        <w:t xml:space="preserve">mg </w:t>
      </w:r>
      <w:r w:rsidR="007B4B7F">
        <w:t xml:space="preserve">once </w:t>
      </w:r>
      <w:r w:rsidR="000820A3">
        <w:t>daily</w:t>
      </w:r>
      <w:r w:rsidRPr="00DD0E24">
        <w:t>).</w:t>
      </w:r>
    </w:p>
    <w:p w14:paraId="5AD594F3" w14:textId="14A02CC8" w:rsidR="00DD0E24" w:rsidRPr="00DD0E24" w:rsidRDefault="00DD0E24" w:rsidP="00DD0E24">
      <w:r w:rsidRPr="001D7167">
        <w:t xml:space="preserve">Inter-subject variability (CV%) ranged from </w:t>
      </w:r>
      <w:r w:rsidR="001D7167" w:rsidRPr="001D7167">
        <w:t>approximately</w:t>
      </w:r>
      <w:r w:rsidRPr="001D7167">
        <w:t xml:space="preserve"> 17% to 69% for AUC</w:t>
      </w:r>
      <w:r w:rsidR="001D7167" w:rsidRPr="001D7167">
        <w:rPr>
          <w:vertAlign w:val="subscript"/>
        </w:rPr>
        <w:t>0-</w:t>
      </w:r>
      <w:r w:rsidRPr="001D7167">
        <w:rPr>
          <w:vertAlign w:val="subscript"/>
        </w:rPr>
        <w:t xml:space="preserve">last </w:t>
      </w:r>
      <w:r w:rsidRPr="001D7167">
        <w:t>and from 14% to 74% for C</w:t>
      </w:r>
      <w:r w:rsidRPr="001D7167">
        <w:rPr>
          <w:vertAlign w:val="subscript"/>
        </w:rPr>
        <w:t>max</w:t>
      </w:r>
      <w:r w:rsidRPr="001D7167">
        <w:t xml:space="preserve">. The inter-subject </w:t>
      </w:r>
      <w:r w:rsidR="001D7167" w:rsidRPr="001D7167">
        <w:t xml:space="preserve">geometric </w:t>
      </w:r>
      <w:r w:rsidRPr="001D7167">
        <w:t>CV% in Study X2101 Cycle 2 Day 1 at 40</w:t>
      </w:r>
      <w:r w:rsidR="001D7167" w:rsidRPr="001D7167">
        <w:t> </w:t>
      </w:r>
      <w:r w:rsidRPr="001D7167">
        <w:t xml:space="preserve">mg </w:t>
      </w:r>
      <w:r w:rsidR="001D7167" w:rsidRPr="001D7167">
        <w:t>twice a day</w:t>
      </w:r>
      <w:r w:rsidRPr="001D7167">
        <w:t xml:space="preserve"> was 49.6% and 48.9% for AUC</w:t>
      </w:r>
      <w:r w:rsidR="001D7167" w:rsidRPr="001D7167">
        <w:rPr>
          <w:vertAlign w:val="subscript"/>
        </w:rPr>
        <w:t>0-</w:t>
      </w:r>
      <w:r w:rsidRPr="001D7167">
        <w:rPr>
          <w:vertAlign w:val="subscript"/>
        </w:rPr>
        <w:t xml:space="preserve">last </w:t>
      </w:r>
      <w:r w:rsidRPr="001D7167">
        <w:t>and C</w:t>
      </w:r>
      <w:r w:rsidRPr="001D7167">
        <w:rPr>
          <w:vertAlign w:val="subscript"/>
        </w:rPr>
        <w:t>max</w:t>
      </w:r>
      <w:r w:rsidRPr="001D7167">
        <w:t xml:space="preserve">. In line with that, the inter-subject </w:t>
      </w:r>
      <w:r w:rsidR="001D7167" w:rsidRPr="001D7167">
        <w:t xml:space="preserve">geometric </w:t>
      </w:r>
      <w:r w:rsidRPr="001D7167">
        <w:t xml:space="preserve">CV% in </w:t>
      </w:r>
      <w:r w:rsidR="001D7167" w:rsidRPr="001D7167">
        <w:t xml:space="preserve">Study </w:t>
      </w:r>
      <w:r w:rsidRPr="001D7167">
        <w:t>A2301 at 40</w:t>
      </w:r>
      <w:r w:rsidR="001D7167" w:rsidRPr="001D7167">
        <w:t> </w:t>
      </w:r>
      <w:r w:rsidRPr="001D7167">
        <w:t>mg</w:t>
      </w:r>
      <w:r w:rsidR="001D7167" w:rsidRPr="001D7167">
        <w:t xml:space="preserve"> twice a day</w:t>
      </w:r>
      <w:r w:rsidRPr="001D7167">
        <w:t xml:space="preserve"> was 47.8% and 46.7% for AUC</w:t>
      </w:r>
      <w:r w:rsidR="001D7167" w:rsidRPr="001D7167">
        <w:rPr>
          <w:vertAlign w:val="subscript"/>
        </w:rPr>
        <w:t>0-</w:t>
      </w:r>
      <w:r w:rsidRPr="001D7167">
        <w:rPr>
          <w:vertAlign w:val="subscript"/>
        </w:rPr>
        <w:t xml:space="preserve">last </w:t>
      </w:r>
      <w:r w:rsidRPr="001D7167">
        <w:t>and C</w:t>
      </w:r>
      <w:r w:rsidRPr="001D7167">
        <w:rPr>
          <w:vertAlign w:val="subscript"/>
        </w:rPr>
        <w:t>max</w:t>
      </w:r>
      <w:r w:rsidRPr="001D7167">
        <w:t>.</w:t>
      </w:r>
    </w:p>
    <w:p w14:paraId="3BA0753E" w14:textId="578D8AD3" w:rsidR="00DD0E24" w:rsidRPr="00DD0E24" w:rsidRDefault="00DD0E24" w:rsidP="00DD0E24">
      <w:r w:rsidRPr="00DD0E24">
        <w:t>P</w:t>
      </w:r>
      <w:r w:rsidR="00EC4692">
        <w:t>harmacokinetics</w:t>
      </w:r>
      <w:r w:rsidRPr="00DD0E24">
        <w:t xml:space="preserve"> in patients with cancer was consistent between studies. There was no clinically relevant</w:t>
      </w:r>
      <w:r w:rsidR="001D7167">
        <w:t xml:space="preserve"> </w:t>
      </w:r>
      <w:r w:rsidRPr="00DD0E24">
        <w:t xml:space="preserve">difference in the PK of asciminib in healthy subjects compared to patients with cancer. No clinically meaningful differences in exposure were associated with age, sex, race (Asian/ </w:t>
      </w:r>
      <w:proofErr w:type="spellStart"/>
      <w:r w:rsidR="00461CC0" w:rsidRPr="00DD0E24">
        <w:t>non</w:t>
      </w:r>
      <w:r w:rsidR="00461CC0">
        <w:t>-Asian</w:t>
      </w:r>
      <w:proofErr w:type="spellEnd"/>
      <w:r w:rsidRPr="00DD0E24">
        <w:t xml:space="preserve">), or body weight. The </w:t>
      </w:r>
      <w:proofErr w:type="spellStart"/>
      <w:r w:rsidR="00461CC0">
        <w:t>p</w:t>
      </w:r>
      <w:r w:rsidRPr="00DD0E24">
        <w:t>opPK</w:t>
      </w:r>
      <w:proofErr w:type="spellEnd"/>
      <w:r w:rsidRPr="00DD0E24">
        <w:t xml:space="preserve"> model simulation showed an increase in asciminib median steady state</w:t>
      </w:r>
      <w:r w:rsidR="00EC4692" w:rsidRPr="00EC4692">
        <w:t xml:space="preserve"> </w:t>
      </w:r>
      <w:r w:rsidR="00EC4692">
        <w:t>a</w:t>
      </w:r>
      <w:r w:rsidR="00EC4692" w:rsidRPr="00EC4692">
        <w:t>rea under the concentration</w:t>
      </w:r>
      <w:r w:rsidR="00EF2E97">
        <w:t>-</w:t>
      </w:r>
      <w:r w:rsidR="00EC4692" w:rsidRPr="00EC4692">
        <w:t xml:space="preserve">time curve from time </w:t>
      </w:r>
      <w:r w:rsidR="00EF2E97">
        <w:t>zero</w:t>
      </w:r>
      <w:r w:rsidR="00EC4692" w:rsidRPr="00EC4692">
        <w:t xml:space="preserve"> to 12 hours</w:t>
      </w:r>
      <w:r w:rsidRPr="00DD0E24">
        <w:t xml:space="preserve"> </w:t>
      </w:r>
      <w:r w:rsidR="00EC4692">
        <w:t>(</w:t>
      </w:r>
      <w:r w:rsidRPr="00DD0E24">
        <w:t>AUC</w:t>
      </w:r>
      <w:r w:rsidRPr="00EC4692">
        <w:rPr>
          <w:vertAlign w:val="subscript"/>
        </w:rPr>
        <w:t>0-24h</w:t>
      </w:r>
      <w:r w:rsidR="00EC4692">
        <w:t>)</w:t>
      </w:r>
      <w:r w:rsidRPr="00DD0E24">
        <w:t xml:space="preserve"> by 11.5% in subjects with mild</w:t>
      </w:r>
      <w:r w:rsidR="00EF2E97">
        <w:t>-</w:t>
      </w:r>
      <w:r w:rsidRPr="00DD0E24">
        <w:t>to</w:t>
      </w:r>
      <w:r w:rsidR="00EF2E97">
        <w:t>-</w:t>
      </w:r>
      <w:r w:rsidRPr="00DD0E24">
        <w:t>moderate renal impairment, compared to subjects with normal renal function.</w:t>
      </w:r>
    </w:p>
    <w:p w14:paraId="3C2C7BF6" w14:textId="38884B3C" w:rsidR="005A027A" w:rsidRDefault="005A027A" w:rsidP="00A409DB">
      <w:pPr>
        <w:pStyle w:val="Heading6"/>
      </w:pPr>
      <w:r>
        <w:t>A</w:t>
      </w:r>
      <w:r w:rsidRPr="005A027A">
        <w:t xml:space="preserve">bsorption, distribution, </w:t>
      </w:r>
      <w:proofErr w:type="gramStart"/>
      <w:r w:rsidRPr="005A027A">
        <w:t>metabolism</w:t>
      </w:r>
      <w:proofErr w:type="gramEnd"/>
      <w:r w:rsidRPr="005A027A">
        <w:t xml:space="preserve"> and excretion</w:t>
      </w:r>
    </w:p>
    <w:p w14:paraId="4B4B4FF1" w14:textId="6468FCFC" w:rsidR="00DD0E24" w:rsidRPr="00DD0E24" w:rsidRDefault="00DD0E24" w:rsidP="00DD0E24">
      <w:r w:rsidRPr="00DD0E24">
        <w:t>The bioavailability of asciminib was reduced when administered with food. S</w:t>
      </w:r>
      <w:r w:rsidR="00EC4692">
        <w:t>cemblix</w:t>
      </w:r>
      <w:r w:rsidR="00281B1A">
        <w:rPr>
          <w:vertAlign w:val="superscript"/>
        </w:rPr>
        <w:t xml:space="preserve"> </w:t>
      </w:r>
      <w:r w:rsidRPr="00DD0E24">
        <w:t xml:space="preserve">should not be taken with food. Following oral administration, the peak plasma concentration of asciminib was achieved at 2 to 3 hours. Asciminib was the main circulating component in plasma (92.7%), with no major plasma metabolite identified. The fraction of asciminib bound to plasma proteins was 97.3% </w:t>
      </w:r>
      <w:r w:rsidRPr="00EC4692">
        <w:rPr>
          <w:i/>
          <w:iCs/>
        </w:rPr>
        <w:t>in vitro</w:t>
      </w:r>
      <w:r w:rsidRPr="00DD0E24">
        <w:t>. The apparent volume of distribution at steady state was estimated to be 111 L.</w:t>
      </w:r>
    </w:p>
    <w:p w14:paraId="6BC6B02F" w14:textId="325B57FD" w:rsidR="00DD0E24" w:rsidRDefault="00DD0E24" w:rsidP="00DD0E24">
      <w:r w:rsidRPr="00DD0E24">
        <w:t xml:space="preserve">Asciminib is primarily eliminated by metabolism (mainly mediated by CYP3A4, UGT2B7 and UGT2B17) and biliary excretion (mainly mediated by </w:t>
      </w:r>
      <w:r w:rsidR="009706DA">
        <w:t>b</w:t>
      </w:r>
      <w:r w:rsidR="009706DA" w:rsidRPr="00AA10DB">
        <w:t>reast cancer resistance protein</w:t>
      </w:r>
      <w:r w:rsidRPr="00DD0E24">
        <w:t xml:space="preserve">), with a minor contribution of the renal route (2.5% as unchanged parent drug). Given the unstable nature of the glucuronide metabolite in the intestine and discrepancies between </w:t>
      </w:r>
      <w:r w:rsidRPr="009706DA">
        <w:rPr>
          <w:i/>
          <w:iCs/>
        </w:rPr>
        <w:t>in vitro</w:t>
      </w:r>
      <w:r w:rsidRPr="00DD0E24">
        <w:t xml:space="preserve"> and </w:t>
      </w:r>
      <w:r w:rsidRPr="009706DA">
        <w:rPr>
          <w:i/>
          <w:iCs/>
        </w:rPr>
        <w:t>in vivo</w:t>
      </w:r>
      <w:r w:rsidRPr="00DD0E24">
        <w:t xml:space="preserve"> data, the relative contributions of different clearance pathways (</w:t>
      </w:r>
      <w:r w:rsidR="009706DA">
        <w:t>that is</w:t>
      </w:r>
      <w:r w:rsidRPr="00DD0E24">
        <w:t>,</w:t>
      </w:r>
      <w:r w:rsidR="009706DA">
        <w:t xml:space="preserve"> </w:t>
      </w:r>
      <w:r w:rsidR="00EF2E97">
        <w:t>c</w:t>
      </w:r>
      <w:r w:rsidR="009706DA" w:rsidRPr="009706DA">
        <w:t>ytochrome P450</w:t>
      </w:r>
      <w:r w:rsidR="00EF2E97">
        <w:t>;</w:t>
      </w:r>
      <w:r w:rsidR="00EF2E97" w:rsidRPr="00281B1A">
        <w:rPr>
          <w:vertAlign w:val="superscript"/>
        </w:rPr>
        <w:fldChar w:fldCharType="begin"/>
      </w:r>
      <w:r w:rsidR="00EF2E97" w:rsidRPr="00281B1A">
        <w:rPr>
          <w:vertAlign w:val="superscript"/>
        </w:rPr>
        <w:instrText xml:space="preserve"> NOTEREF _Ref127877652 \h </w:instrText>
      </w:r>
      <w:r w:rsidR="00EF2E97">
        <w:rPr>
          <w:vertAlign w:val="superscript"/>
        </w:rPr>
        <w:instrText xml:space="preserve"> \* MERGEFORMAT </w:instrText>
      </w:r>
      <w:r w:rsidR="00EF2E97" w:rsidRPr="00281B1A">
        <w:rPr>
          <w:vertAlign w:val="superscript"/>
        </w:rPr>
      </w:r>
      <w:r w:rsidR="00EF2E97" w:rsidRPr="00281B1A">
        <w:rPr>
          <w:vertAlign w:val="superscript"/>
        </w:rPr>
        <w:fldChar w:fldCharType="separate"/>
      </w:r>
      <w:r w:rsidR="00547BEA">
        <w:rPr>
          <w:vertAlign w:val="superscript"/>
        </w:rPr>
        <w:t>17</w:t>
      </w:r>
      <w:r w:rsidR="00EF2E97" w:rsidRPr="00281B1A">
        <w:rPr>
          <w:vertAlign w:val="superscript"/>
        </w:rPr>
        <w:fldChar w:fldCharType="end"/>
      </w:r>
      <w:r w:rsidR="009706DA">
        <w:t xml:space="preserve"> </w:t>
      </w:r>
      <w:r w:rsidRPr="00DD0E24">
        <w:t xml:space="preserve">and </w:t>
      </w:r>
      <w:r w:rsidR="009706DA">
        <w:t>u</w:t>
      </w:r>
      <w:r w:rsidR="009706DA" w:rsidRPr="009706DA">
        <w:t>ridine 5'-diphospho-glucuronosyltransferase</w:t>
      </w:r>
      <w:r w:rsidR="009706DA">
        <w:t xml:space="preserve"> </w:t>
      </w:r>
      <w:r w:rsidRPr="00DD0E24">
        <w:t xml:space="preserve">mediated metabolism and </w:t>
      </w:r>
      <w:r w:rsidR="009706DA">
        <w:t>b</w:t>
      </w:r>
      <w:r w:rsidR="009706DA" w:rsidRPr="009706DA">
        <w:t>reast cancer resistance protein</w:t>
      </w:r>
      <w:r w:rsidR="009706DA">
        <w:t xml:space="preserve"> </w:t>
      </w:r>
      <w:r w:rsidRPr="00DD0E24">
        <w:t>mediated biliary excretion) to the overall elimination of asciminib cannot be determined. The oral total apparent clearance of asciminib was estimated to be 6.3</w:t>
      </w:r>
      <w:r w:rsidR="009706DA">
        <w:t> </w:t>
      </w:r>
      <w:r w:rsidRPr="00DD0E24">
        <w:t>L/hour and the terminal elimination half</w:t>
      </w:r>
      <w:r w:rsidR="00D0233A">
        <w:noBreakHyphen/>
      </w:r>
      <w:r w:rsidRPr="00DD0E24">
        <w:t>life (t</w:t>
      </w:r>
      <w:r w:rsidRPr="009706DA">
        <w:rPr>
          <w:vertAlign w:val="subscript"/>
        </w:rPr>
        <w:t>1/2</w:t>
      </w:r>
      <w:r w:rsidRPr="00DD0E24">
        <w:t>) was between 7 and 15 hours.</w:t>
      </w:r>
    </w:p>
    <w:p w14:paraId="2FA4A944" w14:textId="3A2A5971" w:rsidR="00A409DB" w:rsidRPr="00DD0E24" w:rsidRDefault="00A409DB" w:rsidP="00A409DB">
      <w:pPr>
        <w:pStyle w:val="Heading6"/>
      </w:pPr>
      <w:r>
        <w:t>Linearity</w:t>
      </w:r>
    </w:p>
    <w:p w14:paraId="4061EA7E" w14:textId="33DD0186" w:rsidR="00DD0E24" w:rsidRPr="00DD0E24" w:rsidRDefault="00DD0E24" w:rsidP="00DD0E24">
      <w:r w:rsidRPr="00DD0E24">
        <w:t>At steady state, systemic exposure (</w:t>
      </w:r>
      <w:r w:rsidR="00EF2E97">
        <w:t>by area under the concentration-time curve (</w:t>
      </w:r>
      <w:r w:rsidRPr="00DD0E24">
        <w:t>AUC</w:t>
      </w:r>
      <w:r w:rsidR="00EF2E97">
        <w:t>)</w:t>
      </w:r>
      <w:r w:rsidRPr="00DD0E24">
        <w:t xml:space="preserve"> and </w:t>
      </w:r>
      <w:r w:rsidR="00EF2E97">
        <w:t xml:space="preserve">by </w:t>
      </w:r>
      <w:r w:rsidRPr="00DD0E24">
        <w:t>C</w:t>
      </w:r>
      <w:r w:rsidRPr="009706DA">
        <w:rPr>
          <w:vertAlign w:val="subscript"/>
        </w:rPr>
        <w:t>max</w:t>
      </w:r>
      <w:r w:rsidRPr="00DD0E24">
        <w:t>) of asciminib increased slightly more than dose proportionally across the dose range of 10</w:t>
      </w:r>
      <w:r w:rsidR="009706DA">
        <w:t> mg</w:t>
      </w:r>
      <w:r w:rsidRPr="00DD0E24">
        <w:t xml:space="preserve"> to 200</w:t>
      </w:r>
      <w:r w:rsidR="009706DA">
        <w:t> </w:t>
      </w:r>
      <w:r w:rsidRPr="00DD0E24">
        <w:t xml:space="preserve">mg administered once or twice daily. The </w:t>
      </w:r>
      <w:proofErr w:type="spellStart"/>
      <w:r w:rsidR="00D0233A">
        <w:t>p</w:t>
      </w:r>
      <w:r w:rsidRPr="00DD0E24">
        <w:t>opPK</w:t>
      </w:r>
      <w:proofErr w:type="spellEnd"/>
      <w:r w:rsidRPr="00DD0E24">
        <w:t xml:space="preserve"> analyses indicated </w:t>
      </w:r>
      <w:r w:rsidRPr="00DD0E24">
        <w:lastRenderedPageBreak/>
        <w:t>a dose</w:t>
      </w:r>
      <w:r w:rsidR="007C3822">
        <w:t xml:space="preserve"> </w:t>
      </w:r>
      <w:r w:rsidRPr="00DD0E24">
        <w:t>dependent decrease in clearance. No time</w:t>
      </w:r>
      <w:r w:rsidR="009706DA">
        <w:t xml:space="preserve"> </w:t>
      </w:r>
      <w:r w:rsidRPr="00DD0E24">
        <w:t>dependent PK was observed. The steady state was reached within 3 days.</w:t>
      </w:r>
    </w:p>
    <w:p w14:paraId="583CEDCF" w14:textId="68876827" w:rsidR="00A409DB" w:rsidRDefault="00A409DB" w:rsidP="00A409DB">
      <w:pPr>
        <w:pStyle w:val="Heading6"/>
      </w:pPr>
      <w:r>
        <w:t>Maximum tolerated dose</w:t>
      </w:r>
    </w:p>
    <w:p w14:paraId="18A57AFC" w14:textId="2298BAA4" w:rsidR="00DD0E24" w:rsidRPr="00DD0E24" w:rsidRDefault="00DD0E24" w:rsidP="00DD0E24">
      <w:r w:rsidRPr="00DD0E24">
        <w:t>The</w:t>
      </w:r>
      <w:r w:rsidR="009706DA">
        <w:t xml:space="preserve"> maximum tolerated dose </w:t>
      </w:r>
      <w:r w:rsidRPr="00DD0E24">
        <w:t>was not reached at 200</w:t>
      </w:r>
      <w:r w:rsidR="009706DA">
        <w:t> </w:t>
      </w:r>
      <w:r w:rsidRPr="00DD0E24">
        <w:t xml:space="preserve">mg </w:t>
      </w:r>
      <w:r w:rsidR="009706DA">
        <w:t>twice a day</w:t>
      </w:r>
      <w:r w:rsidRPr="00DD0E24">
        <w:t xml:space="preserve"> in patients with chronic myeloid </w:t>
      </w:r>
      <w:r w:rsidR="001B10B9">
        <w:t>leukaemia</w:t>
      </w:r>
      <w:r w:rsidRPr="00DD0E24">
        <w:t xml:space="preserve"> in chronic phase and accelerated phase.</w:t>
      </w:r>
    </w:p>
    <w:p w14:paraId="59CF6B39" w14:textId="5DADDC78" w:rsidR="00A409DB" w:rsidRDefault="00A409DB" w:rsidP="00A409DB">
      <w:pPr>
        <w:pStyle w:val="Heading6"/>
      </w:pPr>
      <w:r>
        <w:t>Exposure</w:t>
      </w:r>
      <w:r w:rsidR="00EF2E97">
        <w:t>-</w:t>
      </w:r>
      <w:r>
        <w:t>response relationships</w:t>
      </w:r>
    </w:p>
    <w:p w14:paraId="6B02060F" w14:textId="71EFD6EF" w:rsidR="00DD0E24" w:rsidRPr="00DD0E24" w:rsidRDefault="00DD0E24" w:rsidP="00DD0E24">
      <w:r w:rsidRPr="00DD0E24">
        <w:t xml:space="preserve">The </w:t>
      </w:r>
      <w:r w:rsidR="0073637D">
        <w:t>exposure</w:t>
      </w:r>
      <w:r w:rsidR="00EF2E97">
        <w:t>-</w:t>
      </w:r>
      <w:r w:rsidR="0073637D">
        <w:t xml:space="preserve">response </w:t>
      </w:r>
      <w:r w:rsidRPr="00DD0E24">
        <w:t>analyses indicated a slightly positive exposure</w:t>
      </w:r>
      <w:r w:rsidR="007C3822">
        <w:t xml:space="preserve"> </w:t>
      </w:r>
      <w:r w:rsidRPr="00DD0E24">
        <w:t>efficacy relationship over a wide dose range from 20</w:t>
      </w:r>
      <w:r w:rsidR="0073637D">
        <w:t> </w:t>
      </w:r>
      <w:r w:rsidRPr="00DD0E24">
        <w:t>mg to 400</w:t>
      </w:r>
      <w:r w:rsidR="0073637D">
        <w:t xml:space="preserve"> </w:t>
      </w:r>
      <w:r w:rsidRPr="00DD0E24">
        <w:t xml:space="preserve">mg daily in </w:t>
      </w:r>
      <w:r w:rsidR="0073637D" w:rsidRPr="0073637D">
        <w:t xml:space="preserve">chronic myeloid </w:t>
      </w:r>
      <w:r w:rsidR="001B10B9">
        <w:t>leukaemia</w:t>
      </w:r>
      <w:r w:rsidR="0073637D" w:rsidRPr="0073637D">
        <w:t xml:space="preserve"> </w:t>
      </w:r>
      <w:r w:rsidR="00DC26BD">
        <w:t xml:space="preserve">in </w:t>
      </w:r>
      <w:r w:rsidR="0073637D" w:rsidRPr="0073637D">
        <w:t xml:space="preserve">chronic phase </w:t>
      </w:r>
      <w:r w:rsidRPr="00DD0E24">
        <w:t xml:space="preserve">patients without </w:t>
      </w:r>
      <w:r w:rsidR="000C70BD" w:rsidRPr="006704BC">
        <w:t xml:space="preserve">T315I </w:t>
      </w:r>
      <w:r w:rsidRPr="00DD0E24">
        <w:t xml:space="preserve">mutation. The median predicted </w:t>
      </w:r>
      <w:r w:rsidR="00160825" w:rsidRPr="00007D67">
        <w:t>major molecular response</w:t>
      </w:r>
      <w:r w:rsidRPr="00DD0E24">
        <w:t xml:space="preserve"> rates (based on AUC) were 34%, 35%, and 39% for 40</w:t>
      </w:r>
      <w:r w:rsidR="0073637D">
        <w:t> </w:t>
      </w:r>
      <w:r w:rsidRPr="00DD0E24">
        <w:t xml:space="preserve">mg </w:t>
      </w:r>
      <w:r w:rsidR="0073637D">
        <w:t>twice a day</w:t>
      </w:r>
      <w:r w:rsidRPr="00DD0E24">
        <w:t>, 80</w:t>
      </w:r>
      <w:r w:rsidR="0073637D">
        <w:t> </w:t>
      </w:r>
      <w:r w:rsidRPr="00DD0E24">
        <w:t xml:space="preserve">mg </w:t>
      </w:r>
      <w:r w:rsidR="0073637D">
        <w:t xml:space="preserve">once </w:t>
      </w:r>
      <w:r w:rsidR="000820A3">
        <w:t>daily</w:t>
      </w:r>
      <w:r w:rsidR="0073637D">
        <w:t xml:space="preserve"> </w:t>
      </w:r>
      <w:r w:rsidRPr="00DD0E24">
        <w:t>and 200</w:t>
      </w:r>
      <w:r w:rsidR="0073637D">
        <w:t> </w:t>
      </w:r>
      <w:r w:rsidRPr="00DD0E24">
        <w:t xml:space="preserve">mg </w:t>
      </w:r>
      <w:r w:rsidR="0073637D">
        <w:t>twice a day</w:t>
      </w:r>
      <w:r w:rsidRPr="00DD0E24">
        <w:t xml:space="preserve"> at 48 weeks, respectively.</w:t>
      </w:r>
    </w:p>
    <w:p w14:paraId="2E6224C3" w14:textId="62B1E1F6" w:rsidR="00DD0E24" w:rsidRPr="00DD0E24" w:rsidRDefault="00DD0E24" w:rsidP="00DD0E24">
      <w:r w:rsidRPr="00DD0E24">
        <w:t xml:space="preserve">The </w:t>
      </w:r>
      <w:r w:rsidR="0073637D">
        <w:t xml:space="preserve">exposure response </w:t>
      </w:r>
      <w:r w:rsidRPr="00DD0E24">
        <w:t>analyses also demonstrated a relatively flat exposure</w:t>
      </w:r>
      <w:r w:rsidR="007C3822">
        <w:t xml:space="preserve"> </w:t>
      </w:r>
      <w:r w:rsidRPr="00DD0E24">
        <w:t>safety relationship of asciminib across the doses from 20</w:t>
      </w:r>
      <w:r w:rsidR="0073637D">
        <w:t> </w:t>
      </w:r>
      <w:r w:rsidRPr="00DD0E24">
        <w:t>mg to 400</w:t>
      </w:r>
      <w:r w:rsidR="0073637D">
        <w:t> </w:t>
      </w:r>
      <w:r w:rsidRPr="00DD0E24">
        <w:t xml:space="preserve">mg daily. Over this dose range, a higher exposure was associated with slightly higher incidences of </w:t>
      </w:r>
      <w:r w:rsidR="0073637D" w:rsidRPr="00DD0E24">
        <w:t xml:space="preserve">Grade </w:t>
      </w:r>
      <w:r w:rsidRPr="00DD0E24">
        <w:t>3</w:t>
      </w:r>
      <w:r w:rsidR="00EF2E97">
        <w:t xml:space="preserve"> or higher</w:t>
      </w:r>
      <w:r w:rsidRPr="00DD0E24">
        <w:t xml:space="preserve"> haemoglobin decrease, Grade </w:t>
      </w:r>
      <w:proofErr w:type="gramStart"/>
      <w:r w:rsidRPr="00DD0E24">
        <w:t>2</w:t>
      </w:r>
      <w:proofErr w:type="gramEnd"/>
      <w:r w:rsidR="00EF2E97">
        <w:t xml:space="preserve"> or higher</w:t>
      </w:r>
      <w:r w:rsidRPr="00DD0E24">
        <w:t xml:space="preserve"> </w:t>
      </w:r>
      <w:r w:rsidR="0073637D">
        <w:t>a</w:t>
      </w:r>
      <w:r w:rsidR="0073637D" w:rsidRPr="0073637D">
        <w:t>lanine aminotransferase</w:t>
      </w:r>
      <w:r w:rsidRPr="00DD0E24">
        <w:t xml:space="preserve"> </w:t>
      </w:r>
      <w:r w:rsidR="00EF2E97">
        <w:t xml:space="preserve">(ALT) </w:t>
      </w:r>
      <w:r w:rsidRPr="00DD0E24">
        <w:t xml:space="preserve">increase, Grade 2 </w:t>
      </w:r>
      <w:r w:rsidR="00EF2E97">
        <w:t xml:space="preserve">or higher </w:t>
      </w:r>
      <w:r w:rsidR="0073637D">
        <w:t>a</w:t>
      </w:r>
      <w:r w:rsidR="0073637D" w:rsidRPr="0073637D">
        <w:t>spartate aminotransferase</w:t>
      </w:r>
      <w:r w:rsidRPr="00DD0E24">
        <w:t xml:space="preserve"> increase, Grade 2</w:t>
      </w:r>
      <w:r w:rsidR="00EF2E97">
        <w:t xml:space="preserve"> or higher</w:t>
      </w:r>
      <w:r w:rsidRPr="00DD0E24">
        <w:t xml:space="preserve"> bilirubin increase, and any grade lipase increase in </w:t>
      </w:r>
      <w:r w:rsidR="0073637D">
        <w:t xml:space="preserve">chronic myeloid </w:t>
      </w:r>
      <w:r w:rsidR="001B10B9">
        <w:t>leukaemia</w:t>
      </w:r>
      <w:r w:rsidRPr="00DD0E24">
        <w:t xml:space="preserve"> patients</w:t>
      </w:r>
      <w:r w:rsidRPr="00461CC0">
        <w:t>.</w:t>
      </w:r>
      <w:bookmarkStart w:id="55" w:name="_Ref127435338"/>
      <w:r w:rsidR="0073637D" w:rsidRPr="00461CC0">
        <w:rPr>
          <w:rStyle w:val="FootnoteReference"/>
        </w:rPr>
        <w:footnoteReference w:id="28"/>
      </w:r>
      <w:bookmarkEnd w:id="55"/>
    </w:p>
    <w:p w14:paraId="1E751FCB" w14:textId="47105AA5" w:rsidR="00A409DB" w:rsidRDefault="00A409DB" w:rsidP="00A409DB">
      <w:pPr>
        <w:pStyle w:val="Heading6"/>
      </w:pPr>
      <w:r>
        <w:t>Recommended dosages</w:t>
      </w:r>
    </w:p>
    <w:p w14:paraId="06290E08" w14:textId="30D018B0" w:rsidR="00DD0E24" w:rsidRPr="00DD0E24" w:rsidRDefault="178181C5" w:rsidP="00DD0E24">
      <w:r>
        <w:t>The totality of clinical pharmacology data and exposure</w:t>
      </w:r>
      <w:r w:rsidR="67A89FA1">
        <w:t xml:space="preserve"> </w:t>
      </w:r>
      <w:r>
        <w:t xml:space="preserve">response analyses supports the </w:t>
      </w:r>
      <w:r w:rsidR="46BF6C95">
        <w:t>s</w:t>
      </w:r>
      <w:r>
        <w:t>ponsor’s proposed</w:t>
      </w:r>
      <w:r w:rsidR="000A0BCD">
        <w:t xml:space="preserve"> doses of 40 mg </w:t>
      </w:r>
      <w:r w:rsidR="00EF2E97">
        <w:t xml:space="preserve">taken </w:t>
      </w:r>
      <w:r w:rsidR="000A0BCD">
        <w:t>twice a day</w:t>
      </w:r>
      <w:r w:rsidR="00EF2E97">
        <w:t>, or</w:t>
      </w:r>
      <w:r w:rsidR="000A0BCD">
        <w:t xml:space="preserve"> 80 mg once daily</w:t>
      </w:r>
      <w:r w:rsidR="00EF2E97">
        <w:t>;</w:t>
      </w:r>
      <w:r w:rsidR="00EF2E97">
        <w:rPr>
          <w:rStyle w:val="FootnoteReference"/>
        </w:rPr>
        <w:footnoteReference w:id="29"/>
      </w:r>
      <w:r>
        <w:t xml:space="preserve"> in </w:t>
      </w:r>
      <w:r w:rsidR="1552AD19">
        <w:t xml:space="preserve">chronic myeloid </w:t>
      </w:r>
      <w:r w:rsidR="001B10B9">
        <w:t>leukaemia</w:t>
      </w:r>
      <w:r w:rsidR="162450B4">
        <w:t xml:space="preserve"> in</w:t>
      </w:r>
      <w:r w:rsidR="1552AD19">
        <w:t xml:space="preserve"> chronic phase </w:t>
      </w:r>
      <w:r>
        <w:t xml:space="preserve">patients without </w:t>
      </w:r>
      <w:r w:rsidRPr="006704BC">
        <w:t>T315I</w:t>
      </w:r>
      <w:r>
        <w:t xml:space="preserve"> mutation as discussed below.</w:t>
      </w:r>
    </w:p>
    <w:p w14:paraId="17064B77" w14:textId="7753D814" w:rsidR="00DD0E24" w:rsidRPr="00DD0E24" w:rsidRDefault="00DD0E24" w:rsidP="009159FD">
      <w:pPr>
        <w:pStyle w:val="ListBullet"/>
      </w:pPr>
      <w:r w:rsidRPr="00DD0E24">
        <w:t>Asciminib exposure at 80</w:t>
      </w:r>
      <w:r w:rsidR="0073637D">
        <w:t> </w:t>
      </w:r>
      <w:r w:rsidRPr="00DD0E24">
        <w:t xml:space="preserve">mg </w:t>
      </w:r>
      <w:r w:rsidR="0073637D">
        <w:t xml:space="preserve">once </w:t>
      </w:r>
      <w:r w:rsidR="000820A3">
        <w:t>daily</w:t>
      </w:r>
      <w:r w:rsidRPr="00DD0E24">
        <w:t xml:space="preserve"> and 40</w:t>
      </w:r>
      <w:r w:rsidR="0073637D">
        <w:t> </w:t>
      </w:r>
      <w:r w:rsidRPr="00DD0E24">
        <w:t xml:space="preserve">mg </w:t>
      </w:r>
      <w:r w:rsidR="0073637D">
        <w:t>twice a day</w:t>
      </w:r>
      <w:r w:rsidRPr="00DD0E24">
        <w:t xml:space="preserve">: </w:t>
      </w:r>
      <w:proofErr w:type="gramStart"/>
      <w:r w:rsidR="0073637D">
        <w:t>s</w:t>
      </w:r>
      <w:r w:rsidRPr="00DD0E24">
        <w:t>imilar to</w:t>
      </w:r>
      <w:proofErr w:type="gramEnd"/>
      <w:r w:rsidRPr="00DD0E24">
        <w:t xml:space="preserve"> the reported PK data, the </w:t>
      </w:r>
      <w:proofErr w:type="spellStart"/>
      <w:r w:rsidR="00D0233A">
        <w:t>p</w:t>
      </w:r>
      <w:r w:rsidRPr="00DD0E24">
        <w:t>opPK</w:t>
      </w:r>
      <w:proofErr w:type="spellEnd"/>
      <w:r w:rsidRPr="00DD0E24">
        <w:t xml:space="preserve"> model indicates that the average AUC</w:t>
      </w:r>
      <w:r w:rsidRPr="002E79ED">
        <w:rPr>
          <w:vertAlign w:val="subscript"/>
        </w:rPr>
        <w:t xml:space="preserve">0-24h </w:t>
      </w:r>
      <w:r w:rsidRPr="00DD0E24">
        <w:t>values are comparable between the two regimens of 40</w:t>
      </w:r>
      <w:r w:rsidR="0073637D">
        <w:t> </w:t>
      </w:r>
      <w:r w:rsidRPr="00DD0E24">
        <w:t xml:space="preserve">mg </w:t>
      </w:r>
      <w:r w:rsidR="0073637D">
        <w:t>twice a day</w:t>
      </w:r>
      <w:r w:rsidRPr="00DD0E24">
        <w:t xml:space="preserve"> and 80</w:t>
      </w:r>
      <w:r w:rsidR="0073637D">
        <w:t> </w:t>
      </w:r>
      <w:r w:rsidRPr="00DD0E24">
        <w:t xml:space="preserve">mg </w:t>
      </w:r>
      <w:r w:rsidR="0073637D">
        <w:t xml:space="preserve">once </w:t>
      </w:r>
      <w:r w:rsidR="000820A3">
        <w:t>daily</w:t>
      </w:r>
      <w:r w:rsidRPr="00DD0E24">
        <w:t xml:space="preserve"> while the average </w:t>
      </w:r>
      <w:proofErr w:type="spellStart"/>
      <w:r w:rsidRPr="00DD0E24">
        <w:t>C</w:t>
      </w:r>
      <w:r w:rsidRPr="002E79ED">
        <w:rPr>
          <w:vertAlign w:val="subscript"/>
        </w:rPr>
        <w:t>max</w:t>
      </w:r>
      <w:proofErr w:type="spellEnd"/>
      <w:r w:rsidRPr="00DD0E24">
        <w:t xml:space="preserve"> and </w:t>
      </w:r>
      <w:proofErr w:type="spellStart"/>
      <w:r w:rsidRPr="00DD0E24">
        <w:t>C</w:t>
      </w:r>
      <w:r w:rsidRPr="002E79ED">
        <w:rPr>
          <w:vertAlign w:val="subscript"/>
        </w:rPr>
        <w:t>min</w:t>
      </w:r>
      <w:proofErr w:type="spellEnd"/>
      <w:r w:rsidRPr="00DD0E24">
        <w:t xml:space="preserve"> of 80</w:t>
      </w:r>
      <w:r w:rsidR="0073637D">
        <w:t> </w:t>
      </w:r>
      <w:r w:rsidRPr="00DD0E24">
        <w:t xml:space="preserve">mg </w:t>
      </w:r>
      <w:r w:rsidR="0073637D">
        <w:t xml:space="preserve">once </w:t>
      </w:r>
      <w:r w:rsidR="000820A3">
        <w:t>daily</w:t>
      </w:r>
      <w:r w:rsidRPr="00DD0E24">
        <w:t xml:space="preserve"> are 1.61-fold and 0.72-fold of that of 40</w:t>
      </w:r>
      <w:r w:rsidR="002E79ED">
        <w:t> </w:t>
      </w:r>
      <w:r w:rsidRPr="00DD0E24">
        <w:t xml:space="preserve">mg </w:t>
      </w:r>
      <w:r w:rsidR="002E79ED">
        <w:t>twice a day</w:t>
      </w:r>
      <w:r w:rsidRPr="00DD0E24">
        <w:t xml:space="preserve">, respectively. The difference in exposure between these two regimens is not considered clinically meaningful based on the relatively flat </w:t>
      </w:r>
      <w:r w:rsidR="002E79ED">
        <w:t>exposure response</w:t>
      </w:r>
      <w:r w:rsidRPr="00DD0E24">
        <w:t xml:space="preserve"> relationships as discussed below.</w:t>
      </w:r>
    </w:p>
    <w:p w14:paraId="6789DA49" w14:textId="6E5CF20A" w:rsidR="00DD0E24" w:rsidRPr="00DD0E24" w:rsidRDefault="00DD0E24" w:rsidP="002E79ED">
      <w:pPr>
        <w:pStyle w:val="ListBullet"/>
      </w:pPr>
      <w:r w:rsidRPr="00DD0E24">
        <w:t xml:space="preserve">Efficacy: The </w:t>
      </w:r>
      <w:r w:rsidR="002E79ED">
        <w:t xml:space="preserve">exposure response </w:t>
      </w:r>
      <w:r w:rsidRPr="00DD0E24">
        <w:t>analyses indicated a slightly positive exposure</w:t>
      </w:r>
      <w:r w:rsidR="007C3822">
        <w:t xml:space="preserve"> </w:t>
      </w:r>
      <w:r w:rsidRPr="00DD0E24">
        <w:t xml:space="preserve">efficacy relationship of asciminib in </w:t>
      </w:r>
      <w:r w:rsidR="002E79ED">
        <w:t xml:space="preserve">chronic myeloid </w:t>
      </w:r>
      <w:r w:rsidR="001B10B9">
        <w:t>leukaemia</w:t>
      </w:r>
      <w:r w:rsidR="00DC26BD">
        <w:t xml:space="preserve"> in</w:t>
      </w:r>
      <w:r w:rsidR="002E79ED">
        <w:t xml:space="preserve"> chronic phase</w:t>
      </w:r>
      <w:r w:rsidRPr="00DD0E24">
        <w:t xml:space="preserve"> patients without </w:t>
      </w:r>
      <w:r w:rsidRPr="006704BC">
        <w:t>T315I</w:t>
      </w:r>
      <w:r w:rsidRPr="00DD0E24">
        <w:t xml:space="preserve"> mutation over a dose range from 20</w:t>
      </w:r>
      <w:r w:rsidR="002E79ED">
        <w:t> </w:t>
      </w:r>
      <w:r w:rsidRPr="00DD0E24">
        <w:t>mg to 400</w:t>
      </w:r>
      <w:r w:rsidR="002E79ED">
        <w:t> </w:t>
      </w:r>
      <w:r w:rsidRPr="00DD0E24">
        <w:t>mg daily. Asciminib regimens of 80</w:t>
      </w:r>
      <w:r w:rsidR="002E79ED">
        <w:t> </w:t>
      </w:r>
      <w:r w:rsidRPr="00DD0E24">
        <w:t xml:space="preserve">mg </w:t>
      </w:r>
      <w:r w:rsidR="002E79ED">
        <w:t>twice a day</w:t>
      </w:r>
      <w:r w:rsidRPr="00DD0E24">
        <w:t xml:space="preserve"> and 40</w:t>
      </w:r>
      <w:r w:rsidR="002E79ED">
        <w:t> </w:t>
      </w:r>
      <w:r w:rsidRPr="00DD0E24">
        <w:t xml:space="preserve">mg </w:t>
      </w:r>
      <w:r w:rsidR="002E79ED">
        <w:t>twice a day</w:t>
      </w:r>
      <w:r w:rsidRPr="00DD0E24">
        <w:t xml:space="preserve"> are expected to have comparable efficacy. </w:t>
      </w:r>
      <w:proofErr w:type="gramStart"/>
      <w:r w:rsidRPr="00DD0E24">
        <w:t>In particular, when</w:t>
      </w:r>
      <w:proofErr w:type="gramEnd"/>
      <w:r w:rsidRPr="00DD0E24">
        <w:t xml:space="preserve"> compared to 40</w:t>
      </w:r>
      <w:r w:rsidR="002E79ED">
        <w:t> </w:t>
      </w:r>
      <w:r w:rsidRPr="00DD0E24">
        <w:t xml:space="preserve">mg </w:t>
      </w:r>
      <w:r w:rsidR="002E79ED">
        <w:t>twice a day</w:t>
      </w:r>
      <w:r w:rsidRPr="00DD0E24">
        <w:t xml:space="preserve">, a lower </w:t>
      </w:r>
      <w:proofErr w:type="spellStart"/>
      <w:r w:rsidRPr="00DD0E24">
        <w:t>C</w:t>
      </w:r>
      <w:r w:rsidRPr="002E79ED">
        <w:rPr>
          <w:vertAlign w:val="subscript"/>
        </w:rPr>
        <w:t>min</w:t>
      </w:r>
      <w:proofErr w:type="spellEnd"/>
      <w:r w:rsidRPr="00DD0E24">
        <w:t xml:space="preserve"> by 30% at 80</w:t>
      </w:r>
      <w:r w:rsidR="002E79ED">
        <w:t> </w:t>
      </w:r>
      <w:r w:rsidRPr="00DD0E24">
        <w:t xml:space="preserve">mg </w:t>
      </w:r>
      <w:r w:rsidR="002E79ED">
        <w:t xml:space="preserve">once </w:t>
      </w:r>
      <w:r w:rsidR="000820A3">
        <w:t>daily</w:t>
      </w:r>
      <w:r w:rsidRPr="00DD0E24">
        <w:t xml:space="preserve"> is predicted to lead to a decrease in drug effect by less than 2% in the </w:t>
      </w:r>
      <w:r w:rsidR="002E79ED">
        <w:t>pharmacokinetic/pharmacodynamic</w:t>
      </w:r>
      <w:r w:rsidRPr="00DD0E24">
        <w:t xml:space="preserve"> model.</w:t>
      </w:r>
    </w:p>
    <w:p w14:paraId="2E881C5B" w14:textId="2C1B2E5E" w:rsidR="00DD0E24" w:rsidRPr="00DD0E24" w:rsidRDefault="00DD0E24" w:rsidP="002E79ED">
      <w:pPr>
        <w:pStyle w:val="ListBullet"/>
      </w:pPr>
      <w:r w:rsidRPr="00DD0E24">
        <w:t xml:space="preserve">Safety: The asciminib </w:t>
      </w:r>
      <w:r w:rsidR="002E79ED">
        <w:t xml:space="preserve">maximum tolerated dose </w:t>
      </w:r>
      <w:r w:rsidRPr="00DD0E24">
        <w:t>was not reached at 200</w:t>
      </w:r>
      <w:r w:rsidR="002E79ED">
        <w:t> </w:t>
      </w:r>
      <w:r w:rsidRPr="00DD0E24">
        <w:t xml:space="preserve">mg </w:t>
      </w:r>
      <w:r w:rsidR="002E79ED">
        <w:t>twice a day</w:t>
      </w:r>
      <w:r w:rsidRPr="00DD0E24">
        <w:t xml:space="preserve"> in patients with</w:t>
      </w:r>
      <w:r w:rsidR="002E79ED">
        <w:t xml:space="preserve"> chronic myeloid </w:t>
      </w:r>
      <w:r w:rsidR="001B10B9">
        <w:t>leukaemia</w:t>
      </w:r>
      <w:r w:rsidR="002E79ED">
        <w:t xml:space="preserve"> </w:t>
      </w:r>
      <w:r w:rsidR="00DC26BD">
        <w:t xml:space="preserve">in </w:t>
      </w:r>
      <w:r w:rsidR="002E79ED">
        <w:t>chronic phase/accelerated phase</w:t>
      </w:r>
      <w:r w:rsidRPr="00DD0E24">
        <w:t xml:space="preserve">. The </w:t>
      </w:r>
      <w:r w:rsidR="002E79ED">
        <w:t>exposure response</w:t>
      </w:r>
      <w:r w:rsidRPr="00DD0E24">
        <w:t xml:space="preserve"> analyses indicated a relatively flat exposure-safety relationship of asciminib over a dose range from 20</w:t>
      </w:r>
      <w:r w:rsidR="002E79ED">
        <w:t> </w:t>
      </w:r>
      <w:r w:rsidRPr="00DD0E24">
        <w:t>mg to 400</w:t>
      </w:r>
      <w:r w:rsidR="002E79ED">
        <w:t> </w:t>
      </w:r>
      <w:r w:rsidRPr="00DD0E24">
        <w:t xml:space="preserve">mg daily (over </w:t>
      </w:r>
      <w:r w:rsidR="002E79ED">
        <w:t xml:space="preserve">approximately </w:t>
      </w:r>
      <w:r w:rsidRPr="00DD0E24">
        <w:t>25-fold difference in C</w:t>
      </w:r>
      <w:r w:rsidRPr="002E79ED">
        <w:rPr>
          <w:vertAlign w:val="subscript"/>
        </w:rPr>
        <w:t>max</w:t>
      </w:r>
      <w:r w:rsidRPr="00DD0E24">
        <w:t>). No clinically significant difference in safety is expected between 80</w:t>
      </w:r>
      <w:r w:rsidR="002E79ED">
        <w:t> </w:t>
      </w:r>
      <w:r w:rsidRPr="00DD0E24">
        <w:t xml:space="preserve">mg </w:t>
      </w:r>
      <w:r w:rsidR="002E79ED">
        <w:t xml:space="preserve">once </w:t>
      </w:r>
      <w:r w:rsidR="000820A3">
        <w:t>daily</w:t>
      </w:r>
      <w:r w:rsidRPr="00DD0E24">
        <w:t xml:space="preserve"> and 40</w:t>
      </w:r>
      <w:r w:rsidR="002E79ED">
        <w:t> </w:t>
      </w:r>
      <w:r w:rsidRPr="00DD0E24">
        <w:t xml:space="preserve">mg </w:t>
      </w:r>
      <w:r w:rsidR="002E79ED">
        <w:t>twice a day</w:t>
      </w:r>
      <w:r w:rsidRPr="00DD0E24">
        <w:t xml:space="preserve"> asciminib.</w:t>
      </w:r>
    </w:p>
    <w:p w14:paraId="48003C6C" w14:textId="754B5D53" w:rsidR="00DD0E24" w:rsidRPr="00DD0E24" w:rsidRDefault="00DD0E24" w:rsidP="009159FD">
      <w:pPr>
        <w:pStyle w:val="ListBullet"/>
      </w:pPr>
      <w:r w:rsidRPr="00DD0E24">
        <w:t>In the exposure-</w:t>
      </w:r>
      <w:r w:rsidR="002E79ED" w:rsidRPr="002E79ED">
        <w:t xml:space="preserve">QT interval corrected using Fridericia’s formula </w:t>
      </w:r>
      <w:r w:rsidR="002E79ED">
        <w:t>(</w:t>
      </w:r>
      <w:proofErr w:type="spellStart"/>
      <w:r w:rsidRPr="00DD0E24">
        <w:t>QTcF</w:t>
      </w:r>
      <w:proofErr w:type="spellEnd"/>
      <w:r w:rsidR="002E79ED">
        <w:t>)</w:t>
      </w:r>
      <w:r w:rsidRPr="00DD0E24">
        <w:t xml:space="preserve"> model</w:t>
      </w:r>
      <w:r w:rsidR="00EC181B">
        <w:t>;</w:t>
      </w:r>
      <w:r w:rsidR="00EC181B" w:rsidRPr="00347CC1">
        <w:rPr>
          <w:rStyle w:val="FootnoteReference"/>
        </w:rPr>
        <w:t>17</w:t>
      </w:r>
      <w:r w:rsidRPr="00DD0E24">
        <w:t xml:space="preserve"> </w:t>
      </w:r>
      <w:proofErr w:type="spellStart"/>
      <w:r w:rsidRPr="00DD0E24">
        <w:t>asciminib</w:t>
      </w:r>
      <w:proofErr w:type="spellEnd"/>
      <w:r w:rsidRPr="00DD0E24">
        <w:t xml:space="preserve"> is not predicted to cause large mean increases in </w:t>
      </w:r>
      <w:proofErr w:type="spellStart"/>
      <w:r w:rsidRPr="00DD0E24">
        <w:t>QTcF</w:t>
      </w:r>
      <w:proofErr w:type="spellEnd"/>
      <w:r w:rsidRPr="00DD0E24">
        <w:t xml:space="preserve"> interval (</w:t>
      </w:r>
      <w:r w:rsidR="002E79ED">
        <w:t>that is</w:t>
      </w:r>
      <w:r w:rsidRPr="00DD0E24">
        <w:t xml:space="preserve">, </w:t>
      </w:r>
      <w:r w:rsidR="002E79ED">
        <w:t xml:space="preserve">greater than </w:t>
      </w:r>
      <w:r w:rsidRPr="00DD0E24">
        <w:t>20</w:t>
      </w:r>
      <w:r w:rsidR="001E11FE">
        <w:t> </w:t>
      </w:r>
      <w:proofErr w:type="spellStart"/>
      <w:r w:rsidR="002E79ED">
        <w:t>m</w:t>
      </w:r>
      <w:r w:rsidR="001E11FE">
        <w:t>s</w:t>
      </w:r>
      <w:proofErr w:type="spellEnd"/>
      <w:r w:rsidRPr="00DD0E24">
        <w:t>) following either 40</w:t>
      </w:r>
      <w:r w:rsidR="002E79ED">
        <w:t xml:space="preserve"> </w:t>
      </w:r>
      <w:r w:rsidRPr="00DD0E24">
        <w:t xml:space="preserve">mg </w:t>
      </w:r>
      <w:r w:rsidR="002E79ED">
        <w:t>twice a day</w:t>
      </w:r>
      <w:r w:rsidRPr="00DD0E24">
        <w:t xml:space="preserve"> or 80</w:t>
      </w:r>
      <w:r w:rsidR="002E79ED">
        <w:t> </w:t>
      </w:r>
      <w:r w:rsidRPr="00DD0E24">
        <w:t xml:space="preserve">mg </w:t>
      </w:r>
      <w:r w:rsidR="002E79ED">
        <w:t xml:space="preserve">once </w:t>
      </w:r>
      <w:r w:rsidR="000820A3">
        <w:t>daily</w:t>
      </w:r>
      <w:r w:rsidRPr="00415E3D">
        <w:t>.</w:t>
      </w:r>
      <w:r w:rsidR="00415E3D" w:rsidRPr="00415E3D">
        <w:rPr>
          <w:color w:val="2B579A"/>
          <w:shd w:val="clear" w:color="auto" w:fill="E6E6E6"/>
        </w:rPr>
        <w:fldChar w:fldCharType="begin"/>
      </w:r>
      <w:r w:rsidR="00415E3D" w:rsidRPr="00415E3D">
        <w:instrText xml:space="preserve"> NOTEREF _Ref127174863 \f \h </w:instrText>
      </w:r>
      <w:r w:rsidR="00415E3D">
        <w:instrText xml:space="preserve"> \* MERGEFORMAT </w:instrText>
      </w:r>
      <w:r w:rsidR="00415E3D" w:rsidRPr="00415E3D">
        <w:rPr>
          <w:color w:val="2B579A"/>
          <w:shd w:val="clear" w:color="auto" w:fill="E6E6E6"/>
        </w:rPr>
      </w:r>
      <w:r w:rsidR="00415E3D" w:rsidRPr="00415E3D">
        <w:rPr>
          <w:color w:val="2B579A"/>
          <w:shd w:val="clear" w:color="auto" w:fill="E6E6E6"/>
        </w:rPr>
        <w:fldChar w:fldCharType="separate"/>
      </w:r>
      <w:r w:rsidR="00547BEA" w:rsidRPr="00547BEA">
        <w:rPr>
          <w:rStyle w:val="FootnoteReference"/>
        </w:rPr>
        <w:t>18</w:t>
      </w:r>
      <w:r w:rsidR="00415E3D" w:rsidRPr="00415E3D">
        <w:rPr>
          <w:color w:val="2B579A"/>
          <w:shd w:val="clear" w:color="auto" w:fill="E6E6E6"/>
        </w:rPr>
        <w:fldChar w:fldCharType="end"/>
      </w:r>
      <w:r w:rsidRPr="00DD0E24">
        <w:t xml:space="preserve"> The estimated mean </w:t>
      </w:r>
      <w:proofErr w:type="spellStart"/>
      <w:r w:rsidRPr="00DD0E24">
        <w:t>QTcF</w:t>
      </w:r>
      <w:proofErr w:type="spellEnd"/>
      <w:r w:rsidRPr="00DD0E24">
        <w:t xml:space="preserve"> at the mean C</w:t>
      </w:r>
      <w:r w:rsidRPr="00007D67">
        <w:rPr>
          <w:vertAlign w:val="subscript"/>
        </w:rPr>
        <w:t>max</w:t>
      </w:r>
      <w:r w:rsidRPr="00DD0E24">
        <w:t xml:space="preserve"> of 40</w:t>
      </w:r>
      <w:r w:rsidR="002E79ED">
        <w:t> </w:t>
      </w:r>
      <w:r w:rsidRPr="00DD0E24">
        <w:t xml:space="preserve">mg </w:t>
      </w:r>
      <w:r w:rsidR="002E79ED">
        <w:t xml:space="preserve">twice a day </w:t>
      </w:r>
      <w:r w:rsidRPr="00DD0E24">
        <w:t>was 3.35</w:t>
      </w:r>
      <w:r w:rsidR="001E11FE">
        <w:t> </w:t>
      </w:r>
      <w:proofErr w:type="spellStart"/>
      <w:r w:rsidR="001E11FE">
        <w:t>ms</w:t>
      </w:r>
      <w:proofErr w:type="spellEnd"/>
      <w:r w:rsidR="001E11FE">
        <w:t xml:space="preserve"> </w:t>
      </w:r>
      <w:r w:rsidRPr="00DD0E24">
        <w:t xml:space="preserve">(upper bound </w:t>
      </w:r>
      <w:r w:rsidRPr="00DD0E24">
        <w:lastRenderedPageBreak/>
        <w:t>of the 90% CI: 4.43</w:t>
      </w:r>
      <w:r w:rsidR="001E11FE">
        <w:t> </w:t>
      </w:r>
      <w:proofErr w:type="spellStart"/>
      <w:r w:rsidR="001E11FE">
        <w:t>ms</w:t>
      </w:r>
      <w:proofErr w:type="spellEnd"/>
      <w:r w:rsidRPr="00DD0E24">
        <w:t>) and at the mean C</w:t>
      </w:r>
      <w:r w:rsidRPr="00007D67">
        <w:rPr>
          <w:vertAlign w:val="subscript"/>
        </w:rPr>
        <w:t>max</w:t>
      </w:r>
      <w:r w:rsidRPr="00DD0E24">
        <w:t xml:space="preserve"> of 80</w:t>
      </w:r>
      <w:r w:rsidR="00007D67">
        <w:t> </w:t>
      </w:r>
      <w:r w:rsidRPr="00DD0E24">
        <w:t xml:space="preserve">mg </w:t>
      </w:r>
      <w:r w:rsidR="00007D67">
        <w:t xml:space="preserve">once </w:t>
      </w:r>
      <w:r w:rsidR="000820A3">
        <w:t>daily</w:t>
      </w:r>
      <w:r w:rsidRPr="00DD0E24">
        <w:t xml:space="preserve"> was 3.64</w:t>
      </w:r>
      <w:r w:rsidR="001E11FE">
        <w:t> </w:t>
      </w:r>
      <w:proofErr w:type="spellStart"/>
      <w:r w:rsidR="001E11FE">
        <w:t>ms</w:t>
      </w:r>
      <w:proofErr w:type="spellEnd"/>
      <w:r w:rsidR="00007D67">
        <w:t xml:space="preserve"> </w:t>
      </w:r>
      <w:r w:rsidRPr="00DD0E24">
        <w:t>(upper bound of the 90% CI: 4.68</w:t>
      </w:r>
      <w:r w:rsidR="001E11FE">
        <w:t> </w:t>
      </w:r>
      <w:proofErr w:type="spellStart"/>
      <w:r w:rsidR="001E11FE">
        <w:t>ms</w:t>
      </w:r>
      <w:proofErr w:type="spellEnd"/>
      <w:r w:rsidRPr="00DD0E24">
        <w:t>).</w:t>
      </w:r>
    </w:p>
    <w:p w14:paraId="104D96EF" w14:textId="75B615A7" w:rsidR="00A409DB" w:rsidRDefault="00A409DB" w:rsidP="00A409DB">
      <w:pPr>
        <w:pStyle w:val="Heading6"/>
      </w:pPr>
      <w:r>
        <w:t>Special populations</w:t>
      </w:r>
    </w:p>
    <w:p w14:paraId="3BA9945E" w14:textId="1F1821D5" w:rsidR="00DD0E24" w:rsidRPr="00DD0E24" w:rsidRDefault="00DD0E24" w:rsidP="00DD0E24">
      <w:r w:rsidRPr="00DD0E24">
        <w:t xml:space="preserve">In the </w:t>
      </w:r>
      <w:proofErr w:type="spellStart"/>
      <w:r w:rsidR="00CF7606">
        <w:t>p</w:t>
      </w:r>
      <w:r w:rsidRPr="00DD0E24">
        <w:t>opPK</w:t>
      </w:r>
      <w:proofErr w:type="spellEnd"/>
      <w:r w:rsidRPr="00DD0E24">
        <w:t xml:space="preserve"> analyses, no clinically significant differences in asciminib PK were identified based on sex, age (20 to 88 years), race (White 70%, Asian 20%, Black/African American 4%) or body weight (42 </w:t>
      </w:r>
      <w:r w:rsidR="005A027A">
        <w:t xml:space="preserve">to </w:t>
      </w:r>
      <w:r w:rsidRPr="00DD0E24">
        <w:t>184</w:t>
      </w:r>
      <w:r w:rsidR="00007D67">
        <w:t> </w:t>
      </w:r>
      <w:r w:rsidRPr="00DD0E24">
        <w:t>kg). Based on clinical data, the UGT2B7 polymorphism is unlikely to have clinically relevant effect on asciminib PK. The effect of UGT2B17 polymorphism on asciminib PK is unknown</w:t>
      </w:r>
      <w:r w:rsidR="00CF7606">
        <w:t>.</w:t>
      </w:r>
    </w:p>
    <w:p w14:paraId="6B8DEF2E" w14:textId="7B42A8A7" w:rsidR="00DD0E24" w:rsidRPr="00DD0E24" w:rsidRDefault="00DD0E24" w:rsidP="00DD0E24">
      <w:r w:rsidRPr="00DD0E24">
        <w:t xml:space="preserve">Based on the dedicated hepatic impairment study, mild, </w:t>
      </w:r>
      <w:proofErr w:type="gramStart"/>
      <w:r w:rsidRPr="00DD0E24">
        <w:t>moderate</w:t>
      </w:r>
      <w:proofErr w:type="gramEnd"/>
      <w:r w:rsidRPr="00DD0E24">
        <w:t xml:space="preserve"> and severe hepatic impairment (either Child-Pugh</w:t>
      </w:r>
      <w:r w:rsidR="006B724E">
        <w:t>;</w:t>
      </w:r>
      <w:r w:rsidR="00BF508A">
        <w:rPr>
          <w:rStyle w:val="FootnoteReference"/>
        </w:rPr>
        <w:footnoteReference w:id="30"/>
      </w:r>
      <w:r w:rsidR="002A5C27">
        <w:t xml:space="preserve"> </w:t>
      </w:r>
      <w:r w:rsidRPr="00DD0E24">
        <w:t xml:space="preserve">or </w:t>
      </w:r>
      <w:r w:rsidR="00007D67" w:rsidRPr="00007D67">
        <w:t>National Cancer Institute</w:t>
      </w:r>
      <w:r w:rsidRPr="00DD0E24">
        <w:t xml:space="preserve"> criteria</w:t>
      </w:r>
      <w:r w:rsidR="006B724E">
        <w:rPr>
          <w:rStyle w:val="FootnoteReference"/>
        </w:rPr>
        <w:footnoteReference w:id="31"/>
      </w:r>
      <w:r w:rsidRPr="00415E3D">
        <w:t>)</w:t>
      </w:r>
      <w:r w:rsidRPr="00DD0E24">
        <w:t xml:space="preserve"> had no clinically meaningful effect on the asciminib PK. No dose adjustment is required for patients with mild to severe hepatic impairment.</w:t>
      </w:r>
    </w:p>
    <w:p w14:paraId="5D544874" w14:textId="150CFD53" w:rsidR="00DD0E24" w:rsidRDefault="00DD0E24" w:rsidP="00DD0E24">
      <w:r w:rsidRPr="00DD0E24">
        <w:t xml:space="preserve">Based on the dedicated renal impairment study and </w:t>
      </w:r>
      <w:proofErr w:type="spellStart"/>
      <w:r w:rsidR="00CF7606">
        <w:t>p</w:t>
      </w:r>
      <w:r w:rsidRPr="00DD0E24">
        <w:t>opPK</w:t>
      </w:r>
      <w:proofErr w:type="spellEnd"/>
      <w:r w:rsidRPr="00DD0E24">
        <w:t xml:space="preserve"> analyses, mild, </w:t>
      </w:r>
      <w:proofErr w:type="gramStart"/>
      <w:r w:rsidRPr="00DD0E24">
        <w:t>moderate</w:t>
      </w:r>
      <w:proofErr w:type="gramEnd"/>
      <w:r w:rsidRPr="00DD0E24">
        <w:t xml:space="preserve"> and severe renal impairment not requiring dialysis (</w:t>
      </w:r>
      <w:r w:rsidR="00007D67">
        <w:t>g</w:t>
      </w:r>
      <w:r w:rsidR="00007D67" w:rsidRPr="00007D67">
        <w:t xml:space="preserve">lomerular filtration rate </w:t>
      </w:r>
      <w:r w:rsidR="00007D67">
        <w:t xml:space="preserve">greater than or equal to </w:t>
      </w:r>
      <w:r w:rsidRPr="00DD0E24">
        <w:t>15</w:t>
      </w:r>
      <w:r w:rsidR="00007D67">
        <w:t> </w:t>
      </w:r>
      <w:r w:rsidRPr="00DD0E24">
        <w:t>mL/min) had no clinically meaningful effect on asciminib PK. No dose adjustment is required for patients with mild, moderate, or severe renal impairment not requiring dialysis. The asciminib PK has not been studied in subjects with end stage renal disease requiring dialysis.</w:t>
      </w:r>
    </w:p>
    <w:p w14:paraId="5FD9EDD6" w14:textId="2FF1CC7B" w:rsidR="00007D67" w:rsidRPr="00007D67" w:rsidRDefault="00007D67" w:rsidP="00301804">
      <w:pPr>
        <w:pStyle w:val="Heading5"/>
      </w:pPr>
      <w:r w:rsidRPr="00007D67">
        <w:t>Pharmacodynamics</w:t>
      </w:r>
    </w:p>
    <w:p w14:paraId="1ECC5568" w14:textId="002D27ED" w:rsidR="00007D67" w:rsidRPr="00007D67" w:rsidRDefault="007A021D" w:rsidP="00007D67">
      <w:proofErr w:type="gramStart"/>
      <w:r w:rsidRPr="00281B1A">
        <w:rPr>
          <w:i/>
          <w:iCs/>
        </w:rPr>
        <w:t>BCR::</w:t>
      </w:r>
      <w:proofErr w:type="gramEnd"/>
      <w:r w:rsidRPr="00281B1A">
        <w:rPr>
          <w:i/>
          <w:iCs/>
        </w:rPr>
        <w:t>ABL1</w:t>
      </w:r>
      <w:r w:rsidR="00007D67" w:rsidRPr="00281B1A">
        <w:rPr>
          <w:i/>
          <w:iCs/>
        </w:rPr>
        <w:t xml:space="preserve"> </w:t>
      </w:r>
      <w:r w:rsidR="00007D67" w:rsidRPr="00461CC0">
        <w:t>is</w:t>
      </w:r>
      <w:r w:rsidR="00007D67" w:rsidRPr="00007D67">
        <w:t xml:space="preserve"> a chimeric oncoprotein with the constitutively active ABL1 tyrosine kinase domain. Asciminib inhibits the ABL1 kinase activity of the </w:t>
      </w:r>
      <w:proofErr w:type="gramStart"/>
      <w:r w:rsidRPr="00281B1A">
        <w:rPr>
          <w:i/>
          <w:iCs/>
        </w:rPr>
        <w:t>BCR::</w:t>
      </w:r>
      <w:proofErr w:type="gramEnd"/>
      <w:r w:rsidRPr="00281B1A">
        <w:rPr>
          <w:i/>
          <w:iCs/>
        </w:rPr>
        <w:t>ABL1</w:t>
      </w:r>
      <w:r w:rsidR="00007D67" w:rsidRPr="00007D67">
        <w:t xml:space="preserve"> fusion protein, by specifically targeting the ABL </w:t>
      </w:r>
      <w:proofErr w:type="spellStart"/>
      <w:r w:rsidR="00007D67" w:rsidRPr="00007D67">
        <w:t>myristoyl</w:t>
      </w:r>
      <w:proofErr w:type="spellEnd"/>
      <w:r w:rsidR="00007D67" w:rsidRPr="00007D67">
        <w:t xml:space="preserve"> pocket. It is known that </w:t>
      </w:r>
      <w:r w:rsidR="00007D67">
        <w:t>t</w:t>
      </w:r>
      <w:r w:rsidR="00007D67" w:rsidRPr="00007D67">
        <w:t xml:space="preserve">yrosine kinase inhibitors are not able to kill quiescent </w:t>
      </w:r>
      <w:r w:rsidR="001B10B9">
        <w:t>leukaemia</w:t>
      </w:r>
      <w:r w:rsidR="00007D67" w:rsidRPr="00007D67">
        <w:t xml:space="preserve"> stem cells. </w:t>
      </w:r>
      <w:r w:rsidR="00007D67">
        <w:t xml:space="preserve">Chronic myeloid </w:t>
      </w:r>
      <w:r w:rsidR="001B10B9">
        <w:t>leukaemia</w:t>
      </w:r>
      <w:r w:rsidR="00007D67">
        <w:t>-</w:t>
      </w:r>
      <w:r w:rsidR="001B10B9">
        <w:t>leukaemia</w:t>
      </w:r>
      <w:r w:rsidR="00007D67">
        <w:t xml:space="preserve"> stem cells </w:t>
      </w:r>
      <w:r w:rsidR="00007D67" w:rsidRPr="00007D67">
        <w:t>cell</w:t>
      </w:r>
      <w:r w:rsidR="00D2795A">
        <w:t xml:space="preserve"> </w:t>
      </w:r>
      <w:r w:rsidR="00007D67" w:rsidRPr="00007D67">
        <w:t xml:space="preserve">cycle quiescence, which provided their </w:t>
      </w:r>
      <w:proofErr w:type="gramStart"/>
      <w:r w:rsidR="00007D67" w:rsidRPr="00007D67">
        <w:t>long</w:t>
      </w:r>
      <w:r w:rsidR="00A64C61">
        <w:t xml:space="preserve"> </w:t>
      </w:r>
      <w:r w:rsidR="00007D67" w:rsidRPr="00007D67">
        <w:t>term</w:t>
      </w:r>
      <w:proofErr w:type="gramEnd"/>
      <w:r w:rsidR="00007D67" w:rsidRPr="00007D67">
        <w:t xml:space="preserve"> resting capacity, is a critical mechanism of </w:t>
      </w:r>
      <w:r w:rsidR="001B10B9">
        <w:t>leukaemia</w:t>
      </w:r>
      <w:r w:rsidR="00007D67">
        <w:t xml:space="preserve"> stem cell</w:t>
      </w:r>
      <w:r w:rsidR="00A64C61">
        <w:t xml:space="preserve"> </w:t>
      </w:r>
      <w:r w:rsidR="00007D67" w:rsidRPr="00007D67">
        <w:t xml:space="preserve">mediated resistance to </w:t>
      </w:r>
      <w:r w:rsidR="00007D67">
        <w:t>tyrosine kinase inhibitor</w:t>
      </w:r>
      <w:r w:rsidR="00CF7606">
        <w:t>s</w:t>
      </w:r>
      <w:r w:rsidR="00007D67" w:rsidRPr="00007D67">
        <w:t xml:space="preserve">. A highly quiescent subpopulation of </w:t>
      </w:r>
      <w:r w:rsidR="00007D67">
        <w:t>c</w:t>
      </w:r>
      <w:r w:rsidR="00007D67" w:rsidRPr="00007D67">
        <w:t xml:space="preserve">hronic myeloid </w:t>
      </w:r>
      <w:r w:rsidR="001B10B9">
        <w:t>leukaemia</w:t>
      </w:r>
      <w:r w:rsidR="00007D67" w:rsidRPr="00007D67">
        <w:t>-</w:t>
      </w:r>
      <w:r w:rsidR="001B10B9">
        <w:t>leukaemia</w:t>
      </w:r>
      <w:r w:rsidR="00007D67" w:rsidRPr="00007D67">
        <w:t xml:space="preserve"> stem cells </w:t>
      </w:r>
      <w:proofErr w:type="gramStart"/>
      <w:r w:rsidR="00007D67" w:rsidRPr="00007D67">
        <w:t>are</w:t>
      </w:r>
      <w:proofErr w:type="gramEnd"/>
      <w:r w:rsidR="00007D67" w:rsidRPr="00007D67">
        <w:t xml:space="preserve"> able to persist during prolonged </w:t>
      </w:r>
      <w:r w:rsidR="00007D67">
        <w:t>tyrosine kinase inhibitor</w:t>
      </w:r>
      <w:r w:rsidR="00007D67" w:rsidRPr="00007D67">
        <w:t xml:space="preserve"> therapy.</w:t>
      </w:r>
    </w:p>
    <w:p w14:paraId="1D516168" w14:textId="5AD74C70" w:rsidR="00007D67" w:rsidRPr="00007D67" w:rsidRDefault="00007D67" w:rsidP="00007D67">
      <w:r w:rsidRPr="00007D67">
        <w:t>Exposure</w:t>
      </w:r>
      <w:r w:rsidR="00A64C61">
        <w:t xml:space="preserve"> </w:t>
      </w:r>
      <w:r w:rsidRPr="00007D67">
        <w:t>efficacy and exposure</w:t>
      </w:r>
      <w:r w:rsidR="00A64C61">
        <w:t xml:space="preserve"> </w:t>
      </w:r>
      <w:r w:rsidRPr="00007D67">
        <w:t xml:space="preserve">safety analyses were performed. Attention focused on the proposed dose regimens, </w:t>
      </w:r>
      <w:r w:rsidR="00160825">
        <w:t>that is,</w:t>
      </w:r>
      <w:r w:rsidRPr="00007D67">
        <w:t xml:space="preserve"> the similarity in efficacy and safety between 40</w:t>
      </w:r>
      <w:r w:rsidR="00160825">
        <w:t> </w:t>
      </w:r>
      <w:r w:rsidRPr="00007D67">
        <w:t xml:space="preserve">mg </w:t>
      </w:r>
      <w:r w:rsidR="00160825">
        <w:t>twice a day</w:t>
      </w:r>
      <w:r w:rsidRPr="00007D67">
        <w:t xml:space="preserve"> and 80</w:t>
      </w:r>
      <w:r w:rsidR="00160825">
        <w:t> </w:t>
      </w:r>
      <w:r w:rsidRPr="00007D67">
        <w:t xml:space="preserve">mg </w:t>
      </w:r>
      <w:r w:rsidR="00160825">
        <w:t xml:space="preserve">once </w:t>
      </w:r>
      <w:r w:rsidR="000820A3">
        <w:t>daily</w:t>
      </w:r>
      <w:r w:rsidRPr="00007D67">
        <w:t xml:space="preserve"> regimens, and the rationale for the </w:t>
      </w:r>
      <w:r w:rsidRPr="00160825">
        <w:t>200</w:t>
      </w:r>
      <w:r w:rsidR="00160825">
        <w:t> </w:t>
      </w:r>
      <w:r w:rsidRPr="00160825">
        <w:t>mg</w:t>
      </w:r>
      <w:r w:rsidRPr="00007D67">
        <w:t xml:space="preserve"> </w:t>
      </w:r>
      <w:r w:rsidR="00160825">
        <w:t xml:space="preserve">twice a day </w:t>
      </w:r>
      <w:r w:rsidRPr="00007D67">
        <w:t xml:space="preserve">regimen in patients with </w:t>
      </w:r>
      <w:r w:rsidR="00160825">
        <w:t xml:space="preserve">chronic myeloid </w:t>
      </w:r>
      <w:r w:rsidR="001B10B9">
        <w:t>leukaemia</w:t>
      </w:r>
      <w:r w:rsidR="00DC26BD">
        <w:t xml:space="preserve"> in</w:t>
      </w:r>
      <w:r w:rsidR="00160825">
        <w:t xml:space="preserve"> chronic phase </w:t>
      </w:r>
      <w:r w:rsidRPr="00007D67">
        <w:t xml:space="preserve">with </w:t>
      </w:r>
      <w:r w:rsidRPr="006704BC">
        <w:t>T315I</w:t>
      </w:r>
      <w:r w:rsidRPr="00007D67">
        <w:t xml:space="preserve"> mutation. The population selected for exposure</w:t>
      </w:r>
      <w:r w:rsidR="00A64C61">
        <w:t xml:space="preserve"> </w:t>
      </w:r>
      <w:r w:rsidRPr="00007D67">
        <w:t>efficacy and exposure</w:t>
      </w:r>
      <w:r w:rsidR="00A64C61">
        <w:t xml:space="preserve"> </w:t>
      </w:r>
      <w:r w:rsidRPr="00007D67">
        <w:t xml:space="preserve">safety analyses were patients with </w:t>
      </w:r>
      <w:r w:rsidR="00160825">
        <w:t xml:space="preserve">chronic myeloid </w:t>
      </w:r>
      <w:r w:rsidR="001B10B9">
        <w:t>leukaemia</w:t>
      </w:r>
      <w:r w:rsidR="00160825">
        <w:t xml:space="preserve"> </w:t>
      </w:r>
      <w:r w:rsidR="00DC26BD">
        <w:t xml:space="preserve">in </w:t>
      </w:r>
      <w:r w:rsidR="00160825">
        <w:t>chronic phase</w:t>
      </w:r>
      <w:r w:rsidRPr="00007D67">
        <w:t xml:space="preserve"> from single agent cohorts (Arm 1) in Phase </w:t>
      </w:r>
      <w:r w:rsidR="00160825">
        <w:t>I</w:t>
      </w:r>
      <w:r w:rsidRPr="00007D67">
        <w:t xml:space="preserve"> </w:t>
      </w:r>
      <w:r w:rsidR="00160825">
        <w:t>S</w:t>
      </w:r>
      <w:r w:rsidRPr="00007D67">
        <w:t xml:space="preserve">tudy X2101 and asciminib treatment arm in Phase </w:t>
      </w:r>
      <w:r w:rsidR="00160825">
        <w:t>III</w:t>
      </w:r>
      <w:r w:rsidRPr="00007D67">
        <w:t xml:space="preserve"> </w:t>
      </w:r>
      <w:r w:rsidR="00160825">
        <w:t>S</w:t>
      </w:r>
      <w:r w:rsidRPr="00007D67">
        <w:t xml:space="preserve">tudy A2301. Patients with </w:t>
      </w:r>
      <w:r w:rsidR="00160825">
        <w:t xml:space="preserve">chronic myeloid </w:t>
      </w:r>
      <w:r w:rsidR="001B10B9">
        <w:t>leukaemia</w:t>
      </w:r>
      <w:r w:rsidR="00160825">
        <w:t xml:space="preserve"> </w:t>
      </w:r>
      <w:r w:rsidR="007F3963">
        <w:t xml:space="preserve">in </w:t>
      </w:r>
      <w:r w:rsidR="00160825">
        <w:t>accelerated phase</w:t>
      </w:r>
      <w:r w:rsidRPr="00007D67">
        <w:t xml:space="preserve"> from single agent cohorts </w:t>
      </w:r>
      <w:r w:rsidRPr="00007D67">
        <w:lastRenderedPageBreak/>
        <w:t>(Arm 1) Study X2101 were also included for exposure</w:t>
      </w:r>
      <w:r w:rsidR="00D2795A">
        <w:t xml:space="preserve"> </w:t>
      </w:r>
      <w:r w:rsidRPr="00007D67">
        <w:t>safety analysis. Data from these studies were pooled.</w:t>
      </w:r>
    </w:p>
    <w:p w14:paraId="22A681C4" w14:textId="0DAB6CEB" w:rsidR="00007D67" w:rsidRPr="00007D67" w:rsidRDefault="00007D67" w:rsidP="00007D67">
      <w:r w:rsidRPr="00007D67">
        <w:t>The exposure</w:t>
      </w:r>
      <w:r w:rsidR="00A64C61">
        <w:t xml:space="preserve"> </w:t>
      </w:r>
      <w:r w:rsidRPr="00007D67">
        <w:t xml:space="preserve">efficacy analysis assessed the association between asciminib exposure and the efficacy variable, the </w:t>
      </w:r>
      <w:proofErr w:type="gramStart"/>
      <w:r w:rsidRPr="00281B1A">
        <w:rPr>
          <w:i/>
          <w:iCs/>
        </w:rPr>
        <w:t>BCR</w:t>
      </w:r>
      <w:r w:rsidR="00C3797E" w:rsidRPr="00281B1A">
        <w:rPr>
          <w:i/>
          <w:iCs/>
        </w:rPr>
        <w:t>::</w:t>
      </w:r>
      <w:proofErr w:type="gramEnd"/>
      <w:r w:rsidRPr="00281B1A">
        <w:rPr>
          <w:i/>
          <w:iCs/>
        </w:rPr>
        <w:t>ABL</w:t>
      </w:r>
      <w:r w:rsidR="00C3797E" w:rsidRPr="00281B1A">
        <w:rPr>
          <w:i/>
          <w:iCs/>
        </w:rPr>
        <w:t>1</w:t>
      </w:r>
      <w:r w:rsidRPr="00007D67">
        <w:t xml:space="preserve"> (%) </w:t>
      </w:r>
      <w:r w:rsidR="00CF7606">
        <w:t>i</w:t>
      </w:r>
      <w:r w:rsidRPr="00007D67">
        <w:t xml:space="preserve">nternational </w:t>
      </w:r>
      <w:r w:rsidR="00CF7606">
        <w:t>s</w:t>
      </w:r>
      <w:r w:rsidRPr="00007D67">
        <w:t>tandard transcripts level. For efficacy</w:t>
      </w:r>
      <w:r w:rsidR="00A56B95">
        <w:t xml:space="preserve"> </w:t>
      </w:r>
      <w:r w:rsidRPr="00007D67">
        <w:t xml:space="preserve">exposure, a </w:t>
      </w:r>
      <w:proofErr w:type="gramStart"/>
      <w:r w:rsidR="00A64C61">
        <w:t>three</w:t>
      </w:r>
      <w:r w:rsidR="00A409DB">
        <w:t xml:space="preserve"> </w:t>
      </w:r>
      <w:r w:rsidRPr="00007D67">
        <w:t>compartment</w:t>
      </w:r>
      <w:proofErr w:type="gramEnd"/>
      <w:r w:rsidRPr="00007D67">
        <w:t xml:space="preserve"> model representing quiescent leukemic stem cell</w:t>
      </w:r>
      <w:r w:rsidRPr="00461CC0">
        <w:t>s,</w:t>
      </w:r>
      <w:r w:rsidRPr="00007D67">
        <w:t xml:space="preserve"> proliferating bone marrow cell</w:t>
      </w:r>
      <w:r w:rsidRPr="00461CC0">
        <w:t>s,</w:t>
      </w:r>
      <w:r w:rsidRPr="00007D67">
        <w:t xml:space="preserve"> and resistant cells was developed. Drug kill of the </w:t>
      </w:r>
      <w:r w:rsidR="00461CC0" w:rsidRPr="00007D67">
        <w:t>proliferating bone marrow cell</w:t>
      </w:r>
      <w:r w:rsidR="00461CC0" w:rsidRPr="00461CC0">
        <w:t>s</w:t>
      </w:r>
      <w:r w:rsidRPr="00007D67">
        <w:t xml:space="preserve"> by asciminib was characterised by either a</w:t>
      </w:r>
      <w:r w:rsidR="00CF7606">
        <w:t xml:space="preserve"> m</w:t>
      </w:r>
      <w:r w:rsidR="00CF7606" w:rsidRPr="00757124">
        <w:t>aximum effect attributable to the drug</w:t>
      </w:r>
      <w:r w:rsidR="00160825">
        <w:t xml:space="preserve"> </w:t>
      </w:r>
      <w:r w:rsidR="00CF7606">
        <w:t>(</w:t>
      </w:r>
      <w:r w:rsidRPr="001B10B9">
        <w:t>E</w:t>
      </w:r>
      <w:r w:rsidRPr="001B10B9">
        <w:rPr>
          <w:vertAlign w:val="subscript"/>
        </w:rPr>
        <w:t>ma</w:t>
      </w:r>
      <w:r w:rsidR="00CF7606">
        <w:rPr>
          <w:vertAlign w:val="subscript"/>
        </w:rPr>
        <w:t>x</w:t>
      </w:r>
      <w:r w:rsidR="00CF7606">
        <w:t>)</w:t>
      </w:r>
      <w:r w:rsidRPr="001B10B9">
        <w:t xml:space="preserve"> or</w:t>
      </w:r>
      <w:r w:rsidRPr="00007D67">
        <w:t xml:space="preserve"> a power model. An E</w:t>
      </w:r>
      <w:r w:rsidRPr="00160825">
        <w:rPr>
          <w:vertAlign w:val="subscript"/>
        </w:rPr>
        <w:t>max</w:t>
      </w:r>
      <w:r w:rsidRPr="00007D67">
        <w:t xml:space="preserve"> model was applied to the subgroup of patients with </w:t>
      </w:r>
      <w:r w:rsidR="00160825">
        <w:t xml:space="preserve">chronic myeloid </w:t>
      </w:r>
      <w:r w:rsidR="001B10B9">
        <w:t>leukaemia</w:t>
      </w:r>
      <w:r w:rsidR="00160825">
        <w:t xml:space="preserve"> </w:t>
      </w:r>
      <w:r w:rsidR="00DC26BD">
        <w:t xml:space="preserve">in </w:t>
      </w:r>
      <w:r w:rsidR="00160825">
        <w:t xml:space="preserve">chronic phase </w:t>
      </w:r>
      <w:r w:rsidRPr="00007D67">
        <w:t>with</w:t>
      </w:r>
      <w:r w:rsidRPr="00A409DB">
        <w:rPr>
          <w:i/>
          <w:iCs/>
        </w:rPr>
        <w:t xml:space="preserve"> </w:t>
      </w:r>
      <w:r w:rsidRPr="00CE250D">
        <w:t>T315I</w:t>
      </w:r>
      <w:r w:rsidRPr="00007D67">
        <w:t xml:space="preserve"> mutation and the power model was used in the patients with </w:t>
      </w:r>
      <w:r w:rsidR="00160825">
        <w:t xml:space="preserve">chronic myeloid </w:t>
      </w:r>
      <w:r w:rsidR="001B10B9">
        <w:t>leukaemia</w:t>
      </w:r>
      <w:r w:rsidR="00DC26BD">
        <w:t xml:space="preserve"> in</w:t>
      </w:r>
      <w:r w:rsidR="00160825">
        <w:t xml:space="preserve"> </w:t>
      </w:r>
      <w:r w:rsidR="002A5C27">
        <w:t xml:space="preserve">the </w:t>
      </w:r>
      <w:r w:rsidR="00160825">
        <w:t>chronic phase</w:t>
      </w:r>
      <w:r w:rsidRPr="00007D67">
        <w:t xml:space="preserve"> without the </w:t>
      </w:r>
      <w:r w:rsidRPr="00CE250D">
        <w:t>T315I</w:t>
      </w:r>
      <w:r w:rsidRPr="00007D67">
        <w:t xml:space="preserve"> mutation, due to a shallow exposure</w:t>
      </w:r>
      <w:r w:rsidR="00D2795A">
        <w:t xml:space="preserve"> </w:t>
      </w:r>
      <w:r w:rsidRPr="00007D67">
        <w:t>response relationship observed across the asciminib doses tested. The potential influences of demographics, patient characteristics and information of previous</w:t>
      </w:r>
      <w:r w:rsidR="00160825" w:rsidRPr="00160825">
        <w:t xml:space="preserve"> tyrosine kinase inhibitor</w:t>
      </w:r>
      <w:r w:rsidRPr="00007D67">
        <w:t xml:space="preserve"> treatments were investigated. The extent of impact of significant covariates on major molecular response rate was evaluated using model simulation. The</w:t>
      </w:r>
      <w:r w:rsidR="00160825">
        <w:t xml:space="preserve"> </w:t>
      </w:r>
      <w:r w:rsidR="00160825" w:rsidRPr="00007D67">
        <w:t>major molecular response</w:t>
      </w:r>
      <w:r w:rsidRPr="00007D67">
        <w:t xml:space="preserve"> rate in this analysis was defined as the proportion of the simulated profiles that achieved </w:t>
      </w:r>
      <w:proofErr w:type="gramStart"/>
      <w:r w:rsidRPr="00281B1A">
        <w:rPr>
          <w:i/>
          <w:iCs/>
        </w:rPr>
        <w:t>BCR</w:t>
      </w:r>
      <w:r w:rsidR="00C55FF0" w:rsidRPr="00281B1A">
        <w:rPr>
          <w:i/>
          <w:iCs/>
        </w:rPr>
        <w:t>::</w:t>
      </w:r>
      <w:proofErr w:type="gramEnd"/>
      <w:r w:rsidRPr="00281B1A">
        <w:rPr>
          <w:i/>
          <w:iCs/>
        </w:rPr>
        <w:t>ABL</w:t>
      </w:r>
      <w:r w:rsidR="00C55FF0" w:rsidRPr="00281B1A">
        <w:rPr>
          <w:i/>
          <w:iCs/>
        </w:rPr>
        <w:t>1</w:t>
      </w:r>
      <w:r w:rsidRPr="00007D67">
        <w:t xml:space="preserve"> (%) level of</w:t>
      </w:r>
      <w:r w:rsidR="00160825">
        <w:t xml:space="preserve"> less than or equal to </w:t>
      </w:r>
      <w:r w:rsidRPr="00007D67">
        <w:t>0.1% at 24 and 48</w:t>
      </w:r>
      <w:r w:rsidR="002A5C27">
        <w:t> </w:t>
      </w:r>
      <w:r w:rsidRPr="00007D67">
        <w:t>weeks.</w:t>
      </w:r>
    </w:p>
    <w:p w14:paraId="1DED8004" w14:textId="047E1910" w:rsidR="00007D67" w:rsidRPr="00007D67" w:rsidRDefault="00007D67" w:rsidP="00007D67">
      <w:r w:rsidRPr="00007D67">
        <w:t>Three sets of models were developed using three</w:t>
      </w:r>
      <w:r w:rsidR="00160825">
        <w:t xml:space="preserve"> PK</w:t>
      </w:r>
      <w:r w:rsidRPr="00007D67">
        <w:t xml:space="preserve"> metrics, </w:t>
      </w:r>
      <w:r w:rsidR="00160825">
        <w:t xml:space="preserve">that is, </w:t>
      </w:r>
      <w:r w:rsidRPr="00007D67">
        <w:t xml:space="preserve">AUC, </w:t>
      </w:r>
      <w:proofErr w:type="spellStart"/>
      <w:r w:rsidRPr="00007D67">
        <w:t>C</w:t>
      </w:r>
      <w:r w:rsidRPr="00160825">
        <w:rPr>
          <w:vertAlign w:val="subscript"/>
        </w:rPr>
        <w:t>max</w:t>
      </w:r>
      <w:proofErr w:type="spellEnd"/>
      <w:r w:rsidRPr="00007D67">
        <w:t xml:space="preserve"> and </w:t>
      </w:r>
      <w:proofErr w:type="spellStart"/>
      <w:r w:rsidRPr="00007D67">
        <w:t>C</w:t>
      </w:r>
      <w:r w:rsidRPr="00160825">
        <w:rPr>
          <w:vertAlign w:val="subscript"/>
        </w:rPr>
        <w:t>min</w:t>
      </w:r>
      <w:proofErr w:type="spellEnd"/>
      <w:r w:rsidRPr="00007D67">
        <w:t>, and the time</w:t>
      </w:r>
      <w:r w:rsidR="00CF7606">
        <w:t xml:space="preserve"> </w:t>
      </w:r>
      <w:r w:rsidRPr="00007D67">
        <w:t xml:space="preserve">course of </w:t>
      </w:r>
      <w:proofErr w:type="gramStart"/>
      <w:r w:rsidRPr="00281B1A">
        <w:rPr>
          <w:i/>
          <w:iCs/>
        </w:rPr>
        <w:t>BCR</w:t>
      </w:r>
      <w:r w:rsidR="00C55FF0" w:rsidRPr="00281B1A">
        <w:rPr>
          <w:i/>
          <w:iCs/>
        </w:rPr>
        <w:t>::</w:t>
      </w:r>
      <w:proofErr w:type="gramEnd"/>
      <w:r w:rsidRPr="00281B1A">
        <w:rPr>
          <w:i/>
          <w:iCs/>
        </w:rPr>
        <w:t>ABL</w:t>
      </w:r>
      <w:r w:rsidR="00C55FF0" w:rsidRPr="00281B1A">
        <w:rPr>
          <w:i/>
          <w:iCs/>
        </w:rPr>
        <w:t>1</w:t>
      </w:r>
      <w:r w:rsidRPr="00007D67">
        <w:t xml:space="preserve"> (%) as the response variable. The data sets were all patients (N</w:t>
      </w:r>
      <w:r w:rsidR="00160825">
        <w:t xml:space="preserve"> </w:t>
      </w:r>
      <w:r w:rsidRPr="00007D67">
        <w:t>=</w:t>
      </w:r>
      <w:r w:rsidR="00160825">
        <w:t xml:space="preserve"> </w:t>
      </w:r>
      <w:r w:rsidRPr="00007D67">
        <w:t>303), patients treated with an initial dose of 40</w:t>
      </w:r>
      <w:r w:rsidR="00160825">
        <w:t> </w:t>
      </w:r>
      <w:r w:rsidRPr="00007D67">
        <w:t xml:space="preserve">mg </w:t>
      </w:r>
      <w:r w:rsidR="00160825">
        <w:t xml:space="preserve">twice a day </w:t>
      </w:r>
      <w:r w:rsidRPr="00007D67">
        <w:t>or 80</w:t>
      </w:r>
      <w:r w:rsidR="00160825">
        <w:t> </w:t>
      </w:r>
      <w:r w:rsidRPr="00007D67">
        <w:t xml:space="preserve">mg </w:t>
      </w:r>
      <w:r w:rsidR="00160825">
        <w:t xml:space="preserve">once </w:t>
      </w:r>
      <w:r w:rsidR="000820A3">
        <w:t>daily</w:t>
      </w:r>
      <w:r w:rsidRPr="00007D67">
        <w:t xml:space="preserve"> (N</w:t>
      </w:r>
      <w:r w:rsidR="00160825">
        <w:t xml:space="preserve"> </w:t>
      </w:r>
      <w:r w:rsidRPr="00007D67">
        <w:t>=</w:t>
      </w:r>
      <w:r w:rsidR="00160825">
        <w:t xml:space="preserve"> </w:t>
      </w:r>
      <w:r w:rsidRPr="00007D67">
        <w:t xml:space="preserve">194), and patients with </w:t>
      </w:r>
      <w:r w:rsidR="00160825">
        <w:t xml:space="preserve">chronic myeloid </w:t>
      </w:r>
      <w:r w:rsidR="001B10B9">
        <w:t>leukaemia</w:t>
      </w:r>
      <w:r w:rsidR="00160825">
        <w:t xml:space="preserve"> </w:t>
      </w:r>
      <w:r w:rsidR="00DC26BD">
        <w:t xml:space="preserve">in </w:t>
      </w:r>
      <w:r w:rsidR="00160825">
        <w:t>chronic phase</w:t>
      </w:r>
      <w:r w:rsidRPr="00007D67">
        <w:t xml:space="preserve"> with </w:t>
      </w:r>
      <w:r w:rsidRPr="00CE250D">
        <w:t>T315I</w:t>
      </w:r>
      <w:r w:rsidRPr="000C70BD">
        <w:rPr>
          <w:i/>
          <w:iCs/>
        </w:rPr>
        <w:t xml:space="preserve"> </w:t>
      </w:r>
      <w:r w:rsidRPr="00007D67">
        <w:t>mutation (N</w:t>
      </w:r>
      <w:r w:rsidR="00160825">
        <w:t xml:space="preserve"> </w:t>
      </w:r>
      <w:r w:rsidRPr="00007D67">
        <w:t>=</w:t>
      </w:r>
      <w:r w:rsidR="00160825">
        <w:t xml:space="preserve"> </w:t>
      </w:r>
      <w:r w:rsidRPr="00007D67">
        <w:t>67).</w:t>
      </w:r>
    </w:p>
    <w:p w14:paraId="429F3198" w14:textId="75DA265E" w:rsidR="00007D67" w:rsidRPr="00007D67" w:rsidRDefault="00007D67" w:rsidP="00007D67">
      <w:r w:rsidRPr="00007D67">
        <w:t xml:space="preserve">These models suggested a slightly positive response for the dose range studied. </w:t>
      </w:r>
      <w:proofErr w:type="gramStart"/>
      <w:r w:rsidRPr="00281B1A">
        <w:rPr>
          <w:i/>
          <w:iCs/>
        </w:rPr>
        <w:t>BCR</w:t>
      </w:r>
      <w:r w:rsidR="00C55FF0" w:rsidRPr="00281B1A">
        <w:rPr>
          <w:i/>
          <w:iCs/>
        </w:rPr>
        <w:t>::</w:t>
      </w:r>
      <w:proofErr w:type="gramEnd"/>
      <w:r w:rsidRPr="00281B1A">
        <w:rPr>
          <w:i/>
          <w:iCs/>
        </w:rPr>
        <w:t>ABL</w:t>
      </w:r>
      <w:r w:rsidR="00C55FF0" w:rsidRPr="00281B1A">
        <w:rPr>
          <w:i/>
          <w:iCs/>
        </w:rPr>
        <w:t>1</w:t>
      </w:r>
      <w:r w:rsidRPr="00281B1A">
        <w:rPr>
          <w:i/>
          <w:iCs/>
        </w:rPr>
        <w:t xml:space="preserve"> </w:t>
      </w:r>
      <w:r w:rsidRPr="00007D67">
        <w:t xml:space="preserve">(%) was influenced by baseline </w:t>
      </w:r>
      <w:r w:rsidRPr="00281B1A">
        <w:rPr>
          <w:i/>
          <w:iCs/>
        </w:rPr>
        <w:t>BCR</w:t>
      </w:r>
      <w:r w:rsidR="00C55FF0" w:rsidRPr="00281B1A">
        <w:rPr>
          <w:i/>
          <w:iCs/>
        </w:rPr>
        <w:t>::</w:t>
      </w:r>
      <w:r w:rsidRPr="00281B1A">
        <w:rPr>
          <w:i/>
          <w:iCs/>
        </w:rPr>
        <w:t>ABL</w:t>
      </w:r>
      <w:r w:rsidR="00C55FF0" w:rsidRPr="00281B1A">
        <w:rPr>
          <w:i/>
          <w:iCs/>
        </w:rPr>
        <w:t>1</w:t>
      </w:r>
      <w:r w:rsidRPr="00007D67">
        <w:t xml:space="preserve"> (%), the number of prior </w:t>
      </w:r>
      <w:r w:rsidR="005B5399">
        <w:t>tyrosine kinase inhibitor</w:t>
      </w:r>
      <w:r w:rsidRPr="00007D67">
        <w:t xml:space="preserve">s, and the time since first </w:t>
      </w:r>
      <w:r w:rsidR="005B5399">
        <w:t xml:space="preserve">chronic myeloid </w:t>
      </w:r>
      <w:r w:rsidR="001B10B9">
        <w:t>leukaemia</w:t>
      </w:r>
      <w:r w:rsidRPr="00007D67">
        <w:t xml:space="preserve"> diagnosis. Major molecular response rates were predicted to be similar for the proposed 40</w:t>
      </w:r>
      <w:r w:rsidR="005B5399">
        <w:t> </w:t>
      </w:r>
      <w:r w:rsidRPr="00007D67">
        <w:t xml:space="preserve">mg </w:t>
      </w:r>
      <w:r w:rsidR="005B5399">
        <w:t>twice a day</w:t>
      </w:r>
      <w:r w:rsidRPr="00007D67">
        <w:t xml:space="preserve"> and 80</w:t>
      </w:r>
      <w:r w:rsidR="005B5399">
        <w:t> </w:t>
      </w:r>
      <w:r w:rsidRPr="00007D67">
        <w:t xml:space="preserve">mg </w:t>
      </w:r>
      <w:r w:rsidR="005B5399">
        <w:t xml:space="preserve">once </w:t>
      </w:r>
      <w:r w:rsidR="000820A3">
        <w:t>daily</w:t>
      </w:r>
      <w:r w:rsidRPr="00007D67">
        <w:t xml:space="preserve"> dose regimens</w:t>
      </w:r>
      <w:r w:rsidR="005B5399">
        <w:t>.</w:t>
      </w:r>
    </w:p>
    <w:p w14:paraId="25EE88AD" w14:textId="4CFEE09B" w:rsidR="00007D67" w:rsidRPr="00007D67" w:rsidRDefault="00007D67" w:rsidP="00007D67">
      <w:r w:rsidRPr="00007D67">
        <w:t xml:space="preserve">For patients with </w:t>
      </w:r>
      <w:r w:rsidRPr="00CE250D">
        <w:t>T315I</w:t>
      </w:r>
      <w:r w:rsidRPr="00007D67">
        <w:t xml:space="preserve"> mutation the models predicted that, compared to a dose of 200</w:t>
      </w:r>
      <w:r w:rsidR="005B5399">
        <w:t> </w:t>
      </w:r>
      <w:r w:rsidRPr="00007D67">
        <w:t xml:space="preserve">mg </w:t>
      </w:r>
      <w:r w:rsidR="005B5399">
        <w:t>twice a day</w:t>
      </w:r>
      <w:r w:rsidRPr="00007D67">
        <w:t xml:space="preserve">, patients treated with lower dose regimens would be less likely to respond to treatment. This latter prediction was based on data predominantly from patients with the </w:t>
      </w:r>
      <w:r w:rsidRPr="00CE250D">
        <w:t>T315I</w:t>
      </w:r>
      <w:r w:rsidRPr="00007D67">
        <w:t xml:space="preserve"> mutation given 200</w:t>
      </w:r>
      <w:r w:rsidR="005B5399">
        <w:t> </w:t>
      </w:r>
      <w:r w:rsidRPr="00007D67">
        <w:t xml:space="preserve">mg </w:t>
      </w:r>
      <w:r w:rsidR="005B5399">
        <w:t>twice a day</w:t>
      </w:r>
      <w:r w:rsidRPr="00007D67">
        <w:t xml:space="preserve">, </w:t>
      </w:r>
      <w:r w:rsidR="00CF7606">
        <w:t>o</w:t>
      </w:r>
      <w:r w:rsidRPr="00007D67">
        <w:t xml:space="preserve">nly 20 patients were given lower doses. For those given doses </w:t>
      </w:r>
      <w:r w:rsidR="005B5399">
        <w:t xml:space="preserve">less than </w:t>
      </w:r>
      <w:r w:rsidRPr="00007D67">
        <w:t>200</w:t>
      </w:r>
      <w:r w:rsidR="005B5399">
        <w:t> </w:t>
      </w:r>
      <w:r w:rsidRPr="00007D67">
        <w:t xml:space="preserve">mg </w:t>
      </w:r>
      <w:r w:rsidR="005B5399">
        <w:t>twice a day</w:t>
      </w:r>
      <w:r w:rsidRPr="00007D67">
        <w:t xml:space="preserve"> most of the </w:t>
      </w:r>
      <w:r w:rsidRPr="00CE250D">
        <w:t>T315I</w:t>
      </w:r>
      <w:r w:rsidRPr="00007D67">
        <w:t xml:space="preserve"> patients did not experience a decrease in </w:t>
      </w:r>
      <w:proofErr w:type="gramStart"/>
      <w:r w:rsidRPr="00281B1A">
        <w:rPr>
          <w:i/>
          <w:iCs/>
        </w:rPr>
        <w:t>BCR</w:t>
      </w:r>
      <w:r w:rsidR="00C55FF0" w:rsidRPr="00281B1A">
        <w:rPr>
          <w:i/>
          <w:iCs/>
        </w:rPr>
        <w:t>::</w:t>
      </w:r>
      <w:proofErr w:type="gramEnd"/>
      <w:r w:rsidRPr="00281B1A">
        <w:rPr>
          <w:i/>
          <w:iCs/>
        </w:rPr>
        <w:t>ABL</w:t>
      </w:r>
      <w:r w:rsidR="00C55FF0" w:rsidRPr="00281B1A">
        <w:rPr>
          <w:i/>
          <w:iCs/>
        </w:rPr>
        <w:t>1</w:t>
      </w:r>
      <w:r w:rsidRPr="00007D67">
        <w:t xml:space="preserve"> below -1 log10 value, or equivalently, 0.1%, suggesting lower doses would result in lower efficacy in this patient group, except those who had one prior </w:t>
      </w:r>
      <w:r w:rsidR="005B5399" w:rsidRPr="005B5399">
        <w:t>tyrosine kinase inhibitor</w:t>
      </w:r>
      <w:r w:rsidRPr="00007D67">
        <w:t xml:space="preserve"> treatment.</w:t>
      </w:r>
    </w:p>
    <w:p w14:paraId="4AFE131D" w14:textId="0FF47AE1" w:rsidR="00007D67" w:rsidRPr="00007D67" w:rsidRDefault="00007D67" w:rsidP="00007D67">
      <w:r w:rsidRPr="00007D67">
        <w:t xml:space="preserve">These covariate relationships were consistent with biological plausibility. </w:t>
      </w:r>
      <w:r w:rsidR="00DC153C">
        <w:t xml:space="preserve">The </w:t>
      </w:r>
      <w:r w:rsidRPr="00CE250D">
        <w:t>T315I</w:t>
      </w:r>
      <w:r w:rsidRPr="00007D67">
        <w:t xml:space="preserve"> mutation was associated with a greater number of resistant cells and lower number of proliferating leukemic cells, as patients with this mutation tended to exhibit relapse/recurrence. The </w:t>
      </w:r>
      <w:r w:rsidRPr="00CE16E4">
        <w:t>T315I</w:t>
      </w:r>
      <w:r w:rsidRPr="00007D67">
        <w:t xml:space="preserve"> mutation increased the number of resistant cells by 10</w:t>
      </w:r>
      <w:r w:rsidR="00DC153C">
        <w:noBreakHyphen/>
      </w:r>
      <w:r w:rsidRPr="00007D67">
        <w:t>fold. With a 200</w:t>
      </w:r>
      <w:r w:rsidR="005B5399">
        <w:t> </w:t>
      </w:r>
      <w:r w:rsidRPr="00007D67">
        <w:t xml:space="preserve">mg </w:t>
      </w:r>
      <w:r w:rsidR="005B5399">
        <w:t xml:space="preserve">twice a day </w:t>
      </w:r>
      <w:r w:rsidRPr="00007D67">
        <w:t xml:space="preserve">dose, using the </w:t>
      </w:r>
      <w:proofErr w:type="spellStart"/>
      <w:r w:rsidRPr="00007D67">
        <w:t>popPK</w:t>
      </w:r>
      <w:proofErr w:type="spellEnd"/>
      <w:r w:rsidRPr="00007D67">
        <w:t xml:space="preserve"> model, the predicted median steady state AUC, </w:t>
      </w:r>
      <w:proofErr w:type="spellStart"/>
      <w:r w:rsidRPr="00007D67">
        <w:t>C</w:t>
      </w:r>
      <w:r w:rsidRPr="005B5399">
        <w:rPr>
          <w:vertAlign w:val="subscript"/>
        </w:rPr>
        <w:t>max</w:t>
      </w:r>
      <w:proofErr w:type="spellEnd"/>
      <w:r w:rsidRPr="00007D67">
        <w:t xml:space="preserve"> and </w:t>
      </w:r>
      <w:proofErr w:type="spellStart"/>
      <w:r w:rsidRPr="00007D67">
        <w:t>C</w:t>
      </w:r>
      <w:r w:rsidRPr="005B5399">
        <w:rPr>
          <w:vertAlign w:val="subscript"/>
        </w:rPr>
        <w:t>min</w:t>
      </w:r>
      <w:proofErr w:type="spellEnd"/>
      <w:r w:rsidRPr="00007D67">
        <w:t xml:space="preserve"> values were above the derived </w:t>
      </w:r>
      <w:r w:rsidR="005B5399" w:rsidRPr="005B5399">
        <w:t>90% maximal effective concentration</w:t>
      </w:r>
      <w:r w:rsidRPr="00007D67">
        <w:t xml:space="preserve"> for all three metrics, suggesting an adequate exposure coverage over the </w:t>
      </w:r>
      <w:proofErr w:type="gramStart"/>
      <w:r w:rsidRPr="00007D67">
        <w:t>24</w:t>
      </w:r>
      <w:r w:rsidR="00DC153C">
        <w:t> </w:t>
      </w:r>
      <w:r w:rsidRPr="00007D67">
        <w:t>hour</w:t>
      </w:r>
      <w:proofErr w:type="gramEnd"/>
      <w:r w:rsidRPr="00007D67">
        <w:t xml:space="preserve"> dosing interval of the 200</w:t>
      </w:r>
      <w:r w:rsidR="00C74FE6">
        <w:t> </w:t>
      </w:r>
      <w:r w:rsidRPr="00007D67">
        <w:t xml:space="preserve">mg </w:t>
      </w:r>
      <w:r w:rsidR="005B5399">
        <w:t>twice a day</w:t>
      </w:r>
      <w:r w:rsidRPr="00007D67">
        <w:t xml:space="preserve"> dose.</w:t>
      </w:r>
    </w:p>
    <w:p w14:paraId="1FF6ED4D" w14:textId="6A6F31ED" w:rsidR="00007D67" w:rsidRPr="00007D67" w:rsidRDefault="00C74FE6" w:rsidP="00007D67">
      <w:r>
        <w:t xml:space="preserve">It was noted that </w:t>
      </w:r>
      <w:r w:rsidR="00007D67" w:rsidRPr="00007D67">
        <w:t xml:space="preserve">the </w:t>
      </w:r>
      <w:r w:rsidR="00121A78">
        <w:t>s</w:t>
      </w:r>
      <w:r w:rsidR="00007D67" w:rsidRPr="00007D67">
        <w:t xml:space="preserve">ponsor is not proposing to specifically include patients with the </w:t>
      </w:r>
      <w:r w:rsidR="00007D67">
        <w:t>T315I</w:t>
      </w:r>
      <w:r w:rsidR="00007D67" w:rsidRPr="00007D67">
        <w:t xml:space="preserve"> mutation in the indication for </w:t>
      </w:r>
      <w:r>
        <w:t>Scemblix</w:t>
      </w:r>
      <w:r w:rsidR="00007D67" w:rsidRPr="00007D67">
        <w:t xml:space="preserve"> or the 200</w:t>
      </w:r>
      <w:r>
        <w:t> </w:t>
      </w:r>
      <w:r w:rsidR="00007D67" w:rsidRPr="00007D67">
        <w:t xml:space="preserve">mg </w:t>
      </w:r>
      <w:r>
        <w:t>twice a day</w:t>
      </w:r>
      <w:r w:rsidR="00007D67" w:rsidRPr="00007D67">
        <w:t xml:space="preserve"> dose regimen in the </w:t>
      </w:r>
      <w:r>
        <w:t>d</w:t>
      </w:r>
      <w:r w:rsidR="00007D67" w:rsidRPr="00007D67">
        <w:t xml:space="preserve">ose </w:t>
      </w:r>
      <w:r>
        <w:t>r</w:t>
      </w:r>
      <w:r w:rsidR="00007D67" w:rsidRPr="00007D67">
        <w:t>ecommendations for S</w:t>
      </w:r>
      <w:r>
        <w:t>cemblix</w:t>
      </w:r>
      <w:r w:rsidR="00007D67" w:rsidRPr="00007D67">
        <w:t xml:space="preserve"> in the PI.</w:t>
      </w:r>
    </w:p>
    <w:p w14:paraId="456BA498" w14:textId="4A12F05C" w:rsidR="00007D67" w:rsidRPr="00007D67" w:rsidRDefault="00007D67" w:rsidP="00007D67">
      <w:r w:rsidRPr="00007D67">
        <w:t xml:space="preserve">The number of prior </w:t>
      </w:r>
      <w:r w:rsidR="00C74FE6">
        <w:t>tyrosine kinase inhibitor</w:t>
      </w:r>
      <w:r w:rsidRPr="00007D67">
        <w:t xml:space="preserve"> treatments affected patient’s response, the higher number of prior</w:t>
      </w:r>
      <w:r w:rsidR="00C74FE6" w:rsidRPr="00C74FE6">
        <w:t xml:space="preserve"> </w:t>
      </w:r>
      <w:r w:rsidR="00C74FE6">
        <w:t xml:space="preserve">tyrosine kinase inhibitor </w:t>
      </w:r>
      <w:r w:rsidRPr="00007D67">
        <w:t xml:space="preserve">treatments tended to decrease drug effect, also a longer duration since diagnosis was associated with higher resistance. Two, </w:t>
      </w:r>
      <w:r w:rsidR="00C74FE6">
        <w:t>three</w:t>
      </w:r>
      <w:r w:rsidRPr="00007D67">
        <w:t xml:space="preserve">, </w:t>
      </w:r>
      <w:r w:rsidR="00C74FE6">
        <w:t>four</w:t>
      </w:r>
      <w:r w:rsidRPr="00007D67">
        <w:t xml:space="preserve"> and </w:t>
      </w:r>
      <w:r w:rsidR="00C74FE6">
        <w:t>five</w:t>
      </w:r>
      <w:r w:rsidRPr="00007D67">
        <w:t xml:space="preserve"> prior </w:t>
      </w:r>
      <w:r w:rsidR="00C74FE6">
        <w:t xml:space="preserve">tyrosine kinase inhibitor </w:t>
      </w:r>
      <w:r w:rsidRPr="00007D67">
        <w:t xml:space="preserve">treatments were associated with </w:t>
      </w:r>
      <w:r w:rsidRPr="00007D67">
        <w:lastRenderedPageBreak/>
        <w:t>respectively 5</w:t>
      </w:r>
      <w:r w:rsidR="00121A78">
        <w:t>%</w:t>
      </w:r>
      <w:r w:rsidRPr="00007D67">
        <w:t>, 14</w:t>
      </w:r>
      <w:r w:rsidR="00121A78">
        <w:t>%</w:t>
      </w:r>
      <w:r w:rsidRPr="00007D67">
        <w:t>, 18</w:t>
      </w:r>
      <w:r w:rsidR="00121A78">
        <w:t xml:space="preserve"> %</w:t>
      </w:r>
      <w:r w:rsidRPr="00007D67">
        <w:t xml:space="preserve"> and 19% decrease in effect magnitude from the reference, </w:t>
      </w:r>
      <w:r w:rsidR="00C74FE6">
        <w:t>one</w:t>
      </w:r>
      <w:r w:rsidRPr="00007D67">
        <w:t xml:space="preserve"> prior </w:t>
      </w:r>
      <w:r w:rsidR="00C74FE6">
        <w:t>tyrosine kinase inhibitor</w:t>
      </w:r>
      <w:r w:rsidRPr="00007D67">
        <w:t xml:space="preserve">. For each year since a </w:t>
      </w:r>
      <w:r w:rsidR="00C74FE6">
        <w:t xml:space="preserve">chronic myeloid </w:t>
      </w:r>
      <w:r w:rsidR="001B10B9">
        <w:t>leukaemia</w:t>
      </w:r>
      <w:r w:rsidR="00C74FE6">
        <w:t xml:space="preserve"> d</w:t>
      </w:r>
      <w:r w:rsidRPr="00007D67">
        <w:t>iagnosis was established the number of resistant cells increased by approximately 3</w:t>
      </w:r>
      <w:r w:rsidR="00C74FE6">
        <w:t>-</w:t>
      </w:r>
      <w:r w:rsidRPr="00007D67">
        <w:t>fold.</w:t>
      </w:r>
    </w:p>
    <w:p w14:paraId="18305E98" w14:textId="3C55A8CA" w:rsidR="00007D67" w:rsidRPr="00007D67" w:rsidRDefault="00007D67" w:rsidP="00007D67">
      <w:r w:rsidRPr="00007D67">
        <w:t>Exposure</w:t>
      </w:r>
      <w:r w:rsidR="00D2795A">
        <w:t xml:space="preserve"> </w:t>
      </w:r>
      <w:r w:rsidRPr="00007D67">
        <w:t xml:space="preserve">efficacy models using AUC, </w:t>
      </w:r>
      <w:proofErr w:type="spellStart"/>
      <w:r w:rsidRPr="00007D67">
        <w:t>C</w:t>
      </w:r>
      <w:r w:rsidRPr="00C74FE6">
        <w:rPr>
          <w:vertAlign w:val="subscript"/>
        </w:rPr>
        <w:t>max</w:t>
      </w:r>
      <w:proofErr w:type="spellEnd"/>
      <w:r w:rsidRPr="00007D67">
        <w:t xml:space="preserve"> and </w:t>
      </w:r>
      <w:proofErr w:type="spellStart"/>
      <w:r w:rsidRPr="00007D67">
        <w:t>C</w:t>
      </w:r>
      <w:r w:rsidRPr="00C74FE6">
        <w:rPr>
          <w:vertAlign w:val="subscript"/>
        </w:rPr>
        <w:t>min</w:t>
      </w:r>
      <w:proofErr w:type="spellEnd"/>
      <w:r w:rsidRPr="00007D67">
        <w:t>, adequately described the time</w:t>
      </w:r>
      <w:r w:rsidR="00D2795A">
        <w:t xml:space="preserve"> </w:t>
      </w:r>
      <w:r w:rsidRPr="00007D67">
        <w:t>course of %</w:t>
      </w:r>
      <w:r w:rsidR="00C55FF0">
        <w:t xml:space="preserve"> </w:t>
      </w:r>
      <w:proofErr w:type="gramStart"/>
      <w:r w:rsidRPr="00281B1A">
        <w:rPr>
          <w:i/>
          <w:iCs/>
        </w:rPr>
        <w:t>BCR</w:t>
      </w:r>
      <w:r w:rsidR="00C55FF0" w:rsidRPr="00281B1A">
        <w:rPr>
          <w:i/>
          <w:iCs/>
        </w:rPr>
        <w:t>::</w:t>
      </w:r>
      <w:proofErr w:type="gramEnd"/>
      <w:r w:rsidRPr="00281B1A">
        <w:rPr>
          <w:i/>
          <w:iCs/>
        </w:rPr>
        <w:t>ABL</w:t>
      </w:r>
      <w:r w:rsidR="00C55FF0" w:rsidRPr="00281B1A">
        <w:rPr>
          <w:i/>
          <w:iCs/>
        </w:rPr>
        <w:t>1</w:t>
      </w:r>
      <w:r w:rsidRPr="00007D67">
        <w:t>.</w:t>
      </w:r>
      <w:r w:rsidR="00C74FE6">
        <w:t xml:space="preserve"> </w:t>
      </w:r>
      <w:r w:rsidRPr="00007D67">
        <w:t>The resulting models highlighted the existence of a slightly positive exposure</w:t>
      </w:r>
      <w:r w:rsidR="00D2795A">
        <w:t xml:space="preserve"> </w:t>
      </w:r>
      <w:r w:rsidRPr="00007D67">
        <w:t xml:space="preserve">efficacy relationship, which did not translate into meaningful difference in median predicted </w:t>
      </w:r>
      <w:r w:rsidR="00C74FE6" w:rsidRPr="00007D67">
        <w:t xml:space="preserve">major molecular response </w:t>
      </w:r>
      <w:r w:rsidRPr="00007D67">
        <w:t>rates for the dose range studied. Factors influencing %</w:t>
      </w:r>
      <w:r w:rsidR="00C55FF0">
        <w:t xml:space="preserve"> </w:t>
      </w:r>
      <w:proofErr w:type="gramStart"/>
      <w:r w:rsidRPr="00281B1A">
        <w:rPr>
          <w:i/>
          <w:iCs/>
        </w:rPr>
        <w:t>BCR</w:t>
      </w:r>
      <w:r w:rsidR="00C55FF0" w:rsidRPr="00281B1A">
        <w:rPr>
          <w:i/>
          <w:iCs/>
        </w:rPr>
        <w:t>::</w:t>
      </w:r>
      <w:proofErr w:type="gramEnd"/>
      <w:r w:rsidRPr="00281B1A">
        <w:rPr>
          <w:i/>
          <w:iCs/>
        </w:rPr>
        <w:t>ABL</w:t>
      </w:r>
      <w:r w:rsidR="00C55FF0" w:rsidRPr="00281B1A">
        <w:rPr>
          <w:i/>
          <w:iCs/>
        </w:rPr>
        <w:t>1</w:t>
      </w:r>
      <w:r w:rsidRPr="00007D67">
        <w:t xml:space="preserve"> were the baseline %</w:t>
      </w:r>
      <w:r w:rsidR="00C55FF0">
        <w:t xml:space="preserve"> </w:t>
      </w:r>
      <w:r w:rsidRPr="00281B1A">
        <w:rPr>
          <w:i/>
          <w:iCs/>
        </w:rPr>
        <w:t>BCR</w:t>
      </w:r>
      <w:r w:rsidR="00C55FF0" w:rsidRPr="00281B1A">
        <w:rPr>
          <w:i/>
          <w:iCs/>
        </w:rPr>
        <w:t>::</w:t>
      </w:r>
      <w:r w:rsidRPr="00281B1A">
        <w:rPr>
          <w:i/>
          <w:iCs/>
        </w:rPr>
        <w:t>ABL</w:t>
      </w:r>
      <w:r w:rsidR="00C55FF0" w:rsidRPr="00281B1A">
        <w:rPr>
          <w:i/>
          <w:iCs/>
        </w:rPr>
        <w:t>1</w:t>
      </w:r>
      <w:r w:rsidRPr="00007D67">
        <w:t xml:space="preserve">, number of prior </w:t>
      </w:r>
      <w:r w:rsidR="00C74FE6">
        <w:t xml:space="preserve">tyrosine kinase inhibitors </w:t>
      </w:r>
      <w:r w:rsidRPr="00007D67">
        <w:t>and duration since diagnosis.</w:t>
      </w:r>
    </w:p>
    <w:p w14:paraId="79BAC8CE" w14:textId="54FBD5C6" w:rsidR="00C74FE6" w:rsidRDefault="00007D67" w:rsidP="00007D67">
      <w:r w:rsidRPr="00007D67">
        <w:t>The exposure</w:t>
      </w:r>
      <w:r w:rsidR="00D2795A">
        <w:t xml:space="preserve"> </w:t>
      </w:r>
      <w:r w:rsidRPr="00007D67">
        <w:t>safety relationship was explored using various safety endpoints such as</w:t>
      </w:r>
      <w:r w:rsidR="00C74FE6">
        <w:t xml:space="preserve"> </w:t>
      </w:r>
      <w:r w:rsidRPr="00007D67">
        <w:t xml:space="preserve">laboratory and vital signs abnormalities and </w:t>
      </w:r>
      <w:r w:rsidR="00C74FE6">
        <w:t>adverse events</w:t>
      </w:r>
      <w:r w:rsidRPr="00007D67">
        <w:t>. The exposure metrics were based on daily</w:t>
      </w:r>
      <w:r w:rsidR="00C74FE6">
        <w:t xml:space="preserve"> </w:t>
      </w:r>
      <w:r w:rsidRPr="00007D67">
        <w:t xml:space="preserve">predictions of AUC, </w:t>
      </w:r>
      <w:proofErr w:type="spellStart"/>
      <w:r w:rsidRPr="00007D67">
        <w:t>C</w:t>
      </w:r>
      <w:r w:rsidRPr="00C74FE6">
        <w:rPr>
          <w:vertAlign w:val="subscript"/>
        </w:rPr>
        <w:t>max</w:t>
      </w:r>
      <w:proofErr w:type="spellEnd"/>
      <w:r w:rsidRPr="00007D67">
        <w:t xml:space="preserve"> and </w:t>
      </w:r>
      <w:proofErr w:type="spellStart"/>
      <w:r w:rsidRPr="00007D67">
        <w:t>C</w:t>
      </w:r>
      <w:r w:rsidRPr="00C74FE6">
        <w:rPr>
          <w:vertAlign w:val="subscript"/>
        </w:rPr>
        <w:t>min</w:t>
      </w:r>
      <w:proofErr w:type="spellEnd"/>
      <w:r w:rsidRPr="00C74FE6">
        <w:rPr>
          <w:vertAlign w:val="subscript"/>
        </w:rPr>
        <w:t xml:space="preserve"> </w:t>
      </w:r>
      <w:r w:rsidRPr="00007D67">
        <w:t xml:space="preserve">from the </w:t>
      </w:r>
      <w:proofErr w:type="spellStart"/>
      <w:r w:rsidRPr="00007D67">
        <w:t>p</w:t>
      </w:r>
      <w:r w:rsidR="00C74FE6">
        <w:t>op</w:t>
      </w:r>
      <w:r w:rsidRPr="00007D67">
        <w:t>PK</w:t>
      </w:r>
      <w:proofErr w:type="spellEnd"/>
      <w:r w:rsidRPr="00007D67">
        <w:t xml:space="preserve"> model and a 5</w:t>
      </w:r>
      <w:r w:rsidR="00C74FE6">
        <w:noBreakHyphen/>
      </w:r>
      <w:r w:rsidRPr="00007D67">
        <w:t>day</w:t>
      </w:r>
      <w:r w:rsidR="00C74FE6">
        <w:noBreakHyphen/>
      </w:r>
      <w:r w:rsidRPr="00007D67">
        <w:t>average prior</w:t>
      </w:r>
      <w:r w:rsidR="00C74FE6">
        <w:t xml:space="preserve"> </w:t>
      </w:r>
      <w:r w:rsidRPr="00007D67">
        <w:t xml:space="preserve">to safety event. In all safety endpoints analysed (except Grade 2 or </w:t>
      </w:r>
      <w:r w:rsidR="00C74FE6">
        <w:t>h</w:t>
      </w:r>
      <w:r w:rsidRPr="00007D67">
        <w:t xml:space="preserve">igher </w:t>
      </w:r>
      <w:r w:rsidR="00C74FE6">
        <w:t>a</w:t>
      </w:r>
      <w:r w:rsidR="00C74FE6" w:rsidRPr="00C74FE6">
        <w:t xml:space="preserve">spartate aminotransferase </w:t>
      </w:r>
      <w:r w:rsidRPr="00007D67">
        <w:t>increase</w:t>
      </w:r>
      <w:r w:rsidR="00121A78">
        <w:t>)</w:t>
      </w:r>
      <w:r w:rsidR="006A4419">
        <w:rPr>
          <w:color w:val="2B579A"/>
          <w:shd w:val="clear" w:color="auto" w:fill="E6E6E6"/>
        </w:rPr>
        <w:fldChar w:fldCharType="begin"/>
      </w:r>
      <w:r w:rsidR="006A4419">
        <w:instrText xml:space="preserve"> NOTEREF _Ref127435338 \f \h </w:instrText>
      </w:r>
      <w:r w:rsidR="006A4419">
        <w:rPr>
          <w:color w:val="2B579A"/>
          <w:shd w:val="clear" w:color="auto" w:fill="E6E6E6"/>
        </w:rPr>
      </w:r>
      <w:r w:rsidR="006A4419">
        <w:rPr>
          <w:color w:val="2B579A"/>
          <w:shd w:val="clear" w:color="auto" w:fill="E6E6E6"/>
        </w:rPr>
        <w:fldChar w:fldCharType="separate"/>
      </w:r>
      <w:r w:rsidR="00547BEA" w:rsidRPr="00547BEA">
        <w:rPr>
          <w:rStyle w:val="FootnoteReference"/>
        </w:rPr>
        <w:t>27</w:t>
      </w:r>
      <w:r w:rsidR="006A4419">
        <w:rPr>
          <w:color w:val="2B579A"/>
          <w:shd w:val="clear" w:color="auto" w:fill="E6E6E6"/>
        </w:rPr>
        <w:fldChar w:fldCharType="end"/>
      </w:r>
      <w:r w:rsidRPr="00007D67">
        <w:t xml:space="preserve"> no</w:t>
      </w:r>
      <w:r w:rsidR="00C74FE6">
        <w:t xml:space="preserve"> </w:t>
      </w:r>
      <w:r w:rsidRPr="00007D67">
        <w:t>significant relationship was found between probability of safety events and increase in exposure within the range of dose levels and regimens investigated. This finding is consistent with the observed proportions of events displayed in tables of summary statistics by starting dose regimens.</w:t>
      </w:r>
    </w:p>
    <w:p w14:paraId="5081C0C9" w14:textId="7B01DD6D" w:rsidR="00007D67" w:rsidRPr="00007D67" w:rsidRDefault="00007D67" w:rsidP="00007D67">
      <w:r w:rsidRPr="00007D67">
        <w:t>While a thorough QT study was not performed, the concentration</w:t>
      </w:r>
      <w:r w:rsidR="00D2795A">
        <w:t xml:space="preserve"> </w:t>
      </w:r>
      <w:r w:rsidRPr="00007D67">
        <w:t>effect analysis suggested that at therapeutic doses, asciminib does not have a relevant effect on cardiac repolari</w:t>
      </w:r>
      <w:r w:rsidR="00A2692B">
        <w:t>s</w:t>
      </w:r>
      <w:r w:rsidRPr="00007D67">
        <w:t>ation as the estimated mean and upper bound of the 90% CIs QTcF</w:t>
      </w:r>
      <w:r w:rsidR="00A409DB">
        <w:t>,</w:t>
      </w:r>
      <w:r w:rsidR="00A409DB">
        <w:rPr>
          <w:color w:val="2B579A"/>
          <w:shd w:val="clear" w:color="auto" w:fill="E6E6E6"/>
        </w:rPr>
        <w:fldChar w:fldCharType="begin"/>
      </w:r>
      <w:r w:rsidR="00A409DB">
        <w:instrText xml:space="preserve"> NOTEREF _Ref127878095 \f \h </w:instrText>
      </w:r>
      <w:r w:rsidR="00A409DB">
        <w:rPr>
          <w:color w:val="2B579A"/>
          <w:shd w:val="clear" w:color="auto" w:fill="E6E6E6"/>
        </w:rPr>
      </w:r>
      <w:r w:rsidR="00A409DB">
        <w:rPr>
          <w:color w:val="2B579A"/>
          <w:shd w:val="clear" w:color="auto" w:fill="E6E6E6"/>
        </w:rPr>
        <w:fldChar w:fldCharType="separate"/>
      </w:r>
      <w:r w:rsidR="00547BEA" w:rsidRPr="00547BEA">
        <w:rPr>
          <w:rStyle w:val="FootnoteReference"/>
        </w:rPr>
        <w:t>18</w:t>
      </w:r>
      <w:r w:rsidR="00A409DB">
        <w:rPr>
          <w:color w:val="2B579A"/>
          <w:shd w:val="clear" w:color="auto" w:fill="E6E6E6"/>
        </w:rPr>
        <w:fldChar w:fldCharType="end"/>
      </w:r>
      <w:r w:rsidRPr="00007D67">
        <w:t xml:space="preserve"> at 40</w:t>
      </w:r>
      <w:r w:rsidR="00C74FE6">
        <w:t> </w:t>
      </w:r>
      <w:r w:rsidRPr="00007D67">
        <w:t xml:space="preserve">mg </w:t>
      </w:r>
      <w:r w:rsidR="00C74FE6">
        <w:t>twice a day</w:t>
      </w:r>
      <w:r w:rsidRPr="00007D67">
        <w:t>, 80</w:t>
      </w:r>
      <w:r w:rsidR="00C74FE6">
        <w:t> </w:t>
      </w:r>
      <w:r w:rsidRPr="00007D67">
        <w:t xml:space="preserve">mg </w:t>
      </w:r>
      <w:r w:rsidR="00C74FE6">
        <w:t xml:space="preserve">once </w:t>
      </w:r>
      <w:r w:rsidR="000820A3">
        <w:t>daily</w:t>
      </w:r>
      <w:r w:rsidRPr="00007D67">
        <w:t>, 200</w:t>
      </w:r>
      <w:r w:rsidR="00C74FE6">
        <w:t> </w:t>
      </w:r>
      <w:r w:rsidRPr="00007D67">
        <w:t xml:space="preserve">mg </w:t>
      </w:r>
      <w:r w:rsidR="00C74FE6">
        <w:t>twice a day</w:t>
      </w:r>
      <w:r w:rsidRPr="00007D67">
        <w:t xml:space="preserve"> and at the highest clinically relevant exposure (</w:t>
      </w:r>
      <w:r w:rsidR="006A4419">
        <w:t>h</w:t>
      </w:r>
      <w:r w:rsidR="006A4419" w:rsidRPr="006A4419">
        <w:t>ighest clinical relevant exposure</w:t>
      </w:r>
      <w:r w:rsidRPr="00007D67">
        <w:t>; which is the worst case scenario for C</w:t>
      </w:r>
      <w:r w:rsidRPr="00C74FE6">
        <w:rPr>
          <w:vertAlign w:val="subscript"/>
        </w:rPr>
        <w:t>max</w:t>
      </w:r>
      <w:r w:rsidRPr="00007D67">
        <w:t xml:space="preserve"> at 200</w:t>
      </w:r>
      <w:r w:rsidR="00C74FE6">
        <w:t> </w:t>
      </w:r>
      <w:r w:rsidRPr="00007D67">
        <w:t xml:space="preserve">mg </w:t>
      </w:r>
      <w:r w:rsidR="00C74FE6">
        <w:t>twice a day</w:t>
      </w:r>
      <w:r w:rsidRPr="00007D67">
        <w:t>) was below 10</w:t>
      </w:r>
      <w:r w:rsidR="001E11FE">
        <w:t> </w:t>
      </w:r>
      <w:proofErr w:type="spellStart"/>
      <w:r w:rsidR="001E11FE">
        <w:t>ms</w:t>
      </w:r>
      <w:proofErr w:type="spellEnd"/>
      <w:r w:rsidRPr="00007D67">
        <w:t xml:space="preserve">, the threshold considered clinically significant. Some asymptomatic </w:t>
      </w:r>
      <w:r w:rsidRPr="00E11932">
        <w:t>QTc</w:t>
      </w:r>
      <w:r w:rsidRPr="00007D67">
        <w:t xml:space="preserve"> prolongations and </w:t>
      </w:r>
      <w:r w:rsidR="001B10B9">
        <w:t>adverse events</w:t>
      </w:r>
      <w:r w:rsidRPr="00007D67">
        <w:t xml:space="preserve"> related to QTc prolongation were observed.</w:t>
      </w:r>
      <w:r w:rsidR="00415E3D">
        <w:rPr>
          <w:color w:val="2B579A"/>
          <w:shd w:val="clear" w:color="auto" w:fill="E6E6E6"/>
        </w:rPr>
        <w:fldChar w:fldCharType="begin"/>
      </w:r>
      <w:r w:rsidR="00415E3D">
        <w:instrText xml:space="preserve"> NOTEREF _Ref127174863 \f \h </w:instrText>
      </w:r>
      <w:r w:rsidR="00415E3D">
        <w:rPr>
          <w:color w:val="2B579A"/>
          <w:shd w:val="clear" w:color="auto" w:fill="E6E6E6"/>
        </w:rPr>
      </w:r>
      <w:r w:rsidR="00415E3D">
        <w:rPr>
          <w:color w:val="2B579A"/>
          <w:shd w:val="clear" w:color="auto" w:fill="E6E6E6"/>
        </w:rPr>
        <w:fldChar w:fldCharType="separate"/>
      </w:r>
      <w:r w:rsidR="00547BEA" w:rsidRPr="00547BEA">
        <w:rPr>
          <w:rStyle w:val="FootnoteReference"/>
        </w:rPr>
        <w:t>18</w:t>
      </w:r>
      <w:r w:rsidR="00415E3D">
        <w:rPr>
          <w:color w:val="2B579A"/>
          <w:shd w:val="clear" w:color="auto" w:fill="E6E6E6"/>
        </w:rPr>
        <w:fldChar w:fldCharType="end"/>
      </w:r>
    </w:p>
    <w:p w14:paraId="5D42CD42" w14:textId="27530D52" w:rsidR="00007D67" w:rsidRPr="00007D67" w:rsidRDefault="00007D67" w:rsidP="00007D67">
      <w:r w:rsidRPr="00007D67">
        <w:t>In Study A2301 a higher proportion of patients in the asciminib treatment group had notable</w:t>
      </w:r>
      <w:r w:rsidR="001E11FE">
        <w:t xml:space="preserve"> </w:t>
      </w:r>
      <w:proofErr w:type="spellStart"/>
      <w:r w:rsidR="001E11FE">
        <w:t>QTcF</w:t>
      </w:r>
      <w:proofErr w:type="spellEnd"/>
      <w:r w:rsidRPr="00007D67">
        <w:t xml:space="preserve"> compared to the bosutinib</w:t>
      </w:r>
      <w:r w:rsidR="00776049">
        <w:t>;</w:t>
      </w:r>
      <w:r w:rsidR="00776049">
        <w:rPr>
          <w:color w:val="2B579A"/>
          <w:shd w:val="clear" w:color="auto" w:fill="E6E6E6"/>
        </w:rPr>
        <w:fldChar w:fldCharType="begin"/>
      </w:r>
      <w:r w:rsidR="00776049">
        <w:instrText xml:space="preserve"> NOTEREF _Ref127872937 \f \h </w:instrText>
      </w:r>
      <w:r w:rsidR="00776049">
        <w:rPr>
          <w:color w:val="2B579A"/>
          <w:shd w:val="clear" w:color="auto" w:fill="E6E6E6"/>
        </w:rPr>
      </w:r>
      <w:r w:rsidR="00776049">
        <w:rPr>
          <w:color w:val="2B579A"/>
          <w:shd w:val="clear" w:color="auto" w:fill="E6E6E6"/>
        </w:rPr>
        <w:fldChar w:fldCharType="separate"/>
      </w:r>
      <w:r w:rsidR="00547BEA" w:rsidRPr="00547BEA">
        <w:rPr>
          <w:rStyle w:val="FootnoteReference"/>
        </w:rPr>
        <w:t>14</w:t>
      </w:r>
      <w:r w:rsidR="00776049">
        <w:rPr>
          <w:color w:val="2B579A"/>
          <w:shd w:val="clear" w:color="auto" w:fill="E6E6E6"/>
        </w:rPr>
        <w:fldChar w:fldCharType="end"/>
      </w:r>
      <w:r w:rsidRPr="00007D67">
        <w:t xml:space="preserve"> treatment group, only </w:t>
      </w:r>
      <w:r w:rsidR="001E11FE">
        <w:t>one</w:t>
      </w:r>
      <w:r w:rsidRPr="00007D67">
        <w:t xml:space="preserve"> patient (0.6%) in the asciminib treatment group was noted with a new </w:t>
      </w:r>
      <w:r w:rsidR="001E11FE">
        <w:t>greater than</w:t>
      </w:r>
      <w:r w:rsidRPr="00007D67">
        <w:t xml:space="preserve"> 500 </w:t>
      </w:r>
      <w:proofErr w:type="spellStart"/>
      <w:r w:rsidR="001E11FE">
        <w:t>ms</w:t>
      </w:r>
      <w:proofErr w:type="spellEnd"/>
      <w:r w:rsidRPr="00007D67">
        <w:t xml:space="preserve"> </w:t>
      </w:r>
      <w:proofErr w:type="spellStart"/>
      <w:r w:rsidRPr="00007D67">
        <w:t>QTcF</w:t>
      </w:r>
      <w:proofErr w:type="spellEnd"/>
      <w:r w:rsidR="001E11FE">
        <w:t xml:space="preserve"> </w:t>
      </w:r>
      <w:r w:rsidRPr="00007D67">
        <w:t xml:space="preserve">value; observed concomitantly with a </w:t>
      </w:r>
      <w:r w:rsidR="001E11FE">
        <w:t xml:space="preserve">greater than </w:t>
      </w:r>
      <w:r w:rsidRPr="00007D67">
        <w:t>60</w:t>
      </w:r>
      <w:r w:rsidR="001E11FE">
        <w:t> </w:t>
      </w:r>
      <w:proofErr w:type="spellStart"/>
      <w:r w:rsidR="001E11FE">
        <w:t>ms</w:t>
      </w:r>
      <w:proofErr w:type="spellEnd"/>
      <w:r w:rsidRPr="00007D67">
        <w:t xml:space="preserve"> increase </w:t>
      </w:r>
      <w:r w:rsidR="00415E3D">
        <w:t>f</w:t>
      </w:r>
      <w:r w:rsidRPr="00007D67">
        <w:t xml:space="preserve">rom </w:t>
      </w:r>
      <w:r w:rsidR="00415E3D" w:rsidRPr="00415E3D">
        <w:t>B</w:t>
      </w:r>
      <w:r w:rsidRPr="00415E3D">
        <w:t>aseline.</w:t>
      </w:r>
    </w:p>
    <w:p w14:paraId="5A53D3F4" w14:textId="1494D80C" w:rsidR="00007D67" w:rsidRDefault="00007D67" w:rsidP="00007D67">
      <w:r w:rsidRPr="00007D67">
        <w:t xml:space="preserve">This was a single occurrence on Week 1 Day 1. In Study X2101 </w:t>
      </w:r>
      <w:proofErr w:type="spellStart"/>
      <w:r w:rsidRPr="00007D67">
        <w:t>QTcF</w:t>
      </w:r>
      <w:proofErr w:type="spellEnd"/>
      <w:r w:rsidRPr="00007D67">
        <w:t xml:space="preserve"> increases </w:t>
      </w:r>
      <w:r w:rsidR="001E11FE">
        <w:t xml:space="preserve">greater than </w:t>
      </w:r>
      <w:r w:rsidRPr="00007D67">
        <w:t xml:space="preserve">60 </w:t>
      </w:r>
      <w:proofErr w:type="spellStart"/>
      <w:r w:rsidRPr="00007D67">
        <w:t>ms</w:t>
      </w:r>
      <w:proofErr w:type="spellEnd"/>
      <w:r w:rsidRPr="00007D67">
        <w:t xml:space="preserve"> and absolute </w:t>
      </w:r>
      <w:proofErr w:type="spellStart"/>
      <w:r w:rsidRPr="00007D67">
        <w:t>QTcF</w:t>
      </w:r>
      <w:proofErr w:type="spellEnd"/>
      <w:r w:rsidRPr="00007D67">
        <w:t xml:space="preserve"> </w:t>
      </w:r>
      <w:r w:rsidR="001E11FE">
        <w:t>greater than</w:t>
      </w:r>
      <w:r w:rsidRPr="00007D67">
        <w:t xml:space="preserve"> 500 </w:t>
      </w:r>
      <w:proofErr w:type="spellStart"/>
      <w:r w:rsidRPr="00007D67">
        <w:t>ms</w:t>
      </w:r>
      <w:proofErr w:type="spellEnd"/>
      <w:r w:rsidRPr="00007D67">
        <w:t xml:space="preserve"> were observed in </w:t>
      </w:r>
      <w:r w:rsidR="001E11FE">
        <w:t>two</w:t>
      </w:r>
      <w:r w:rsidRPr="00007D67">
        <w:t xml:space="preserve"> patients (2%) and </w:t>
      </w:r>
      <w:r w:rsidR="001E11FE">
        <w:t>three</w:t>
      </w:r>
      <w:r w:rsidRPr="00007D67">
        <w:t xml:space="preserve"> (1.5%) patients, respectively. Increases of </w:t>
      </w:r>
      <w:r w:rsidR="001E11FE">
        <w:t>greater than</w:t>
      </w:r>
      <w:r w:rsidRPr="00007D67">
        <w:t xml:space="preserve"> 30 </w:t>
      </w:r>
      <w:proofErr w:type="spellStart"/>
      <w:r w:rsidRPr="00007D67">
        <w:t>ms</w:t>
      </w:r>
      <w:proofErr w:type="spellEnd"/>
      <w:r w:rsidRPr="00007D67">
        <w:t xml:space="preserve"> to </w:t>
      </w:r>
      <w:r w:rsidR="001E11FE">
        <w:t xml:space="preserve">less than or equal to </w:t>
      </w:r>
      <w:r w:rsidRPr="00007D67">
        <w:t xml:space="preserve">60 </w:t>
      </w:r>
      <w:proofErr w:type="spellStart"/>
      <w:r w:rsidRPr="00007D67">
        <w:t>ms</w:t>
      </w:r>
      <w:proofErr w:type="spellEnd"/>
      <w:r w:rsidRPr="00007D67">
        <w:t xml:space="preserve"> from </w:t>
      </w:r>
      <w:r w:rsidR="00F62081">
        <w:t>B</w:t>
      </w:r>
      <w:r w:rsidRPr="00007D67">
        <w:t xml:space="preserve">aseline in </w:t>
      </w:r>
      <w:proofErr w:type="spellStart"/>
      <w:r w:rsidRPr="00007D67">
        <w:t>QTcF</w:t>
      </w:r>
      <w:proofErr w:type="spellEnd"/>
      <w:r w:rsidRPr="00007D67">
        <w:t xml:space="preserve"> were reported in 24 of 199 patients (12.1%).</w:t>
      </w:r>
    </w:p>
    <w:p w14:paraId="06628E91" w14:textId="77777777" w:rsidR="00301804" w:rsidRPr="00301804" w:rsidRDefault="00301804" w:rsidP="00301804">
      <w:pPr>
        <w:pStyle w:val="Heading4"/>
      </w:pPr>
      <w:r w:rsidRPr="00301804">
        <w:t>Efficacy</w:t>
      </w:r>
    </w:p>
    <w:p w14:paraId="0E0404FB" w14:textId="5C214835" w:rsidR="00301804" w:rsidRPr="00301804" w:rsidRDefault="00301804" w:rsidP="00301804">
      <w:pPr>
        <w:pStyle w:val="Heading5"/>
      </w:pPr>
      <w:bookmarkStart w:id="56" w:name="_Ref131417217"/>
      <w:r w:rsidRPr="00301804">
        <w:t xml:space="preserve">Assessment of </w:t>
      </w:r>
      <w:r>
        <w:t xml:space="preserve">chronic myeloid </w:t>
      </w:r>
      <w:r w:rsidR="001B10B9">
        <w:t>leukaemia</w:t>
      </w:r>
      <w:r w:rsidRPr="00301804">
        <w:t xml:space="preserve"> response to treatment</w:t>
      </w:r>
      <w:bookmarkEnd w:id="56"/>
    </w:p>
    <w:p w14:paraId="6457EEE6" w14:textId="5BA54832" w:rsidR="00301804" w:rsidRDefault="00301804" w:rsidP="00301804">
      <w:r w:rsidRPr="00301804">
        <w:t xml:space="preserve">The following information </w:t>
      </w:r>
      <w:r w:rsidR="00277685">
        <w:t xml:space="preserve">in </w:t>
      </w:r>
      <w:r w:rsidR="00277685">
        <w:fldChar w:fldCharType="begin"/>
      </w:r>
      <w:r w:rsidR="00277685">
        <w:instrText xml:space="preserve"> REF _Ref131178261 \h </w:instrText>
      </w:r>
      <w:r w:rsidR="00277685">
        <w:fldChar w:fldCharType="separate"/>
      </w:r>
      <w:r w:rsidR="00547BEA">
        <w:rPr>
          <w:noProof/>
        </w:rPr>
        <w:t>3</w:t>
      </w:r>
      <w:r w:rsidR="00277685">
        <w:fldChar w:fldCharType="end"/>
      </w:r>
      <w:r w:rsidR="00277685">
        <w:t xml:space="preserve"> </w:t>
      </w:r>
      <w:r w:rsidRPr="00301804">
        <w:t xml:space="preserve">on monitoring of </w:t>
      </w:r>
      <w:r>
        <w:t xml:space="preserve">chronic myeloid </w:t>
      </w:r>
      <w:r w:rsidR="001B10B9">
        <w:t>leukaemia</w:t>
      </w:r>
      <w:r w:rsidRPr="00301804">
        <w:t xml:space="preserve"> responses to treatment was extracted from Chronic myeloid leukaemia: </w:t>
      </w:r>
      <w:r w:rsidR="00422085" w:rsidRPr="00422085">
        <w:t>European Society for Medical Oncology</w:t>
      </w:r>
      <w:r w:rsidR="00422085">
        <w:t xml:space="preserve"> (</w:t>
      </w:r>
      <w:r w:rsidRPr="00301804">
        <w:t>ESMO</w:t>
      </w:r>
      <w:r w:rsidR="00422085">
        <w:t>)</w:t>
      </w:r>
      <w:r w:rsidRPr="00301804">
        <w:t xml:space="preserve"> Clinical Practice Guidelines for diagnosis, treatment and follow</w:t>
      </w:r>
      <w:r w:rsidR="00D2795A">
        <w:t xml:space="preserve"> </w:t>
      </w:r>
      <w:r w:rsidRPr="00301804">
        <w:t>up</w:t>
      </w:r>
      <w:r>
        <w:t>.</w:t>
      </w:r>
      <w:r>
        <w:rPr>
          <w:rStyle w:val="FootnoteReference"/>
        </w:rPr>
        <w:footnoteReference w:id="32"/>
      </w:r>
      <w:r>
        <w:t xml:space="preserve"> This document was provided by the sponsor</w:t>
      </w:r>
      <w:r w:rsidR="00184345">
        <w:t>.</w:t>
      </w:r>
    </w:p>
    <w:p w14:paraId="380F1007" w14:textId="470D3660" w:rsidR="00277685" w:rsidRDefault="00277685" w:rsidP="00281B1A">
      <w:pPr>
        <w:pStyle w:val="Tabletitle0"/>
      </w:pPr>
      <w:bookmarkStart w:id="57" w:name="_Ref131405164"/>
      <w:r>
        <w:lastRenderedPageBreak/>
        <w:t xml:space="preserve">Table </w:t>
      </w:r>
      <w:bookmarkStart w:id="58" w:name="_Ref131178261"/>
      <w:r>
        <w:fldChar w:fldCharType="begin"/>
      </w:r>
      <w:r>
        <w:instrText xml:space="preserve"> SEQ Table \* ARABIC </w:instrText>
      </w:r>
      <w:r>
        <w:fldChar w:fldCharType="separate"/>
      </w:r>
      <w:r w:rsidR="00547BEA">
        <w:rPr>
          <w:noProof/>
        </w:rPr>
        <w:t>3</w:t>
      </w:r>
      <w:r>
        <w:fldChar w:fldCharType="end"/>
      </w:r>
      <w:bookmarkEnd w:id="58"/>
      <w:bookmarkEnd w:id="57"/>
      <w:r>
        <w:t>: European Society for Medical Oncology (ESMO) Clinical Practice Guidelines (2017) on monitoring responses to treatment in chronic myeloid leukaemia</w:t>
      </w:r>
    </w:p>
    <w:tbl>
      <w:tblPr>
        <w:tblStyle w:val="TableGrid"/>
        <w:tblW w:w="0" w:type="auto"/>
        <w:tblLook w:val="04A0" w:firstRow="1" w:lastRow="0" w:firstColumn="1" w:lastColumn="0" w:noHBand="0" w:noVBand="1"/>
      </w:tblPr>
      <w:tblGrid>
        <w:gridCol w:w="985"/>
        <w:gridCol w:w="7509"/>
      </w:tblGrid>
      <w:tr w:rsidR="0073033D" w14:paraId="36C43124" w14:textId="77777777" w:rsidTr="0073033D">
        <w:tc>
          <w:tcPr>
            <w:tcW w:w="8494" w:type="dxa"/>
            <w:gridSpan w:val="2"/>
          </w:tcPr>
          <w:p w14:paraId="014E5FF7" w14:textId="4A7D8730" w:rsidR="0073033D" w:rsidRDefault="0073033D" w:rsidP="00547BEA">
            <w:pPr>
              <w:keepLines/>
            </w:pPr>
            <w:r w:rsidRPr="00417F92">
              <w:t>Early molecular response at 3 months (BCR–ABL1</w:t>
            </w:r>
            <w:r w:rsidRPr="00565D55">
              <w:rPr>
                <w:vertAlign w:val="superscript"/>
              </w:rPr>
              <w:t>IS</w:t>
            </w:r>
            <w:r>
              <w:t xml:space="preserve"> </w:t>
            </w:r>
            <w:r w:rsidRPr="00417F92">
              <w:t>≤</w:t>
            </w:r>
            <w:r>
              <w:t xml:space="preserve"> </w:t>
            </w:r>
            <w:r w:rsidRPr="00417F92">
              <w:t>10%)</w:t>
            </w:r>
            <w:r>
              <w:t xml:space="preserve"> </w:t>
            </w:r>
            <w:r w:rsidRPr="00417F92">
              <w:t xml:space="preserve">predicts survival and chance of eventually achieving </w:t>
            </w:r>
            <w:proofErr w:type="gramStart"/>
            <w:r w:rsidRPr="00417F92">
              <w:t>DMR</w:t>
            </w:r>
            <w:r>
              <w:t>.</w:t>
            </w:r>
            <w:r w:rsidRPr="00281B1A">
              <w:rPr>
                <w:vertAlign w:val="superscript"/>
              </w:rPr>
              <w:t>(</w:t>
            </w:r>
            <w:proofErr w:type="gramEnd"/>
            <w:r w:rsidRPr="00281B1A">
              <w:rPr>
                <w:vertAlign w:val="superscript"/>
              </w:rPr>
              <w:t>1)</w:t>
            </w:r>
            <w:r w:rsidRPr="00417F92">
              <w:t xml:space="preserve"> Intervals can be prolonged from 3 to 6 months after repeated achievement of an MMR (BCR–ABL1</w:t>
            </w:r>
            <w:r w:rsidRPr="00565D55">
              <w:rPr>
                <w:vertAlign w:val="superscript"/>
              </w:rPr>
              <w:t>IS</w:t>
            </w:r>
            <w:r>
              <w:t xml:space="preserve"> </w:t>
            </w:r>
            <w:r w:rsidRPr="00417F92">
              <w:t>≤</w:t>
            </w:r>
            <w:r>
              <w:t xml:space="preserve"> </w:t>
            </w:r>
            <w:r w:rsidRPr="00417F92">
              <w:t>0.1%, 3 log reduction from standardised baseline) or reduced to 4–6 weeks after treatment discontinuation. Significant rises of BCR–ABL1 transcript levels (fivefold accompanied by loss of MMR) during long</w:t>
            </w:r>
            <w:r>
              <w:t xml:space="preserve"> </w:t>
            </w:r>
            <w:r w:rsidRPr="00417F92">
              <w:t>term therapy are early indicators for treatment failure or nonadherence. The achievement of DMR (MR</w:t>
            </w:r>
            <w:r w:rsidRPr="00281B1A">
              <w:rPr>
                <w:vertAlign w:val="superscript"/>
              </w:rPr>
              <w:t>4</w:t>
            </w:r>
            <w:r w:rsidRPr="00417F92">
              <w:t>, MR</w:t>
            </w:r>
            <w:r w:rsidRPr="00281B1A">
              <w:rPr>
                <w:vertAlign w:val="superscript"/>
              </w:rPr>
              <w:t>4.5</w:t>
            </w:r>
            <w:r w:rsidRPr="00417F92">
              <w:t>, MR</w:t>
            </w:r>
            <w:r w:rsidRPr="00281B1A">
              <w:rPr>
                <w:vertAlign w:val="superscript"/>
              </w:rPr>
              <w:t>5</w:t>
            </w:r>
            <w:r w:rsidRPr="00417F92">
              <w:t>, that is, 4–5 log reduction) during TKI treatment is prerequisite for therapy interruptions within controlled trials [III, A</w:t>
            </w:r>
            <w:proofErr w:type="gramStart"/>
            <w:r w:rsidRPr="00417F92">
              <w:t>].</w:t>
            </w:r>
            <w:r>
              <w:rPr>
                <w:vertAlign w:val="superscript"/>
              </w:rPr>
              <w:t>(</w:t>
            </w:r>
            <w:proofErr w:type="gramEnd"/>
            <w:r>
              <w:rPr>
                <w:vertAlign w:val="superscript"/>
              </w:rPr>
              <w:t>2)</w:t>
            </w:r>
          </w:p>
        </w:tc>
      </w:tr>
      <w:tr w:rsidR="00274EF1" w14:paraId="19FB320A" w14:textId="77777777" w:rsidTr="00E334B2">
        <w:trPr>
          <w:trHeight w:val="101"/>
        </w:trPr>
        <w:tc>
          <w:tcPr>
            <w:tcW w:w="8494" w:type="dxa"/>
            <w:gridSpan w:val="2"/>
          </w:tcPr>
          <w:p w14:paraId="7A57EBBA" w14:textId="07C48BB8" w:rsidR="00274EF1" w:rsidRPr="00281B1A" w:rsidRDefault="00274EF1" w:rsidP="00547BEA">
            <w:pPr>
              <w:keepLines/>
              <w:spacing w:before="0" w:after="0"/>
              <w:rPr>
                <w:sz w:val="20"/>
              </w:rPr>
            </w:pPr>
            <w:r w:rsidRPr="00281B1A">
              <w:rPr>
                <w:sz w:val="20"/>
              </w:rPr>
              <w:t>Deep molecular responses (DMR):</w:t>
            </w:r>
          </w:p>
        </w:tc>
      </w:tr>
      <w:tr w:rsidR="00274EF1" w14:paraId="211D41E9" w14:textId="77777777" w:rsidTr="00281B1A">
        <w:trPr>
          <w:trHeight w:val="100"/>
        </w:trPr>
        <w:tc>
          <w:tcPr>
            <w:tcW w:w="985" w:type="dxa"/>
          </w:tcPr>
          <w:p w14:paraId="0AA3388C" w14:textId="3838373B" w:rsidR="00274EF1" w:rsidRPr="00281B1A" w:rsidRDefault="00274EF1" w:rsidP="00547BEA">
            <w:pPr>
              <w:keepLines/>
              <w:spacing w:before="0" w:after="0"/>
              <w:rPr>
                <w:sz w:val="20"/>
                <w:vertAlign w:val="superscript"/>
              </w:rPr>
            </w:pPr>
            <w:r w:rsidRPr="00281B1A">
              <w:rPr>
                <w:sz w:val="20"/>
              </w:rPr>
              <w:t>MR</w:t>
            </w:r>
            <w:r w:rsidRPr="00281B1A">
              <w:rPr>
                <w:sz w:val="20"/>
                <w:vertAlign w:val="superscript"/>
              </w:rPr>
              <w:t>4</w:t>
            </w:r>
          </w:p>
        </w:tc>
        <w:tc>
          <w:tcPr>
            <w:tcW w:w="7509" w:type="dxa"/>
          </w:tcPr>
          <w:p w14:paraId="7E6BE1DB" w14:textId="77777777" w:rsidR="00274EF1" w:rsidRPr="00281B1A" w:rsidRDefault="00274EF1" w:rsidP="00547BEA">
            <w:pPr>
              <w:keepLines/>
              <w:spacing w:before="0" w:after="0"/>
              <w:rPr>
                <w:sz w:val="20"/>
              </w:rPr>
            </w:pPr>
            <w:r w:rsidRPr="00281B1A">
              <w:rPr>
                <w:sz w:val="20"/>
              </w:rPr>
              <w:t>4 log molecular response</w:t>
            </w:r>
          </w:p>
          <w:p w14:paraId="78599E5D" w14:textId="105A7D0F" w:rsidR="00274EF1" w:rsidRPr="00281B1A" w:rsidRDefault="00274EF1" w:rsidP="00547BEA">
            <w:pPr>
              <w:keepLines/>
              <w:spacing w:before="0" w:after="0"/>
              <w:rPr>
                <w:sz w:val="20"/>
              </w:rPr>
            </w:pPr>
            <w:r w:rsidRPr="00281B1A">
              <w:rPr>
                <w:sz w:val="20"/>
              </w:rPr>
              <w:t>BCR–ABL transcript level ≤ 0.01% on the International Scale; or BCR</w:t>
            </w:r>
            <w:r w:rsidRPr="00281B1A">
              <w:rPr>
                <w:sz w:val="20"/>
              </w:rPr>
              <w:noBreakHyphen/>
              <w:t xml:space="preserve">ABL not detectable with at least 10,000 ABL or 24,000 </w:t>
            </w:r>
            <w:r w:rsidRPr="00281B1A">
              <w:rPr>
                <w:i/>
                <w:sz w:val="20"/>
              </w:rPr>
              <w:t>GUS</w:t>
            </w:r>
            <w:r w:rsidRPr="00281B1A">
              <w:rPr>
                <w:sz w:val="20"/>
              </w:rPr>
              <w:t xml:space="preserve"> transcripts.</w:t>
            </w:r>
          </w:p>
        </w:tc>
      </w:tr>
      <w:tr w:rsidR="00274EF1" w14:paraId="2567DEB1" w14:textId="77777777" w:rsidTr="00281B1A">
        <w:trPr>
          <w:trHeight w:val="100"/>
        </w:trPr>
        <w:tc>
          <w:tcPr>
            <w:tcW w:w="985" w:type="dxa"/>
          </w:tcPr>
          <w:p w14:paraId="1E14DEB5" w14:textId="3E334D13" w:rsidR="00274EF1" w:rsidRPr="00281B1A" w:rsidRDefault="00274EF1" w:rsidP="00547BEA">
            <w:pPr>
              <w:keepLines/>
              <w:spacing w:before="0" w:after="0"/>
              <w:rPr>
                <w:sz w:val="20"/>
              </w:rPr>
            </w:pPr>
            <w:r w:rsidRPr="00281B1A">
              <w:rPr>
                <w:sz w:val="20"/>
              </w:rPr>
              <w:t>MR</w:t>
            </w:r>
            <w:r w:rsidRPr="00281B1A">
              <w:rPr>
                <w:sz w:val="20"/>
                <w:vertAlign w:val="superscript"/>
              </w:rPr>
              <w:t>4.5</w:t>
            </w:r>
          </w:p>
        </w:tc>
        <w:tc>
          <w:tcPr>
            <w:tcW w:w="7509" w:type="dxa"/>
          </w:tcPr>
          <w:p w14:paraId="5F7E39F9" w14:textId="77777777" w:rsidR="00274EF1" w:rsidRPr="00281B1A" w:rsidRDefault="00274EF1" w:rsidP="00547BEA">
            <w:pPr>
              <w:keepLines/>
              <w:spacing w:before="0" w:after="0"/>
              <w:rPr>
                <w:sz w:val="20"/>
              </w:rPr>
            </w:pPr>
            <w:r w:rsidRPr="00281B1A">
              <w:rPr>
                <w:sz w:val="20"/>
              </w:rPr>
              <w:t>4-5 log molecular response</w:t>
            </w:r>
          </w:p>
          <w:p w14:paraId="7A763F50" w14:textId="554BA55C" w:rsidR="00274EF1" w:rsidRPr="00281B1A" w:rsidRDefault="00274EF1" w:rsidP="00547BEA">
            <w:pPr>
              <w:keepLines/>
              <w:spacing w:before="0" w:after="0"/>
              <w:rPr>
                <w:sz w:val="20"/>
              </w:rPr>
            </w:pPr>
            <w:r w:rsidRPr="00281B1A">
              <w:rPr>
                <w:sz w:val="20"/>
              </w:rPr>
              <w:t xml:space="preserve">BCR–ABL transcript level ≤ 0.0032% on the International Scale; or BCR–ABL not detectable with at least 32,000 ABL or 77,000 </w:t>
            </w:r>
            <w:r w:rsidRPr="00281B1A">
              <w:rPr>
                <w:i/>
                <w:sz w:val="20"/>
              </w:rPr>
              <w:t>GUS</w:t>
            </w:r>
            <w:r w:rsidRPr="00281B1A">
              <w:rPr>
                <w:sz w:val="20"/>
              </w:rPr>
              <w:t xml:space="preserve"> transcripts.</w:t>
            </w:r>
          </w:p>
        </w:tc>
      </w:tr>
      <w:tr w:rsidR="00274EF1" w14:paraId="7FF0E64C" w14:textId="77777777" w:rsidTr="00281B1A">
        <w:trPr>
          <w:trHeight w:val="100"/>
        </w:trPr>
        <w:tc>
          <w:tcPr>
            <w:tcW w:w="985" w:type="dxa"/>
          </w:tcPr>
          <w:p w14:paraId="6A5D86A6" w14:textId="295CC07A" w:rsidR="00274EF1" w:rsidRPr="00281B1A" w:rsidRDefault="00274EF1" w:rsidP="00547BEA">
            <w:pPr>
              <w:keepLines/>
              <w:spacing w:before="0" w:after="0"/>
              <w:rPr>
                <w:sz w:val="20"/>
              </w:rPr>
            </w:pPr>
            <w:r w:rsidRPr="00281B1A">
              <w:rPr>
                <w:sz w:val="20"/>
              </w:rPr>
              <w:t>MR</w:t>
            </w:r>
            <w:r w:rsidRPr="00281B1A">
              <w:rPr>
                <w:sz w:val="20"/>
                <w:vertAlign w:val="superscript"/>
              </w:rPr>
              <w:t>5</w:t>
            </w:r>
          </w:p>
        </w:tc>
        <w:tc>
          <w:tcPr>
            <w:tcW w:w="7509" w:type="dxa"/>
          </w:tcPr>
          <w:p w14:paraId="39187451" w14:textId="77777777" w:rsidR="00274EF1" w:rsidRPr="00281B1A" w:rsidRDefault="00274EF1" w:rsidP="00547BEA">
            <w:pPr>
              <w:keepLines/>
              <w:spacing w:before="0" w:after="0"/>
              <w:rPr>
                <w:sz w:val="20"/>
              </w:rPr>
            </w:pPr>
            <w:r w:rsidRPr="00281B1A">
              <w:rPr>
                <w:sz w:val="20"/>
              </w:rPr>
              <w:t>5 log molecular response</w:t>
            </w:r>
          </w:p>
          <w:p w14:paraId="1CD7053E" w14:textId="44DD460C" w:rsidR="00274EF1" w:rsidRPr="00281B1A" w:rsidRDefault="00274EF1" w:rsidP="00547BEA">
            <w:pPr>
              <w:keepLines/>
              <w:spacing w:before="0" w:after="0"/>
              <w:rPr>
                <w:sz w:val="20"/>
              </w:rPr>
            </w:pPr>
            <w:r w:rsidRPr="00281B1A">
              <w:rPr>
                <w:sz w:val="20"/>
              </w:rPr>
              <w:t xml:space="preserve">BCR-ABL transcript level ≤ 0.001% on the International Scale; or BCR-ABL not detectable with at least 100,000 ABL or 240,000 </w:t>
            </w:r>
            <w:r w:rsidRPr="00281B1A">
              <w:rPr>
                <w:i/>
                <w:sz w:val="20"/>
              </w:rPr>
              <w:t>GUS</w:t>
            </w:r>
            <w:r w:rsidRPr="00281B1A">
              <w:rPr>
                <w:sz w:val="20"/>
              </w:rPr>
              <w:t xml:space="preserve"> transcripts</w:t>
            </w:r>
          </w:p>
        </w:tc>
      </w:tr>
    </w:tbl>
    <w:p w14:paraId="6A902005" w14:textId="033B7379" w:rsidR="0073033D" w:rsidRDefault="00B97DBC" w:rsidP="00281B1A">
      <w:pPr>
        <w:pStyle w:val="TableDescription"/>
      </w:pPr>
      <w:r>
        <w:t xml:space="preserve">Abbreviations: </w:t>
      </w:r>
      <w:r w:rsidR="00274EF1">
        <w:t>BCR-AML</w:t>
      </w:r>
      <w:r w:rsidR="00274EF1">
        <w:rPr>
          <w:vertAlign w:val="superscript"/>
        </w:rPr>
        <w:t xml:space="preserve">IS </w:t>
      </w:r>
      <w:r w:rsidR="00274EF1">
        <w:t xml:space="preserve">= BCR-AML transcripts on the International Scale; </w:t>
      </w:r>
      <w:r>
        <w:t>DMR = deep molecular remission; MMR = major molecular response; TKI = tyrosine kinase inhibitor.</w:t>
      </w:r>
    </w:p>
    <w:p w14:paraId="1193E389" w14:textId="4D60EEDB" w:rsidR="0073033D" w:rsidRDefault="00B97DBC" w:rsidP="00281B1A">
      <w:pPr>
        <w:pStyle w:val="TableDescription"/>
      </w:pPr>
      <w:r>
        <w:t xml:space="preserve">Level </w:t>
      </w:r>
      <w:r w:rsidR="0073033D">
        <w:t>III,</w:t>
      </w:r>
      <w:r>
        <w:t xml:space="preserve"> Grade</w:t>
      </w:r>
      <w:r w:rsidR="0073033D">
        <w:t xml:space="preserve"> A refers to </w:t>
      </w:r>
      <w:r>
        <w:t>the Infectious Diseases Society of America-United States Public Health Service Grading System, level of evidence III ‘p</w:t>
      </w:r>
      <w:r w:rsidR="0073033D">
        <w:t xml:space="preserve">rospective cohort </w:t>
      </w:r>
      <w:proofErr w:type="gramStart"/>
      <w:r w:rsidR="0073033D">
        <w:t>studies</w:t>
      </w:r>
      <w:r>
        <w:t>’</w:t>
      </w:r>
      <w:proofErr w:type="gramEnd"/>
      <w:r w:rsidR="0073033D">
        <w:t xml:space="preserve"> and </w:t>
      </w:r>
      <w:r>
        <w:t>grade of recommendation A ‘s</w:t>
      </w:r>
      <w:r w:rsidR="0073033D" w:rsidRPr="0073033D">
        <w:t>trong evidence for efficacy with a substantial clinical benefit, strongly recommended</w:t>
      </w:r>
      <w:r>
        <w:t>’</w:t>
      </w:r>
      <w:r w:rsidR="0073033D">
        <w:t xml:space="preserve">. </w:t>
      </w:r>
    </w:p>
    <w:p w14:paraId="5CA38854" w14:textId="2C7AAF19" w:rsidR="0073033D" w:rsidRDefault="00277685" w:rsidP="00281B1A">
      <w:pPr>
        <w:pStyle w:val="TableDescription"/>
      </w:pPr>
      <w:r>
        <w:t>(</w:t>
      </w:r>
      <w:r w:rsidR="0073033D">
        <w:t>1</w:t>
      </w:r>
      <w:r>
        <w:t>)</w:t>
      </w:r>
      <w:r w:rsidR="0073033D">
        <w:t xml:space="preserve">: </w:t>
      </w:r>
      <w:proofErr w:type="spellStart"/>
      <w:r w:rsidR="0073033D">
        <w:t>Hanfstein</w:t>
      </w:r>
      <w:proofErr w:type="spellEnd"/>
      <w:r w:rsidR="0073033D">
        <w:t xml:space="preserve"> B, Muller MC, </w:t>
      </w:r>
      <w:proofErr w:type="spellStart"/>
      <w:r w:rsidR="0073033D">
        <w:t>Hehlmann</w:t>
      </w:r>
      <w:proofErr w:type="spellEnd"/>
      <w:r w:rsidR="0073033D">
        <w:t xml:space="preserve"> R et al. Early molecular and cytogenetic response is predictive for long-term progression-free and overall survival in chronic myeloid leukemia (CML). Leukemia 2012; 26: 2096–2102.</w:t>
      </w:r>
    </w:p>
    <w:p w14:paraId="02D34032" w14:textId="47D58E5F" w:rsidR="0073033D" w:rsidRDefault="00277685" w:rsidP="00281B1A">
      <w:pPr>
        <w:pStyle w:val="TableDescription"/>
      </w:pPr>
      <w:r>
        <w:t>(</w:t>
      </w:r>
      <w:r w:rsidR="0073033D">
        <w:t>2</w:t>
      </w:r>
      <w:r>
        <w:t>)</w:t>
      </w:r>
      <w:r w:rsidR="0073033D">
        <w:t xml:space="preserve">: Cross NC, White HE, </w:t>
      </w:r>
      <w:proofErr w:type="spellStart"/>
      <w:r w:rsidR="0073033D">
        <w:t>Colomer</w:t>
      </w:r>
      <w:proofErr w:type="spellEnd"/>
      <w:r w:rsidR="0073033D">
        <w:t xml:space="preserve"> D et al. Laboratory recommendations for scoring deep molecular response following treatment for chronic myeloid leukemia. Leukemia 2015; 29: 999–1003.</w:t>
      </w:r>
    </w:p>
    <w:p w14:paraId="312468C8" w14:textId="7B2EC73B" w:rsidR="00301804" w:rsidRDefault="00422085" w:rsidP="00422085">
      <w:pPr>
        <w:pStyle w:val="Tabletitle0"/>
      </w:pPr>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47BEA">
        <w:rPr>
          <w:noProof/>
        </w:rPr>
        <w:t>4</w:t>
      </w:r>
      <w:r>
        <w:rPr>
          <w:color w:val="2B579A"/>
          <w:shd w:val="clear" w:color="auto" w:fill="E6E6E6"/>
        </w:rPr>
        <w:fldChar w:fldCharType="end"/>
      </w:r>
      <w:r>
        <w:t xml:space="preserve">: </w:t>
      </w:r>
      <w:r w:rsidR="00277685">
        <w:t xml:space="preserve">European Society for Medical Oncology (ESMO) Clinical Practice Guidelines (2017) </w:t>
      </w:r>
      <w:r>
        <w:t xml:space="preserve">Assessment of response in chronic myeloid </w:t>
      </w:r>
      <w:r w:rsidR="001B10B9">
        <w:t>leukaemia</w:t>
      </w:r>
      <w:r>
        <w:t xml:space="preserve"> from </w:t>
      </w:r>
      <w:r w:rsidRPr="00422085">
        <w:t>European Society for Medical Oncology</w:t>
      </w:r>
      <w:r>
        <w:t xml:space="preserve"> clinical practice guideline</w:t>
      </w:r>
    </w:p>
    <w:p w14:paraId="6AF48845" w14:textId="5D5D0677" w:rsidR="00422085" w:rsidRDefault="00422085" w:rsidP="00422085">
      <w:r>
        <w:rPr>
          <w:noProof/>
          <w:color w:val="2B579A"/>
          <w:shd w:val="clear" w:color="auto" w:fill="E6E6E6"/>
          <w:lang w:val="en-GB" w:eastAsia="en-GB"/>
        </w:rPr>
        <w:drawing>
          <wp:inline distT="0" distB="0" distL="0" distR="0" wp14:anchorId="498F694F" wp14:editId="741D9132">
            <wp:extent cx="3871595" cy="3999506"/>
            <wp:effectExtent l="0" t="0" r="0" b="1270"/>
            <wp:docPr id="1" name="Picture 1" descr="Assessment of response in chronic myeloid leukaemia from European Society for Medical Oncology clinical practice guid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ssessment of response in chronic myeloid leukaemia from European Society for Medical Oncology clinical practice guideline"/>
                    <pic:cNvPicPr>
                      <a:picLocks noChangeAspect="1" noChangeArrowheads="1"/>
                    </pic:cNvPicPr>
                  </pic:nvPicPr>
                  <pic:blipFill rotWithShape="1">
                    <a:blip r:embed="rId23">
                      <a:extLst>
                        <a:ext uri="{28A0092B-C50C-407E-A947-70E740481C1C}">
                          <a14:useLocalDpi xmlns:a14="http://schemas.microsoft.com/office/drawing/2010/main" val="0"/>
                        </a:ext>
                      </a:extLst>
                    </a:blip>
                    <a:srcRect b="8163"/>
                    <a:stretch/>
                  </pic:blipFill>
                  <pic:spPr bwMode="auto">
                    <a:xfrm>
                      <a:off x="0" y="0"/>
                      <a:ext cx="3883706" cy="4012017"/>
                    </a:xfrm>
                    <a:prstGeom prst="rect">
                      <a:avLst/>
                    </a:prstGeom>
                    <a:noFill/>
                    <a:ln>
                      <a:noFill/>
                    </a:ln>
                    <a:extLst>
                      <a:ext uri="{53640926-AAD7-44D8-BBD7-CCE9431645EC}">
                        <a14:shadowObscured xmlns:a14="http://schemas.microsoft.com/office/drawing/2010/main"/>
                      </a:ext>
                    </a:extLst>
                  </pic:spPr>
                </pic:pic>
              </a:graphicData>
            </a:graphic>
          </wp:inline>
        </w:drawing>
      </w:r>
    </w:p>
    <w:p w14:paraId="54CDE5FC" w14:textId="3AE84331" w:rsidR="00422085" w:rsidRDefault="00422085" w:rsidP="00422085">
      <w:pPr>
        <w:pStyle w:val="TableDescription"/>
      </w:pPr>
      <w:r>
        <w:t xml:space="preserve">Abbreviations: CBA, chromosome banding analysis; </w:t>
      </w:r>
      <w:proofErr w:type="spellStart"/>
      <w:r>
        <w:t>iFISH</w:t>
      </w:r>
      <w:proofErr w:type="spellEnd"/>
      <w:r>
        <w:t xml:space="preserve">, interphase fluorescent </w:t>
      </w:r>
      <w:r>
        <w:rPr>
          <w:i/>
          <w:iCs/>
        </w:rPr>
        <w:t xml:space="preserve">in situ </w:t>
      </w:r>
      <w:r>
        <w:t>hybridisation; Ph, Philadelphia; WBC, white blood cell.</w:t>
      </w:r>
    </w:p>
    <w:p w14:paraId="7B667A1A" w14:textId="41B6B47B" w:rsidR="00422085" w:rsidRDefault="00884CB7" w:rsidP="00884CB7">
      <w:r w:rsidRPr="00884CB7">
        <w:t>Cytogenetic response denotes the percentage of residual bone marrow metaphases showing evidence of Ph</w:t>
      </w:r>
      <w:r w:rsidR="00121A78">
        <w:t>iladelphia</w:t>
      </w:r>
      <w:r w:rsidRPr="00884CB7">
        <w:t xml:space="preserve"> chromosome. Molecular respons</w:t>
      </w:r>
      <w:r w:rsidRPr="006A4419">
        <w:t>e (MR)</w:t>
      </w:r>
      <w:r w:rsidRPr="00884CB7">
        <w:t xml:space="preserve"> measures the reduction of </w:t>
      </w:r>
      <w:proofErr w:type="gramStart"/>
      <w:r w:rsidR="007A021D" w:rsidRPr="00281B1A">
        <w:rPr>
          <w:i/>
          <w:iCs/>
        </w:rPr>
        <w:t>BCR::</w:t>
      </w:r>
      <w:proofErr w:type="gramEnd"/>
      <w:r w:rsidR="007A021D" w:rsidRPr="00281B1A">
        <w:rPr>
          <w:i/>
          <w:iCs/>
        </w:rPr>
        <w:t>ABL1</w:t>
      </w:r>
      <w:r w:rsidRPr="00884CB7">
        <w:t xml:space="preserve"> fusion transcripts and, as such, has the greatest sensitivity. Once </w:t>
      </w:r>
      <w:r>
        <w:t>cytogenic response</w:t>
      </w:r>
      <w:r w:rsidRPr="00884CB7">
        <w:t xml:space="preserve"> is achieved, only molecular methods make it possible to follow the dynamics of minimal residual disease over time</w:t>
      </w:r>
      <w:r w:rsidR="00F62081">
        <w:t>.</w:t>
      </w:r>
      <w:r w:rsidRPr="00884CB7">
        <w:rPr>
          <w:vertAlign w:val="superscript"/>
        </w:rPr>
        <w:footnoteReference w:id="33"/>
      </w:r>
    </w:p>
    <w:p w14:paraId="23F7D417" w14:textId="3333A42C" w:rsidR="00884CB7" w:rsidRDefault="00884CB7" w:rsidP="00884CB7">
      <w:r w:rsidRPr="003C4811">
        <w:t>There is evidence that achieving a</w:t>
      </w:r>
      <w:r>
        <w:t xml:space="preserve"> </w:t>
      </w:r>
      <w:r w:rsidRPr="00007D67">
        <w:t>major molecular response</w:t>
      </w:r>
      <w:r w:rsidRPr="003C4811">
        <w:t xml:space="preserve"> predicts superior long</w:t>
      </w:r>
      <w:r w:rsidR="00D2795A">
        <w:t xml:space="preserve"> </w:t>
      </w:r>
      <w:r w:rsidRPr="003C4811">
        <w:t>term clinical outcomes (</w:t>
      </w:r>
      <w:r w:rsidR="0026538D">
        <w:t>progression free survival</w:t>
      </w:r>
      <w:r w:rsidRPr="003C4811">
        <w:t>/</w:t>
      </w:r>
      <w:r w:rsidR="0026538D">
        <w:t>event free survival</w:t>
      </w:r>
      <w:r w:rsidRPr="003C4811">
        <w:t>).</w:t>
      </w:r>
      <w:r w:rsidR="00121A78">
        <w:rPr>
          <w:rStyle w:val="FootnoteReference"/>
        </w:rPr>
        <w:footnoteReference w:id="34"/>
      </w:r>
      <w:r w:rsidRPr="003C4811">
        <w:t xml:space="preserve"> Achieving </w:t>
      </w:r>
      <w:r w:rsidRPr="00007D67">
        <w:t>major molecular response</w:t>
      </w:r>
      <w:r w:rsidRPr="003C4811">
        <w:t xml:space="preserve"> (</w:t>
      </w:r>
      <w:r w:rsidR="007A021D" w:rsidRPr="00281B1A">
        <w:rPr>
          <w:i/>
          <w:iCs/>
        </w:rPr>
        <w:t>BCR::ABL1</w:t>
      </w:r>
      <w:r w:rsidRPr="003C4811">
        <w:t xml:space="preserve"> </w:t>
      </w:r>
      <w:r>
        <w:t>less than or equal to</w:t>
      </w:r>
      <w:r w:rsidRPr="003C4811">
        <w:t xml:space="preserve"> 0.1%) predicts a </w:t>
      </w:r>
      <w:r>
        <w:t xml:space="preserve">chronic myeloid </w:t>
      </w:r>
      <w:r w:rsidR="001B10B9">
        <w:t>leukaemia</w:t>
      </w:r>
      <w:r>
        <w:t xml:space="preserve"> </w:t>
      </w:r>
      <w:r w:rsidRPr="003C4811">
        <w:t>specific survival close to normal as disease progression is uncommon once this level of cytoreduction has been achieved</w:t>
      </w:r>
      <w:r>
        <w:t>.</w:t>
      </w:r>
      <w:r w:rsidR="00260D38">
        <w:rPr>
          <w:rStyle w:val="FootnoteReference"/>
        </w:rPr>
        <w:footnoteReference w:id="35"/>
      </w:r>
      <w:r>
        <w:t xml:space="preserve"> Deep molecular </w:t>
      </w:r>
      <w:r w:rsidRPr="006A4419">
        <w:t>response (MR4.5</w:t>
      </w:r>
      <w:r>
        <w:t xml:space="preserve">) defines a subgroup of patients with </w:t>
      </w:r>
      <w:r w:rsidR="00260D38">
        <w:t>chronic myeloid leukaemia</w:t>
      </w:r>
      <w:r>
        <w:t xml:space="preserve"> who may stay in unmaintained </w:t>
      </w:r>
      <w:r>
        <w:lastRenderedPageBreak/>
        <w:t>remission after treatment discontinuation. It is unclear how many patients achieve</w:t>
      </w:r>
      <w:r w:rsidR="006A4419">
        <w:t xml:space="preserve"> </w:t>
      </w:r>
      <w:r w:rsidR="009B4462">
        <w:t>MR</w:t>
      </w:r>
      <w:r w:rsidR="009B4462" w:rsidRPr="009B4462">
        <w:t>4.5</w:t>
      </w:r>
      <w:r w:rsidRPr="009B4462">
        <w:t xml:space="preserve"> </w:t>
      </w:r>
      <w:r>
        <w:t xml:space="preserve">under different treatment modalities and whether </w:t>
      </w:r>
      <w:r w:rsidR="009B4462" w:rsidRPr="009B4462">
        <w:t>MR4.5</w:t>
      </w:r>
      <w:r>
        <w:t xml:space="preserve"> predicts survival</w:t>
      </w:r>
      <w:r w:rsidR="0003792C">
        <w:t>.</w:t>
      </w:r>
      <w:r>
        <w:rPr>
          <w:rStyle w:val="FootnoteReference"/>
        </w:rPr>
        <w:footnoteReference w:id="36"/>
      </w:r>
    </w:p>
    <w:p w14:paraId="4B85FF71" w14:textId="124099FE" w:rsidR="008F4677" w:rsidRPr="008F4677" w:rsidRDefault="008F4677" w:rsidP="008F4677">
      <w:pPr>
        <w:pStyle w:val="Heading5"/>
      </w:pPr>
      <w:r w:rsidRPr="10FC30C9">
        <w:rPr>
          <w:rFonts w:eastAsia="Cambria"/>
        </w:rPr>
        <w:t xml:space="preserve">Study </w:t>
      </w:r>
      <w:r w:rsidR="1F98C916" w:rsidRPr="10FC30C9">
        <w:rPr>
          <w:rFonts w:eastAsia="Cambria"/>
        </w:rPr>
        <w:t>C</w:t>
      </w:r>
      <w:r w:rsidR="000A4D45" w:rsidRPr="10FC30C9">
        <w:rPr>
          <w:rFonts w:eastAsia="Cambria"/>
        </w:rPr>
        <w:t xml:space="preserve">ABL001A2301 </w:t>
      </w:r>
      <w:r w:rsidRPr="10FC30C9">
        <w:rPr>
          <w:rFonts w:eastAsia="Cambria"/>
        </w:rPr>
        <w:t>(ASCEMBL</w:t>
      </w:r>
      <w:r w:rsidR="00F62081" w:rsidRPr="10FC30C9">
        <w:rPr>
          <w:rFonts w:eastAsia="Cambria"/>
        </w:rPr>
        <w:t xml:space="preserve"> trial</w:t>
      </w:r>
      <w:r w:rsidRPr="10FC30C9">
        <w:rPr>
          <w:rFonts w:eastAsia="Cambria"/>
        </w:rPr>
        <w:t>)</w:t>
      </w:r>
    </w:p>
    <w:p w14:paraId="6EA55FC0" w14:textId="019438FF" w:rsidR="008F4677" w:rsidRPr="008F4677" w:rsidRDefault="008F4677" w:rsidP="008F4677">
      <w:r w:rsidRPr="008F4677">
        <w:t xml:space="preserve">The pivotal study supporting the proposed indication is </w:t>
      </w:r>
      <w:bookmarkStart w:id="59" w:name="_Hlk92281949"/>
      <w:r w:rsidRPr="008F4677">
        <w:t xml:space="preserve">Study </w:t>
      </w:r>
      <w:r w:rsidR="00E334B2">
        <w:t>CABL001</w:t>
      </w:r>
      <w:r w:rsidRPr="008F4677">
        <w:t>A2301 (</w:t>
      </w:r>
      <w:r w:rsidR="00E334B2">
        <w:t xml:space="preserve">abbreviated here as Study A2301, but </w:t>
      </w:r>
      <w:r w:rsidR="0003792C">
        <w:t xml:space="preserve">also known as the </w:t>
      </w:r>
      <w:r w:rsidRPr="008F4677">
        <w:t>ASCEMBL</w:t>
      </w:r>
      <w:r w:rsidR="00F62081">
        <w:t xml:space="preserve"> trial</w:t>
      </w:r>
      <w:r w:rsidRPr="008F4677">
        <w:t>)</w:t>
      </w:r>
      <w:bookmarkEnd w:id="59"/>
      <w:r w:rsidR="00E334B2">
        <w:t>. It is</w:t>
      </w:r>
      <w:r w:rsidRPr="008F4677">
        <w:t xml:space="preserve"> an ongoing Phase III, multicentre, open</w:t>
      </w:r>
      <w:r w:rsidR="00F62081">
        <w:t xml:space="preserve"> </w:t>
      </w:r>
      <w:r w:rsidRPr="008F4677">
        <w:t xml:space="preserve">label, randomised study of oral asciminib versus bosutinib in patients with chronic myeloid </w:t>
      </w:r>
      <w:r w:rsidR="001B10B9">
        <w:t>leukaemia</w:t>
      </w:r>
      <w:r w:rsidRPr="008F4677">
        <w:t xml:space="preserve"> in chronic phase, previously treated with two or more tyrosine kinase inhibitors. The study commenced in October 2017 and the data cut</w:t>
      </w:r>
      <w:r w:rsidR="00E334B2">
        <w:noBreakHyphen/>
      </w:r>
      <w:r w:rsidRPr="008F4677">
        <w:t>off date for this submission was 25 May 2020 (the primary endpoint completion date). Patients were enrolled from 87 centres in 25 countries, including Australia.</w:t>
      </w:r>
    </w:p>
    <w:p w14:paraId="266EA6E8" w14:textId="5F2DF81C" w:rsidR="008F4677" w:rsidRDefault="00E334B2" w:rsidP="008F4677">
      <w:pPr>
        <w:pStyle w:val="Heading6"/>
      </w:pPr>
      <w:r>
        <w:t>Study d</w:t>
      </w:r>
      <w:r w:rsidR="008F4677" w:rsidRPr="008F4677">
        <w:t>esign</w:t>
      </w:r>
    </w:p>
    <w:p w14:paraId="59573073" w14:textId="1D5AD368" w:rsidR="008F4677" w:rsidRPr="008F4677" w:rsidRDefault="008F4677" w:rsidP="008F4677">
      <w:r w:rsidRPr="008F4677">
        <w:t xml:space="preserve">The primary objective was to compare the major molecular response rate at Week 24 in patients on asciminib </w:t>
      </w:r>
      <w:r>
        <w:t>versus</w:t>
      </w:r>
      <w:r w:rsidRPr="008F4677">
        <w:t xml:space="preserve"> patients on bosutinib. The primary clinical question of interest was</w:t>
      </w:r>
      <w:r>
        <w:t xml:space="preserve"> w</w:t>
      </w:r>
      <w:r w:rsidRPr="008F4677">
        <w:t>hether the efficacy of asciminib (40</w:t>
      </w:r>
      <w:r>
        <w:t> </w:t>
      </w:r>
      <w:r w:rsidRPr="008F4677">
        <w:t xml:space="preserve">mg </w:t>
      </w:r>
      <w:r>
        <w:t>twice a day</w:t>
      </w:r>
      <w:r w:rsidRPr="008F4677">
        <w:t>) was superior to bosutinib (500</w:t>
      </w:r>
      <w:r>
        <w:t> </w:t>
      </w:r>
      <w:r w:rsidRPr="008F4677">
        <w:t xml:space="preserve">mg </w:t>
      </w:r>
      <w:r>
        <w:t xml:space="preserve">once </w:t>
      </w:r>
      <w:r w:rsidR="000820A3">
        <w:t>daily</w:t>
      </w:r>
      <w:r w:rsidRPr="008F4677">
        <w:t xml:space="preserve">) in patients with </w:t>
      </w:r>
      <w:r>
        <w:t xml:space="preserve">chronic myeloid </w:t>
      </w:r>
      <w:r w:rsidR="001B10B9">
        <w:t>leukaemia</w:t>
      </w:r>
      <w:r>
        <w:t xml:space="preserve"> </w:t>
      </w:r>
      <w:r w:rsidR="00DC26BD">
        <w:t xml:space="preserve">in </w:t>
      </w:r>
      <w:r>
        <w:t>chronic phase</w:t>
      </w:r>
      <w:r w:rsidRPr="008F4677">
        <w:t xml:space="preserve">, previously treated with </w:t>
      </w:r>
      <w:r>
        <w:t>two</w:t>
      </w:r>
      <w:r w:rsidRPr="008F4677">
        <w:t xml:space="preserve"> or more tyrosine kinase inhibitors, with regards to achieving </w:t>
      </w:r>
      <w:r>
        <w:t>major molecular response</w:t>
      </w:r>
      <w:r w:rsidRPr="008F4677">
        <w:t xml:space="preserve"> at 24 weeks while on study treatment and without meeting any treatment failure criteria prior to 24 weeks, regardless of dose modification, dose interruption, or deviation in any intake of concomitant medications.</w:t>
      </w:r>
    </w:p>
    <w:p w14:paraId="00EA949B" w14:textId="5A79E228" w:rsidR="008F4677" w:rsidRPr="008F4677" w:rsidRDefault="008F4677" w:rsidP="008F4677">
      <w:r w:rsidRPr="008F4677">
        <w:t xml:space="preserve">The key secondary objective was to compare the </w:t>
      </w:r>
      <w:r w:rsidR="00877537">
        <w:t>major molecular response</w:t>
      </w:r>
      <w:r w:rsidRPr="008F4677">
        <w:t xml:space="preserve"> rate at Week</w:t>
      </w:r>
      <w:r w:rsidR="00877537">
        <w:t> </w:t>
      </w:r>
      <w:r w:rsidRPr="008F4677">
        <w:t xml:space="preserve">96 between the two treatment arms (asciminib </w:t>
      </w:r>
      <w:r w:rsidR="00877537">
        <w:t>versus</w:t>
      </w:r>
      <w:r w:rsidRPr="008F4677">
        <w:t xml:space="preserve"> bosutinib). Other secondary objectives </w:t>
      </w:r>
      <w:r w:rsidR="00877537" w:rsidRPr="008F4677">
        <w:t>were</w:t>
      </w:r>
      <w:r w:rsidRPr="008F4677">
        <w:t xml:space="preserve"> comparing additional efficacy parameters; the safety and tolerability profile of the two treatment arms; characterising the </w:t>
      </w:r>
      <w:r w:rsidR="00877537">
        <w:t xml:space="preserve">PK </w:t>
      </w:r>
      <w:r w:rsidRPr="008F4677">
        <w:t>of asciminib; and assessing the safety of asciminib when administered after bosutinib failure.</w:t>
      </w:r>
    </w:p>
    <w:p w14:paraId="4253B635" w14:textId="7797206A" w:rsidR="008F4677" w:rsidRPr="008F4677" w:rsidRDefault="008F4677" w:rsidP="008F4677">
      <w:r w:rsidRPr="008F4677">
        <w:t xml:space="preserve">The primary efficacy outcome measure was the </w:t>
      </w:r>
      <w:r w:rsidR="00877537">
        <w:t>major molecular response</w:t>
      </w:r>
      <w:r w:rsidRPr="008F4677">
        <w:t xml:space="preserve"> rate at Week 24 in patients on asciminib v</w:t>
      </w:r>
      <w:r w:rsidR="00877537">
        <w:t>ersus</w:t>
      </w:r>
      <w:r w:rsidRPr="008F4677">
        <w:t xml:space="preserve"> patients on bosutinib. The </w:t>
      </w:r>
      <w:r w:rsidR="00877537">
        <w:t>major molecular response</w:t>
      </w:r>
      <w:r w:rsidRPr="008F4677">
        <w:t xml:space="preserve"> rate at Week 96 was the key secondary endpoint. Other secondary endpoints were: </w:t>
      </w:r>
      <w:r w:rsidR="00877537">
        <w:t>major molecular response</w:t>
      </w:r>
      <w:r w:rsidRPr="008F4677">
        <w:t xml:space="preserve"> rate at all scheduled data collection time points (except 24 and 96</w:t>
      </w:r>
      <w:r w:rsidR="00877537">
        <w:t> </w:t>
      </w:r>
      <w:r w:rsidRPr="008F4677">
        <w:t xml:space="preserve">weeks which are already covered by primary and key secondary endpoints); </w:t>
      </w:r>
      <w:r w:rsidR="00877537">
        <w:t xml:space="preserve">major molecular response </w:t>
      </w:r>
      <w:r w:rsidRPr="008F4677">
        <w:t>rate by all scheduled data collection time points including 24 and 96</w:t>
      </w:r>
      <w:r w:rsidR="00877537">
        <w:t> </w:t>
      </w:r>
      <w:r w:rsidRPr="008F4677">
        <w:t>weeks; cytogenetic response rate at and by all scheduled data collection time points including 24, 48 and 96 weeks; time to and duration of response (</w:t>
      </w:r>
      <w:r w:rsidR="00877537">
        <w:t>major molecular response and cytogenetic response rate</w:t>
      </w:r>
      <w:r w:rsidRPr="008F4677">
        <w:t>); time to treatment failure; progression free survival; and overall survival. Patient reported outcomes were exploratory endpoints.</w:t>
      </w:r>
    </w:p>
    <w:p w14:paraId="2081D611" w14:textId="2E5B348D" w:rsidR="008F4677" w:rsidRPr="008F4677" w:rsidRDefault="008F4677" w:rsidP="008F4677">
      <w:r w:rsidRPr="008F4677">
        <w:t xml:space="preserve">Approximately </w:t>
      </w:r>
      <w:bookmarkStart w:id="60" w:name="_Hlk127880015"/>
      <w:r w:rsidR="00C55FF0" w:rsidRPr="008F4677">
        <w:t>22</w:t>
      </w:r>
      <w:r w:rsidR="00C55FF0">
        <w:t>2</w:t>
      </w:r>
      <w:r w:rsidR="00C55FF0" w:rsidRPr="008F4677">
        <w:t xml:space="preserve"> </w:t>
      </w:r>
      <w:r w:rsidRPr="008F4677">
        <w:t xml:space="preserve">patients were to be randomised in a 2:1 ratio to </w:t>
      </w:r>
      <w:r w:rsidR="0003792C">
        <w:t xml:space="preserve">receive either </w:t>
      </w:r>
      <w:r w:rsidRPr="008F4677">
        <w:t>asciminib 40</w:t>
      </w:r>
      <w:r w:rsidR="00877537">
        <w:t> </w:t>
      </w:r>
      <w:r w:rsidRPr="008F4677">
        <w:t xml:space="preserve">mg </w:t>
      </w:r>
      <w:r w:rsidR="00877537">
        <w:t>twice a day</w:t>
      </w:r>
      <w:r w:rsidR="0003792C">
        <w:t>,</w:t>
      </w:r>
      <w:r w:rsidRPr="008F4677">
        <w:t xml:space="preserve"> or bosutinib 500</w:t>
      </w:r>
      <w:r w:rsidR="00877537">
        <w:t> </w:t>
      </w:r>
      <w:r w:rsidRPr="008F4677">
        <w:t xml:space="preserve">mg </w:t>
      </w:r>
      <w:r w:rsidR="00877537">
        <w:t xml:space="preserve">once </w:t>
      </w:r>
      <w:r w:rsidR="000820A3">
        <w:t>daily</w:t>
      </w:r>
      <w:bookmarkEnd w:id="60"/>
      <w:r w:rsidRPr="008F4677">
        <w:t>. Randomisation was stratified with respect to cytogenetic response status as follows:</w:t>
      </w:r>
    </w:p>
    <w:p w14:paraId="2FFDFBB4" w14:textId="34754B8C" w:rsidR="008F4677" w:rsidRPr="008F4677" w:rsidRDefault="008F4677" w:rsidP="00877537">
      <w:pPr>
        <w:pStyle w:val="ListBullet"/>
      </w:pPr>
      <w:r w:rsidRPr="008F4677">
        <w:t>Major cytogenetic response (complete or partial)</w:t>
      </w:r>
    </w:p>
    <w:p w14:paraId="3DAE04B4" w14:textId="4E7B5AD3" w:rsidR="008F4677" w:rsidRPr="008F4677" w:rsidRDefault="008F4677" w:rsidP="00877537">
      <w:pPr>
        <w:pStyle w:val="ListBullet"/>
      </w:pPr>
      <w:r w:rsidRPr="008F4677">
        <w:t xml:space="preserve">No </w:t>
      </w:r>
      <w:r w:rsidR="00877537">
        <w:t>major cytogenetic response</w:t>
      </w:r>
      <w:r w:rsidRPr="008F4677">
        <w:t xml:space="preserve"> (minor, minimal or none)</w:t>
      </w:r>
    </w:p>
    <w:p w14:paraId="6CC17A28" w14:textId="3EC832AA" w:rsidR="00877537" w:rsidRPr="00877537" w:rsidRDefault="008F4677" w:rsidP="00877537">
      <w:r w:rsidRPr="00877537">
        <w:t>For patients who were unable to tolerate the protocol</w:t>
      </w:r>
      <w:r w:rsidR="00877537" w:rsidRPr="00877537">
        <w:t xml:space="preserve"> </w:t>
      </w:r>
      <w:r w:rsidRPr="00877537">
        <w:t xml:space="preserve">specified dosing schedule, dose interruptions and/or reductions were either recommended or mandated </w:t>
      </w:r>
      <w:proofErr w:type="gramStart"/>
      <w:r w:rsidRPr="00877537">
        <w:t>in order to</w:t>
      </w:r>
      <w:proofErr w:type="gramEnd"/>
      <w:r w:rsidRPr="00877537">
        <w:t xml:space="preserve"> allow the patient to continue the study treatment. For asciminib, only 1-step dose reduction to total daily dose of 40</w:t>
      </w:r>
      <w:r w:rsidR="00877537" w:rsidRPr="00877537">
        <w:t> </w:t>
      </w:r>
      <w:r w:rsidRPr="00877537">
        <w:t>mg was allowed, and for bosutinib 2-step sequential dose reduction up to total daily dose of 300</w:t>
      </w:r>
      <w:r w:rsidR="00877537" w:rsidRPr="00877537">
        <w:t> </w:t>
      </w:r>
      <w:r w:rsidRPr="00877537">
        <w:t>mg was allowed</w:t>
      </w:r>
      <w:r w:rsidR="00745740">
        <w:t xml:space="preserve"> (see </w:t>
      </w:r>
      <w:r w:rsidR="00745740">
        <w:fldChar w:fldCharType="begin"/>
      </w:r>
      <w:r w:rsidR="00745740">
        <w:instrText xml:space="preserve"> REF _Ref131179370 \h </w:instrText>
      </w:r>
      <w:r w:rsidR="00745740">
        <w:fldChar w:fldCharType="separate"/>
      </w:r>
      <w:r w:rsidR="00547BEA">
        <w:t xml:space="preserve">Table </w:t>
      </w:r>
      <w:r w:rsidR="00547BEA">
        <w:rPr>
          <w:noProof/>
        </w:rPr>
        <w:t>5</w:t>
      </w:r>
      <w:r w:rsidR="00745740">
        <w:fldChar w:fldCharType="end"/>
      </w:r>
      <w:r w:rsidR="00745740">
        <w:t xml:space="preserve"> below)</w:t>
      </w:r>
      <w:r w:rsidRPr="00877537">
        <w:t xml:space="preserve">. Detailed criteria were provided for various grades of </w:t>
      </w:r>
      <w:r w:rsidR="00877537" w:rsidRPr="00877537">
        <w:t>cytopenia’s</w:t>
      </w:r>
      <w:r w:rsidRPr="00877537">
        <w:t xml:space="preserve"> and non-haematological adverse reactions.</w:t>
      </w:r>
    </w:p>
    <w:p w14:paraId="16090CA3" w14:textId="788542EE" w:rsidR="00877537" w:rsidRDefault="00877537" w:rsidP="00776609">
      <w:pPr>
        <w:pStyle w:val="Tabletitle0"/>
      </w:pPr>
      <w:bookmarkStart w:id="61" w:name="_Ref131179370"/>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47BEA">
        <w:rPr>
          <w:noProof/>
        </w:rPr>
        <w:t>5</w:t>
      </w:r>
      <w:r>
        <w:rPr>
          <w:color w:val="2B579A"/>
          <w:shd w:val="clear" w:color="auto" w:fill="E6E6E6"/>
        </w:rPr>
        <w:fldChar w:fldCharType="end"/>
      </w:r>
      <w:bookmarkEnd w:id="61"/>
      <w:r>
        <w:t xml:space="preserve">: </w:t>
      </w:r>
      <w:r w:rsidR="0003792C">
        <w:t>Study A2301 (</w:t>
      </w:r>
      <w:r w:rsidR="0003792C" w:rsidRPr="008F4677">
        <w:t>ASCEMBL</w:t>
      </w:r>
      <w:r w:rsidR="0003792C">
        <w:t xml:space="preserve"> trial) </w:t>
      </w:r>
      <w:r>
        <w:t>Dose reduction steps for asciminib and bosutinib</w:t>
      </w:r>
    </w:p>
    <w:p w14:paraId="5FB5CDD5" w14:textId="351795B1" w:rsidR="00877537" w:rsidRPr="00877537" w:rsidRDefault="00877537" w:rsidP="00877537">
      <w:r>
        <w:rPr>
          <w:noProof/>
          <w:color w:val="2B579A"/>
          <w:shd w:val="clear" w:color="auto" w:fill="E6E6E6"/>
          <w:lang w:val="en-GB" w:eastAsia="en-GB"/>
        </w:rPr>
        <w:drawing>
          <wp:inline distT="0" distB="0" distL="0" distR="0" wp14:anchorId="04458A78" wp14:editId="6FDBBAF1">
            <wp:extent cx="5162550" cy="695325"/>
            <wp:effectExtent l="0" t="0" r="0" b="9525"/>
            <wp:docPr id="2" name="Picture 2" descr="Dose reduction steps for asciminib and bosutinib Study A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ose reduction steps for asciminib and bosutinib Study A2301"/>
                    <pic:cNvPicPr>
                      <a:picLocks noChangeAspect="1" noChangeArrowheads="1"/>
                    </pic:cNvPicPr>
                  </pic:nvPicPr>
                  <pic:blipFill rotWithShape="1">
                    <a:blip r:embed="rId24">
                      <a:extLst>
                        <a:ext uri="{28A0092B-C50C-407E-A947-70E740481C1C}">
                          <a14:useLocalDpi xmlns:a14="http://schemas.microsoft.com/office/drawing/2010/main" val="0"/>
                        </a:ext>
                      </a:extLst>
                    </a:blip>
                    <a:srcRect l="2918" r="4029" b="42399"/>
                    <a:stretch/>
                  </pic:blipFill>
                  <pic:spPr bwMode="auto">
                    <a:xfrm>
                      <a:off x="0" y="0"/>
                      <a:ext cx="5162550" cy="695325"/>
                    </a:xfrm>
                    <a:prstGeom prst="rect">
                      <a:avLst/>
                    </a:prstGeom>
                    <a:noFill/>
                    <a:ln>
                      <a:noFill/>
                    </a:ln>
                    <a:extLst>
                      <a:ext uri="{53640926-AAD7-44D8-BBD7-CCE9431645EC}">
                        <a14:shadowObscured xmlns:a14="http://schemas.microsoft.com/office/drawing/2010/main"/>
                      </a:ext>
                    </a:extLst>
                  </pic:spPr>
                </pic:pic>
              </a:graphicData>
            </a:graphic>
          </wp:inline>
        </w:drawing>
      </w:r>
    </w:p>
    <w:p w14:paraId="7EC7560C" w14:textId="77777777" w:rsidR="0003792C" w:rsidRDefault="0003792C" w:rsidP="00281B1A">
      <w:pPr>
        <w:pStyle w:val="TableDescription"/>
      </w:pPr>
      <w:r>
        <w:t>Abbreviations: BID = twice a day; QD = once daily.</w:t>
      </w:r>
    </w:p>
    <w:p w14:paraId="74E05B64" w14:textId="21957C1E" w:rsidR="00884CB7" w:rsidRPr="00776609" w:rsidRDefault="00877537" w:rsidP="00281B1A">
      <w:pPr>
        <w:pStyle w:val="TableDescription"/>
      </w:pPr>
      <w:r w:rsidRPr="00776609">
        <w:t>Dose reduction was based on the worst toxicity demonstrated at the last dose.</w:t>
      </w:r>
    </w:p>
    <w:p w14:paraId="0F77AC05" w14:textId="59A62772" w:rsidR="00877537" w:rsidRPr="00776609" w:rsidRDefault="00877537" w:rsidP="00776609">
      <w:pPr>
        <w:pStyle w:val="TableDescription"/>
        <w:spacing w:before="0"/>
      </w:pPr>
      <w:r w:rsidRPr="00776609">
        <w:t>Asciminib 20 mg tablets were dispensed to patients in the instance of dose reduction.</w:t>
      </w:r>
    </w:p>
    <w:p w14:paraId="56441C20" w14:textId="1ADF1DB3" w:rsidR="00877537" w:rsidRDefault="00877537" w:rsidP="00776609">
      <w:pPr>
        <w:pStyle w:val="TableDescription"/>
        <w:spacing w:before="0"/>
      </w:pPr>
      <w:r w:rsidRPr="00776609">
        <w:t>Bosutinib</w:t>
      </w:r>
      <w:r w:rsidR="00776609" w:rsidRPr="00776609">
        <w:t xml:space="preserve"> 100 mg tablets were dispensed to patients in the instance of dose reduction.</w:t>
      </w:r>
    </w:p>
    <w:p w14:paraId="0BF85A93" w14:textId="15CD8BF8" w:rsidR="00776609" w:rsidRDefault="00776609" w:rsidP="00776609">
      <w:r>
        <w:t xml:space="preserve">Dose escalation beyond the standard doses of 40 mg twice a day for asciminib was not permitted. For bosutinib, dose escalation to 600 mg once </w:t>
      </w:r>
      <w:r w:rsidR="000820A3">
        <w:t>daily</w:t>
      </w:r>
      <w:r>
        <w:t xml:space="preserve"> was permitted in patients who were taking 500 mg daily, did not have greater than or equal to </w:t>
      </w:r>
      <w:r w:rsidR="00260D38">
        <w:t>G</w:t>
      </w:r>
      <w:r>
        <w:t>rade 3 adverse events and who:</w:t>
      </w:r>
    </w:p>
    <w:p w14:paraId="51B779D7" w14:textId="00B3C82C" w:rsidR="00776609" w:rsidRDefault="00776609" w:rsidP="00776609">
      <w:pPr>
        <w:pStyle w:val="ListBullet"/>
      </w:pPr>
      <w:r>
        <w:t>did not reach complete haematological response by Week 8</w:t>
      </w:r>
    </w:p>
    <w:p w14:paraId="10AFB59F" w14:textId="72297422" w:rsidR="00776609" w:rsidRDefault="00776609" w:rsidP="009159FD">
      <w:pPr>
        <w:pStyle w:val="ListBullet"/>
      </w:pPr>
      <w:r>
        <w:t>did not reach complete cytogenetic response by Week 12</w:t>
      </w:r>
    </w:p>
    <w:p w14:paraId="7C8319D7" w14:textId="0EE86358" w:rsidR="00776609" w:rsidRDefault="00776609" w:rsidP="00776609">
      <w:r>
        <w:t>Concomitant use of drugs that affect gastric pH, anti-emetics, bisphosphonates, and hormonal contraceptives was allowed for patients on asciminib, whereas CYP3A4/5, CYP2C8 and CYP2C9 substrates with narrow therapeutic index</w:t>
      </w:r>
      <w:r w:rsidR="0003792C">
        <w:t>;</w:t>
      </w:r>
      <w:r w:rsidR="0003792C" w:rsidRPr="00281B1A">
        <w:rPr>
          <w:vertAlign w:val="superscript"/>
        </w:rPr>
        <w:fldChar w:fldCharType="begin"/>
      </w:r>
      <w:r w:rsidR="0003792C" w:rsidRPr="00281B1A">
        <w:rPr>
          <w:vertAlign w:val="superscript"/>
        </w:rPr>
        <w:instrText xml:space="preserve"> NOTEREF _Ref127877652 \h </w:instrText>
      </w:r>
      <w:r w:rsidR="0003792C">
        <w:rPr>
          <w:vertAlign w:val="superscript"/>
        </w:rPr>
        <w:instrText xml:space="preserve"> \* MERGEFORMAT </w:instrText>
      </w:r>
      <w:r w:rsidR="0003792C" w:rsidRPr="00281B1A">
        <w:rPr>
          <w:vertAlign w:val="superscript"/>
        </w:rPr>
      </w:r>
      <w:r w:rsidR="0003792C" w:rsidRPr="00281B1A">
        <w:rPr>
          <w:vertAlign w:val="superscript"/>
        </w:rPr>
        <w:fldChar w:fldCharType="separate"/>
      </w:r>
      <w:r w:rsidR="00547BEA">
        <w:rPr>
          <w:vertAlign w:val="superscript"/>
        </w:rPr>
        <w:t>17</w:t>
      </w:r>
      <w:r w:rsidR="0003792C" w:rsidRPr="00281B1A">
        <w:rPr>
          <w:vertAlign w:val="superscript"/>
        </w:rPr>
        <w:fldChar w:fldCharType="end"/>
      </w:r>
      <w:r>
        <w:t xml:space="preserve"> and anticoagulants were allowed with caution. Strong C</w:t>
      </w:r>
      <w:r w:rsidR="00745740">
        <w:t>Y</w:t>
      </w:r>
      <w:r>
        <w:t>P3A4/5 inhibitors/ inducers and strong UG</w:t>
      </w:r>
      <w:r w:rsidR="00BC5016">
        <w:t>T</w:t>
      </w:r>
      <w:r>
        <w:t xml:space="preserve">1A/2B inducers and drugs with a known, </w:t>
      </w:r>
      <w:proofErr w:type="gramStart"/>
      <w:r>
        <w:t>possible</w:t>
      </w:r>
      <w:proofErr w:type="gramEnd"/>
      <w:r>
        <w:t xml:space="preserve"> or conditional risk of </w:t>
      </w:r>
      <w:r w:rsidRPr="00260D38">
        <w:rPr>
          <w:i/>
          <w:iCs/>
        </w:rPr>
        <w:t>torsade de pointes</w:t>
      </w:r>
      <w:r w:rsidR="00E334B2">
        <w:rPr>
          <w:iCs/>
        </w:rPr>
        <w:t>;</w:t>
      </w:r>
      <w:bookmarkStart w:id="62" w:name="_Ref131404670"/>
      <w:r w:rsidR="00E334B2">
        <w:rPr>
          <w:rStyle w:val="FootnoteReference"/>
          <w:iCs/>
        </w:rPr>
        <w:footnoteReference w:id="37"/>
      </w:r>
      <w:bookmarkEnd w:id="62"/>
      <w:r>
        <w:t xml:space="preserve"> were prohibited for patients given asciminib and strong or moderate CYP3A inhibitors/ inducers and pH altering medications were prohibited for patients given bosutinib. All patients were prohibited from receiving other anticancer drugs.</w:t>
      </w:r>
    </w:p>
    <w:p w14:paraId="1FF79598" w14:textId="435C17AD" w:rsidR="00745740" w:rsidRDefault="00745740" w:rsidP="00776609">
      <w:r>
        <w:t xml:space="preserve">The study design for Study A2301 is shown below in </w:t>
      </w:r>
      <w:r>
        <w:fldChar w:fldCharType="begin"/>
      </w:r>
      <w:r>
        <w:instrText xml:space="preserve"> REF _Ref131179421 \h </w:instrText>
      </w:r>
      <w:r>
        <w:fldChar w:fldCharType="separate"/>
      </w:r>
      <w:r w:rsidR="00547BEA">
        <w:t xml:space="preserve">Figure </w:t>
      </w:r>
      <w:r w:rsidR="00547BEA">
        <w:rPr>
          <w:noProof/>
        </w:rPr>
        <w:t>2</w:t>
      </w:r>
      <w:r w:rsidR="00547BEA">
        <w:t>: Study A2301</w:t>
      </w:r>
      <w:r w:rsidR="00547BEA" w:rsidRPr="00997102">
        <w:t xml:space="preserve"> </w:t>
      </w:r>
      <w:r w:rsidR="00547BEA">
        <w:t>(ASCEMBL trial) Study design</w:t>
      </w:r>
      <w:r>
        <w:fldChar w:fldCharType="end"/>
      </w:r>
    </w:p>
    <w:p w14:paraId="6AAC1B54" w14:textId="5394862B" w:rsidR="00776609" w:rsidRDefault="00776609" w:rsidP="006218B6">
      <w:pPr>
        <w:pStyle w:val="FigureTitle"/>
      </w:pPr>
      <w:bookmarkStart w:id="63" w:name="_Ref131179421"/>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547BEA">
        <w:rPr>
          <w:noProof/>
        </w:rPr>
        <w:t>2</w:t>
      </w:r>
      <w:r>
        <w:rPr>
          <w:color w:val="2B579A"/>
          <w:shd w:val="clear" w:color="auto" w:fill="E6E6E6"/>
        </w:rPr>
        <w:fldChar w:fldCharType="end"/>
      </w:r>
      <w:r>
        <w:t>: Study A2301</w:t>
      </w:r>
      <w:r w:rsidR="00997102" w:rsidRPr="00997102">
        <w:t xml:space="preserve"> </w:t>
      </w:r>
      <w:r w:rsidR="00745740">
        <w:t xml:space="preserve">(ASCEMBL trial) Study </w:t>
      </w:r>
      <w:r w:rsidR="00997102">
        <w:t>design</w:t>
      </w:r>
      <w:bookmarkEnd w:id="63"/>
    </w:p>
    <w:p w14:paraId="7DB06192" w14:textId="3DE45794" w:rsidR="00776609" w:rsidRDefault="00776609" w:rsidP="00776609">
      <w:r>
        <w:rPr>
          <w:noProof/>
          <w:color w:val="2B579A"/>
          <w:shd w:val="clear" w:color="auto" w:fill="E6E6E6"/>
          <w:lang w:val="en-GB" w:eastAsia="en-GB"/>
        </w:rPr>
        <w:drawing>
          <wp:inline distT="0" distB="0" distL="0" distR="0" wp14:anchorId="5C038953" wp14:editId="4A6EFCF2">
            <wp:extent cx="5371000" cy="1856740"/>
            <wp:effectExtent l="0" t="0" r="1270" b="0"/>
            <wp:docPr id="3" name="Picture 3" descr="Study A2301 design. 222 chronic myeloid leukaemia in chronic phase patients were to be randomised in a 2:1 ratio to asciminib 40 mg twice a day or bosutinib 500 mg once daily respectively. Patients were monitored for failure/intolerance until survival follow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udy A2301 design. 222 chronic myeloid leukaemia in chronic phase patients were to be randomised in a 2:1 ratio to asciminib 40 mg twice a day or bosutinib 500 mg once daily respectively. Patients were monitored for failure/intolerance until survival follow up."/>
                    <pic:cNvPicPr>
                      <a:picLocks noChangeAspect="1" noChangeArrowheads="1"/>
                    </pic:cNvPicPr>
                  </pic:nvPicPr>
                  <pic:blipFill rotWithShape="1">
                    <a:blip r:embed="rId25">
                      <a:extLst>
                        <a:ext uri="{28A0092B-C50C-407E-A947-70E740481C1C}">
                          <a14:useLocalDpi xmlns:a14="http://schemas.microsoft.com/office/drawing/2010/main" val="0"/>
                        </a:ext>
                      </a:extLst>
                    </a:blip>
                    <a:srcRect l="4281" t="18755" r="6151"/>
                    <a:stretch/>
                  </pic:blipFill>
                  <pic:spPr bwMode="auto">
                    <a:xfrm>
                      <a:off x="0" y="0"/>
                      <a:ext cx="5385787" cy="1861852"/>
                    </a:xfrm>
                    <a:prstGeom prst="rect">
                      <a:avLst/>
                    </a:prstGeom>
                    <a:noFill/>
                    <a:ln>
                      <a:noFill/>
                    </a:ln>
                    <a:extLst>
                      <a:ext uri="{53640926-AAD7-44D8-BBD7-CCE9431645EC}">
                        <a14:shadowObscured xmlns:a14="http://schemas.microsoft.com/office/drawing/2010/main"/>
                      </a:ext>
                    </a:extLst>
                  </pic:spPr>
                </pic:pic>
              </a:graphicData>
            </a:graphic>
          </wp:inline>
        </w:drawing>
      </w:r>
    </w:p>
    <w:p w14:paraId="363B5B8A" w14:textId="5BE3BB10" w:rsidR="006218B6" w:rsidRPr="006218B6" w:rsidRDefault="006218B6" w:rsidP="006218B6">
      <w:r w:rsidRPr="006218B6">
        <w:t xml:space="preserve">Molecular response was assessed based on levels of </w:t>
      </w:r>
      <w:proofErr w:type="gramStart"/>
      <w:r w:rsidR="007A021D" w:rsidRPr="00281B1A">
        <w:rPr>
          <w:i/>
          <w:iCs/>
        </w:rPr>
        <w:t>BCR::</w:t>
      </w:r>
      <w:proofErr w:type="gramEnd"/>
      <w:r w:rsidR="007A021D" w:rsidRPr="00281B1A">
        <w:rPr>
          <w:i/>
          <w:iCs/>
        </w:rPr>
        <w:t>ABL1</w:t>
      </w:r>
      <w:r w:rsidRPr="006218B6">
        <w:t xml:space="preserve"> transcripts that were determined by real</w:t>
      </w:r>
      <w:r w:rsidR="00D2795A">
        <w:t xml:space="preserve"> </w:t>
      </w:r>
      <w:r w:rsidRPr="006218B6">
        <w:t>time quantitative</w:t>
      </w:r>
      <w:r w:rsidR="006A4419">
        <w:t xml:space="preserve"> polymerase chain reaction</w:t>
      </w:r>
      <w:r w:rsidRPr="006218B6">
        <w:t xml:space="preserve"> </w:t>
      </w:r>
      <w:r w:rsidR="006A4419">
        <w:t>(</w:t>
      </w:r>
      <w:r w:rsidRPr="006218B6">
        <w:t>PCR</w:t>
      </w:r>
      <w:r w:rsidR="006A4419">
        <w:t>)</w:t>
      </w:r>
      <w:r w:rsidRPr="006218B6">
        <w:t xml:space="preserve"> testing of peripheral blood and analysed at a central testing laboratory. Log reduction in </w:t>
      </w:r>
      <w:proofErr w:type="gramStart"/>
      <w:r w:rsidR="007A021D" w:rsidRPr="00281B1A">
        <w:rPr>
          <w:i/>
          <w:iCs/>
        </w:rPr>
        <w:t>BCR::</w:t>
      </w:r>
      <w:proofErr w:type="gramEnd"/>
      <w:r w:rsidR="007A021D" w:rsidRPr="00281B1A">
        <w:rPr>
          <w:i/>
          <w:iCs/>
        </w:rPr>
        <w:t>ABL1</w:t>
      </w:r>
      <w:r w:rsidRPr="006218B6">
        <w:t xml:space="preserve"> transcripts levels from the standard</w:t>
      </w:r>
      <w:r w:rsidR="00F62E65">
        <w:t>is</w:t>
      </w:r>
      <w:r w:rsidRPr="006218B6">
        <w:t xml:space="preserve">ed baseline value, or the percent ratio of </w:t>
      </w:r>
      <w:r w:rsidR="007A021D" w:rsidRPr="00281B1A">
        <w:rPr>
          <w:i/>
          <w:iCs/>
        </w:rPr>
        <w:t>BCR::ABL1</w:t>
      </w:r>
      <w:r w:rsidRPr="006218B6">
        <w:t xml:space="preserve"> transcripts versus control gene (ABL) transcripts converted to a reference standard, international </w:t>
      </w:r>
      <w:r w:rsidRPr="006A4419">
        <w:t>scale</w:t>
      </w:r>
      <w:r w:rsidR="009B2D8A">
        <w:t xml:space="preserve"> </w:t>
      </w:r>
      <w:r w:rsidR="000B0BCC">
        <w:t xml:space="preserve">(IS) </w:t>
      </w:r>
      <w:r w:rsidR="00997102" w:rsidRPr="006218B6">
        <w:t>was</w:t>
      </w:r>
      <w:r w:rsidRPr="006218B6">
        <w:t xml:space="preserve"> calculated for each sample.</w:t>
      </w:r>
      <w:r w:rsidR="009B2D8A">
        <w:rPr>
          <w:rStyle w:val="FootnoteReference"/>
        </w:rPr>
        <w:footnoteReference w:id="38"/>
      </w:r>
    </w:p>
    <w:p w14:paraId="1E338D29" w14:textId="764B7357" w:rsidR="006218B6" w:rsidRPr="006218B6" w:rsidRDefault="006218B6" w:rsidP="006218B6">
      <w:r w:rsidRPr="006218B6">
        <w:t xml:space="preserve">Cytogenetic response was assessed locally as the percentage of </w:t>
      </w:r>
      <w:r>
        <w:t>Philadelphia chromosome positive</w:t>
      </w:r>
      <w:r w:rsidRPr="006218B6">
        <w:t xml:space="preserve"> metaphases in bone marrow and was defined as the following (a review of a minimum of 20 metaphases was required):</w:t>
      </w:r>
    </w:p>
    <w:p w14:paraId="3ABB1112" w14:textId="4A8C3E29" w:rsidR="006218B6" w:rsidRPr="006218B6" w:rsidRDefault="006218B6" w:rsidP="006218B6">
      <w:pPr>
        <w:pStyle w:val="ListBullet"/>
      </w:pPr>
      <w:r w:rsidRPr="006218B6">
        <w:t xml:space="preserve">Complete </w:t>
      </w:r>
      <w:r>
        <w:t>c</w:t>
      </w:r>
      <w:r w:rsidRPr="006218B6">
        <w:t>ytogenetic response</w:t>
      </w:r>
      <w:r w:rsidR="00E334B2">
        <w:t>:</w:t>
      </w:r>
      <w:r w:rsidRPr="006218B6">
        <w:t xml:space="preserve"> 0% </w:t>
      </w:r>
      <w:r>
        <w:t>Philadelphia chromosome positive</w:t>
      </w:r>
      <w:r w:rsidRPr="006218B6">
        <w:t xml:space="preserve"> metaphases</w:t>
      </w:r>
    </w:p>
    <w:p w14:paraId="358ABBB4" w14:textId="18DF185D" w:rsidR="006218B6" w:rsidRPr="006218B6" w:rsidRDefault="006218B6" w:rsidP="006218B6">
      <w:pPr>
        <w:pStyle w:val="ListBullet"/>
      </w:pPr>
      <w:r w:rsidRPr="006218B6">
        <w:t xml:space="preserve">Partial </w:t>
      </w:r>
      <w:r>
        <w:t>c</w:t>
      </w:r>
      <w:r w:rsidRPr="006218B6">
        <w:t>ytogenetic response</w:t>
      </w:r>
      <w:r w:rsidR="00E334B2">
        <w:t>:</w:t>
      </w:r>
      <w:r w:rsidRPr="006218B6">
        <w:t xml:space="preserve"> </w:t>
      </w:r>
      <w:r>
        <w:t xml:space="preserve">greater than </w:t>
      </w:r>
      <w:r w:rsidRPr="006218B6">
        <w:t>0</w:t>
      </w:r>
      <w:r w:rsidR="00997102">
        <w:t>%</w:t>
      </w:r>
      <w:r w:rsidRPr="006218B6">
        <w:t xml:space="preserve"> to 35% </w:t>
      </w:r>
      <w:r>
        <w:t>Philadelphia chromosome positive</w:t>
      </w:r>
      <w:r w:rsidRPr="006218B6">
        <w:t xml:space="preserve"> metaphases</w:t>
      </w:r>
    </w:p>
    <w:p w14:paraId="264FABE7" w14:textId="0FF9C6ED" w:rsidR="006218B6" w:rsidRPr="006218B6" w:rsidRDefault="006218B6" w:rsidP="006218B6">
      <w:pPr>
        <w:pStyle w:val="ListBullet"/>
      </w:pPr>
      <w:r w:rsidRPr="006218B6">
        <w:t xml:space="preserve">Major </w:t>
      </w:r>
      <w:r>
        <w:t>c</w:t>
      </w:r>
      <w:r w:rsidRPr="006218B6">
        <w:t>ytogenetic response</w:t>
      </w:r>
      <w:r w:rsidR="00E334B2">
        <w:t>:</w:t>
      </w:r>
      <w:r w:rsidRPr="006218B6">
        <w:t xml:space="preserve"> 0</w:t>
      </w:r>
      <w:r w:rsidR="00997102">
        <w:t>%</w:t>
      </w:r>
      <w:r w:rsidRPr="006218B6">
        <w:t xml:space="preserve"> to 35% </w:t>
      </w:r>
      <w:r>
        <w:t>Philadelphia chromosome positive</w:t>
      </w:r>
      <w:r w:rsidRPr="006218B6">
        <w:t xml:space="preserve"> metaphases</w:t>
      </w:r>
    </w:p>
    <w:p w14:paraId="598289A5" w14:textId="4F2CB4CF" w:rsidR="006218B6" w:rsidRPr="006218B6" w:rsidRDefault="006218B6" w:rsidP="006218B6">
      <w:pPr>
        <w:pStyle w:val="ListBullet"/>
      </w:pPr>
      <w:r w:rsidRPr="006218B6">
        <w:t xml:space="preserve">Minor </w:t>
      </w:r>
      <w:r>
        <w:t>c</w:t>
      </w:r>
      <w:r w:rsidRPr="006218B6">
        <w:t>ytogenetic response</w:t>
      </w:r>
      <w:r w:rsidR="00E334B2">
        <w:t>:</w:t>
      </w:r>
      <w:r w:rsidRPr="006218B6">
        <w:t xml:space="preserve"> </w:t>
      </w:r>
      <w:r>
        <w:t xml:space="preserve">greater than </w:t>
      </w:r>
      <w:r w:rsidRPr="006218B6">
        <w:t>35</w:t>
      </w:r>
      <w:r w:rsidR="00997102">
        <w:t>%</w:t>
      </w:r>
      <w:r w:rsidRPr="006218B6">
        <w:t xml:space="preserve"> to 65% </w:t>
      </w:r>
      <w:r>
        <w:t>Philadelphia chromosome positive</w:t>
      </w:r>
      <w:r w:rsidRPr="006218B6">
        <w:t xml:space="preserve"> metaphases</w:t>
      </w:r>
    </w:p>
    <w:p w14:paraId="7FE758C7" w14:textId="01213F72" w:rsidR="006218B6" w:rsidRPr="006218B6" w:rsidRDefault="006218B6" w:rsidP="006218B6">
      <w:pPr>
        <w:pStyle w:val="ListBullet"/>
      </w:pPr>
      <w:r w:rsidRPr="006218B6">
        <w:t>Minimal</w:t>
      </w:r>
      <w:r>
        <w:t xml:space="preserve"> c</w:t>
      </w:r>
      <w:r w:rsidRPr="006218B6">
        <w:t>ytogenetic response</w:t>
      </w:r>
      <w:r w:rsidR="00E334B2">
        <w:t>:</w:t>
      </w:r>
      <w:r w:rsidRPr="006218B6">
        <w:t xml:space="preserve"> </w:t>
      </w:r>
      <w:r>
        <w:t xml:space="preserve">greater than </w:t>
      </w:r>
      <w:r w:rsidRPr="006218B6">
        <w:t>65</w:t>
      </w:r>
      <w:r w:rsidR="00997102">
        <w:t>%</w:t>
      </w:r>
      <w:r w:rsidRPr="006218B6">
        <w:t xml:space="preserve"> to 95% </w:t>
      </w:r>
      <w:r>
        <w:t>Philadelphia chromosome positive</w:t>
      </w:r>
      <w:r w:rsidRPr="006218B6">
        <w:t xml:space="preserve"> metaphases</w:t>
      </w:r>
    </w:p>
    <w:p w14:paraId="6945C253" w14:textId="50B2B6F9" w:rsidR="006218B6" w:rsidRDefault="006218B6" w:rsidP="006218B6">
      <w:pPr>
        <w:pStyle w:val="ListBullet"/>
      </w:pPr>
      <w:r w:rsidRPr="006218B6">
        <w:t>None</w:t>
      </w:r>
      <w:r w:rsidR="00E334B2">
        <w:t>:</w:t>
      </w:r>
      <w:r w:rsidRPr="006218B6">
        <w:t xml:space="preserve"> </w:t>
      </w:r>
      <w:r>
        <w:t xml:space="preserve">greater than </w:t>
      </w:r>
      <w:r w:rsidRPr="006218B6">
        <w:t>95</w:t>
      </w:r>
      <w:r w:rsidR="00997102">
        <w:t>%</w:t>
      </w:r>
      <w:r w:rsidRPr="006218B6">
        <w:t xml:space="preserve"> to 100% </w:t>
      </w:r>
      <w:r>
        <w:t>Philadelphia chromosome positive</w:t>
      </w:r>
      <w:r w:rsidRPr="006218B6">
        <w:t xml:space="preserve"> metaphases</w:t>
      </w:r>
    </w:p>
    <w:p w14:paraId="47DC3593" w14:textId="6734F85B" w:rsidR="009B2D8A" w:rsidRDefault="009B2D8A" w:rsidP="009B2D8A">
      <w:r w:rsidRPr="009B2D8A">
        <w:t xml:space="preserve">Haematological responses were also assessed locally. Complete hematologic response was defined as </w:t>
      </w:r>
      <w:proofErr w:type="gramStart"/>
      <w:r w:rsidRPr="009B2D8A">
        <w:t>all of</w:t>
      </w:r>
      <w:proofErr w:type="gramEnd"/>
      <w:r w:rsidRPr="009B2D8A">
        <w:t xml:space="preserve"> the following present for </w:t>
      </w:r>
      <w:r w:rsidR="00AE6138">
        <w:t>greater than or equal to</w:t>
      </w:r>
      <w:r w:rsidRPr="009B2D8A">
        <w:t xml:space="preserve"> 4 weeks:</w:t>
      </w:r>
    </w:p>
    <w:p w14:paraId="788A5E28" w14:textId="084A3A1C" w:rsidR="009B2D8A" w:rsidRDefault="00AE6138" w:rsidP="009B2D8A">
      <w:pPr>
        <w:pStyle w:val="ListBullet"/>
      </w:pPr>
      <w:r>
        <w:t>White blood cell</w:t>
      </w:r>
      <w:r w:rsidR="009B2D8A">
        <w:t xml:space="preserve"> </w:t>
      </w:r>
      <w:proofErr w:type="gramStart"/>
      <w:r w:rsidR="009B2D8A">
        <w:t>count</w:t>
      </w:r>
      <w:proofErr w:type="gramEnd"/>
      <w:r w:rsidR="009B2D8A">
        <w:t xml:space="preserve"> </w:t>
      </w:r>
      <w:r>
        <w:t xml:space="preserve">less than </w:t>
      </w:r>
      <w:r w:rsidR="009B2D8A">
        <w:t xml:space="preserve">10 </w:t>
      </w:r>
      <w:r w:rsidR="00E334B2">
        <w:t xml:space="preserve">x </w:t>
      </w:r>
      <w:r w:rsidR="009B2D8A">
        <w:t>10</w:t>
      </w:r>
      <w:r w:rsidR="009B2D8A" w:rsidRPr="00AE6138">
        <w:rPr>
          <w:vertAlign w:val="superscript"/>
        </w:rPr>
        <w:t>9</w:t>
      </w:r>
      <w:r w:rsidR="009B2D8A">
        <w:t>/L</w:t>
      </w:r>
    </w:p>
    <w:p w14:paraId="6F4B1153" w14:textId="0612FBFB" w:rsidR="009B2D8A" w:rsidRDefault="009B2D8A" w:rsidP="009B2D8A">
      <w:pPr>
        <w:pStyle w:val="ListBullet"/>
      </w:pPr>
      <w:r>
        <w:t xml:space="preserve">Platelet count </w:t>
      </w:r>
      <w:r w:rsidR="00AE6138">
        <w:t xml:space="preserve">less than </w:t>
      </w:r>
      <w:r>
        <w:t xml:space="preserve">450 </w:t>
      </w:r>
      <w:r w:rsidR="00E334B2">
        <w:t xml:space="preserve">x </w:t>
      </w:r>
      <w:r>
        <w:t>10</w:t>
      </w:r>
      <w:r w:rsidRPr="00AE6138">
        <w:rPr>
          <w:vertAlign w:val="superscript"/>
        </w:rPr>
        <w:t>9</w:t>
      </w:r>
      <w:r>
        <w:t>/L</w:t>
      </w:r>
    </w:p>
    <w:p w14:paraId="2DE49377" w14:textId="6360C266" w:rsidR="009B2D8A" w:rsidRDefault="009B2D8A" w:rsidP="009B2D8A">
      <w:pPr>
        <w:pStyle w:val="ListBullet"/>
      </w:pPr>
      <w:r>
        <w:t xml:space="preserve">Basophils </w:t>
      </w:r>
      <w:r w:rsidR="00AE6138">
        <w:t xml:space="preserve">less than </w:t>
      </w:r>
      <w:r>
        <w:t>5%</w:t>
      </w:r>
    </w:p>
    <w:p w14:paraId="34FA0EE1" w14:textId="32157B2B" w:rsidR="009B2D8A" w:rsidRDefault="009B2D8A" w:rsidP="009B2D8A">
      <w:pPr>
        <w:pStyle w:val="ListBullet"/>
      </w:pPr>
      <w:r>
        <w:t>No blasts and promyelocytes in peripheral blood</w:t>
      </w:r>
    </w:p>
    <w:p w14:paraId="78198EA0" w14:textId="7C0C406D" w:rsidR="009B2D8A" w:rsidRDefault="009B2D8A" w:rsidP="009B2D8A">
      <w:pPr>
        <w:pStyle w:val="ListBullet"/>
      </w:pPr>
      <w:r>
        <w:t xml:space="preserve">Myelocytes </w:t>
      </w:r>
      <w:r w:rsidR="00AE6138">
        <w:t>and</w:t>
      </w:r>
      <w:r>
        <w:t xml:space="preserve"> metamyelocytes </w:t>
      </w:r>
      <w:r w:rsidR="00AE6138">
        <w:t xml:space="preserve">less than </w:t>
      </w:r>
      <w:r>
        <w:t>5% in peripheral blood</w:t>
      </w:r>
    </w:p>
    <w:p w14:paraId="36015BD8" w14:textId="00A5E758" w:rsidR="009B2D8A" w:rsidRDefault="009B2D8A" w:rsidP="009B2D8A">
      <w:pPr>
        <w:pStyle w:val="ListBullet"/>
      </w:pPr>
      <w:r>
        <w:t>No evidence of extramedullary disease, including spleen and liver</w:t>
      </w:r>
    </w:p>
    <w:p w14:paraId="1EE2CD45" w14:textId="33770C2F" w:rsidR="00AE6138" w:rsidRPr="00AE6138" w:rsidRDefault="00AE6138" w:rsidP="00AE6138">
      <w:r w:rsidRPr="00AE6138">
        <w:t xml:space="preserve">The following events constituted ‘treatment failure’, and are based on the </w:t>
      </w:r>
      <w:r>
        <w:t xml:space="preserve">European </w:t>
      </w:r>
      <w:proofErr w:type="spellStart"/>
      <w:r>
        <w:t>Leuke</w:t>
      </w:r>
      <w:r w:rsidR="00E11932">
        <w:t>mi</w:t>
      </w:r>
      <w:r>
        <w:t>aNet</w:t>
      </w:r>
      <w:proofErr w:type="spellEnd"/>
      <w:r w:rsidRPr="00AE6138">
        <w:t xml:space="preserve"> criteria defining failure of a second line treatment:</w:t>
      </w:r>
      <w:bookmarkStart w:id="64" w:name="_Ref127185376"/>
      <w:r>
        <w:rPr>
          <w:rStyle w:val="FootnoteReference"/>
        </w:rPr>
        <w:footnoteReference w:id="39"/>
      </w:r>
      <w:bookmarkEnd w:id="64"/>
    </w:p>
    <w:p w14:paraId="7DE991B3" w14:textId="405D4C02" w:rsidR="00AE6138" w:rsidRPr="00AE6138" w:rsidRDefault="00AE6138" w:rsidP="00AE6138">
      <w:pPr>
        <w:pStyle w:val="ListBullet"/>
      </w:pPr>
      <w:r w:rsidRPr="00AE6138">
        <w:lastRenderedPageBreak/>
        <w:t xml:space="preserve">No </w:t>
      </w:r>
      <w:r>
        <w:t>complete h</w:t>
      </w:r>
      <w:r w:rsidR="00E334B2">
        <w:t>a</w:t>
      </w:r>
      <w:r>
        <w:t>ematologic response</w:t>
      </w:r>
      <w:r w:rsidRPr="00AE6138">
        <w:t xml:space="preserve"> or </w:t>
      </w:r>
      <w:r>
        <w:t>greater than</w:t>
      </w:r>
      <w:r w:rsidRPr="00AE6138">
        <w:t xml:space="preserve"> 95% </w:t>
      </w:r>
      <w:r>
        <w:t>Philadelphia chromosome positive</w:t>
      </w:r>
      <w:r w:rsidRPr="00AE6138">
        <w:t xml:space="preserve"> metaphases at three months after randomisation or thereafter</w:t>
      </w:r>
    </w:p>
    <w:p w14:paraId="048784BB" w14:textId="215990E5" w:rsidR="00AE6138" w:rsidRPr="00AE6138" w:rsidRDefault="00AE6138" w:rsidP="00521E0E">
      <w:pPr>
        <w:pStyle w:val="ListBullet"/>
      </w:pPr>
      <w:proofErr w:type="gramStart"/>
      <w:r w:rsidRPr="00281B1A">
        <w:rPr>
          <w:i/>
          <w:iCs/>
        </w:rPr>
        <w:t>BCR</w:t>
      </w:r>
      <w:r w:rsidR="00C3797E" w:rsidRPr="00281B1A">
        <w:rPr>
          <w:i/>
          <w:iCs/>
        </w:rPr>
        <w:t>::</w:t>
      </w:r>
      <w:proofErr w:type="gramEnd"/>
      <w:r w:rsidRPr="00281B1A">
        <w:rPr>
          <w:i/>
          <w:iCs/>
        </w:rPr>
        <w:t>ABL</w:t>
      </w:r>
      <w:r w:rsidR="00C3797E" w:rsidRPr="00281B1A">
        <w:rPr>
          <w:i/>
          <w:iCs/>
        </w:rPr>
        <w:t>1</w:t>
      </w:r>
      <w:r w:rsidRPr="00AE6138">
        <w:t xml:space="preserve"> ratio </w:t>
      </w:r>
      <w:r w:rsidR="00521E0E">
        <w:t xml:space="preserve">greater than </w:t>
      </w:r>
      <w:r w:rsidRPr="00AE6138">
        <w:t xml:space="preserve">10% </w:t>
      </w:r>
      <w:r w:rsidR="009B4462">
        <w:t>IS</w:t>
      </w:r>
      <w:r w:rsidRPr="00AE6138">
        <w:t xml:space="preserve"> and/or </w:t>
      </w:r>
      <w:r w:rsidR="00521E0E">
        <w:t>greater than</w:t>
      </w:r>
      <w:r w:rsidRPr="00AE6138">
        <w:t xml:space="preserve"> 65%</w:t>
      </w:r>
      <w:r w:rsidR="00521E0E" w:rsidRPr="00521E0E">
        <w:t xml:space="preserve"> Philadelphia chromosome positive</w:t>
      </w:r>
      <w:r w:rsidRPr="00AE6138">
        <w:t xml:space="preserve"> metaphases at six months after randomisation or thereafter</w:t>
      </w:r>
    </w:p>
    <w:p w14:paraId="5DFBA16B" w14:textId="04186A53" w:rsidR="00AE6138" w:rsidRPr="00AE6138" w:rsidRDefault="00AE6138" w:rsidP="00521E0E">
      <w:pPr>
        <w:pStyle w:val="ListBullet"/>
      </w:pPr>
      <w:proofErr w:type="gramStart"/>
      <w:r w:rsidRPr="00281B1A">
        <w:rPr>
          <w:i/>
          <w:iCs/>
        </w:rPr>
        <w:t>BCR</w:t>
      </w:r>
      <w:r w:rsidR="00C3797E" w:rsidRPr="00281B1A">
        <w:rPr>
          <w:i/>
          <w:iCs/>
        </w:rPr>
        <w:t>::</w:t>
      </w:r>
      <w:proofErr w:type="gramEnd"/>
      <w:r w:rsidRPr="00281B1A">
        <w:rPr>
          <w:i/>
          <w:iCs/>
        </w:rPr>
        <w:t>ABL</w:t>
      </w:r>
      <w:r w:rsidR="00C3797E" w:rsidRPr="00281B1A">
        <w:rPr>
          <w:i/>
          <w:iCs/>
        </w:rPr>
        <w:t>1</w:t>
      </w:r>
      <w:r w:rsidRPr="00AE6138">
        <w:t xml:space="preserve"> ratio </w:t>
      </w:r>
      <w:r w:rsidR="00521E0E">
        <w:t>greater than</w:t>
      </w:r>
      <w:r w:rsidRPr="00AE6138">
        <w:t xml:space="preserve"> 10% </w:t>
      </w:r>
      <w:r w:rsidR="009B4462">
        <w:t>IS</w:t>
      </w:r>
      <w:r w:rsidRPr="00AE6138">
        <w:t xml:space="preserve"> and/or </w:t>
      </w:r>
      <w:r w:rsidR="00521E0E">
        <w:t>greater than</w:t>
      </w:r>
      <w:r w:rsidRPr="00AE6138">
        <w:t xml:space="preserve"> 35% </w:t>
      </w:r>
      <w:r w:rsidR="00521E0E">
        <w:t>Philadelphia chromosome positive</w:t>
      </w:r>
      <w:r w:rsidRPr="00AE6138">
        <w:t xml:space="preserve"> metaphases at 12 months after randomisation or thereafter</w:t>
      </w:r>
    </w:p>
    <w:p w14:paraId="196C7B83" w14:textId="3FCAA6AD" w:rsidR="00AE6138" w:rsidRPr="00AE6138" w:rsidRDefault="00AE6138" w:rsidP="00521E0E">
      <w:pPr>
        <w:pStyle w:val="ListBullet"/>
      </w:pPr>
      <w:r w:rsidRPr="00AE6138">
        <w:t xml:space="preserve">Loss of </w:t>
      </w:r>
      <w:r w:rsidR="00521E0E">
        <w:t>complete hematologic response</w:t>
      </w:r>
      <w:r w:rsidRPr="00AE6138">
        <w:t xml:space="preserve">, </w:t>
      </w:r>
      <w:r w:rsidR="00521E0E">
        <w:t xml:space="preserve">complete cytogenetic </w:t>
      </w:r>
      <w:proofErr w:type="gramStart"/>
      <w:r w:rsidR="00521E0E">
        <w:t>response</w:t>
      </w:r>
      <w:proofErr w:type="gramEnd"/>
      <w:r w:rsidRPr="00AE6138">
        <w:t xml:space="preserve"> or</w:t>
      </w:r>
      <w:r w:rsidR="00521E0E">
        <w:t xml:space="preserve"> partial cytogenetic response</w:t>
      </w:r>
      <w:r w:rsidRPr="00AE6138">
        <w:t xml:space="preserve"> at any time after randomisation</w:t>
      </w:r>
    </w:p>
    <w:p w14:paraId="71CB0ACE" w14:textId="37B3B06B" w:rsidR="00AE6138" w:rsidRPr="00AE6138" w:rsidRDefault="00AE6138" w:rsidP="00521E0E">
      <w:pPr>
        <w:pStyle w:val="ListBullet"/>
      </w:pPr>
      <w:r w:rsidRPr="00AE6138">
        <w:t xml:space="preserve">Detection of new </w:t>
      </w:r>
      <w:proofErr w:type="gramStart"/>
      <w:r w:rsidRPr="00281B1A">
        <w:rPr>
          <w:i/>
          <w:iCs/>
        </w:rPr>
        <w:t>BCR</w:t>
      </w:r>
      <w:r w:rsidR="007A021D">
        <w:rPr>
          <w:i/>
          <w:iCs/>
        </w:rPr>
        <w:t>::</w:t>
      </w:r>
      <w:proofErr w:type="gramEnd"/>
      <w:r w:rsidRPr="00281B1A">
        <w:rPr>
          <w:i/>
          <w:iCs/>
        </w:rPr>
        <w:t>ABL</w:t>
      </w:r>
      <w:r w:rsidR="007A021D">
        <w:rPr>
          <w:i/>
          <w:iCs/>
        </w:rPr>
        <w:t>1</w:t>
      </w:r>
      <w:r w:rsidRPr="00AE6138">
        <w:t xml:space="preserve"> mutations at any time after randomisation</w:t>
      </w:r>
    </w:p>
    <w:p w14:paraId="156A8636" w14:textId="0383D08B" w:rsidR="00AE6138" w:rsidRPr="00AE6138" w:rsidRDefault="00AE6138" w:rsidP="00521E0E">
      <w:pPr>
        <w:pStyle w:val="ListBullet"/>
      </w:pPr>
      <w:r w:rsidRPr="00AE6138">
        <w:t xml:space="preserve">Confirmed loss of </w:t>
      </w:r>
      <w:r w:rsidR="00521E0E">
        <w:t>major molecular response i</w:t>
      </w:r>
      <w:r w:rsidRPr="00AE6138">
        <w:t xml:space="preserve">n </w:t>
      </w:r>
      <w:r w:rsidR="00521E0E">
        <w:t>two</w:t>
      </w:r>
      <w:r w:rsidRPr="00AE6138">
        <w:t xml:space="preserve"> consecutive tests, of which one must have a </w:t>
      </w:r>
      <w:proofErr w:type="gramStart"/>
      <w:r w:rsidRPr="00281B1A">
        <w:rPr>
          <w:i/>
          <w:iCs/>
        </w:rPr>
        <w:t>BCR</w:t>
      </w:r>
      <w:r w:rsidR="007A021D" w:rsidRPr="00281B1A">
        <w:rPr>
          <w:i/>
          <w:iCs/>
        </w:rPr>
        <w:t>::</w:t>
      </w:r>
      <w:proofErr w:type="gramEnd"/>
      <w:r w:rsidRPr="00281B1A">
        <w:rPr>
          <w:i/>
          <w:iCs/>
        </w:rPr>
        <w:t>ABL</w:t>
      </w:r>
      <w:r w:rsidR="007A021D" w:rsidRPr="00281B1A">
        <w:rPr>
          <w:i/>
          <w:iCs/>
        </w:rPr>
        <w:t>1</w:t>
      </w:r>
      <w:r w:rsidRPr="00AE6138">
        <w:t xml:space="preserve"> ratio</w:t>
      </w:r>
      <w:r w:rsidR="00521E0E">
        <w:t xml:space="preserve"> greater than or equal to</w:t>
      </w:r>
      <w:r w:rsidRPr="00AE6138">
        <w:t xml:space="preserve"> 1% </w:t>
      </w:r>
      <w:r w:rsidR="009B4462">
        <w:t>IS</w:t>
      </w:r>
      <w:r w:rsidRPr="00AE6138">
        <w:t xml:space="preserve"> </w:t>
      </w:r>
      <w:r w:rsidR="00521E0E">
        <w:t>six</w:t>
      </w:r>
      <w:r w:rsidRPr="00AE6138">
        <w:t xml:space="preserve"> months after randomisation</w:t>
      </w:r>
    </w:p>
    <w:p w14:paraId="77A8CC7E" w14:textId="0F63561F" w:rsidR="00AE6138" w:rsidRDefault="00AE6138" w:rsidP="00521E0E">
      <w:pPr>
        <w:pStyle w:val="ListBullet"/>
      </w:pPr>
      <w:r w:rsidRPr="00AE6138">
        <w:t xml:space="preserve">New clonal chromosome abnormalities in </w:t>
      </w:r>
      <w:r w:rsidR="00521E0E" w:rsidRPr="00521E0E">
        <w:t>Philadelphia chromosome positive</w:t>
      </w:r>
      <w:r w:rsidRPr="00AE6138">
        <w:t xml:space="preserve"> cells</w:t>
      </w:r>
      <w:r w:rsidR="00521E0E">
        <w:t xml:space="preserve"> </w:t>
      </w:r>
      <w:r w:rsidRPr="00AE6138">
        <w:t>at any time after randomisation</w:t>
      </w:r>
    </w:p>
    <w:p w14:paraId="1596111B" w14:textId="77777777" w:rsidR="00E334B2" w:rsidRDefault="00521E0E" w:rsidP="00521E0E">
      <w:r w:rsidRPr="00521E0E">
        <w:t>In the event of disease progression, the patient was to be discontinued from the study.</w:t>
      </w:r>
    </w:p>
    <w:p w14:paraId="1E3484F5" w14:textId="30B55CF2" w:rsidR="00521E0E" w:rsidRPr="00521E0E" w:rsidRDefault="00521E0E" w:rsidP="00521E0E">
      <w:r w:rsidRPr="00521E0E">
        <w:t>The following events are considered disease progression</w:t>
      </w:r>
      <w:r w:rsidR="00E334B2">
        <w:t>:</w:t>
      </w:r>
    </w:p>
    <w:p w14:paraId="5FDD7DB9" w14:textId="0F976A37" w:rsidR="00521E0E" w:rsidRPr="00521E0E" w:rsidRDefault="00521E0E" w:rsidP="00521E0E">
      <w:pPr>
        <w:pStyle w:val="Numberbullet0"/>
      </w:pPr>
      <w:r>
        <w:t xml:space="preserve">Chronic myeloid </w:t>
      </w:r>
      <w:r w:rsidR="001B10B9">
        <w:t>leukaemia</w:t>
      </w:r>
      <w:r>
        <w:t xml:space="preserve"> </w:t>
      </w:r>
      <w:r w:rsidRPr="00521E0E">
        <w:t>related death (any death during treatment or follow</w:t>
      </w:r>
      <w:r w:rsidR="00D2795A">
        <w:t xml:space="preserve"> </w:t>
      </w:r>
      <w:r w:rsidRPr="00521E0E">
        <w:t xml:space="preserve">up if the principal cause of death is marked as </w:t>
      </w:r>
      <w:r>
        <w:t>‘</w:t>
      </w:r>
      <w:r w:rsidRPr="00521E0E">
        <w:t>study indication</w:t>
      </w:r>
      <w:r>
        <w:t>’</w:t>
      </w:r>
      <w:r w:rsidRPr="00521E0E">
        <w:t xml:space="preserve"> in the </w:t>
      </w:r>
      <w:r>
        <w:t>electronic case report form</w:t>
      </w:r>
      <w:r w:rsidRPr="00521E0E">
        <w:t xml:space="preserve"> by the investigator, or if the death occurred </w:t>
      </w:r>
      <w:proofErr w:type="gramStart"/>
      <w:r w:rsidRPr="00521E0E">
        <w:t>subsequent to</w:t>
      </w:r>
      <w:proofErr w:type="gramEnd"/>
      <w:r w:rsidRPr="00521E0E">
        <w:t xml:space="preserve"> documented progression to </w:t>
      </w:r>
      <w:r>
        <w:t>accelerated phase</w:t>
      </w:r>
      <w:r w:rsidRPr="00521E0E">
        <w:t>/</w:t>
      </w:r>
      <w:r>
        <w:t>blast phase</w:t>
      </w:r>
      <w:r w:rsidRPr="00521E0E">
        <w:t xml:space="preserve"> and the cause of death is reported as </w:t>
      </w:r>
      <w:r>
        <w:t>‘</w:t>
      </w:r>
      <w:r w:rsidRPr="00521E0E">
        <w:t>unknown</w:t>
      </w:r>
      <w:r>
        <w:t>’</w:t>
      </w:r>
      <w:r w:rsidRPr="00521E0E">
        <w:t xml:space="preserve"> or not reported by the investigator)</w:t>
      </w:r>
      <w:r>
        <w:t>.</w:t>
      </w:r>
    </w:p>
    <w:p w14:paraId="4F2D106D" w14:textId="6AAFDA49" w:rsidR="00521E0E" w:rsidRPr="00521E0E" w:rsidRDefault="00521E0E" w:rsidP="00521E0E">
      <w:pPr>
        <w:pStyle w:val="Numberbullet0"/>
      </w:pPr>
      <w:r w:rsidRPr="00521E0E">
        <w:t>Accelerated phase as defined by any of the following:</w:t>
      </w:r>
    </w:p>
    <w:p w14:paraId="29FFD08F" w14:textId="38BB7346" w:rsidR="00521E0E" w:rsidRPr="00521E0E" w:rsidRDefault="00521E0E" w:rsidP="00281B1A">
      <w:pPr>
        <w:pStyle w:val="ListBullet2"/>
      </w:pPr>
      <w:r w:rsidRPr="00521E0E">
        <w:t xml:space="preserve">15% </w:t>
      </w:r>
      <w:r w:rsidR="00E334B2">
        <w:t xml:space="preserve">or more </w:t>
      </w:r>
      <w:r w:rsidRPr="00521E0E">
        <w:t xml:space="preserve">blasts in the peripheral blood or bone marrow aspirate, but </w:t>
      </w:r>
      <w:r w:rsidR="000E4899">
        <w:t>less than</w:t>
      </w:r>
      <w:r w:rsidRPr="00521E0E">
        <w:t xml:space="preserve"> 30% blasts in both the</w:t>
      </w:r>
      <w:r w:rsidR="000E4899">
        <w:t xml:space="preserve"> </w:t>
      </w:r>
      <w:r w:rsidRPr="00521E0E">
        <w:t>peripheral blood and bone marrow aspirate</w:t>
      </w:r>
    </w:p>
    <w:p w14:paraId="55F0BEFC" w14:textId="27421B36" w:rsidR="00521E0E" w:rsidRPr="00521E0E" w:rsidRDefault="00521E0E" w:rsidP="00281B1A">
      <w:pPr>
        <w:pStyle w:val="ListBullet2"/>
      </w:pPr>
      <w:r w:rsidRPr="00521E0E">
        <w:t xml:space="preserve">30% </w:t>
      </w:r>
      <w:r w:rsidR="00E334B2">
        <w:t xml:space="preserve">or more </w:t>
      </w:r>
      <w:r w:rsidRPr="00521E0E">
        <w:t>blasts plus promyelocytes in peripheral blood or bone marrow aspirate</w:t>
      </w:r>
    </w:p>
    <w:p w14:paraId="0FDBBCDD" w14:textId="52000991" w:rsidR="00521E0E" w:rsidRPr="00521E0E" w:rsidRDefault="00521E0E" w:rsidP="00281B1A">
      <w:pPr>
        <w:pStyle w:val="ListBullet2"/>
      </w:pPr>
      <w:r w:rsidRPr="00521E0E">
        <w:t xml:space="preserve">20% </w:t>
      </w:r>
      <w:r w:rsidR="00E334B2">
        <w:t xml:space="preserve">or more </w:t>
      </w:r>
      <w:r w:rsidRPr="00521E0E">
        <w:t>basophils in the peripheral blood</w:t>
      </w:r>
    </w:p>
    <w:p w14:paraId="7BE932AA" w14:textId="667BD0BF" w:rsidR="00521E0E" w:rsidRDefault="00521E0E" w:rsidP="00281B1A">
      <w:pPr>
        <w:pStyle w:val="ListBullet2"/>
      </w:pPr>
      <w:r w:rsidRPr="00521E0E">
        <w:t>Thrombocytopenia (</w:t>
      </w:r>
      <w:r w:rsidR="000E4899">
        <w:t xml:space="preserve">less than </w:t>
      </w:r>
      <w:r w:rsidRPr="00521E0E">
        <w:t xml:space="preserve">100 </w:t>
      </w:r>
      <w:r w:rsidR="00E334B2">
        <w:t xml:space="preserve">x </w:t>
      </w:r>
      <w:r w:rsidRPr="00521E0E">
        <w:t>10</w:t>
      </w:r>
      <w:r w:rsidRPr="000E4899">
        <w:rPr>
          <w:vertAlign w:val="superscript"/>
        </w:rPr>
        <w:t>9</w:t>
      </w:r>
      <w:r w:rsidRPr="00521E0E">
        <w:t>/L) that is unrelated to therapy</w:t>
      </w:r>
    </w:p>
    <w:p w14:paraId="03DAE4A3" w14:textId="24477127" w:rsidR="000E4899" w:rsidRPr="000E4899" w:rsidRDefault="000E4899" w:rsidP="000E4899">
      <w:r w:rsidRPr="000E4899">
        <w:t xml:space="preserve">Patients on bosutinib meeting treatment failure criteria are offered the option to switch to asciminib treatment within 96 weeks after the last patient was randomised on study. The patients who switched to asciminib would be able to receive asciminib up to the end of study treatment period. Patients are planned to receive treatment up to the </w:t>
      </w:r>
      <w:r>
        <w:t xml:space="preserve">end of study treatment </w:t>
      </w:r>
      <w:r w:rsidRPr="000E4899">
        <w:t xml:space="preserve">defined as up to 96 weeks after the last patient received the first dose or up to 48 weeks after the last patient had switched to asciminib treatment (whichever was </w:t>
      </w:r>
      <w:proofErr w:type="gramStart"/>
      <w:r w:rsidRPr="000E4899">
        <w:t>longer, unless</w:t>
      </w:r>
      <w:proofErr w:type="gramEnd"/>
      <w:r w:rsidRPr="000E4899">
        <w:t xml:space="preserve"> the patient had discontinued study treatment earlier).</w:t>
      </w:r>
    </w:p>
    <w:p w14:paraId="7F81E69A" w14:textId="6125819E" w:rsidR="000E4899" w:rsidRPr="000E4899" w:rsidRDefault="000E4899" w:rsidP="000E4899">
      <w:r w:rsidRPr="000E4899">
        <w:t>After the</w:t>
      </w:r>
      <w:r>
        <w:t xml:space="preserve"> end of study treatment</w:t>
      </w:r>
      <w:r w:rsidRPr="000E4899">
        <w:t>, the assigned study treatment would be made available to patients if the investigator believed they might benefit from therapy. This would be outside of this study through alternative options including, but not limited to, an expanded access/compassionate use/managed access program or access to commercial supplies in applicable countries.</w:t>
      </w:r>
    </w:p>
    <w:p w14:paraId="448531F6" w14:textId="16AF643D" w:rsidR="000E4899" w:rsidRDefault="000E4899" w:rsidP="000E4899">
      <w:r w:rsidRPr="000E4899">
        <w:t xml:space="preserve">Patients who discontinued study treatment at any time during the study were to be followed up for survival and for progression to </w:t>
      </w:r>
      <w:r>
        <w:t>accelerated phase</w:t>
      </w:r>
      <w:r w:rsidRPr="000E4899">
        <w:t>/</w:t>
      </w:r>
      <w:r>
        <w:t>blast phase</w:t>
      </w:r>
      <w:r w:rsidRPr="000E4899">
        <w:t xml:space="preserve"> for up to </w:t>
      </w:r>
      <w:r>
        <w:t xml:space="preserve">five </w:t>
      </w:r>
      <w:r w:rsidRPr="000E4899">
        <w:t xml:space="preserve">years from the date when the last randomised patient received the first dose (irrespective of treatment switch for patients failing bosutinib). No interim analysis was planned. In addition to the analyses at 96 weeks, end of study treatment analysis with a </w:t>
      </w:r>
      <w:proofErr w:type="spellStart"/>
      <w:r w:rsidRPr="000E4899">
        <w:t>cut</w:t>
      </w:r>
      <w:r w:rsidR="00D2795A">
        <w:t xml:space="preserve"> </w:t>
      </w:r>
      <w:r w:rsidRPr="000E4899">
        <w:t>off</w:t>
      </w:r>
      <w:proofErr w:type="spellEnd"/>
      <w:r w:rsidRPr="000E4899">
        <w:t xml:space="preserve"> date 30 days after the </w:t>
      </w:r>
      <w:r>
        <w:t>end of study treatment</w:t>
      </w:r>
      <w:r w:rsidRPr="000E4899">
        <w:t xml:space="preserve"> period and progression</w:t>
      </w:r>
      <w:r w:rsidR="00D2795A">
        <w:t xml:space="preserve"> </w:t>
      </w:r>
      <w:r w:rsidRPr="000E4899">
        <w:t xml:space="preserve">free survival </w:t>
      </w:r>
      <w:r w:rsidRPr="000E4899">
        <w:lastRenderedPageBreak/>
        <w:t xml:space="preserve">and overall survival update analyses at the end of the </w:t>
      </w:r>
      <w:r>
        <w:t>five</w:t>
      </w:r>
      <w:r w:rsidRPr="000E4899">
        <w:t xml:space="preserve"> </w:t>
      </w:r>
      <w:proofErr w:type="gramStart"/>
      <w:r w:rsidRPr="000E4899">
        <w:t>year</w:t>
      </w:r>
      <w:proofErr w:type="gramEnd"/>
      <w:r w:rsidRPr="000E4899">
        <w:t xml:space="preserve"> follow</w:t>
      </w:r>
      <w:r w:rsidR="00D2795A">
        <w:t xml:space="preserve"> </w:t>
      </w:r>
      <w:r w:rsidRPr="000E4899">
        <w:t>up period are planned.</w:t>
      </w:r>
    </w:p>
    <w:p w14:paraId="06C44F1D" w14:textId="6B10EC2D" w:rsidR="000E4899" w:rsidRPr="000E4899" w:rsidRDefault="000E4899" w:rsidP="000E4899">
      <w:pPr>
        <w:pStyle w:val="Heading6"/>
      </w:pPr>
      <w:r w:rsidRPr="000E4899">
        <w:t>Key Inclusion criteria</w:t>
      </w:r>
    </w:p>
    <w:p w14:paraId="341BC23C" w14:textId="77D312DF" w:rsidR="000E4899" w:rsidRPr="000E4899" w:rsidRDefault="000E4899" w:rsidP="00DC26BD">
      <w:pPr>
        <w:pStyle w:val="ListBullet"/>
      </w:pPr>
      <w:r w:rsidRPr="000E4899">
        <w:t>Male or female 18 years of age</w:t>
      </w:r>
      <w:r w:rsidR="00E334B2">
        <w:t xml:space="preserve"> or older</w:t>
      </w:r>
      <w:r w:rsidRPr="000E4899">
        <w:t xml:space="preserve"> with a diagnosis of </w:t>
      </w:r>
      <w:r>
        <w:t xml:space="preserve">chronic myeloid </w:t>
      </w:r>
      <w:r w:rsidR="001B10B9">
        <w:t>leukaemia</w:t>
      </w:r>
      <w:r>
        <w:t xml:space="preserve"> </w:t>
      </w:r>
      <w:r w:rsidR="00DC26BD">
        <w:t xml:space="preserve">in </w:t>
      </w:r>
      <w:r>
        <w:t>chronic phase</w:t>
      </w:r>
      <w:r w:rsidRPr="000E4899">
        <w:t xml:space="preserve">, who had received prior treatment with two or more ATP binding site </w:t>
      </w:r>
      <w:r w:rsidR="00B00744">
        <w:t>tyrosine kinase inhibitor</w:t>
      </w:r>
      <w:r w:rsidRPr="000E4899">
        <w:t>s (</w:t>
      </w:r>
      <w:r w:rsidR="00B00744">
        <w:t>that is,</w:t>
      </w:r>
      <w:r w:rsidRPr="000E4899">
        <w:t xml:space="preserve"> imatinib,</w:t>
      </w:r>
      <w:r w:rsidR="00A41D5B">
        <w:rPr>
          <w:color w:val="2B579A"/>
          <w:shd w:val="clear" w:color="auto" w:fill="E6E6E6"/>
        </w:rPr>
        <w:fldChar w:fldCharType="begin"/>
      </w:r>
      <w:r w:rsidR="00A41D5B">
        <w:instrText xml:space="preserve"> NOTEREF _Ref127872926 \f \h </w:instrText>
      </w:r>
      <w:r w:rsidR="00A41D5B">
        <w:rPr>
          <w:color w:val="2B579A"/>
          <w:shd w:val="clear" w:color="auto" w:fill="E6E6E6"/>
        </w:rPr>
      </w:r>
      <w:r w:rsidR="00A41D5B">
        <w:rPr>
          <w:color w:val="2B579A"/>
          <w:shd w:val="clear" w:color="auto" w:fill="E6E6E6"/>
        </w:rPr>
        <w:fldChar w:fldCharType="separate"/>
      </w:r>
      <w:r w:rsidR="00547BEA" w:rsidRPr="00547BEA">
        <w:rPr>
          <w:rStyle w:val="FootnoteReference"/>
        </w:rPr>
        <w:t>11</w:t>
      </w:r>
      <w:r w:rsidR="00A41D5B">
        <w:rPr>
          <w:color w:val="2B579A"/>
          <w:shd w:val="clear" w:color="auto" w:fill="E6E6E6"/>
        </w:rPr>
        <w:fldChar w:fldCharType="end"/>
      </w:r>
      <w:r w:rsidRPr="000E4899">
        <w:t xml:space="preserve"> nilotinib,</w:t>
      </w:r>
      <w:r w:rsidR="00A41D5B">
        <w:rPr>
          <w:color w:val="2B579A"/>
          <w:shd w:val="clear" w:color="auto" w:fill="E6E6E6"/>
        </w:rPr>
        <w:fldChar w:fldCharType="begin"/>
      </w:r>
      <w:r w:rsidR="00A41D5B">
        <w:instrText xml:space="preserve"> NOTEREF _Ref127872877 \f \h </w:instrText>
      </w:r>
      <w:r w:rsidR="00A41D5B">
        <w:rPr>
          <w:color w:val="2B579A"/>
          <w:shd w:val="clear" w:color="auto" w:fill="E6E6E6"/>
        </w:rPr>
      </w:r>
      <w:r w:rsidR="00A41D5B">
        <w:rPr>
          <w:color w:val="2B579A"/>
          <w:shd w:val="clear" w:color="auto" w:fill="E6E6E6"/>
        </w:rPr>
        <w:fldChar w:fldCharType="separate"/>
      </w:r>
      <w:r w:rsidR="00547BEA" w:rsidRPr="00547BEA">
        <w:rPr>
          <w:rStyle w:val="FootnoteReference"/>
        </w:rPr>
        <w:t>12</w:t>
      </w:r>
      <w:r w:rsidR="00A41D5B">
        <w:rPr>
          <w:color w:val="2B579A"/>
          <w:shd w:val="clear" w:color="auto" w:fill="E6E6E6"/>
        </w:rPr>
        <w:fldChar w:fldCharType="end"/>
      </w:r>
      <w:r w:rsidRPr="000E4899">
        <w:t xml:space="preserve"> dasatinib,</w:t>
      </w:r>
      <w:r w:rsidR="00A41D5B">
        <w:rPr>
          <w:color w:val="2B579A"/>
          <w:shd w:val="clear" w:color="auto" w:fill="E6E6E6"/>
        </w:rPr>
        <w:fldChar w:fldCharType="begin"/>
      </w:r>
      <w:r w:rsidR="00A41D5B">
        <w:instrText xml:space="preserve"> NOTEREF _Ref127872903 \f \h </w:instrText>
      </w:r>
      <w:r w:rsidR="00A41D5B">
        <w:rPr>
          <w:color w:val="2B579A"/>
          <w:shd w:val="clear" w:color="auto" w:fill="E6E6E6"/>
        </w:rPr>
      </w:r>
      <w:r w:rsidR="00A41D5B">
        <w:rPr>
          <w:color w:val="2B579A"/>
          <w:shd w:val="clear" w:color="auto" w:fill="E6E6E6"/>
        </w:rPr>
        <w:fldChar w:fldCharType="separate"/>
      </w:r>
      <w:r w:rsidR="00547BEA" w:rsidRPr="00547BEA">
        <w:rPr>
          <w:rStyle w:val="FootnoteReference"/>
        </w:rPr>
        <w:t>13</w:t>
      </w:r>
      <w:r w:rsidR="00A41D5B">
        <w:rPr>
          <w:color w:val="2B579A"/>
          <w:shd w:val="clear" w:color="auto" w:fill="E6E6E6"/>
        </w:rPr>
        <w:fldChar w:fldCharType="end"/>
      </w:r>
      <w:r w:rsidRPr="000E4899">
        <w:t xml:space="preserve"> </w:t>
      </w:r>
      <w:proofErr w:type="spellStart"/>
      <w:r w:rsidRPr="000E4899">
        <w:t>radotinib</w:t>
      </w:r>
      <w:proofErr w:type="spellEnd"/>
      <w:r w:rsidR="00A56B95">
        <w:t>,</w:t>
      </w:r>
      <w:r w:rsidRPr="000E4899">
        <w:t xml:space="preserve"> or ponatinib),</w:t>
      </w:r>
      <w:r w:rsidR="00A41D5B">
        <w:rPr>
          <w:color w:val="2B579A"/>
          <w:shd w:val="clear" w:color="auto" w:fill="E6E6E6"/>
        </w:rPr>
        <w:fldChar w:fldCharType="begin"/>
      </w:r>
      <w:r w:rsidR="00A41D5B">
        <w:instrText xml:space="preserve"> NOTEREF _Ref127872949 \f \h </w:instrText>
      </w:r>
      <w:r w:rsidR="00A41D5B">
        <w:rPr>
          <w:color w:val="2B579A"/>
          <w:shd w:val="clear" w:color="auto" w:fill="E6E6E6"/>
        </w:rPr>
      </w:r>
      <w:r w:rsidR="00A41D5B">
        <w:rPr>
          <w:color w:val="2B579A"/>
          <w:shd w:val="clear" w:color="auto" w:fill="E6E6E6"/>
        </w:rPr>
        <w:fldChar w:fldCharType="separate"/>
      </w:r>
      <w:r w:rsidR="00547BEA" w:rsidRPr="00547BEA">
        <w:rPr>
          <w:rStyle w:val="FootnoteReference"/>
        </w:rPr>
        <w:t>15</w:t>
      </w:r>
      <w:r w:rsidR="00A41D5B">
        <w:rPr>
          <w:color w:val="2B579A"/>
          <w:shd w:val="clear" w:color="auto" w:fill="E6E6E6"/>
        </w:rPr>
        <w:fldChar w:fldCharType="end"/>
      </w:r>
      <w:r w:rsidRPr="000E4899">
        <w:t xml:space="preserve"> and were treatment failure (as per guidelines adapted from </w:t>
      </w:r>
      <w:r w:rsidR="00E11932">
        <w:t xml:space="preserve">European </w:t>
      </w:r>
      <w:proofErr w:type="spellStart"/>
      <w:r w:rsidR="00E11932">
        <w:t>LeukemiaNet</w:t>
      </w:r>
      <w:proofErr w:type="spellEnd"/>
      <w:r w:rsidR="00E11932">
        <w:t xml:space="preserve"> </w:t>
      </w:r>
      <w:r w:rsidRPr="000E4899">
        <w:t>2013)</w:t>
      </w:r>
      <w:r w:rsidR="00B00744">
        <w:rPr>
          <w:color w:val="2B579A"/>
          <w:shd w:val="clear" w:color="auto" w:fill="E6E6E6"/>
        </w:rPr>
        <w:fldChar w:fldCharType="begin"/>
      </w:r>
      <w:r w:rsidR="00B00744">
        <w:instrText xml:space="preserve"> NOTEREF _Ref127185376 \f \h </w:instrText>
      </w:r>
      <w:r w:rsidR="00B00744">
        <w:rPr>
          <w:color w:val="2B579A"/>
          <w:shd w:val="clear" w:color="auto" w:fill="E6E6E6"/>
        </w:rPr>
      </w:r>
      <w:r w:rsidR="00B00744">
        <w:rPr>
          <w:color w:val="2B579A"/>
          <w:shd w:val="clear" w:color="auto" w:fill="E6E6E6"/>
        </w:rPr>
        <w:fldChar w:fldCharType="separate"/>
      </w:r>
      <w:r w:rsidR="00547BEA" w:rsidRPr="00547BEA">
        <w:rPr>
          <w:rStyle w:val="FootnoteReference"/>
        </w:rPr>
        <w:t>38</w:t>
      </w:r>
      <w:r w:rsidR="00B00744">
        <w:rPr>
          <w:color w:val="2B579A"/>
          <w:shd w:val="clear" w:color="auto" w:fill="E6E6E6"/>
        </w:rPr>
        <w:fldChar w:fldCharType="end"/>
      </w:r>
      <w:r w:rsidRPr="000E4899">
        <w:t xml:space="preserve"> or intolerant to the most recent </w:t>
      </w:r>
      <w:r w:rsidR="00B00744">
        <w:t>tyrosine kinase inhibitor</w:t>
      </w:r>
      <w:r w:rsidRPr="000E4899">
        <w:t>.</w:t>
      </w:r>
    </w:p>
    <w:p w14:paraId="27F74234" w14:textId="16BD47D5" w:rsidR="000E4899" w:rsidRPr="000E4899" w:rsidRDefault="000E4899" w:rsidP="00B00744">
      <w:pPr>
        <w:pStyle w:val="ListBullet"/>
      </w:pPr>
      <w:r w:rsidRPr="000E4899">
        <w:t xml:space="preserve">For patients intolerant to the most recent </w:t>
      </w:r>
      <w:r w:rsidR="00B00744">
        <w:t>tyrosine kinase inhibitor</w:t>
      </w:r>
      <w:r w:rsidRPr="000E4899">
        <w:t xml:space="preserve"> therapy, the threshold for </w:t>
      </w:r>
      <w:proofErr w:type="gramStart"/>
      <w:r w:rsidR="007A021D" w:rsidRPr="00281B1A">
        <w:rPr>
          <w:i/>
          <w:iCs/>
        </w:rPr>
        <w:t>BCR::</w:t>
      </w:r>
      <w:proofErr w:type="gramEnd"/>
      <w:r w:rsidR="007A021D" w:rsidRPr="00281B1A">
        <w:rPr>
          <w:i/>
          <w:iCs/>
        </w:rPr>
        <w:t>ABL1</w:t>
      </w:r>
      <w:r w:rsidRPr="000E4899">
        <w:t xml:space="preserve"> ratio was reduced from </w:t>
      </w:r>
      <w:r w:rsidR="00531A59">
        <w:t>one or more,</w:t>
      </w:r>
      <w:r w:rsidRPr="000E4899">
        <w:t xml:space="preserve"> to </w:t>
      </w:r>
      <w:r w:rsidR="00B00744">
        <w:t xml:space="preserve">greater than </w:t>
      </w:r>
      <w:r w:rsidRPr="000E4899">
        <w:t>0.1% by Amendment 3 to the protocol, in order to ensure that the</w:t>
      </w:r>
      <w:r w:rsidR="00B00744">
        <w:t xml:space="preserve"> chronic myeloid </w:t>
      </w:r>
      <w:r w:rsidR="001B10B9">
        <w:t>leukaemia</w:t>
      </w:r>
      <w:r w:rsidRPr="000E4899">
        <w:t xml:space="preserve"> third line patient population is adequately represented. No more than 66 patients (approximately 30% of the overall study population) that were intolerant to their most recent </w:t>
      </w:r>
      <w:r w:rsidR="00B00744">
        <w:t>tyrosine kinase inhibitor</w:t>
      </w:r>
      <w:r w:rsidRPr="000E4899">
        <w:t xml:space="preserve"> therapy with </w:t>
      </w:r>
      <w:proofErr w:type="gramStart"/>
      <w:r w:rsidR="007A021D" w:rsidRPr="00281B1A">
        <w:rPr>
          <w:i/>
          <w:iCs/>
        </w:rPr>
        <w:t>BCR::</w:t>
      </w:r>
      <w:proofErr w:type="gramEnd"/>
      <w:r w:rsidR="007A021D" w:rsidRPr="00281B1A">
        <w:rPr>
          <w:i/>
          <w:iCs/>
        </w:rPr>
        <w:t>ABL1</w:t>
      </w:r>
      <w:r w:rsidRPr="000E4899">
        <w:t xml:space="preserve"> </w:t>
      </w:r>
      <w:r w:rsidR="00B00744">
        <w:t xml:space="preserve">less than </w:t>
      </w:r>
      <w:r w:rsidRPr="000E4899">
        <w:t xml:space="preserve">1% were to be recruited to ensure that the </w:t>
      </w:r>
      <w:r w:rsidR="00B00744">
        <w:t xml:space="preserve">chronic myeloid </w:t>
      </w:r>
      <w:r w:rsidR="001B10B9">
        <w:t>leukaemia</w:t>
      </w:r>
      <w:r w:rsidRPr="000E4899">
        <w:t xml:space="preserve"> third line patient population is adequately represented.</w:t>
      </w:r>
    </w:p>
    <w:p w14:paraId="53B38687" w14:textId="50B9190D" w:rsidR="000E4899" w:rsidRPr="000E4899" w:rsidRDefault="000E4899" w:rsidP="00B00744">
      <w:pPr>
        <w:pStyle w:val="ListBullet"/>
      </w:pPr>
      <w:r w:rsidRPr="000E4899">
        <w:t>Adequate liver and renal function as defined per laboratory values presented in the protocol</w:t>
      </w:r>
      <w:r w:rsidR="00B00744">
        <w:t>.</w:t>
      </w:r>
    </w:p>
    <w:p w14:paraId="293CC761" w14:textId="2E2062BA" w:rsidR="000E4899" w:rsidRPr="000E4899" w:rsidRDefault="000E4899" w:rsidP="00B00744">
      <w:pPr>
        <w:pStyle w:val="ListBullet"/>
      </w:pPr>
      <w:r w:rsidRPr="000E4899">
        <w:t>Eastern Cooperative Oncology Group (</w:t>
      </w:r>
      <w:r w:rsidRPr="00E11932">
        <w:t>ECOG</w:t>
      </w:r>
      <w:r w:rsidRPr="000E4899">
        <w:t>)</w:t>
      </w:r>
      <w:bookmarkStart w:id="65" w:name="_Ref127878276"/>
      <w:r w:rsidR="00A409DB">
        <w:rPr>
          <w:rStyle w:val="FootnoteReference"/>
        </w:rPr>
        <w:footnoteReference w:id="40"/>
      </w:r>
      <w:bookmarkEnd w:id="65"/>
      <w:r w:rsidRPr="000E4899">
        <w:t xml:space="preserve"> performance status of 2</w:t>
      </w:r>
      <w:r w:rsidR="00531A59">
        <w:t xml:space="preserve"> or less</w:t>
      </w:r>
      <w:r w:rsidR="000B0BCC">
        <w:t>.</w:t>
      </w:r>
    </w:p>
    <w:p w14:paraId="1BB9A204" w14:textId="619FCE60" w:rsidR="000E4899" w:rsidRPr="000E4899" w:rsidRDefault="000E4899" w:rsidP="00B00744">
      <w:pPr>
        <w:pStyle w:val="ListBullet"/>
      </w:pPr>
      <w:r w:rsidRPr="000E4899">
        <w:t>Electrolytes (as per central laboratory tests) including potassium, total calcium, and magnesium within normal limits or corrected to be within normal limits with supplements prior to first dose of study medication</w:t>
      </w:r>
      <w:r w:rsidR="00B00744">
        <w:t>.</w:t>
      </w:r>
    </w:p>
    <w:p w14:paraId="3B893BC2" w14:textId="324FE203" w:rsidR="000E4899" w:rsidRPr="000E4899" w:rsidRDefault="000E4899" w:rsidP="00B00744">
      <w:pPr>
        <w:pStyle w:val="ListBullet"/>
      </w:pPr>
      <w:r w:rsidRPr="000E4899">
        <w:t>Potassium (potassium increase of up to 6</w:t>
      </w:r>
      <w:r w:rsidR="00B00744">
        <w:t> </w:t>
      </w:r>
      <w:r w:rsidRPr="000E4899">
        <w:t>mmol/L was acceptable at study entry if associated with creatinine clearance within normal limits)</w:t>
      </w:r>
      <w:r w:rsidR="00B00744">
        <w:t>.</w:t>
      </w:r>
    </w:p>
    <w:p w14:paraId="1AC6662F" w14:textId="669830F8" w:rsidR="000E4899" w:rsidRPr="000E4899" w:rsidRDefault="000E4899" w:rsidP="00B00744">
      <w:pPr>
        <w:pStyle w:val="ListBullet"/>
      </w:pPr>
      <w:r w:rsidRPr="000E4899">
        <w:t>Total calcium (corrected for serum albumin); (calcium increase of up to 12.5</w:t>
      </w:r>
      <w:r w:rsidR="00B00744">
        <w:t> </w:t>
      </w:r>
      <w:r w:rsidRPr="000E4899">
        <w:t>mg/dl or 3.1</w:t>
      </w:r>
      <w:r w:rsidR="00B00744">
        <w:t> </w:t>
      </w:r>
      <w:r w:rsidRPr="000E4899">
        <w:t>mmol/L was acceptable at study entry if associated with creatinine clearance within normal limits)</w:t>
      </w:r>
      <w:r w:rsidR="00B00744">
        <w:t>.</w:t>
      </w:r>
    </w:p>
    <w:p w14:paraId="484AD158" w14:textId="6B14C018" w:rsidR="000E4899" w:rsidRPr="000E4899" w:rsidRDefault="000E4899" w:rsidP="00B00744">
      <w:pPr>
        <w:pStyle w:val="ListBullet"/>
      </w:pPr>
      <w:r w:rsidRPr="000E4899">
        <w:t xml:space="preserve">Magnesium, </w:t>
      </w:r>
      <w:proofErr w:type="gramStart"/>
      <w:r w:rsidRPr="000E4899">
        <w:t>with the exception of</w:t>
      </w:r>
      <w:proofErr w:type="gramEnd"/>
      <w:r w:rsidRPr="000E4899">
        <w:t xml:space="preserve"> magnesium increase </w:t>
      </w:r>
      <w:r w:rsidR="00B00744">
        <w:t>greater than upper limit of normal</w:t>
      </w:r>
      <w:r w:rsidRPr="000E4899">
        <w:t xml:space="preserve"> 3</w:t>
      </w:r>
      <w:r w:rsidR="00B00744">
        <w:t> </w:t>
      </w:r>
      <w:r w:rsidRPr="000E4899">
        <w:t xml:space="preserve">mg/dL; </w:t>
      </w:r>
      <w:r w:rsidR="00B00744">
        <w:t xml:space="preserve">greater than </w:t>
      </w:r>
      <w:r w:rsidR="000930F5">
        <w:t>upper limit of normal</w:t>
      </w:r>
      <w:r w:rsidRPr="000E4899">
        <w:t xml:space="preserve"> -1.23</w:t>
      </w:r>
      <w:r w:rsidR="00B00744">
        <w:t> </w:t>
      </w:r>
      <w:r w:rsidRPr="000E4899">
        <w:t>mmol/L associated with creatinine clearance (calculated using Cockcroft-Gault formula) within normal limits</w:t>
      </w:r>
      <w:r w:rsidR="00B00744">
        <w:t>.</w:t>
      </w:r>
    </w:p>
    <w:p w14:paraId="794E069D" w14:textId="3691E83F" w:rsidR="000E4899" w:rsidRPr="000E4899" w:rsidRDefault="000E4899" w:rsidP="000930F5">
      <w:pPr>
        <w:pStyle w:val="ListBullet"/>
      </w:pPr>
      <w:r w:rsidRPr="000E4899">
        <w:t xml:space="preserve">Avoiding consumption of grapefruit, Seville oranges or products containing the juice of each during the entire study and preferably </w:t>
      </w:r>
      <w:r w:rsidR="000930F5">
        <w:t>seven</w:t>
      </w:r>
      <w:r w:rsidRPr="000E4899">
        <w:t xml:space="preserve"> days before the first dose of study medications, due to potential CYP3A4 interaction with the study medications.</w:t>
      </w:r>
      <w:r w:rsidR="00531A59" w:rsidRPr="00281B1A">
        <w:rPr>
          <w:vertAlign w:val="superscript"/>
        </w:rPr>
        <w:fldChar w:fldCharType="begin"/>
      </w:r>
      <w:r w:rsidR="00531A59" w:rsidRPr="00281B1A">
        <w:rPr>
          <w:vertAlign w:val="superscript"/>
        </w:rPr>
        <w:instrText xml:space="preserve"> NOTEREF _Ref127877652 \h </w:instrText>
      </w:r>
      <w:r w:rsidR="00531A59">
        <w:rPr>
          <w:vertAlign w:val="superscript"/>
        </w:rPr>
        <w:instrText xml:space="preserve"> \* MERGEFORMAT </w:instrText>
      </w:r>
      <w:r w:rsidR="00531A59" w:rsidRPr="00281B1A">
        <w:rPr>
          <w:vertAlign w:val="superscript"/>
        </w:rPr>
      </w:r>
      <w:r w:rsidR="00531A59" w:rsidRPr="00281B1A">
        <w:rPr>
          <w:vertAlign w:val="superscript"/>
        </w:rPr>
        <w:fldChar w:fldCharType="separate"/>
      </w:r>
      <w:r w:rsidR="00547BEA">
        <w:rPr>
          <w:vertAlign w:val="superscript"/>
        </w:rPr>
        <w:t>17</w:t>
      </w:r>
      <w:r w:rsidR="00531A59" w:rsidRPr="00281B1A">
        <w:rPr>
          <w:vertAlign w:val="superscript"/>
        </w:rPr>
        <w:fldChar w:fldCharType="end"/>
      </w:r>
      <w:r w:rsidRPr="000E4899">
        <w:t xml:space="preserve"> Orange juice was allowed.</w:t>
      </w:r>
    </w:p>
    <w:p w14:paraId="4160B995" w14:textId="43178C0C" w:rsidR="000E4899" w:rsidRPr="000E4899" w:rsidRDefault="000E4899" w:rsidP="000930F5">
      <w:pPr>
        <w:pStyle w:val="ListBullet"/>
      </w:pPr>
      <w:r w:rsidRPr="000E4899">
        <w:t>Provided written informed consent obtained prior to any screening procedures.</w:t>
      </w:r>
    </w:p>
    <w:p w14:paraId="36BC6F68" w14:textId="41333FAE" w:rsidR="000E4899" w:rsidRDefault="000E4899" w:rsidP="000930F5">
      <w:pPr>
        <w:pStyle w:val="ListBullet"/>
      </w:pPr>
      <w:r w:rsidRPr="000E4899">
        <w:t xml:space="preserve">Evidence of typical </w:t>
      </w:r>
      <w:proofErr w:type="gramStart"/>
      <w:r w:rsidR="007A021D" w:rsidRPr="00281B1A">
        <w:rPr>
          <w:i/>
          <w:iCs/>
        </w:rPr>
        <w:t>BCR::</w:t>
      </w:r>
      <w:proofErr w:type="gramEnd"/>
      <w:r w:rsidR="007A021D" w:rsidRPr="00281B1A">
        <w:rPr>
          <w:i/>
          <w:iCs/>
        </w:rPr>
        <w:t>ABL1</w:t>
      </w:r>
      <w:r w:rsidRPr="000E4899">
        <w:t xml:space="preserve"> transcript </w:t>
      </w:r>
      <w:r w:rsidR="000930F5">
        <w:t>(</w:t>
      </w:r>
      <w:r w:rsidRPr="000E4899">
        <w:t>e14a2 and/or e13a2</w:t>
      </w:r>
      <w:r w:rsidR="000930F5">
        <w:t>)</w:t>
      </w:r>
      <w:r w:rsidRPr="000E4899">
        <w:t xml:space="preserve"> at the time of screening.</w:t>
      </w:r>
    </w:p>
    <w:p w14:paraId="5EDE1B6E" w14:textId="77777777" w:rsidR="000930F5" w:rsidRPr="000930F5" w:rsidRDefault="000930F5" w:rsidP="000930F5">
      <w:pPr>
        <w:pStyle w:val="Heading6"/>
      </w:pPr>
      <w:r w:rsidRPr="000930F5">
        <w:lastRenderedPageBreak/>
        <w:t>Key exclusion criteria</w:t>
      </w:r>
    </w:p>
    <w:p w14:paraId="09CF228F" w14:textId="161A387A" w:rsidR="000930F5" w:rsidRPr="000930F5" w:rsidRDefault="000930F5" w:rsidP="000930F5">
      <w:pPr>
        <w:pStyle w:val="ListBullet"/>
      </w:pPr>
      <w:r w:rsidRPr="000930F5">
        <w:t xml:space="preserve">Known presence of the </w:t>
      </w:r>
      <w:r w:rsidRPr="00245C94">
        <w:t>T315I</w:t>
      </w:r>
      <w:r w:rsidRPr="000930F5">
        <w:t xml:space="preserve"> or </w:t>
      </w:r>
      <w:r w:rsidRPr="00245C94">
        <w:t>V299L</w:t>
      </w:r>
      <w:r w:rsidRPr="000930F5">
        <w:t xml:space="preserve"> mutation at any time prior to study entry.</w:t>
      </w:r>
    </w:p>
    <w:p w14:paraId="6A6D6D7C" w14:textId="1D005B85" w:rsidR="000930F5" w:rsidRPr="000930F5" w:rsidRDefault="000930F5" w:rsidP="000930F5">
      <w:pPr>
        <w:pStyle w:val="ListBullet"/>
      </w:pPr>
      <w:r w:rsidRPr="000930F5">
        <w:t xml:space="preserve">Known second chronic phase of </w:t>
      </w:r>
      <w:r>
        <w:t xml:space="preserve">chronic myeloid </w:t>
      </w:r>
      <w:r w:rsidR="001B10B9">
        <w:t>leukaemia</w:t>
      </w:r>
      <w:r w:rsidRPr="000930F5">
        <w:t xml:space="preserve"> after previous progression to </w:t>
      </w:r>
      <w:r>
        <w:t>accelerated phase</w:t>
      </w:r>
      <w:r w:rsidRPr="000930F5">
        <w:t>/</w:t>
      </w:r>
      <w:r>
        <w:t>blast phase</w:t>
      </w:r>
      <w:r w:rsidRPr="000930F5">
        <w:t>.</w:t>
      </w:r>
    </w:p>
    <w:p w14:paraId="030E2E54" w14:textId="175A0B78" w:rsidR="000930F5" w:rsidRPr="000930F5" w:rsidRDefault="000930F5" w:rsidP="000930F5">
      <w:pPr>
        <w:pStyle w:val="ListBullet"/>
      </w:pPr>
      <w:r w:rsidRPr="000930F5">
        <w:t>Previous treatment with a hematopoietic stem</w:t>
      </w:r>
      <w:r w:rsidR="00D2795A">
        <w:t xml:space="preserve"> </w:t>
      </w:r>
      <w:r w:rsidRPr="000930F5">
        <w:t>cell transplantation or patient planning to undergo allogeneic hematopoietic stem cell transplantation.</w:t>
      </w:r>
    </w:p>
    <w:p w14:paraId="5213FECB" w14:textId="6A203AB9" w:rsidR="000930F5" w:rsidRPr="000930F5" w:rsidRDefault="000930F5" w:rsidP="000930F5">
      <w:pPr>
        <w:pStyle w:val="ListBullet"/>
      </w:pPr>
      <w:r w:rsidRPr="000930F5">
        <w:t>Presence of cardiac or cardiac repolar</w:t>
      </w:r>
      <w:r w:rsidR="00F62E65">
        <w:t>is</w:t>
      </w:r>
      <w:r w:rsidRPr="000930F5">
        <w:t xml:space="preserve">ation abnormality, including history of myocardial infarction, angina pectoris, coronary artery bypass graft, clinically significant cardiac arrhythmias, risk factors for </w:t>
      </w:r>
      <w:r w:rsidR="00EF3E92">
        <w:t>t</w:t>
      </w:r>
      <w:r w:rsidRPr="000930F5">
        <w:t xml:space="preserve">orsade de </w:t>
      </w:r>
      <w:r w:rsidR="00EF3E92">
        <w:t>p</w:t>
      </w:r>
      <w:r w:rsidRPr="000930F5">
        <w:t xml:space="preserve">ointes, concomitant medication(s) with a </w:t>
      </w:r>
      <w:r>
        <w:t>‘</w:t>
      </w:r>
      <w:r w:rsidR="00EF3E92">
        <w:t>k</w:t>
      </w:r>
      <w:r w:rsidRPr="000930F5">
        <w:t xml:space="preserve">nown risk of </w:t>
      </w:r>
      <w:r w:rsidR="00EF3E92" w:rsidRPr="000B0BCC">
        <w:rPr>
          <w:i/>
          <w:iCs/>
        </w:rPr>
        <w:t>t</w:t>
      </w:r>
      <w:r w:rsidRPr="000B0BCC">
        <w:rPr>
          <w:i/>
          <w:iCs/>
        </w:rPr>
        <w:t xml:space="preserve">orsade de </w:t>
      </w:r>
      <w:proofErr w:type="gramStart"/>
      <w:r w:rsidR="00EF3E92" w:rsidRPr="000B0BCC">
        <w:rPr>
          <w:i/>
          <w:iCs/>
        </w:rPr>
        <w:t>p</w:t>
      </w:r>
      <w:r w:rsidRPr="000B0BCC">
        <w:rPr>
          <w:i/>
          <w:iCs/>
        </w:rPr>
        <w:t>ointes’</w:t>
      </w:r>
      <w:proofErr w:type="gramEnd"/>
      <w:r w:rsidRPr="000930F5">
        <w:t>.</w:t>
      </w:r>
      <w:r w:rsidR="00531A59" w:rsidRPr="00281B1A">
        <w:rPr>
          <w:vertAlign w:val="superscript"/>
        </w:rPr>
        <w:fldChar w:fldCharType="begin"/>
      </w:r>
      <w:r w:rsidR="00531A59" w:rsidRPr="00281B1A">
        <w:rPr>
          <w:vertAlign w:val="superscript"/>
        </w:rPr>
        <w:instrText xml:space="preserve"> NOTEREF _Ref131404670 \h </w:instrText>
      </w:r>
      <w:r w:rsidR="00531A59">
        <w:rPr>
          <w:vertAlign w:val="superscript"/>
        </w:rPr>
        <w:instrText xml:space="preserve"> \* MERGEFORMAT </w:instrText>
      </w:r>
      <w:r w:rsidR="00531A59" w:rsidRPr="00281B1A">
        <w:rPr>
          <w:vertAlign w:val="superscript"/>
        </w:rPr>
      </w:r>
      <w:r w:rsidR="00531A59" w:rsidRPr="00281B1A">
        <w:rPr>
          <w:vertAlign w:val="superscript"/>
        </w:rPr>
        <w:fldChar w:fldCharType="separate"/>
      </w:r>
      <w:r w:rsidR="00547BEA">
        <w:rPr>
          <w:vertAlign w:val="superscript"/>
        </w:rPr>
        <w:t>36</w:t>
      </w:r>
      <w:r w:rsidR="00531A59" w:rsidRPr="00281B1A">
        <w:rPr>
          <w:vertAlign w:val="superscript"/>
        </w:rPr>
        <w:fldChar w:fldCharType="end"/>
      </w:r>
    </w:p>
    <w:p w14:paraId="1BA28A0F" w14:textId="7E6ABE2E" w:rsidR="000930F5" w:rsidRPr="000930F5" w:rsidRDefault="000930F5" w:rsidP="009159FD">
      <w:pPr>
        <w:pStyle w:val="ListBullet"/>
      </w:pPr>
      <w:r w:rsidRPr="000930F5">
        <w:t>Severe and/or uncontrolled concurrent medical disease that in the opinion of the investigator could cause unacceptable safety risks or compromise compliance with the protocol (</w:t>
      </w:r>
      <w:r>
        <w:t>for example,</w:t>
      </w:r>
      <w:r w:rsidRPr="000930F5">
        <w:t xml:space="preserve"> uncontrolled diabetes, active or uncontrolled infection, pulmonary hypertension</w:t>
      </w:r>
      <w:r>
        <w:t>)</w:t>
      </w:r>
      <w:r w:rsidRPr="000930F5">
        <w:t>.</w:t>
      </w:r>
    </w:p>
    <w:p w14:paraId="4597209D" w14:textId="031D6A72" w:rsidR="000930F5" w:rsidRPr="000930F5" w:rsidRDefault="000930F5" w:rsidP="000930F5">
      <w:pPr>
        <w:pStyle w:val="ListBullet"/>
      </w:pPr>
      <w:r w:rsidRPr="000930F5">
        <w:t xml:space="preserve">History of acute pancreatitis (within </w:t>
      </w:r>
      <w:r>
        <w:t>one</w:t>
      </w:r>
      <w:r w:rsidRPr="000930F5">
        <w:t xml:space="preserve"> year of study entry or past medical history of chronic pancreatitis), acute or chronic liver disease, infections (including </w:t>
      </w:r>
      <w:r w:rsidR="00531A59">
        <w:t>h</w:t>
      </w:r>
      <w:r w:rsidRPr="000930F5">
        <w:t xml:space="preserve">uman </w:t>
      </w:r>
      <w:r w:rsidR="00531A59">
        <w:t>i</w:t>
      </w:r>
      <w:r w:rsidRPr="000930F5">
        <w:t xml:space="preserve">mmunodeficiency </w:t>
      </w:r>
      <w:r w:rsidR="00531A59">
        <w:t>v</w:t>
      </w:r>
      <w:r w:rsidRPr="000930F5">
        <w:t>irus</w:t>
      </w:r>
      <w:r w:rsidR="00531A59">
        <w:t xml:space="preserve"> (HIV)</w:t>
      </w:r>
      <w:r w:rsidRPr="000930F5">
        <w:t xml:space="preserve">, chronic </w:t>
      </w:r>
      <w:r w:rsidR="00531A59">
        <w:t>h</w:t>
      </w:r>
      <w:r w:rsidRPr="000930F5">
        <w:t xml:space="preserve">epatitis B, or chronic </w:t>
      </w:r>
      <w:r w:rsidR="00531A59">
        <w:t>h</w:t>
      </w:r>
      <w:r w:rsidRPr="000930F5">
        <w:t xml:space="preserve">epatitis C), impaired gastrointestinal function or </w:t>
      </w:r>
      <w:r>
        <w:t xml:space="preserve">gastrointestinal </w:t>
      </w:r>
      <w:r w:rsidRPr="000930F5">
        <w:t xml:space="preserve">disease, and other active malignancy within </w:t>
      </w:r>
      <w:r>
        <w:t>three</w:t>
      </w:r>
      <w:r w:rsidRPr="000930F5">
        <w:t xml:space="preserve"> years prior to study entry with the exception of previous or concomitant basal cell skin cancer and previous carcinoma </w:t>
      </w:r>
      <w:r w:rsidRPr="000930F5">
        <w:rPr>
          <w:i/>
          <w:iCs/>
        </w:rPr>
        <w:t>in situ</w:t>
      </w:r>
      <w:r w:rsidRPr="000930F5">
        <w:t xml:space="preserve"> treated curatively.</w:t>
      </w:r>
    </w:p>
    <w:p w14:paraId="51CB0598" w14:textId="06F5518D" w:rsidR="000930F5" w:rsidRPr="000930F5" w:rsidRDefault="000930F5" w:rsidP="000930F5">
      <w:pPr>
        <w:pStyle w:val="ListBullet"/>
      </w:pPr>
      <w:r w:rsidRPr="000930F5">
        <w:t>Known presence of significant congenital or acquired bleeding disorder unrelated to cancer.</w:t>
      </w:r>
    </w:p>
    <w:p w14:paraId="74A27AE5" w14:textId="65F3AA0B" w:rsidR="000930F5" w:rsidRPr="000930F5" w:rsidRDefault="000930F5" w:rsidP="000930F5">
      <w:pPr>
        <w:pStyle w:val="ListBullet"/>
      </w:pPr>
      <w:r w:rsidRPr="000930F5">
        <w:t>Treatment with moderate or strong inducers/ inhibitors of CYP3A</w:t>
      </w:r>
      <w:r w:rsidR="00531A59">
        <w:t>;</w:t>
      </w:r>
      <w:r w:rsidR="00531A59" w:rsidRPr="00281B1A">
        <w:rPr>
          <w:vertAlign w:val="superscript"/>
        </w:rPr>
        <w:fldChar w:fldCharType="begin"/>
      </w:r>
      <w:r w:rsidR="00531A59" w:rsidRPr="00281B1A">
        <w:rPr>
          <w:vertAlign w:val="superscript"/>
        </w:rPr>
        <w:instrText xml:space="preserve"> NOTEREF _Ref127877652 \h </w:instrText>
      </w:r>
      <w:r w:rsidR="00531A59">
        <w:rPr>
          <w:vertAlign w:val="superscript"/>
        </w:rPr>
        <w:instrText xml:space="preserve"> \* MERGEFORMAT </w:instrText>
      </w:r>
      <w:r w:rsidR="00531A59" w:rsidRPr="00281B1A">
        <w:rPr>
          <w:vertAlign w:val="superscript"/>
        </w:rPr>
      </w:r>
      <w:r w:rsidR="00531A59" w:rsidRPr="00281B1A">
        <w:rPr>
          <w:vertAlign w:val="superscript"/>
        </w:rPr>
        <w:fldChar w:fldCharType="separate"/>
      </w:r>
      <w:r w:rsidR="00547BEA">
        <w:rPr>
          <w:vertAlign w:val="superscript"/>
        </w:rPr>
        <w:t>17</w:t>
      </w:r>
      <w:r w:rsidR="00531A59" w:rsidRPr="00281B1A">
        <w:rPr>
          <w:vertAlign w:val="superscript"/>
        </w:rPr>
        <w:fldChar w:fldCharType="end"/>
      </w:r>
      <w:r w:rsidRPr="000930F5">
        <w:t xml:space="preserve"> that cannot be discontinued at least one week prior to the start of treatment with study treatment.</w:t>
      </w:r>
    </w:p>
    <w:p w14:paraId="1851ABDD" w14:textId="239BE621" w:rsidR="000930F5" w:rsidRPr="000930F5" w:rsidRDefault="000930F5" w:rsidP="000930F5">
      <w:pPr>
        <w:pStyle w:val="ListBullet"/>
      </w:pPr>
      <w:r w:rsidRPr="000930F5">
        <w:t>Previous treatment with or known/ suspected hypersensitivity to asciminib/bosutinib or any of its excipients.</w:t>
      </w:r>
    </w:p>
    <w:p w14:paraId="103AFCC1" w14:textId="7B52720D" w:rsidR="000930F5" w:rsidRPr="000930F5" w:rsidRDefault="000930F5" w:rsidP="000930F5">
      <w:pPr>
        <w:pStyle w:val="ListBullet"/>
      </w:pPr>
      <w:r w:rsidRPr="000930F5">
        <w:t xml:space="preserve">Participation in a prior investigational study within 30 days prior to randomisation or within </w:t>
      </w:r>
      <w:r>
        <w:t>five</w:t>
      </w:r>
      <w:r w:rsidRPr="000930F5">
        <w:t xml:space="preserve"> </w:t>
      </w:r>
      <w:proofErr w:type="spellStart"/>
      <w:r w:rsidRPr="000930F5">
        <w:t>half</w:t>
      </w:r>
      <w:r w:rsidR="00A2692B">
        <w:t xml:space="preserve"> </w:t>
      </w:r>
      <w:r w:rsidRPr="000930F5">
        <w:t>lives</w:t>
      </w:r>
      <w:proofErr w:type="spellEnd"/>
      <w:r w:rsidRPr="000930F5">
        <w:t xml:space="preserve"> of the investigational product, whichever was longer.</w:t>
      </w:r>
    </w:p>
    <w:p w14:paraId="41FF25D2" w14:textId="4FBFEC3F" w:rsidR="000930F5" w:rsidRPr="000930F5" w:rsidRDefault="000930F5" w:rsidP="000930F5">
      <w:pPr>
        <w:pStyle w:val="ListBullet"/>
      </w:pPr>
      <w:r w:rsidRPr="000930F5">
        <w:t>Pregnant or nursing (lactating) women.</w:t>
      </w:r>
    </w:p>
    <w:p w14:paraId="069BEE08" w14:textId="662DD054" w:rsidR="000930F5" w:rsidRDefault="000930F5" w:rsidP="000930F5">
      <w:pPr>
        <w:pStyle w:val="ListBullet"/>
      </w:pPr>
      <w:r>
        <w:t>W</w:t>
      </w:r>
      <w:r w:rsidRPr="000930F5">
        <w:t xml:space="preserve">omen of </w:t>
      </w:r>
      <w:proofErr w:type="gramStart"/>
      <w:r w:rsidRPr="000930F5">
        <w:t>child</w:t>
      </w:r>
      <w:r w:rsidR="00A2692B">
        <w:t xml:space="preserve"> </w:t>
      </w:r>
      <w:r w:rsidRPr="000930F5">
        <w:t>bearing</w:t>
      </w:r>
      <w:proofErr w:type="gramEnd"/>
      <w:r w:rsidRPr="000930F5">
        <w:t xml:space="preserve"> potential, unless they are using highly effective methods of contraception during dosing and for </w:t>
      </w:r>
      <w:r>
        <w:t>three</w:t>
      </w:r>
      <w:r w:rsidRPr="000930F5">
        <w:t xml:space="preserve"> days after last dose of asciminib and one month after last dose of bosutinib.</w:t>
      </w:r>
    </w:p>
    <w:p w14:paraId="0BE63392" w14:textId="707ACF38" w:rsidR="000930F5" w:rsidRDefault="000930F5" w:rsidP="000930F5">
      <w:pPr>
        <w:pStyle w:val="Heading6"/>
      </w:pPr>
      <w:r w:rsidRPr="000930F5">
        <w:t>Statistical methods</w:t>
      </w:r>
    </w:p>
    <w:p w14:paraId="737A6BED" w14:textId="77777777" w:rsidR="00EF3E92" w:rsidRDefault="000930F5" w:rsidP="000930F5">
      <w:r w:rsidRPr="000930F5">
        <w:t xml:space="preserve">The </w:t>
      </w:r>
      <w:r>
        <w:t>major molecular response</w:t>
      </w:r>
      <w:r w:rsidRPr="000930F5">
        <w:t xml:space="preserve"> rate at 24 weeks was calculated based on the </w:t>
      </w:r>
      <w:r>
        <w:t>f</w:t>
      </w:r>
      <w:r w:rsidRPr="000930F5">
        <w:t xml:space="preserve">ull </w:t>
      </w:r>
      <w:r>
        <w:t>a</w:t>
      </w:r>
      <w:r w:rsidRPr="000930F5">
        <w:t xml:space="preserve">nalysis </w:t>
      </w:r>
      <w:r>
        <w:t>s</w:t>
      </w:r>
      <w:r w:rsidRPr="000930F5">
        <w:t>et (</w:t>
      </w:r>
      <w:r>
        <w:t>that is,</w:t>
      </w:r>
      <w:r w:rsidRPr="000930F5">
        <w:t xml:space="preserve"> all randomised patients) </w:t>
      </w:r>
      <w:r>
        <w:t>major molecular response</w:t>
      </w:r>
      <w:r w:rsidRPr="000930F5">
        <w:t xml:space="preserve"> rate and its 95% confidence interval based on the Pearson-Clopper method will be presented by treatment group. The confidence interval for the difference in </w:t>
      </w:r>
      <w:r>
        <w:t>major molecular response</w:t>
      </w:r>
      <w:r w:rsidRPr="000930F5">
        <w:t xml:space="preserve"> rate between treatment groups will be provided using the Wald method.</w:t>
      </w:r>
    </w:p>
    <w:p w14:paraId="7FF275F0" w14:textId="77A88768" w:rsidR="000930F5" w:rsidRPr="000930F5" w:rsidRDefault="000930F5" w:rsidP="000930F5">
      <w:r w:rsidRPr="000930F5">
        <w:t>The null hypothesis is that there is no difference between the treatment groups with respect to</w:t>
      </w:r>
      <w:r w:rsidR="00EF3E92">
        <w:t xml:space="preserve"> major molecular response </w:t>
      </w:r>
      <w:r w:rsidRPr="000930F5">
        <w:t>rate at 24 weeks. The Cochrane-Mantel-Haenszel chi</w:t>
      </w:r>
      <w:r w:rsidR="00EF3E92">
        <w:noBreakHyphen/>
      </w:r>
      <w:r w:rsidRPr="000930F5">
        <w:t>square test, stratified by the</w:t>
      </w:r>
      <w:r w:rsidR="00EF3E92">
        <w:t xml:space="preserve"> </w:t>
      </w:r>
      <w:r w:rsidRPr="000930F5">
        <w:t xml:space="preserve">randomisation stratification factor, </w:t>
      </w:r>
      <w:r w:rsidR="00EF3E92">
        <w:t>that is,</w:t>
      </w:r>
      <w:r w:rsidRPr="000930F5">
        <w:t xml:space="preserve"> major cytogenetic response status (</w:t>
      </w:r>
      <w:r w:rsidR="00EF3E92">
        <w:t>partial c</w:t>
      </w:r>
      <w:r w:rsidR="00EF3E92" w:rsidRPr="006218B6">
        <w:t>ytogenetic response</w:t>
      </w:r>
      <w:r w:rsidRPr="000930F5">
        <w:t xml:space="preserve"> or </w:t>
      </w:r>
      <w:r w:rsidR="00EF3E92">
        <w:t>complete c</w:t>
      </w:r>
      <w:r w:rsidR="00EF3E92" w:rsidRPr="006218B6">
        <w:t xml:space="preserve">ytogenetic response </w:t>
      </w:r>
      <w:r w:rsidR="00EF3E92">
        <w:t xml:space="preserve">versus </w:t>
      </w:r>
      <w:r w:rsidRPr="000930F5">
        <w:t xml:space="preserve">others) at screening, will be used to compare </w:t>
      </w:r>
      <w:r w:rsidR="00EF3E92">
        <w:t xml:space="preserve">major molecular response </w:t>
      </w:r>
      <w:r w:rsidRPr="000930F5">
        <w:t>rate between the two treatment groups, at</w:t>
      </w:r>
      <w:r w:rsidR="00EF3E92">
        <w:t xml:space="preserve"> </w:t>
      </w:r>
      <w:r w:rsidRPr="000930F5">
        <w:t xml:space="preserve">the </w:t>
      </w:r>
      <w:proofErr w:type="gramStart"/>
      <w:r w:rsidRPr="000930F5">
        <w:t>two</w:t>
      </w:r>
      <w:r w:rsidR="00A2692B">
        <w:t xml:space="preserve"> </w:t>
      </w:r>
      <w:r w:rsidRPr="000930F5">
        <w:t>sided</w:t>
      </w:r>
      <w:proofErr w:type="gramEnd"/>
      <w:r w:rsidRPr="000930F5">
        <w:t xml:space="preserve"> 5% level of significance. The Mantel-Haenszel estimate of the common risk</w:t>
      </w:r>
      <w:r w:rsidR="00EF3E92">
        <w:t xml:space="preserve"> </w:t>
      </w:r>
      <w:r w:rsidRPr="000930F5">
        <w:t xml:space="preserve">difference and the corresponding 95% confidence interval will also be provided. Various subgroup analyses were to be </w:t>
      </w:r>
      <w:r w:rsidRPr="000930F5">
        <w:lastRenderedPageBreak/>
        <w:t xml:space="preserve">performed provided that the primary efficacy analysis based on the </w:t>
      </w:r>
      <w:r w:rsidR="00EF3E92">
        <w:t>full analysis set</w:t>
      </w:r>
      <w:r w:rsidRPr="000930F5">
        <w:t xml:space="preserve"> was statistically significant.</w:t>
      </w:r>
    </w:p>
    <w:p w14:paraId="01BBA12A" w14:textId="72D5D66B" w:rsidR="000930F5" w:rsidRPr="000930F5" w:rsidRDefault="000930F5" w:rsidP="000930F5">
      <w:r w:rsidRPr="000930F5">
        <w:t xml:space="preserve">Only patients with </w:t>
      </w:r>
      <w:r w:rsidR="00EF3E92">
        <w:t xml:space="preserve">major molecular response </w:t>
      </w:r>
      <w:r w:rsidRPr="000930F5">
        <w:t xml:space="preserve">at 24 weeks are considered responders. However, if the </w:t>
      </w:r>
      <w:r w:rsidR="00A13BFB">
        <w:t>W</w:t>
      </w:r>
      <w:r w:rsidRPr="000930F5">
        <w:t xml:space="preserve">eek </w:t>
      </w:r>
      <w:r w:rsidR="00A13BFB" w:rsidRPr="000930F5">
        <w:t>24</w:t>
      </w:r>
      <w:r w:rsidR="00A13BFB">
        <w:t xml:space="preserve"> </w:t>
      </w:r>
      <w:r w:rsidR="00531A59" w:rsidRPr="00531A59">
        <w:t>polymerase chain reaction</w:t>
      </w:r>
      <w:r w:rsidR="00531A59">
        <w:t xml:space="preserve"> (</w:t>
      </w:r>
      <w:r w:rsidRPr="000930F5">
        <w:t>PCR</w:t>
      </w:r>
      <w:r w:rsidR="00531A59">
        <w:t>)</w:t>
      </w:r>
      <w:r w:rsidRPr="000930F5">
        <w:t xml:space="preserve"> evaluation is missing, but both a PCR evaluation at 16 weeks and 36 weeks indicate </w:t>
      </w:r>
      <w:r w:rsidR="00EF3E92">
        <w:t>major molecular response</w:t>
      </w:r>
      <w:r w:rsidRPr="000930F5">
        <w:t xml:space="preserve">, the </w:t>
      </w:r>
      <w:r w:rsidR="00A13BFB">
        <w:t>W</w:t>
      </w:r>
      <w:r w:rsidRPr="000930F5">
        <w:t xml:space="preserve">eek </w:t>
      </w:r>
      <w:r w:rsidR="00A13BFB" w:rsidRPr="000930F5">
        <w:t>24</w:t>
      </w:r>
      <w:r w:rsidR="00A13BFB">
        <w:t xml:space="preserve"> </w:t>
      </w:r>
      <w:r w:rsidRPr="000930F5">
        <w:t>assessment is imputed as a ‘</w:t>
      </w:r>
      <w:r w:rsidR="00A13BFB">
        <w:t>r</w:t>
      </w:r>
      <w:r w:rsidRPr="000930F5">
        <w:t xml:space="preserve">esponse’. Similar statistical methods are planned for the </w:t>
      </w:r>
      <w:r w:rsidR="00A13BFB">
        <w:t>W</w:t>
      </w:r>
      <w:r w:rsidR="00A13BFB" w:rsidRPr="000930F5">
        <w:t xml:space="preserve">eek </w:t>
      </w:r>
      <w:r w:rsidRPr="000930F5">
        <w:t xml:space="preserve">96 </w:t>
      </w:r>
      <w:r w:rsidR="00EF3E92">
        <w:t>major molecular response</w:t>
      </w:r>
      <w:r w:rsidRPr="000930F5">
        <w:t xml:space="preserve"> comparison which is to be performed subject to statistical superiority being demonstrated for the </w:t>
      </w:r>
      <w:r w:rsidR="00EF3E92">
        <w:t xml:space="preserve">major molecular response </w:t>
      </w:r>
      <w:r w:rsidRPr="000930F5">
        <w:t xml:space="preserve">at </w:t>
      </w:r>
      <w:r w:rsidR="00EF3E92">
        <w:t>W</w:t>
      </w:r>
      <w:r w:rsidRPr="000930F5">
        <w:t xml:space="preserve">eek 24. No statistical testing was planned for other secondary endpoints, though nominal p values were </w:t>
      </w:r>
      <w:proofErr w:type="gramStart"/>
      <w:r w:rsidRPr="000930F5">
        <w:t>presented</w:t>
      </w:r>
      <w:proofErr w:type="gramEnd"/>
      <w:r w:rsidRPr="000930F5">
        <w:t xml:space="preserve"> and these analyses were considered exploratory</w:t>
      </w:r>
      <w:r w:rsidR="00EF3E92">
        <w:t>.</w:t>
      </w:r>
    </w:p>
    <w:p w14:paraId="29D0FAAD" w14:textId="4A3F9A43" w:rsidR="00503A42" w:rsidRDefault="000930F5" w:rsidP="00503A42">
      <w:r w:rsidRPr="000930F5">
        <w:t xml:space="preserve">To estimate the study sample </w:t>
      </w:r>
      <w:proofErr w:type="gramStart"/>
      <w:r w:rsidRPr="000930F5">
        <w:t>size</w:t>
      </w:r>
      <w:proofErr w:type="gramEnd"/>
      <w:r w:rsidRPr="000930F5">
        <w:t xml:space="preserve"> it was assumed that asciminib has a 20% higher </w:t>
      </w:r>
      <w:r w:rsidR="00DF7041">
        <w:t xml:space="preserve">major molecular response </w:t>
      </w:r>
      <w:r w:rsidRPr="000930F5">
        <w:t xml:space="preserve">rate at 24 weeks than bosutinib </w:t>
      </w:r>
      <w:r w:rsidR="00DF7041">
        <w:t xml:space="preserve">that is, </w:t>
      </w:r>
      <w:r w:rsidRPr="000930F5">
        <w:t xml:space="preserve">35% compared to 15% which corresponds to an odds ratio of 3.05. The assumed bosutinib </w:t>
      </w:r>
      <w:r w:rsidR="00DF7041">
        <w:t xml:space="preserve">major molecular response </w:t>
      </w:r>
      <w:r w:rsidRPr="000930F5">
        <w:t xml:space="preserve">rate of 15% at 24 weeks is based on previous trials evaluating bosutinib therapy in patients treated with at least two prior </w:t>
      </w:r>
      <w:r w:rsidR="00DF7041" w:rsidRPr="00DF7041">
        <w:t>tyrosine kinase inhibitors</w:t>
      </w:r>
      <w:r w:rsidRPr="000930F5">
        <w:t>.</w:t>
      </w:r>
      <w:r w:rsidR="00DF7041">
        <w:rPr>
          <w:rStyle w:val="FootnoteReference"/>
        </w:rPr>
        <w:footnoteReference w:id="41"/>
      </w:r>
      <w:r w:rsidRPr="000930F5">
        <w:t xml:space="preserve"> To test the null hypothesis that the </w:t>
      </w:r>
      <w:r w:rsidR="00DF7041">
        <w:t xml:space="preserve">major molecular response </w:t>
      </w:r>
      <w:r w:rsidRPr="000930F5">
        <w:t>rate at 24 weeks is equal in the two treatment arms, based on two</w:t>
      </w:r>
      <w:r w:rsidR="00A2692B">
        <w:t xml:space="preserve"> </w:t>
      </w:r>
      <w:r w:rsidRPr="000930F5">
        <w:t>sided 5% level of significance and with 90% power, 222 patients were needed in total (</w:t>
      </w:r>
      <w:r w:rsidR="00DF7041">
        <w:t>that is</w:t>
      </w:r>
      <w:r w:rsidRPr="000930F5">
        <w:t>, 148 patients in the asciminib arm and 74 patients in the bosutinib arm based on 2:1 randomisation allocation).</w:t>
      </w:r>
    </w:p>
    <w:p w14:paraId="1B31D2BC" w14:textId="77777777" w:rsidR="00503A42" w:rsidRDefault="00503A42" w:rsidP="00503A42">
      <w:pPr>
        <w:pStyle w:val="Heading6"/>
      </w:pPr>
      <w:r w:rsidRPr="00503A42">
        <w:t>Patient disposition</w:t>
      </w:r>
    </w:p>
    <w:p w14:paraId="09DD970D" w14:textId="03997760" w:rsidR="00503A42" w:rsidRPr="00503A42" w:rsidRDefault="00503A42" w:rsidP="00503A42">
      <w:r>
        <w:t xml:space="preserve">Two hundred </w:t>
      </w:r>
      <w:r w:rsidR="00531A59">
        <w:t xml:space="preserve">and </w:t>
      </w:r>
      <w:proofErr w:type="gramStart"/>
      <w:r>
        <w:t>thirty three</w:t>
      </w:r>
      <w:proofErr w:type="gramEnd"/>
      <w:r w:rsidR="00531A59">
        <w:t xml:space="preserve"> (233)</w:t>
      </w:r>
      <w:r>
        <w:t xml:space="preserve"> </w:t>
      </w:r>
      <w:r w:rsidRPr="00503A42">
        <w:t xml:space="preserve">patients with </w:t>
      </w:r>
      <w:r>
        <w:t xml:space="preserve">chronic myeloid </w:t>
      </w:r>
      <w:r w:rsidR="001B10B9">
        <w:t>leukaemia</w:t>
      </w:r>
      <w:r>
        <w:t xml:space="preserve"> </w:t>
      </w:r>
      <w:r w:rsidR="00DC26BD">
        <w:t xml:space="preserve">in </w:t>
      </w:r>
      <w:r>
        <w:t xml:space="preserve">chronic phase </w:t>
      </w:r>
      <w:r w:rsidRPr="00503A42">
        <w:t>were enrolled and randomised, 157 to treatment with asciminib and 76 to treatment with bosutinib. As of the 25</w:t>
      </w:r>
      <w:r>
        <w:t xml:space="preserve"> </w:t>
      </w:r>
      <w:r w:rsidRPr="00503A42">
        <w:t>May</w:t>
      </w:r>
      <w:r>
        <w:t xml:space="preserve"> </w:t>
      </w:r>
      <w:r w:rsidRPr="00503A42">
        <w:t>2020 data cut</w:t>
      </w:r>
      <w:r w:rsidR="00DD39C9">
        <w:t xml:space="preserve"> </w:t>
      </w:r>
      <w:r w:rsidRPr="00503A42">
        <w:t>off, 119 patients (51.1%) continued to receive treatment. Twice the proportion of patients were ongoing in the asciminib arm (61.8%) relative to the bosutinib arm (28.9%).</w:t>
      </w:r>
    </w:p>
    <w:p w14:paraId="14F887B8" w14:textId="363B5156" w:rsidR="00503A42" w:rsidRDefault="00503A42" w:rsidP="00503A42">
      <w:r w:rsidRPr="00503A42">
        <w:t xml:space="preserve">Overall, discontinuations were predominantly due to lack of efficacy, followed by </w:t>
      </w:r>
      <w:r>
        <w:t>adverse event</w:t>
      </w:r>
      <w:r w:rsidRPr="00503A42">
        <w:t>s and physician decision, although all were less frequent in the asciminib arm relative to the bosutinib arm (lack of efficacy: 21% v</w:t>
      </w:r>
      <w:r>
        <w:t>ersus</w:t>
      </w:r>
      <w:r w:rsidRPr="00503A42">
        <w:t xml:space="preserve"> 31.6%; </w:t>
      </w:r>
      <w:r>
        <w:t>adverse events</w:t>
      </w:r>
      <w:r w:rsidRPr="00503A42">
        <w:t>: 5.1% v</w:t>
      </w:r>
      <w:r>
        <w:t>ersus</w:t>
      </w:r>
      <w:r w:rsidRPr="00503A42">
        <w:t xml:space="preserve"> 21.1%; physician decision: 6.4% </w:t>
      </w:r>
      <w:r w:rsidR="00A13BFB">
        <w:t>versus</w:t>
      </w:r>
      <w:r w:rsidRPr="00503A42">
        <w:t xml:space="preserve"> 7.9%). </w:t>
      </w:r>
      <w:proofErr w:type="gramStart"/>
      <w:r w:rsidRPr="00503A42">
        <w:t>The majority of</w:t>
      </w:r>
      <w:proofErr w:type="gramEnd"/>
      <w:r w:rsidRPr="00503A42">
        <w:t xml:space="preserve"> discontinuations before Week 24 were related to </w:t>
      </w:r>
      <w:r>
        <w:t xml:space="preserve">adverse events </w:t>
      </w:r>
      <w:r w:rsidRPr="00503A42">
        <w:t xml:space="preserve">while after Week 24 discontinuations were mainly due to lack of efficacy. </w:t>
      </w:r>
      <w:r w:rsidR="00531A59" w:rsidRPr="00503A42">
        <w:t>Twenty</w:t>
      </w:r>
      <w:r w:rsidR="00531A59">
        <w:t>-two</w:t>
      </w:r>
      <w:r w:rsidRPr="00503A42">
        <w:t xml:space="preserve"> patients (28.9%) randomised to bosutinib switched to asciminib treatment after meeting lack of efficacy criteria as per protocol. The median duration of exposure to study drug was approximately 50% longer in the asciminib treatment group (43.4 weeks; range: 0.1 to 129.9) compared to the bosutinib treatment group (29.2 weeks; range: 1 to 117).</w:t>
      </w:r>
    </w:p>
    <w:p w14:paraId="7230766B" w14:textId="5C95505B" w:rsidR="00503A42" w:rsidRDefault="00503A42" w:rsidP="00503A42">
      <w:pPr>
        <w:pStyle w:val="Tabletitle0"/>
      </w:pPr>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47BEA">
        <w:rPr>
          <w:noProof/>
        </w:rPr>
        <w:t>6</w:t>
      </w:r>
      <w:r>
        <w:rPr>
          <w:color w:val="2B579A"/>
          <w:shd w:val="clear" w:color="auto" w:fill="E6E6E6"/>
        </w:rPr>
        <w:fldChar w:fldCharType="end"/>
      </w:r>
      <w:r>
        <w:t xml:space="preserve">: </w:t>
      </w:r>
      <w:r w:rsidR="00531A59">
        <w:t xml:space="preserve">Study A2301 </w:t>
      </w:r>
      <w:r>
        <w:t>Patient disposition</w:t>
      </w:r>
    </w:p>
    <w:p w14:paraId="1CDB9230" w14:textId="5FD8DED6" w:rsidR="00503A42" w:rsidRPr="00503A42" w:rsidRDefault="00F35FA4" w:rsidP="00503A42">
      <w:r>
        <w:rPr>
          <w:noProof/>
          <w:color w:val="2B579A"/>
          <w:shd w:val="clear" w:color="auto" w:fill="E6E6E6"/>
          <w:lang w:val="en-GB" w:eastAsia="en-GB"/>
        </w:rPr>
        <w:drawing>
          <wp:inline distT="0" distB="0" distL="0" distR="0" wp14:anchorId="4F21928E" wp14:editId="4BF49374">
            <wp:extent cx="4905955" cy="5591175"/>
            <wp:effectExtent l="0" t="0" r="9525" b="0"/>
            <wp:docPr id="5" name="Picture 5" descr="Patient disposition Study A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tient disposition Study A2301"/>
                    <pic:cNvPicPr>
                      <a:picLocks noChangeAspect="1" noChangeArrowheads="1"/>
                    </pic:cNvPicPr>
                  </pic:nvPicPr>
                  <pic:blipFill rotWithShape="1">
                    <a:blip r:embed="rId26">
                      <a:extLst>
                        <a:ext uri="{28A0092B-C50C-407E-A947-70E740481C1C}">
                          <a14:useLocalDpi xmlns:a14="http://schemas.microsoft.com/office/drawing/2010/main" val="0"/>
                        </a:ext>
                      </a:extLst>
                    </a:blip>
                    <a:srcRect r="4783" b="4551"/>
                    <a:stretch/>
                  </pic:blipFill>
                  <pic:spPr bwMode="auto">
                    <a:xfrm>
                      <a:off x="0" y="0"/>
                      <a:ext cx="4908973" cy="5594615"/>
                    </a:xfrm>
                    <a:prstGeom prst="rect">
                      <a:avLst/>
                    </a:prstGeom>
                    <a:noFill/>
                    <a:ln>
                      <a:noFill/>
                    </a:ln>
                    <a:extLst>
                      <a:ext uri="{53640926-AAD7-44D8-BBD7-CCE9431645EC}">
                        <a14:shadowObscured xmlns:a14="http://schemas.microsoft.com/office/drawing/2010/main"/>
                      </a:ext>
                    </a:extLst>
                  </pic:spPr>
                </pic:pic>
              </a:graphicData>
            </a:graphic>
          </wp:inline>
        </w:drawing>
      </w:r>
    </w:p>
    <w:p w14:paraId="0C890BC0" w14:textId="1AD0DCF4" w:rsidR="00503A42" w:rsidRPr="000E4899" w:rsidRDefault="00F35FA4" w:rsidP="00F35FA4">
      <w:pPr>
        <w:pStyle w:val="TableDescription"/>
      </w:pPr>
      <w:r w:rsidRPr="00F35FA4">
        <w:rPr>
          <w:vertAlign w:val="superscript"/>
        </w:rPr>
        <w:t>1</w:t>
      </w:r>
      <w:r>
        <w:t xml:space="preserve"> Ongoing at the time of the data </w:t>
      </w:r>
      <w:proofErr w:type="spellStart"/>
      <w:r>
        <w:t>cut</w:t>
      </w:r>
      <w:r w:rsidR="00A2692B">
        <w:t xml:space="preserve"> </w:t>
      </w:r>
      <w:r>
        <w:t>off</w:t>
      </w:r>
      <w:proofErr w:type="spellEnd"/>
      <w:r>
        <w:t xml:space="preserve"> date 25 May 2020</w:t>
      </w:r>
    </w:p>
    <w:p w14:paraId="4B44BB74" w14:textId="1E2BCE16" w:rsidR="00F35FA4" w:rsidRDefault="00F35FA4" w:rsidP="00F35FA4">
      <w:pPr>
        <w:pStyle w:val="Heading6"/>
      </w:pPr>
      <w:r w:rsidRPr="00F35FA4">
        <w:t xml:space="preserve">Demographic and disease characteristics at </w:t>
      </w:r>
      <w:r>
        <w:t>B</w:t>
      </w:r>
      <w:r w:rsidRPr="00F35FA4">
        <w:t>aseline</w:t>
      </w:r>
    </w:p>
    <w:p w14:paraId="70EB8BCC" w14:textId="005C9B67" w:rsidR="00521E0E" w:rsidRDefault="00F35FA4" w:rsidP="00F35FA4">
      <w:r w:rsidRPr="00F35FA4">
        <w:t xml:space="preserve">The median age </w:t>
      </w:r>
      <w:r w:rsidR="00531A59">
        <w:t xml:space="preserve">of patients </w:t>
      </w:r>
      <w:r w:rsidRPr="00F35FA4">
        <w:t>was 52 years (range: 19</w:t>
      </w:r>
      <w:r>
        <w:t xml:space="preserve"> to </w:t>
      </w:r>
      <w:r w:rsidRPr="00F35FA4">
        <w:t xml:space="preserve">83) with 44 (18.9%) </w:t>
      </w:r>
      <w:r w:rsidR="00531A59">
        <w:t xml:space="preserve">patients </w:t>
      </w:r>
      <w:r w:rsidRPr="00F35FA4">
        <w:t>aged 65 years</w:t>
      </w:r>
      <w:r w:rsidR="00531A59">
        <w:t xml:space="preserve"> or older</w:t>
      </w:r>
      <w:r w:rsidRPr="00F35FA4">
        <w:t xml:space="preserve"> and </w:t>
      </w:r>
      <w:r>
        <w:t>six</w:t>
      </w:r>
      <w:r w:rsidRPr="00F35FA4">
        <w:t xml:space="preserve"> (2.5%) </w:t>
      </w:r>
      <w:r w:rsidR="00531A59">
        <w:t xml:space="preserve">patients </w:t>
      </w:r>
      <w:r w:rsidRPr="00F35FA4">
        <w:t>aged 75 years</w:t>
      </w:r>
      <w:r w:rsidR="00531A59">
        <w:t xml:space="preserve"> or older</w:t>
      </w:r>
      <w:r w:rsidRPr="00F35FA4">
        <w:t xml:space="preserve">. </w:t>
      </w:r>
      <w:proofErr w:type="gramStart"/>
      <w:r w:rsidRPr="00F35FA4">
        <w:t>The majority of</w:t>
      </w:r>
      <w:proofErr w:type="gramEnd"/>
      <w:r w:rsidRPr="00F35FA4">
        <w:t xml:space="preserve"> patients were White (74.7%), and 14.2% were Asian. Almost all patients (98.7%) had a baseline ECOG performance status of 0 or 1.</w:t>
      </w:r>
      <w:r w:rsidR="00E85C5E">
        <w:rPr>
          <w:color w:val="2B579A"/>
          <w:shd w:val="clear" w:color="auto" w:fill="E6E6E6"/>
        </w:rPr>
        <w:fldChar w:fldCharType="begin"/>
      </w:r>
      <w:r w:rsidR="00E85C5E">
        <w:instrText xml:space="preserve"> NOTEREF _Ref127878276 \f \h </w:instrText>
      </w:r>
      <w:r w:rsidR="00E85C5E">
        <w:rPr>
          <w:color w:val="2B579A"/>
          <w:shd w:val="clear" w:color="auto" w:fill="E6E6E6"/>
        </w:rPr>
      </w:r>
      <w:r w:rsidR="00E85C5E">
        <w:rPr>
          <w:color w:val="2B579A"/>
          <w:shd w:val="clear" w:color="auto" w:fill="E6E6E6"/>
        </w:rPr>
        <w:fldChar w:fldCharType="separate"/>
      </w:r>
      <w:r w:rsidR="00547BEA" w:rsidRPr="00547BEA">
        <w:rPr>
          <w:rStyle w:val="FootnoteReference"/>
        </w:rPr>
        <w:t>39</w:t>
      </w:r>
      <w:r w:rsidR="00E85C5E">
        <w:rPr>
          <w:color w:val="2B579A"/>
          <w:shd w:val="clear" w:color="auto" w:fill="E6E6E6"/>
        </w:rPr>
        <w:fldChar w:fldCharType="end"/>
      </w:r>
      <w:r w:rsidRPr="00F35FA4">
        <w:t xml:space="preserve"> The median time since diagnosis was 4.2</w:t>
      </w:r>
      <w:r w:rsidR="00A13BFB">
        <w:t> </w:t>
      </w:r>
      <w:r w:rsidRPr="00F35FA4">
        <w:t xml:space="preserve">years (range 1 </w:t>
      </w:r>
      <w:r>
        <w:t>to</w:t>
      </w:r>
      <w:r w:rsidRPr="00F35FA4">
        <w:t xml:space="preserve"> 28 years). </w:t>
      </w:r>
      <w:r>
        <w:t>Twelve</w:t>
      </w:r>
      <w:r w:rsidRPr="00F35FA4">
        <w:t xml:space="preserve"> patients had extramedullary involvement in the spleen and </w:t>
      </w:r>
      <w:r>
        <w:t>two</w:t>
      </w:r>
      <w:r w:rsidRPr="00F35FA4">
        <w:t xml:space="preserve"> of these patients also had involvement in the liver. </w:t>
      </w:r>
      <w:r w:rsidR="00531A59">
        <w:t>Forty-four</w:t>
      </w:r>
      <w:r w:rsidRPr="00F35FA4">
        <w:t xml:space="preserve"> (28%) and 21 (27%) were in major cytogenetic response at </w:t>
      </w:r>
      <w:r>
        <w:t>B</w:t>
      </w:r>
      <w:r w:rsidRPr="00F35FA4">
        <w:t xml:space="preserve">aseline. Patients who had previously received </w:t>
      </w:r>
      <w:r w:rsidR="00A13BFB">
        <w:t>two</w:t>
      </w:r>
      <w:r w:rsidRPr="00F35FA4">
        <w:t xml:space="preserve">, </w:t>
      </w:r>
      <w:r w:rsidR="00A13BFB">
        <w:t>three</w:t>
      </w:r>
      <w:r w:rsidRPr="00F35FA4">
        <w:t xml:space="preserve">, </w:t>
      </w:r>
      <w:r w:rsidR="00A13BFB">
        <w:t>four</w:t>
      </w:r>
      <w:r w:rsidRPr="00F35FA4">
        <w:t xml:space="preserve">, </w:t>
      </w:r>
      <w:r w:rsidR="00A13BFB">
        <w:t>five</w:t>
      </w:r>
      <w:r w:rsidRPr="00F35FA4">
        <w:t xml:space="preserve"> or more prior lines of </w:t>
      </w:r>
      <w:r w:rsidRPr="00B15ABE">
        <w:t xml:space="preserve">tyrosine kinase </w:t>
      </w:r>
      <w:r w:rsidRPr="00E61C82">
        <w:t>inhibitor</w:t>
      </w:r>
      <w:r>
        <w:t>s</w:t>
      </w:r>
      <w:r w:rsidRPr="00F35FA4">
        <w:t xml:space="preserve"> were 48%, 31%, 15%, and 6%, respectively of the total patient population.</w:t>
      </w:r>
    </w:p>
    <w:p w14:paraId="7584B6E9" w14:textId="56A0F9AE" w:rsidR="00F35FA4" w:rsidRDefault="00F35FA4" w:rsidP="00F35FA4">
      <w:r>
        <w:t xml:space="preserve">The primary objective of this study was met, in that clinically and statistically and significant superiority of asciminib at its proposed dose in comparison with </w:t>
      </w:r>
      <w:r w:rsidRPr="006E6FBB">
        <w:t>bosutinib (500</w:t>
      </w:r>
      <w:r>
        <w:t> </w:t>
      </w:r>
      <w:r w:rsidRPr="006E6FBB">
        <w:t xml:space="preserve">mg </w:t>
      </w:r>
      <w:r>
        <w:t xml:space="preserve">once </w:t>
      </w:r>
      <w:r w:rsidR="000820A3">
        <w:t>daily</w:t>
      </w:r>
      <w:r w:rsidRPr="006E6FBB">
        <w:t xml:space="preserve">) </w:t>
      </w:r>
      <w:r>
        <w:t xml:space="preserve">was demonstrated </w:t>
      </w:r>
      <w:r w:rsidRPr="006E6FBB">
        <w:t xml:space="preserve">in patients with </w:t>
      </w:r>
      <w:r>
        <w:t xml:space="preserve">chronic myeloid </w:t>
      </w:r>
      <w:r w:rsidR="001B10B9">
        <w:t>leukaemia</w:t>
      </w:r>
      <w:r>
        <w:t xml:space="preserve"> </w:t>
      </w:r>
      <w:r w:rsidR="00DC26BD">
        <w:t xml:space="preserve">in </w:t>
      </w:r>
      <w:r>
        <w:t>chronic phase</w:t>
      </w:r>
      <w:r w:rsidRPr="006E6FBB">
        <w:t xml:space="preserve">, previously treated with </w:t>
      </w:r>
      <w:r>
        <w:t>two</w:t>
      </w:r>
      <w:r w:rsidRPr="006E6FBB">
        <w:t xml:space="preserve"> or more</w:t>
      </w:r>
      <w:r>
        <w:t xml:space="preserve"> </w:t>
      </w:r>
      <w:r w:rsidRPr="00B15ABE">
        <w:t xml:space="preserve">tyrosine kinase </w:t>
      </w:r>
      <w:r w:rsidRPr="00E61C82">
        <w:t>inhibitor</w:t>
      </w:r>
      <w:r>
        <w:t xml:space="preserve">s. A </w:t>
      </w:r>
      <w:r w:rsidRPr="00EA5B0E">
        <w:t>consistent treatment effect, independent of the demographic and prognostic variables tested</w:t>
      </w:r>
      <w:r>
        <w:t xml:space="preserve"> was apparent, including in </w:t>
      </w:r>
      <w:r w:rsidRPr="00EA5B0E">
        <w:t xml:space="preserve">those that were </w:t>
      </w:r>
      <w:r>
        <w:t xml:space="preserve">not </w:t>
      </w:r>
      <w:r w:rsidRPr="00EA5B0E">
        <w:t xml:space="preserve">balanced between treatment arms at </w:t>
      </w:r>
      <w:r>
        <w:lastRenderedPageBreak/>
        <w:t>B</w:t>
      </w:r>
      <w:r w:rsidRPr="00EA5B0E">
        <w:t>aseline (</w:t>
      </w:r>
      <w:r>
        <w:t>fewer</w:t>
      </w:r>
      <w:r w:rsidRPr="00EA5B0E">
        <w:t xml:space="preserve"> females in the asciminib arm, more </w:t>
      </w:r>
      <w:proofErr w:type="gramStart"/>
      <w:r w:rsidRPr="00EA5B0E">
        <w:t>patients</w:t>
      </w:r>
      <w:proofErr w:type="gramEnd"/>
      <w:r w:rsidRPr="00EA5B0E">
        <w:t xml:space="preserve"> intolerant to their prior </w:t>
      </w:r>
      <w:r w:rsidRPr="00B15ABE">
        <w:t xml:space="preserve">tyrosine kinase </w:t>
      </w:r>
      <w:r w:rsidRPr="00E61C82">
        <w:t>inhibitor</w:t>
      </w:r>
      <w:r w:rsidRPr="00EA5B0E">
        <w:t xml:space="preserve"> in the asciminib arm and patients in the asciminib arm were less heavily pre-treated).</w:t>
      </w:r>
    </w:p>
    <w:p w14:paraId="59A1CC8B" w14:textId="1F071212" w:rsidR="00F35FA4" w:rsidRDefault="00F35FA4" w:rsidP="00A13BFB">
      <w:pPr>
        <w:pStyle w:val="Tabletitle0"/>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47BEA">
        <w:rPr>
          <w:noProof/>
        </w:rPr>
        <w:t>7</w:t>
      </w:r>
      <w:r>
        <w:rPr>
          <w:color w:val="2B579A"/>
          <w:shd w:val="clear" w:color="auto" w:fill="E6E6E6"/>
        </w:rPr>
        <w:fldChar w:fldCharType="end"/>
      </w:r>
      <w:r>
        <w:t xml:space="preserve">: </w:t>
      </w:r>
      <w:r w:rsidR="00531A59">
        <w:t xml:space="preserve">Study A2301 </w:t>
      </w:r>
      <w:r>
        <w:t xml:space="preserve">Major </w:t>
      </w:r>
      <w:r w:rsidR="0086325C">
        <w:t>molecular response rate at Week 24</w:t>
      </w:r>
    </w:p>
    <w:p w14:paraId="2FD8B868" w14:textId="3E294FD6" w:rsidR="0086325C" w:rsidRDefault="0086325C" w:rsidP="0086325C">
      <w:r>
        <w:rPr>
          <w:noProof/>
          <w:color w:val="2B579A"/>
          <w:shd w:val="clear" w:color="auto" w:fill="E6E6E6"/>
          <w:lang w:val="en-GB" w:eastAsia="en-GB"/>
        </w:rPr>
        <w:drawing>
          <wp:inline distT="0" distB="0" distL="0" distR="0" wp14:anchorId="46AEE8CD" wp14:editId="2F669694">
            <wp:extent cx="5198745" cy="1381125"/>
            <wp:effectExtent l="0" t="0" r="1905" b="9525"/>
            <wp:docPr id="6" name="Picture 6" descr="Major molecular response rate at Week 24 for Study A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jor molecular response rate at Week 24 for Study A2301"/>
                    <pic:cNvPicPr>
                      <a:picLocks noChangeAspect="1" noChangeArrowheads="1"/>
                    </pic:cNvPicPr>
                  </pic:nvPicPr>
                  <pic:blipFill rotWithShape="1">
                    <a:blip r:embed="rId27">
                      <a:extLst>
                        <a:ext uri="{28A0092B-C50C-407E-A947-70E740481C1C}">
                          <a14:useLocalDpi xmlns:a14="http://schemas.microsoft.com/office/drawing/2010/main" val="0"/>
                        </a:ext>
                      </a:extLst>
                    </a:blip>
                    <a:srcRect b="48393"/>
                    <a:stretch/>
                  </pic:blipFill>
                  <pic:spPr bwMode="auto">
                    <a:xfrm>
                      <a:off x="0" y="0"/>
                      <a:ext cx="5201384" cy="1381826"/>
                    </a:xfrm>
                    <a:prstGeom prst="rect">
                      <a:avLst/>
                    </a:prstGeom>
                    <a:noFill/>
                    <a:ln>
                      <a:noFill/>
                    </a:ln>
                    <a:extLst>
                      <a:ext uri="{53640926-AAD7-44D8-BBD7-CCE9431645EC}">
                        <a14:shadowObscured xmlns:a14="http://schemas.microsoft.com/office/drawing/2010/main"/>
                      </a:ext>
                    </a:extLst>
                  </pic:spPr>
                </pic:pic>
              </a:graphicData>
            </a:graphic>
          </wp:inline>
        </w:drawing>
      </w:r>
    </w:p>
    <w:p w14:paraId="51E8A985" w14:textId="0770C5A6" w:rsidR="0086325C" w:rsidRDefault="0086325C" w:rsidP="0086325C">
      <w:pPr>
        <w:pStyle w:val="TableDescription"/>
        <w:spacing w:before="0"/>
      </w:pPr>
      <w:r>
        <w:t xml:space="preserve">Patients without PCR assessment at 24 weeks were considered as non-responders, unless both </w:t>
      </w:r>
      <w:proofErr w:type="gramStart"/>
      <w:r>
        <w:t>16 and 36 Week</w:t>
      </w:r>
      <w:proofErr w:type="gramEnd"/>
      <w:r>
        <w:t xml:space="preserve"> PCR assessments indicated that the patient was in major molecular response: no patients in the asciminib arm and in the bosutinib arm with missing PCR assessment at 24 weeks were imputed as having major molecular response at 24 weeks as they had major molecular response both at 16 and 36</w:t>
      </w:r>
      <w:r w:rsidR="00A13BFB">
        <w:t> </w:t>
      </w:r>
      <w:r>
        <w:t>weeks.</w:t>
      </w:r>
    </w:p>
    <w:p w14:paraId="5ADD546C" w14:textId="7D95EC2B" w:rsidR="0086325C" w:rsidRDefault="0086325C" w:rsidP="0086325C">
      <w:pPr>
        <w:pStyle w:val="TableDescription"/>
        <w:spacing w:before="0"/>
      </w:pPr>
      <w:r>
        <w:rPr>
          <w:vertAlign w:val="superscript"/>
        </w:rPr>
        <w:t>1</w:t>
      </w:r>
      <w:r>
        <w:t xml:space="preserve"> Clopper-Pearson 95% 2-sided CI.</w:t>
      </w:r>
    </w:p>
    <w:p w14:paraId="4F51358E" w14:textId="7B922893" w:rsidR="0086325C" w:rsidRDefault="0086325C" w:rsidP="0086325C">
      <w:pPr>
        <w:pStyle w:val="TableDescription"/>
        <w:spacing w:before="0"/>
      </w:pPr>
      <w:r>
        <w:rPr>
          <w:vertAlign w:val="superscript"/>
        </w:rPr>
        <w:t>2</w:t>
      </w:r>
      <w:r>
        <w:t xml:space="preserve"> Wald 95% 2-sided CI.</w:t>
      </w:r>
    </w:p>
    <w:p w14:paraId="623D8165" w14:textId="58E40B62" w:rsidR="0086325C" w:rsidRDefault="0086325C" w:rsidP="0086325C">
      <w:pPr>
        <w:pStyle w:val="TableDescription"/>
        <w:spacing w:before="0"/>
      </w:pPr>
      <w:r>
        <w:rPr>
          <w:vertAlign w:val="superscript"/>
        </w:rPr>
        <w:t>3</w:t>
      </w:r>
      <w:r>
        <w:t xml:space="preserve"> The common risk difference after adjusting for stratum: baseline major cytogenetic response status (based on randomisation data) and its 95% CI was estimated using the Mantel-Haenszel method.</w:t>
      </w:r>
    </w:p>
    <w:p w14:paraId="5DAF4E16" w14:textId="13BC355B" w:rsidR="0086325C" w:rsidRDefault="0086325C" w:rsidP="0086325C">
      <w:pPr>
        <w:pStyle w:val="TableDescription"/>
        <w:spacing w:before="0"/>
      </w:pPr>
      <w:r>
        <w:rPr>
          <w:vertAlign w:val="superscript"/>
        </w:rPr>
        <w:t>4</w:t>
      </w:r>
      <w:r>
        <w:t xml:space="preserve"> CMH 2-sided test was stratified by baseline major cytogenetic response status (bases on randomisation data).</w:t>
      </w:r>
    </w:p>
    <w:p w14:paraId="3657A625" w14:textId="22B08E59" w:rsidR="0086325C" w:rsidRDefault="0086325C" w:rsidP="0086325C">
      <w:r>
        <w:t>Subgroup analyses for the major molecular response rate at 24 weeks are shown below.</w:t>
      </w:r>
    </w:p>
    <w:p w14:paraId="6A51A679" w14:textId="115C4A64" w:rsidR="0086325C" w:rsidRDefault="0086325C" w:rsidP="0086325C">
      <w:pPr>
        <w:pStyle w:val="Tabletitle0"/>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47BEA">
        <w:rPr>
          <w:noProof/>
        </w:rPr>
        <w:t>8</w:t>
      </w:r>
      <w:r>
        <w:rPr>
          <w:color w:val="2B579A"/>
          <w:shd w:val="clear" w:color="auto" w:fill="E6E6E6"/>
        </w:rPr>
        <w:fldChar w:fldCharType="end"/>
      </w:r>
      <w:r>
        <w:t xml:space="preserve">: </w:t>
      </w:r>
      <w:r w:rsidR="00531A59">
        <w:t xml:space="preserve">Study A2301 </w:t>
      </w:r>
      <w:r>
        <w:t>Forest plot of risk difference with 95% confidence interval for major molecular response rate at 24 weeks from subgroup analysis</w:t>
      </w:r>
    </w:p>
    <w:p w14:paraId="41E7F7F3" w14:textId="598CB03A" w:rsidR="0086325C" w:rsidRDefault="00097667" w:rsidP="0086325C">
      <w:r>
        <w:rPr>
          <w:noProof/>
          <w:color w:val="2B579A"/>
          <w:shd w:val="clear" w:color="auto" w:fill="E6E6E6"/>
          <w:lang w:val="en-GB" w:eastAsia="en-GB"/>
        </w:rPr>
        <w:drawing>
          <wp:inline distT="0" distB="0" distL="0" distR="0" wp14:anchorId="37824B99" wp14:editId="32DAF6C5">
            <wp:extent cx="5362332" cy="3219450"/>
            <wp:effectExtent l="0" t="0" r="0" b="0"/>
            <wp:docPr id="8" name="Picture 8" descr="Forest plot of risk difference with 95% confidence interval for major molecular response rate at 24 weeks from subgroup analysis for Study A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orest plot of risk difference with 95% confidence interval for major molecular response rate at 24 weeks from subgroup analysis for Study A2301"/>
                    <pic:cNvPicPr>
                      <a:picLocks noChangeAspect="1" noChangeArrowheads="1"/>
                    </pic:cNvPicPr>
                  </pic:nvPicPr>
                  <pic:blipFill rotWithShape="1">
                    <a:blip r:embed="rId28">
                      <a:extLst>
                        <a:ext uri="{28A0092B-C50C-407E-A947-70E740481C1C}">
                          <a14:useLocalDpi xmlns:a14="http://schemas.microsoft.com/office/drawing/2010/main" val="0"/>
                        </a:ext>
                      </a:extLst>
                    </a:blip>
                    <a:srcRect b="12330"/>
                    <a:stretch/>
                  </pic:blipFill>
                  <pic:spPr bwMode="auto">
                    <a:xfrm>
                      <a:off x="0" y="0"/>
                      <a:ext cx="5369582" cy="3223803"/>
                    </a:xfrm>
                    <a:prstGeom prst="rect">
                      <a:avLst/>
                    </a:prstGeom>
                    <a:noFill/>
                    <a:ln>
                      <a:noFill/>
                    </a:ln>
                    <a:extLst>
                      <a:ext uri="{53640926-AAD7-44D8-BBD7-CCE9431645EC}">
                        <a14:shadowObscured xmlns:a14="http://schemas.microsoft.com/office/drawing/2010/main"/>
                      </a:ext>
                    </a:extLst>
                  </pic:spPr>
                </pic:pic>
              </a:graphicData>
            </a:graphic>
          </wp:inline>
        </w:drawing>
      </w:r>
    </w:p>
    <w:p w14:paraId="055181CF" w14:textId="0E47AFE3" w:rsidR="00097667" w:rsidRDefault="00097667" w:rsidP="00097667">
      <w:pPr>
        <w:pStyle w:val="TableDescription"/>
        <w:spacing w:before="0"/>
      </w:pPr>
      <w:r>
        <w:t>n: The number of patients with response.</w:t>
      </w:r>
    </w:p>
    <w:p w14:paraId="6F334446" w14:textId="36ABA3B9" w:rsidR="00097667" w:rsidRDefault="00097667" w:rsidP="00097667">
      <w:pPr>
        <w:pStyle w:val="TableDescription"/>
        <w:spacing w:before="0"/>
      </w:pPr>
      <w:r>
        <w:t>N: The total number of patients in the subgroup and treatment group with response variable defined. 95% Wald CI for risk difference. Risk difference is asciminib versus bosutinib.</w:t>
      </w:r>
    </w:p>
    <w:p w14:paraId="4B65A871" w14:textId="77777777" w:rsidR="00097667" w:rsidRPr="00097667" w:rsidRDefault="00097667" w:rsidP="00097667">
      <w:r w:rsidRPr="00097667">
        <w:t>Secondary endpoints are exploratory and included the following:</w:t>
      </w:r>
    </w:p>
    <w:p w14:paraId="15FBCCB2" w14:textId="19FEEF90" w:rsidR="00097667" w:rsidRPr="00097667" w:rsidRDefault="00097667" w:rsidP="00097667">
      <w:pPr>
        <w:pStyle w:val="ListBullet"/>
      </w:pPr>
      <w:r w:rsidRPr="00097667">
        <w:lastRenderedPageBreak/>
        <w:t xml:space="preserve">The </w:t>
      </w:r>
      <w:r>
        <w:t xml:space="preserve">major molecular response </w:t>
      </w:r>
      <w:r w:rsidRPr="00097667">
        <w:t>rate at each scheduled time point to Week 24 was higher for the asciminib arm compared to the bosutinib arm, with relevant differences apparent at Week 12 (17.8% in the asciminib arm compared to 9.2% in the bosutinib arm</w:t>
      </w:r>
      <w:r>
        <w:t>)</w:t>
      </w:r>
      <w:r w:rsidRPr="00097667">
        <w:t>. Data beyond Week 24 are not mature.</w:t>
      </w:r>
    </w:p>
    <w:p w14:paraId="77E893BD" w14:textId="5C7AC244" w:rsidR="00097667" w:rsidRPr="00097667" w:rsidRDefault="00097667" w:rsidP="00097667">
      <w:pPr>
        <w:pStyle w:val="ListBullet"/>
      </w:pPr>
      <w:r w:rsidRPr="00097667">
        <w:t xml:space="preserve">Median time to </w:t>
      </w:r>
      <w:r>
        <w:t xml:space="preserve">major molecular response </w:t>
      </w:r>
      <w:r w:rsidRPr="00097667">
        <w:t>for responders was 12.7 weeks in the asciminib arm compared to 14.3 weeks in the bosutinib arm.</w:t>
      </w:r>
    </w:p>
    <w:p w14:paraId="3078BA03" w14:textId="6E07A841" w:rsidR="00097667" w:rsidRPr="00097667" w:rsidRDefault="00097667" w:rsidP="00097667">
      <w:pPr>
        <w:pStyle w:val="ListBullet"/>
      </w:pPr>
      <w:proofErr w:type="gramStart"/>
      <w:r w:rsidRPr="00097667">
        <w:t>The majority of</w:t>
      </w:r>
      <w:proofErr w:type="gramEnd"/>
      <w:r w:rsidRPr="00097667">
        <w:t xml:space="preserve"> patients who achieved </w:t>
      </w:r>
      <w:r>
        <w:t xml:space="preserve">major molecular response </w:t>
      </w:r>
      <w:r w:rsidRPr="00097667">
        <w:t xml:space="preserve">continued in </w:t>
      </w:r>
      <w:r>
        <w:t>major molecular response</w:t>
      </w:r>
      <w:r w:rsidRPr="00097667">
        <w:t xml:space="preserve">: only </w:t>
      </w:r>
      <w:r>
        <w:t>three</w:t>
      </w:r>
      <w:r w:rsidRPr="00097667">
        <w:t xml:space="preserve"> patients (5.6%) in the asciminib arm subsequently lost their response. No loss of response was observed in the bosutinib arm.</w:t>
      </w:r>
    </w:p>
    <w:p w14:paraId="2284E4C7" w14:textId="18C31560" w:rsidR="00097667" w:rsidRPr="00097667" w:rsidRDefault="007A021D" w:rsidP="009B4462">
      <w:pPr>
        <w:pStyle w:val="ListBullet"/>
      </w:pPr>
      <w:proofErr w:type="gramStart"/>
      <w:r w:rsidRPr="00281B1A">
        <w:rPr>
          <w:i/>
          <w:iCs/>
        </w:rPr>
        <w:t>BCR::</w:t>
      </w:r>
      <w:proofErr w:type="gramEnd"/>
      <w:r w:rsidRPr="00281B1A">
        <w:rPr>
          <w:i/>
          <w:iCs/>
        </w:rPr>
        <w:t>ABL1</w:t>
      </w:r>
      <w:r w:rsidR="00097667" w:rsidRPr="00097667">
        <w:t xml:space="preserve"> </w:t>
      </w:r>
      <w:r w:rsidR="00A13BFB">
        <w:t>IS</w:t>
      </w:r>
      <w:r w:rsidR="009B4462">
        <w:t xml:space="preserve"> less than or equal to</w:t>
      </w:r>
      <w:r w:rsidR="00097667" w:rsidRPr="00097667">
        <w:t xml:space="preserve"> 0.01% (MR4 or better) was observed in 10.8% of patients on asciminib and on 5.3% of patients on bosutinib with the majority on asciminib achieving MR</w:t>
      </w:r>
      <w:r w:rsidR="00097667" w:rsidRPr="009B4462">
        <w:t xml:space="preserve">4.5 </w:t>
      </w:r>
      <w:r w:rsidR="00097667" w:rsidRPr="00097667">
        <w:t xml:space="preserve">(8.9% </w:t>
      </w:r>
      <w:r w:rsidR="009B4462">
        <w:t xml:space="preserve">versus </w:t>
      </w:r>
      <w:r w:rsidR="00097667" w:rsidRPr="00097667">
        <w:t>1.3%)</w:t>
      </w:r>
      <w:r w:rsidR="00A92A33">
        <w:t xml:space="preserve"> (see </w:t>
      </w:r>
      <w:r w:rsidR="00A92A33">
        <w:fldChar w:fldCharType="begin"/>
      </w:r>
      <w:r w:rsidR="00A92A33">
        <w:instrText xml:space="preserve"> REF _Ref131405164 \h </w:instrText>
      </w:r>
      <w:r w:rsidR="00A92A33">
        <w:fldChar w:fldCharType="separate"/>
      </w:r>
      <w:r w:rsidR="00547BEA">
        <w:t xml:space="preserve">Table </w:t>
      </w:r>
      <w:r w:rsidR="00547BEA">
        <w:rPr>
          <w:noProof/>
        </w:rPr>
        <w:t>3</w:t>
      </w:r>
      <w:r w:rsidR="00A92A33">
        <w:fldChar w:fldCharType="end"/>
      </w:r>
      <w:r w:rsidR="00A92A33">
        <w:t xml:space="preserve"> for definitions of MR responses).</w:t>
      </w:r>
    </w:p>
    <w:p w14:paraId="5F49580B" w14:textId="41BCCE9B" w:rsidR="00097667" w:rsidRPr="00097667" w:rsidRDefault="00097667" w:rsidP="009B4462">
      <w:pPr>
        <w:pStyle w:val="ListBullet"/>
      </w:pPr>
      <w:r w:rsidRPr="00097667">
        <w:t xml:space="preserve">When only patients with </w:t>
      </w:r>
      <w:proofErr w:type="gramStart"/>
      <w:r w:rsidR="007A021D" w:rsidRPr="00281B1A">
        <w:rPr>
          <w:i/>
          <w:iCs/>
        </w:rPr>
        <w:t>BCR::</w:t>
      </w:r>
      <w:proofErr w:type="gramEnd"/>
      <w:r w:rsidR="007A021D" w:rsidRPr="00281B1A">
        <w:rPr>
          <w:i/>
          <w:iCs/>
        </w:rPr>
        <w:t>ABL1</w:t>
      </w:r>
      <w:r w:rsidR="00A52307">
        <w:t xml:space="preserve"> </w:t>
      </w:r>
      <w:r w:rsidR="00A13BFB">
        <w:t>IS</w:t>
      </w:r>
      <w:r w:rsidR="009B4462">
        <w:t xml:space="preserve"> greater than</w:t>
      </w:r>
      <w:r w:rsidR="00A13BFB">
        <w:t xml:space="preserve"> </w:t>
      </w:r>
      <w:r w:rsidRPr="00097667">
        <w:t xml:space="preserve">1% at </w:t>
      </w:r>
      <w:r w:rsidR="009B4462">
        <w:t>B</w:t>
      </w:r>
      <w:r w:rsidRPr="00097667">
        <w:t xml:space="preserve">aseline were included in the analysis (142 in the asciminib arm and 72 in the bosutinib arm), the percentage of patients with </w:t>
      </w:r>
      <w:r w:rsidR="007A021D" w:rsidRPr="00281B1A">
        <w:rPr>
          <w:i/>
          <w:iCs/>
        </w:rPr>
        <w:t>BCR::ABL1</w:t>
      </w:r>
      <w:r w:rsidRPr="00097667">
        <w:t xml:space="preserve"> </w:t>
      </w:r>
      <w:r w:rsidR="00A52307">
        <w:t>international scale</w:t>
      </w:r>
      <w:r w:rsidRPr="00097667">
        <w:t xml:space="preserve"> </w:t>
      </w:r>
      <w:r w:rsidR="009B4462">
        <w:t xml:space="preserve">less than or equal to </w:t>
      </w:r>
      <w:r w:rsidRPr="00097667">
        <w:t>1% at Week 24 was 44.37% in the asciminib arm and 20.83% in the bosutinib arm</w:t>
      </w:r>
      <w:r w:rsidR="009B4462">
        <w:t>.</w:t>
      </w:r>
    </w:p>
    <w:p w14:paraId="1BC38F37" w14:textId="0A732067" w:rsidR="00097667" w:rsidRPr="00097667" w:rsidRDefault="00097667" w:rsidP="00AF574C">
      <w:pPr>
        <w:pStyle w:val="ListBullet"/>
      </w:pPr>
      <w:r w:rsidRPr="00097667">
        <w:t xml:space="preserve">The </w:t>
      </w:r>
      <w:r w:rsidR="00AF574C">
        <w:t>complete cytogenetic response</w:t>
      </w:r>
      <w:r w:rsidRPr="00097667">
        <w:t xml:space="preserve"> rates at Week 24 and by Week 24 (based on patients who were not in </w:t>
      </w:r>
      <w:r w:rsidR="00AF574C">
        <w:t xml:space="preserve">complete cytogenic response </w:t>
      </w:r>
      <w:r w:rsidRPr="00097667">
        <w:t xml:space="preserve">at </w:t>
      </w:r>
      <w:r w:rsidR="00AF574C">
        <w:t>B</w:t>
      </w:r>
      <w:r w:rsidRPr="00097667">
        <w:t xml:space="preserve">aseline) were both 40.8% in the asciminib arm compared to 24.2% in the bosutinib arm. The treatment difference in the </w:t>
      </w:r>
      <w:r w:rsidR="00AF574C">
        <w:t>complete cytogenetic response</w:t>
      </w:r>
      <w:r w:rsidRPr="00097667">
        <w:t xml:space="preserve"> rate was 17.3% (95%: 3.62, 30.99, nominal p value</w:t>
      </w:r>
      <w:r w:rsidR="00DD39C9">
        <w:t xml:space="preserve"> </w:t>
      </w:r>
      <w:r w:rsidRPr="00097667">
        <w:t>= 0.019)</w:t>
      </w:r>
      <w:r w:rsidR="00AF574C">
        <w:t>.</w:t>
      </w:r>
    </w:p>
    <w:p w14:paraId="3859F611" w14:textId="7B3627AB" w:rsidR="00097667" w:rsidRPr="00097667" w:rsidRDefault="00097667" w:rsidP="00AF574C">
      <w:pPr>
        <w:pStyle w:val="ListBullet"/>
      </w:pPr>
      <w:r w:rsidRPr="00097667">
        <w:t xml:space="preserve">Time to </w:t>
      </w:r>
      <w:r w:rsidR="00AF574C">
        <w:t>complete cytogenetic response</w:t>
      </w:r>
      <w:r w:rsidRPr="00097667">
        <w:t xml:space="preserve"> among subjects who achieved </w:t>
      </w:r>
      <w:r w:rsidR="00AF574C">
        <w:t>complete cytogenetic response</w:t>
      </w:r>
      <w:r w:rsidRPr="00097667">
        <w:t xml:space="preserve"> was the same between the two treatment arms, with medians of approximately 24 weeks</w:t>
      </w:r>
      <w:r w:rsidR="00AF574C">
        <w:t>.</w:t>
      </w:r>
    </w:p>
    <w:p w14:paraId="6E41AFC8" w14:textId="09577CFD" w:rsidR="00097667" w:rsidRPr="00097667" w:rsidRDefault="00097667" w:rsidP="00AF574C">
      <w:pPr>
        <w:pStyle w:val="ListBullet"/>
      </w:pPr>
      <w:r w:rsidRPr="00097667">
        <w:t xml:space="preserve">Loss of </w:t>
      </w:r>
      <w:r w:rsidR="00AF574C">
        <w:t>complete cytogenetic response</w:t>
      </w:r>
      <w:r w:rsidRPr="00097667">
        <w:t xml:space="preserve"> was reported in </w:t>
      </w:r>
      <w:r w:rsidR="00AF574C">
        <w:t>one</w:t>
      </w:r>
      <w:r w:rsidRPr="00097667">
        <w:t xml:space="preserve"> patient each in the asciminib and the bosutinib arm, respectively.</w:t>
      </w:r>
    </w:p>
    <w:p w14:paraId="6901820A" w14:textId="2CBD692F" w:rsidR="00097667" w:rsidRPr="00097667" w:rsidRDefault="00097667" w:rsidP="00AF574C">
      <w:pPr>
        <w:pStyle w:val="ListBullet"/>
      </w:pPr>
      <w:r w:rsidRPr="00097667">
        <w:t>The probability of treatment failure was higher in the bosutinib arm compared to the asciminib arm (</w:t>
      </w:r>
      <w:r w:rsidR="001B5249">
        <w:t>hazard ratio</w:t>
      </w:r>
      <w:r w:rsidR="00AF574C">
        <w:t xml:space="preserve"> </w:t>
      </w:r>
      <w:r w:rsidRPr="00097667">
        <w:t>=</w:t>
      </w:r>
      <w:r w:rsidR="00AF574C">
        <w:t xml:space="preserve"> </w:t>
      </w:r>
      <w:r w:rsidRPr="00097667">
        <w:t xml:space="preserve">0.5; 95% CI: 0.3, 0.7). The </w:t>
      </w:r>
      <w:r w:rsidR="007D4C9B">
        <w:t>Kaplan Meier</w:t>
      </w:r>
      <w:r w:rsidRPr="00097667">
        <w:t xml:space="preserve"> estimated proportion of patients with treatment failure by the </w:t>
      </w:r>
      <w:proofErr w:type="spellStart"/>
      <w:r w:rsidRPr="00097667">
        <w:t>cut</w:t>
      </w:r>
      <w:r w:rsidR="00A2692B">
        <w:t xml:space="preserve"> </w:t>
      </w:r>
      <w:r w:rsidRPr="00097667">
        <w:t>off</w:t>
      </w:r>
      <w:proofErr w:type="spellEnd"/>
      <w:r w:rsidRPr="00097667">
        <w:t xml:space="preserve"> date was higher in the bosutinib arm (73.7%) compared to the asciminib arm (45.2%). The median time to treatment failure was 5.6 months for the bosutinib arm whereas it was 16.6 months for the asciminib arm.</w:t>
      </w:r>
    </w:p>
    <w:p w14:paraId="79E6B988" w14:textId="17C032F5" w:rsidR="00097667" w:rsidRPr="00097667" w:rsidRDefault="007D4C9B" w:rsidP="007D4C9B">
      <w:pPr>
        <w:pStyle w:val="ListBullet"/>
      </w:pPr>
      <w:r>
        <w:t>P</w:t>
      </w:r>
      <w:r w:rsidRPr="008F4677">
        <w:t>rogression free survival</w:t>
      </w:r>
      <w:r w:rsidR="00097667" w:rsidRPr="00097667">
        <w:t xml:space="preserve"> and </w:t>
      </w:r>
      <w:r>
        <w:t>overall survival</w:t>
      </w:r>
      <w:r w:rsidR="00097667" w:rsidRPr="00097667">
        <w:t xml:space="preserve"> endpoints are immature.</w:t>
      </w:r>
    </w:p>
    <w:p w14:paraId="71B4B91C" w14:textId="3C998099" w:rsidR="00097667" w:rsidRDefault="00097667" w:rsidP="007D4C9B">
      <w:pPr>
        <w:pStyle w:val="ListBullet"/>
      </w:pPr>
      <w:r w:rsidRPr="00097667">
        <w:t>Patient reported outcomes of</w:t>
      </w:r>
      <w:r w:rsidR="007D4C9B">
        <w:t xml:space="preserve"> MD Anderson Symptom Inventory for chronic myeloid </w:t>
      </w:r>
      <w:r w:rsidR="001B10B9">
        <w:t>leukaemia</w:t>
      </w:r>
      <w:r w:rsidRPr="00097667">
        <w:t>,</w:t>
      </w:r>
      <w:r w:rsidR="007D4C9B" w:rsidRPr="007D4C9B">
        <w:t xml:space="preserve"> Patient Global Impression of Change</w:t>
      </w:r>
      <w:r w:rsidRPr="00097667">
        <w:t xml:space="preserve"> along with EQ-5D-5L</w:t>
      </w:r>
      <w:r w:rsidR="007D4C9B">
        <w:t>,</w:t>
      </w:r>
      <w:r w:rsidR="007D4C9B">
        <w:rPr>
          <w:rStyle w:val="FootnoteReference"/>
        </w:rPr>
        <w:footnoteReference w:id="42"/>
      </w:r>
      <w:r w:rsidRPr="00097667">
        <w:t xml:space="preserve"> and in work productivity and activity impairment (as assessed by </w:t>
      </w:r>
      <w:r w:rsidR="0097764B">
        <w:t xml:space="preserve">work productivity and activity impairment for chronic myeloid </w:t>
      </w:r>
      <w:r w:rsidR="001B10B9">
        <w:t>leukaemia</w:t>
      </w:r>
      <w:r w:rsidRPr="00097667">
        <w:t>) suggested that asciminib was associated with better improvement in disease</w:t>
      </w:r>
      <w:r w:rsidR="007D4C9B">
        <w:t xml:space="preserve"> </w:t>
      </w:r>
      <w:r w:rsidRPr="00097667">
        <w:t>related symptoms and health</w:t>
      </w:r>
      <w:r w:rsidR="007D4C9B">
        <w:t xml:space="preserve"> </w:t>
      </w:r>
      <w:r w:rsidRPr="00097667">
        <w:t>related quality of life outcomes than bosutinib</w:t>
      </w:r>
      <w:r w:rsidR="0097764B">
        <w:t>.</w:t>
      </w:r>
    </w:p>
    <w:p w14:paraId="1E8808B5" w14:textId="26BED9BE" w:rsidR="0097764B" w:rsidRDefault="0097764B" w:rsidP="0097764B">
      <w:r w:rsidRPr="0097764B">
        <w:t xml:space="preserve">Subsequent efficacy data became available and was submitted during the evaluation process. The key secondary endpoint of </w:t>
      </w:r>
      <w:r>
        <w:t xml:space="preserve">major molecular response </w:t>
      </w:r>
      <w:r w:rsidRPr="0097764B">
        <w:t xml:space="preserve">at 96 weeks and updated </w:t>
      </w:r>
      <w:r>
        <w:t>p</w:t>
      </w:r>
      <w:r w:rsidRPr="008F4677">
        <w:t>rogression free survival</w:t>
      </w:r>
      <w:r w:rsidRPr="0097764B">
        <w:t xml:space="preserve"> and </w:t>
      </w:r>
      <w:r>
        <w:t>overall survival</w:t>
      </w:r>
      <w:r w:rsidRPr="0097764B">
        <w:t xml:space="preserve"> analyses using the most recent available data </w:t>
      </w:r>
      <w:proofErr w:type="spellStart"/>
      <w:r w:rsidRPr="0097764B">
        <w:t>cut</w:t>
      </w:r>
      <w:r w:rsidR="00A2692B">
        <w:t xml:space="preserve"> </w:t>
      </w:r>
      <w:r w:rsidRPr="0097764B">
        <w:t>off</w:t>
      </w:r>
      <w:proofErr w:type="spellEnd"/>
      <w:r w:rsidRPr="0097764B">
        <w:t xml:space="preserve"> date are presented below. At Week 96, the </w:t>
      </w:r>
      <w:r>
        <w:t>major molecular response</w:t>
      </w:r>
      <w:r w:rsidRPr="0097764B">
        <w:t xml:space="preserve"> rate was 37.6% (95% CI: 29.99, 45.65) in the asciminib arm compared to 15.8% (95% CI: 8.43, 25.96) in the bosutinib arm. Clinical superiority of asciminib versus bosutinib </w:t>
      </w:r>
      <w:r w:rsidRPr="0097764B">
        <w:lastRenderedPageBreak/>
        <w:t>increased compared to the primary analysis, as reflected by a more than 2-fold improvement in</w:t>
      </w:r>
      <w:r>
        <w:t xml:space="preserve"> major</w:t>
      </w:r>
      <w:r w:rsidRPr="0097764B">
        <w:t xml:space="preserve"> </w:t>
      </w:r>
      <w:r>
        <w:t>molecular response rate</w:t>
      </w:r>
      <w:r w:rsidRPr="0097764B">
        <w:t xml:space="preserve"> with a common treatment difference (after adjusting for baseline </w:t>
      </w:r>
      <w:r>
        <w:t xml:space="preserve">major cytogenetic response </w:t>
      </w:r>
      <w:r w:rsidRPr="0097764B">
        <w:t>status) of 21.74% (95% CI: 10.53, 32.95) which was clinically and statistically significant; p</w:t>
      </w:r>
      <w:r>
        <w:t xml:space="preserve"> </w:t>
      </w:r>
      <w:r w:rsidRPr="0097764B">
        <w:t>=</w:t>
      </w:r>
      <w:r>
        <w:t xml:space="preserve"> </w:t>
      </w:r>
      <w:r w:rsidRPr="0097764B">
        <w:t>0.001 (two</w:t>
      </w:r>
      <w:r w:rsidR="00A2692B">
        <w:t xml:space="preserve"> </w:t>
      </w:r>
      <w:r w:rsidRPr="0097764B">
        <w:t xml:space="preserve">sided Cochrane-Mantel-Haenszel chi-square test, stratified by the major cytogenetic response status at </w:t>
      </w:r>
      <w:r>
        <w:t>B</w:t>
      </w:r>
      <w:r w:rsidRPr="0097764B">
        <w:t>aseline).</w:t>
      </w:r>
    </w:p>
    <w:p w14:paraId="4CF5964E" w14:textId="49DF74A2" w:rsidR="0097764B" w:rsidRDefault="0097764B" w:rsidP="008454B9">
      <w:pPr>
        <w:pStyle w:val="Tabletitle0"/>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47BEA">
        <w:rPr>
          <w:noProof/>
        </w:rPr>
        <w:t>9</w:t>
      </w:r>
      <w:r>
        <w:rPr>
          <w:color w:val="2B579A"/>
          <w:shd w:val="clear" w:color="auto" w:fill="E6E6E6"/>
        </w:rPr>
        <w:fldChar w:fldCharType="end"/>
      </w:r>
      <w:r>
        <w:t xml:space="preserve">: </w:t>
      </w:r>
      <w:r w:rsidR="00A92A33">
        <w:t xml:space="preserve">Study A2301 </w:t>
      </w:r>
      <w:r>
        <w:t>Major molecular response rate at Week 96</w:t>
      </w:r>
    </w:p>
    <w:p w14:paraId="299F3CE7" w14:textId="1C57CB6B" w:rsidR="0097764B" w:rsidRDefault="0097764B" w:rsidP="0097764B">
      <w:r>
        <w:rPr>
          <w:noProof/>
          <w:color w:val="2B579A"/>
          <w:shd w:val="clear" w:color="auto" w:fill="E6E6E6"/>
          <w:lang w:val="en-GB" w:eastAsia="en-GB"/>
        </w:rPr>
        <w:drawing>
          <wp:inline distT="0" distB="0" distL="0" distR="0" wp14:anchorId="1199CFAE" wp14:editId="5590E0DA">
            <wp:extent cx="5191125" cy="1685757"/>
            <wp:effectExtent l="0" t="0" r="0" b="0"/>
            <wp:docPr id="10" name="Picture 10" descr="Major molecular response rate at Week 96 for Study A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jor molecular response rate at Week 96 for Study A2301"/>
                    <pic:cNvPicPr>
                      <a:picLocks noChangeAspect="1" noChangeArrowheads="1"/>
                    </pic:cNvPicPr>
                  </pic:nvPicPr>
                  <pic:blipFill rotWithShape="1">
                    <a:blip r:embed="rId29">
                      <a:extLst>
                        <a:ext uri="{28A0092B-C50C-407E-A947-70E740481C1C}">
                          <a14:useLocalDpi xmlns:a14="http://schemas.microsoft.com/office/drawing/2010/main" val="0"/>
                        </a:ext>
                      </a:extLst>
                    </a:blip>
                    <a:srcRect l="1951" r="22548" b="40480"/>
                    <a:stretch/>
                  </pic:blipFill>
                  <pic:spPr bwMode="auto">
                    <a:xfrm>
                      <a:off x="0" y="0"/>
                      <a:ext cx="5216907" cy="1694129"/>
                    </a:xfrm>
                    <a:prstGeom prst="rect">
                      <a:avLst/>
                    </a:prstGeom>
                    <a:noFill/>
                    <a:ln>
                      <a:noFill/>
                    </a:ln>
                    <a:extLst>
                      <a:ext uri="{53640926-AAD7-44D8-BBD7-CCE9431645EC}">
                        <a14:shadowObscured xmlns:a14="http://schemas.microsoft.com/office/drawing/2010/main"/>
                      </a:ext>
                    </a:extLst>
                  </pic:spPr>
                </pic:pic>
              </a:graphicData>
            </a:graphic>
          </wp:inline>
        </w:drawing>
      </w:r>
    </w:p>
    <w:p w14:paraId="6F238FBA" w14:textId="6887BE08" w:rsidR="0097764B" w:rsidRDefault="0097764B" w:rsidP="008454B9">
      <w:pPr>
        <w:pStyle w:val="TableDescription"/>
        <w:spacing w:before="0"/>
      </w:pPr>
      <w:r>
        <w:t xml:space="preserve">Subjects without PCR assessment at Week 96 were considered as non-responders, unless both Week 84 and Week 108 PCR assessments indicated that the subject was in major molecular response: </w:t>
      </w:r>
      <w:r w:rsidR="00A92A33">
        <w:t>zero </w:t>
      </w:r>
      <w:r>
        <w:t>subjects in the asciminib arm and 0 in the bosutinib arm with missing PCR assessment at 96 weeks were imputed as having major molecular response at 96 weeks.</w:t>
      </w:r>
    </w:p>
    <w:p w14:paraId="77B8CF71" w14:textId="78B16864" w:rsidR="0097764B" w:rsidRDefault="0097764B" w:rsidP="008454B9">
      <w:pPr>
        <w:pStyle w:val="TableDescription"/>
        <w:spacing w:before="0"/>
      </w:pPr>
      <w:r>
        <w:t>(1) Clopper-Pearson 95% 2-sided CI.</w:t>
      </w:r>
    </w:p>
    <w:p w14:paraId="48FEAFED" w14:textId="2EAEBAE6" w:rsidR="0097764B" w:rsidRDefault="0097764B" w:rsidP="008454B9">
      <w:pPr>
        <w:pStyle w:val="TableDescription"/>
        <w:spacing w:before="0"/>
      </w:pPr>
      <w:r>
        <w:t>(2) Wald 95% 2-sided CI.</w:t>
      </w:r>
    </w:p>
    <w:p w14:paraId="0044D1CA" w14:textId="24FE7086" w:rsidR="0097764B" w:rsidRDefault="0097764B" w:rsidP="008454B9">
      <w:pPr>
        <w:pStyle w:val="TableDescription"/>
        <w:spacing w:before="0"/>
      </w:pPr>
      <w:r>
        <w:t>(3) The common risk difference</w:t>
      </w:r>
      <w:r w:rsidR="008454B9">
        <w:t xml:space="preserve"> after adjusting for stratum: baseline major cytogenetic response status (based on randomisation data) and its 95% CI were estimated using Mantel-Haenszel method.</w:t>
      </w:r>
    </w:p>
    <w:p w14:paraId="502F9D05" w14:textId="36FE3124" w:rsidR="008454B9" w:rsidRDefault="008454B9" w:rsidP="008454B9">
      <w:pPr>
        <w:pStyle w:val="TableDescription"/>
        <w:spacing w:before="0"/>
      </w:pPr>
      <w:r>
        <w:t>(4) CMH 2-sided test was stratified by baseline major cytogenetic response status (based on randomisation data).</w:t>
      </w:r>
    </w:p>
    <w:p w14:paraId="28B62732" w14:textId="6BF0B102" w:rsidR="008454B9" w:rsidRDefault="008454B9" w:rsidP="008454B9">
      <w:r>
        <w:t>Disease progression to accelerated phase/blast phase or death from any cause on treatment was considered as an event in progression free survival analysis. At the Week 96 cut</w:t>
      </w:r>
      <w:r w:rsidR="00A2692B">
        <w:t xml:space="preserve"> </w:t>
      </w:r>
      <w:r>
        <w:t>off, a total of nine patients (5.7%) in the asciminib arm and five patients (6.6%) in the bosutinib arm experienced a p</w:t>
      </w:r>
      <w:r w:rsidRPr="008F4677">
        <w:t>rogression free survival</w:t>
      </w:r>
      <w:r>
        <w:t xml:space="preserve"> event on study; two additional patients with a p</w:t>
      </w:r>
      <w:r w:rsidRPr="008F4677">
        <w:t>rogression free survival</w:t>
      </w:r>
      <w:r>
        <w:t xml:space="preserve"> event on study in the asciminib arm and none in the bosutinib arm after the previous </w:t>
      </w:r>
      <w:proofErr w:type="spellStart"/>
      <w:r>
        <w:t>cut</w:t>
      </w:r>
      <w:r w:rsidR="00A2692B">
        <w:t xml:space="preserve"> </w:t>
      </w:r>
      <w:r>
        <w:t>off</w:t>
      </w:r>
      <w:proofErr w:type="spellEnd"/>
      <w:r>
        <w:t xml:space="preserve"> date (6 January 2021). The </w:t>
      </w:r>
      <w:proofErr w:type="gramStart"/>
      <w:r>
        <w:t>one year</w:t>
      </w:r>
      <w:proofErr w:type="gramEnd"/>
      <w:r>
        <w:t xml:space="preserve"> p</w:t>
      </w:r>
      <w:r w:rsidRPr="008F4677">
        <w:t>rogression free survival</w:t>
      </w:r>
      <w:r>
        <w:t xml:space="preserve"> was 96.3% (95% CI: 91.4, 98.5) in the asciminib arm and 91.1% (95% CI: 79.5, 96.3) in the bosutinib arm, respectively. The </w:t>
      </w:r>
      <w:proofErr w:type="gramStart"/>
      <w:r>
        <w:t>two year</w:t>
      </w:r>
      <w:proofErr w:type="gramEnd"/>
      <w:r>
        <w:t xml:space="preserve"> p</w:t>
      </w:r>
      <w:r w:rsidRPr="008F4677">
        <w:t>rogression free survival</w:t>
      </w:r>
      <w:r>
        <w:t xml:space="preserve"> was 94.4% (95% CI: 88.6, 97.3) in the asciminib arm and 91.1% (95% CI: 79.5, 96.3) in the bosutinib arm, respectively. Median follow</w:t>
      </w:r>
      <w:r w:rsidR="00A2692B">
        <w:t xml:space="preserve"> </w:t>
      </w:r>
      <w:r>
        <w:t>up was 21.6 months in the asciminib arm and 13.2 months in the bosutinib arm.</w:t>
      </w:r>
    </w:p>
    <w:p w14:paraId="50AFF836" w14:textId="7B667C17" w:rsidR="008454B9" w:rsidRDefault="008454B9" w:rsidP="008454B9">
      <w:proofErr w:type="gramStart"/>
      <w:r>
        <w:t>With regard to</w:t>
      </w:r>
      <w:proofErr w:type="gramEnd"/>
      <w:r>
        <w:t xml:space="preserve"> overall survival events, a total of five patients (3.2%; two on</w:t>
      </w:r>
      <w:r w:rsidR="00A2692B">
        <w:t xml:space="preserve"> </w:t>
      </w:r>
      <w:r>
        <w:t>treatment and three during survival follow</w:t>
      </w:r>
      <w:r w:rsidR="00A2692B">
        <w:t xml:space="preserve"> </w:t>
      </w:r>
      <w:r>
        <w:t xml:space="preserve">up) in the asciminib arm and </w:t>
      </w:r>
      <w:r w:rsidR="009949D4">
        <w:t>two</w:t>
      </w:r>
      <w:r>
        <w:t xml:space="preserve"> patients (2.6%, one on</w:t>
      </w:r>
      <w:r w:rsidR="00A2692B">
        <w:t xml:space="preserve"> </w:t>
      </w:r>
      <w:r>
        <w:t>treatment and one during survival follow</w:t>
      </w:r>
      <w:r w:rsidR="00A2692B">
        <w:t xml:space="preserve"> </w:t>
      </w:r>
      <w:r>
        <w:t>up) in the bosutinib arm died on</w:t>
      </w:r>
      <w:r w:rsidR="00A2692B">
        <w:t xml:space="preserve"> </w:t>
      </w:r>
      <w:r>
        <w:t>study, including two additional deaths (one in each treatment arm) during survival follow</w:t>
      </w:r>
      <w:r w:rsidR="00A2692B">
        <w:t xml:space="preserve"> </w:t>
      </w:r>
      <w:r>
        <w:t xml:space="preserve">up reported after the previous </w:t>
      </w:r>
      <w:proofErr w:type="spellStart"/>
      <w:r>
        <w:t>cut</w:t>
      </w:r>
      <w:r w:rsidR="00A2692B">
        <w:t xml:space="preserve"> </w:t>
      </w:r>
      <w:r>
        <w:t>off</w:t>
      </w:r>
      <w:proofErr w:type="spellEnd"/>
      <w:r>
        <w:t xml:space="preserve"> date (6 January 2021). The </w:t>
      </w:r>
      <w:proofErr w:type="gramStart"/>
      <w:r>
        <w:t>one year</w:t>
      </w:r>
      <w:proofErr w:type="gramEnd"/>
      <w:r>
        <w:t xml:space="preserve"> survival rates were 98% (95% CI: 93.8, 99.3) in the asciminib arm and 98.6% (95% CI: 90.2, 99.8) in the bosutinib arm and the two year survival rates were 97.3% (95% CI: 92.9, 99) in the asciminib arm and 98.6% (90.2, 99.8) in the bosutinib arm.</w:t>
      </w:r>
    </w:p>
    <w:p w14:paraId="3BF309BD" w14:textId="24971455" w:rsidR="004C2E2D" w:rsidRPr="004C2E2D" w:rsidRDefault="004C2E2D" w:rsidP="004C2E2D">
      <w:pPr>
        <w:pStyle w:val="Heading5"/>
      </w:pPr>
      <w:r>
        <w:t>Study CABL001X2101</w:t>
      </w:r>
      <w:r w:rsidR="007F084D">
        <w:t xml:space="preserve"> (X2101)</w:t>
      </w:r>
    </w:p>
    <w:p w14:paraId="77C9332A" w14:textId="2A2E0FEA" w:rsidR="004C2E2D" w:rsidRDefault="00A92A33" w:rsidP="004C2E2D">
      <w:r w:rsidRPr="00A92A33">
        <w:t>Study CABL001X2101 (</w:t>
      </w:r>
      <w:r>
        <w:t xml:space="preserve">abbreviated as Study </w:t>
      </w:r>
      <w:r w:rsidRPr="00A92A33">
        <w:t>X2101)</w:t>
      </w:r>
      <w:r>
        <w:t xml:space="preserve"> was a</w:t>
      </w:r>
      <w:r w:rsidR="004C2E2D" w:rsidRPr="004C2E2D">
        <w:t xml:space="preserve"> </w:t>
      </w:r>
      <w:r w:rsidR="004C2E2D">
        <w:t>P</w:t>
      </w:r>
      <w:r w:rsidR="004C2E2D" w:rsidRPr="004C2E2D">
        <w:t>hase I, multicentre, open</w:t>
      </w:r>
      <w:r w:rsidR="00A2692B">
        <w:t xml:space="preserve"> </w:t>
      </w:r>
      <w:r w:rsidR="004C2E2D" w:rsidRPr="004C2E2D">
        <w:t xml:space="preserve">label study of oral asciminib in patients with </w:t>
      </w:r>
      <w:r w:rsidR="004C2E2D">
        <w:t xml:space="preserve">chronic myeloid </w:t>
      </w:r>
      <w:r w:rsidR="001B10B9">
        <w:t>leukaemia</w:t>
      </w:r>
      <w:r w:rsidR="004C2E2D">
        <w:t xml:space="preserve"> </w:t>
      </w:r>
      <w:r w:rsidR="004C2E2D" w:rsidRPr="004C2E2D">
        <w:t xml:space="preserve">or Philadelphia </w:t>
      </w:r>
      <w:r w:rsidR="004C2E2D">
        <w:t>c</w:t>
      </w:r>
      <w:r w:rsidR="004C2E2D" w:rsidRPr="004C2E2D">
        <w:t>hromosome</w:t>
      </w:r>
      <w:r w:rsidR="004C2E2D">
        <w:t xml:space="preserve"> </w:t>
      </w:r>
      <w:r w:rsidR="004C2E2D" w:rsidRPr="004C2E2D">
        <w:t xml:space="preserve">positive acute lymphoblastic </w:t>
      </w:r>
      <w:r w:rsidR="001B10B9">
        <w:t>leukaemia</w:t>
      </w:r>
      <w:r w:rsidR="004C2E2D" w:rsidRPr="004C2E2D">
        <w:t>. This study is described in th</w:t>
      </w:r>
      <w:r w:rsidR="004C2E2D">
        <w:t>e PK</w:t>
      </w:r>
      <w:r w:rsidR="004C2E2D" w:rsidRPr="004C2E2D">
        <w:t xml:space="preserve"> section of this document. This segment considers efficacy of asciminib at various doses, as a single agent. The data cut</w:t>
      </w:r>
      <w:r>
        <w:t>-</w:t>
      </w:r>
      <w:r w:rsidR="004C2E2D" w:rsidRPr="004C2E2D">
        <w:t>off date for the report is 2</w:t>
      </w:r>
      <w:r w:rsidR="004C2E2D">
        <w:t> </w:t>
      </w:r>
      <w:r w:rsidR="004C2E2D" w:rsidRPr="004C2E2D">
        <w:t>Apr</w:t>
      </w:r>
      <w:r w:rsidR="004C2E2D">
        <w:t>il </w:t>
      </w:r>
      <w:r w:rsidR="004C2E2D" w:rsidRPr="004C2E2D">
        <w:t xml:space="preserve">2020, corresponding to when </w:t>
      </w:r>
      <w:r w:rsidR="004C2E2D" w:rsidRPr="004C2E2D">
        <w:lastRenderedPageBreak/>
        <w:t xml:space="preserve">all patients in Arm 1 and Arm 5 were treated for at least </w:t>
      </w:r>
      <w:r w:rsidR="004C2E2D">
        <w:t>six</w:t>
      </w:r>
      <w:r w:rsidR="004C2E2D" w:rsidRPr="004C2E2D">
        <w:t xml:space="preserve"> cycles and had their </w:t>
      </w:r>
      <w:r w:rsidR="009949D4">
        <w:t>W</w:t>
      </w:r>
      <w:r w:rsidR="009949D4" w:rsidRPr="004C2E2D">
        <w:t xml:space="preserve">eek </w:t>
      </w:r>
      <w:r w:rsidR="004C2E2D" w:rsidRPr="004C2E2D">
        <w:t>24</w:t>
      </w:r>
      <w:r w:rsidR="004C2E2D">
        <w:t xml:space="preserve"> </w:t>
      </w:r>
      <w:r w:rsidR="004C2E2D" w:rsidRPr="004C2E2D">
        <w:t xml:space="preserve">efficacy evaluation performed, or had discontinued treatment earlier. Efficacy in Arms 1 and 5 only is discussed below because these arms contained the key data in support of the primary efficacy analysis of the pivotal trial and efficacy data to support the use of this asciminib in patients harbouring a </w:t>
      </w:r>
      <w:r w:rsidR="004C2E2D" w:rsidRPr="00CE16E4">
        <w:t>T315I</w:t>
      </w:r>
      <w:r w:rsidR="004C2E2D" w:rsidRPr="004C2E2D">
        <w:t xml:space="preserve"> mutation.</w:t>
      </w:r>
      <w:r w:rsidR="00F50C80">
        <w:t xml:space="preserve"> </w:t>
      </w:r>
      <w:r w:rsidR="004C2E2D" w:rsidRPr="004C2E2D">
        <w:t xml:space="preserve">Other data that was not evaluated examined the use of asciminib in combination with other </w:t>
      </w:r>
      <w:r w:rsidR="004C2E2D">
        <w:t xml:space="preserve">tyrosine kinase inhibitors </w:t>
      </w:r>
      <w:r w:rsidR="004C2E2D" w:rsidRPr="004C2E2D">
        <w:t>and for other indications. The relationship between dose and efficacy of asciminib is discussed in the exposure</w:t>
      </w:r>
      <w:r w:rsidR="00A2692B">
        <w:t xml:space="preserve"> </w:t>
      </w:r>
      <w:r w:rsidR="004C2E2D" w:rsidRPr="004C2E2D">
        <w:t>efficacy analysis in the pharmacodynamics section of this document.</w:t>
      </w:r>
    </w:p>
    <w:p w14:paraId="6BF4CC51" w14:textId="77777777" w:rsidR="005166D4" w:rsidRDefault="005166D4" w:rsidP="005166D4">
      <w:r>
        <w:t>In this section the following efficacy endpoints were assessed:</w:t>
      </w:r>
    </w:p>
    <w:p w14:paraId="294F34FD" w14:textId="683839FF" w:rsidR="005166D4" w:rsidRDefault="005166D4" w:rsidP="005166D4">
      <w:pPr>
        <w:pStyle w:val="ListBullet"/>
      </w:pPr>
      <w:r>
        <w:t xml:space="preserve">Major molecular response, defined as a value of less than or equal to 0.1% of </w:t>
      </w:r>
      <w:proofErr w:type="gramStart"/>
      <w:r w:rsidR="007A021D" w:rsidRPr="00281B1A">
        <w:rPr>
          <w:i/>
          <w:iCs/>
        </w:rPr>
        <w:t>BCR::</w:t>
      </w:r>
      <w:proofErr w:type="gramEnd"/>
      <w:r w:rsidR="007A021D" w:rsidRPr="00281B1A">
        <w:rPr>
          <w:i/>
          <w:iCs/>
        </w:rPr>
        <w:t>ABL1</w:t>
      </w:r>
      <w:r>
        <w:t xml:space="preserve"> ratio on the </w:t>
      </w:r>
      <w:r w:rsidR="009949D4">
        <w:t>IS</w:t>
      </w:r>
      <w:r>
        <w:t>.</w:t>
      </w:r>
    </w:p>
    <w:p w14:paraId="5EB0A799" w14:textId="7316D382" w:rsidR="005166D4" w:rsidRDefault="005166D4" w:rsidP="005166D4">
      <w:pPr>
        <w:pStyle w:val="ListBullet"/>
      </w:pPr>
      <w:r>
        <w:t xml:space="preserve">Duration of first major molecular response, defined as the period of time between the time point when the first </w:t>
      </w:r>
      <w:proofErr w:type="gramStart"/>
      <w:r w:rsidR="007A021D" w:rsidRPr="00281B1A">
        <w:rPr>
          <w:i/>
          <w:iCs/>
        </w:rPr>
        <w:t>BCR::</w:t>
      </w:r>
      <w:proofErr w:type="gramEnd"/>
      <w:r w:rsidR="007A021D" w:rsidRPr="00281B1A">
        <w:rPr>
          <w:i/>
          <w:iCs/>
        </w:rPr>
        <w:t>ABL1</w:t>
      </w:r>
      <w:r>
        <w:t xml:space="preserve"> ratio less than or equal to 0.1 % (</w:t>
      </w:r>
      <w:r w:rsidR="009949D4">
        <w:t>IS</w:t>
      </w:r>
      <w:r>
        <w:t>) was observed until and the time point of confirmed loss of major molecular response.</w:t>
      </w:r>
    </w:p>
    <w:p w14:paraId="1D369BB6" w14:textId="65F61D60" w:rsidR="004C2E2D" w:rsidRDefault="005166D4" w:rsidP="005166D4">
      <w:pPr>
        <w:pStyle w:val="ListBullet"/>
      </w:pPr>
      <w:r>
        <w:t xml:space="preserve">MR4 and MR4.5 was defined as a value of less than or equal to 0.01% and less than or equal to 0.0032% </w:t>
      </w:r>
      <w:proofErr w:type="gramStart"/>
      <w:r w:rsidR="007A021D" w:rsidRPr="00281B1A">
        <w:rPr>
          <w:i/>
          <w:iCs/>
        </w:rPr>
        <w:t>BCR::</w:t>
      </w:r>
      <w:proofErr w:type="gramEnd"/>
      <w:r w:rsidR="007A021D" w:rsidRPr="00281B1A">
        <w:rPr>
          <w:i/>
          <w:iCs/>
        </w:rPr>
        <w:t>ABL1</w:t>
      </w:r>
      <w:r>
        <w:t xml:space="preserve"> ratio by </w:t>
      </w:r>
      <w:r w:rsidR="009949D4">
        <w:t>IS</w:t>
      </w:r>
      <w:r>
        <w:t>, respectively.</w:t>
      </w:r>
    </w:p>
    <w:p w14:paraId="682C3657" w14:textId="3D69008E" w:rsidR="00A52307" w:rsidRDefault="00A52307" w:rsidP="00A52307">
      <w:r>
        <w:t>Molecular response rate by scheduled time point, defined as the proportion of patients who achieved molecular response at or before the specified time point. Molecular response rate at scheduled time point was defined as the proportion of patients who achieved molecular response at or before the specified time point and were able to maintain this response until the specified time point.</w:t>
      </w:r>
    </w:p>
    <w:p w14:paraId="032D990D" w14:textId="2AF78DEB" w:rsidR="00A52307" w:rsidRDefault="00A52307" w:rsidP="00A52307">
      <w:r>
        <w:t>Efficacy analyses for each arm were performed using the full analysis set and presented by treatment group. The following analyses were conducted:</w:t>
      </w:r>
    </w:p>
    <w:p w14:paraId="446395B0" w14:textId="5C6D070E" w:rsidR="00A52307" w:rsidRDefault="00A52307" w:rsidP="00A52307">
      <w:pPr>
        <w:pStyle w:val="ListBullet"/>
      </w:pPr>
      <w:r>
        <w:t>Achievement of major molecular response by scheduled time points (including Week</w:t>
      </w:r>
      <w:r w:rsidR="009949D4">
        <w:t> </w:t>
      </w:r>
      <w:r>
        <w:t>24 and Week 48, overall and by line of therapy).</w:t>
      </w:r>
    </w:p>
    <w:p w14:paraId="6BD2A4F1" w14:textId="70723D37" w:rsidR="00A52307" w:rsidRDefault="00A52307" w:rsidP="00A52307">
      <w:pPr>
        <w:pStyle w:val="ListBullet"/>
      </w:pPr>
      <w:r>
        <w:t>Achievement of major molecular response at scheduled time points (including Week</w:t>
      </w:r>
      <w:r w:rsidR="009949D4">
        <w:t> </w:t>
      </w:r>
      <w:r>
        <w:t>24 and Week 48, overall and by line of therapy).</w:t>
      </w:r>
    </w:p>
    <w:p w14:paraId="0B0E99B2" w14:textId="17F9EFC0" w:rsidR="00A52307" w:rsidRDefault="00A52307" w:rsidP="00A52307">
      <w:pPr>
        <w:pStyle w:val="ListBullet"/>
      </w:pPr>
      <w:r>
        <w:t>Duration of first major molecular response among patients who achieved major molecular response.</w:t>
      </w:r>
    </w:p>
    <w:p w14:paraId="5622A980" w14:textId="7E92CB6A" w:rsidR="00A52307" w:rsidRPr="00A52307" w:rsidRDefault="00A52307" w:rsidP="00A52307">
      <w:pPr>
        <w:pStyle w:val="ListBullet"/>
      </w:pPr>
      <w:r>
        <w:t>Time to major molecular response among patients who achieved major molecular response.</w:t>
      </w:r>
    </w:p>
    <w:p w14:paraId="6F586DDA" w14:textId="08B7638F" w:rsidR="00A52307" w:rsidRDefault="00A52307" w:rsidP="00A52307">
      <w:pPr>
        <w:pStyle w:val="ListBullet"/>
        <w:numPr>
          <w:ilvl w:val="0"/>
          <w:numId w:val="0"/>
        </w:numPr>
      </w:pPr>
      <w:r>
        <w:t xml:space="preserve">For patients with chronic myeloid </w:t>
      </w:r>
      <w:r w:rsidR="001B10B9">
        <w:t>leukaemia</w:t>
      </w:r>
      <w:r>
        <w:t xml:space="preserve"> harbouring the </w:t>
      </w:r>
      <w:r w:rsidRPr="00CE16E4">
        <w:t>T315I</w:t>
      </w:r>
      <w:r>
        <w:t xml:space="preserve"> mutation from Arm 1, the following additional analyses were conducted:</w:t>
      </w:r>
    </w:p>
    <w:p w14:paraId="2E7B3184" w14:textId="5A67327D" w:rsidR="00A52307" w:rsidRDefault="00A52307" w:rsidP="00A52307">
      <w:pPr>
        <w:pStyle w:val="ListBullet"/>
      </w:pPr>
      <w:r>
        <w:t xml:space="preserve">Major molecular response rate by 24 weeks (95% CI) in overall </w:t>
      </w:r>
      <w:r w:rsidRPr="00CE16E4">
        <w:t>T315I</w:t>
      </w:r>
      <w:r>
        <w:t xml:space="preserve"> mutation analysis set.</w:t>
      </w:r>
    </w:p>
    <w:p w14:paraId="3859C79A" w14:textId="27D5FA13" w:rsidR="005166D4" w:rsidRDefault="00A52307" w:rsidP="00A52307">
      <w:pPr>
        <w:pStyle w:val="ListBullet"/>
      </w:pPr>
      <w:r>
        <w:t xml:space="preserve">Major molecular response rate at 24 weeks (95% CI) in overall </w:t>
      </w:r>
      <w:r w:rsidRPr="00CE16E4">
        <w:t>T315I</w:t>
      </w:r>
      <w:r>
        <w:t xml:space="preserve"> mutation analysis set.</w:t>
      </w:r>
    </w:p>
    <w:p w14:paraId="7C37FF42" w14:textId="7765ADAA" w:rsidR="00A52307" w:rsidRDefault="00A52307" w:rsidP="00A52307">
      <w:pPr>
        <w:pStyle w:val="Heading6"/>
      </w:pPr>
      <w:r w:rsidRPr="00A52307">
        <w:t>Molecular response</w:t>
      </w:r>
    </w:p>
    <w:p w14:paraId="70680ACA" w14:textId="6B51CE1E" w:rsidR="00A52307" w:rsidRPr="00A52307" w:rsidRDefault="00A52307" w:rsidP="00A52307">
      <w:r w:rsidRPr="00A52307">
        <w:t xml:space="preserve">Levels of </w:t>
      </w:r>
      <w:proofErr w:type="gramStart"/>
      <w:r w:rsidR="007A021D" w:rsidRPr="00281B1A">
        <w:rPr>
          <w:i/>
          <w:iCs/>
        </w:rPr>
        <w:t>BCR::</w:t>
      </w:r>
      <w:proofErr w:type="gramEnd"/>
      <w:r w:rsidR="007A021D" w:rsidRPr="00281B1A">
        <w:rPr>
          <w:i/>
          <w:iCs/>
        </w:rPr>
        <w:t>ABL1</w:t>
      </w:r>
      <w:r w:rsidRPr="00A52307">
        <w:t xml:space="preserve"> transcripts were determined by real</w:t>
      </w:r>
      <w:r w:rsidR="00A2692B">
        <w:t xml:space="preserve"> </w:t>
      </w:r>
      <w:r w:rsidRPr="00A52307">
        <w:t xml:space="preserve">time quantitative </w:t>
      </w:r>
      <w:r w:rsidR="009949D4">
        <w:t xml:space="preserve">PCR </w:t>
      </w:r>
      <w:r w:rsidRPr="00A52307">
        <w:t xml:space="preserve">testing of peripheral blood. Samples were analysed at a </w:t>
      </w:r>
      <w:r w:rsidR="009949D4">
        <w:t>sponsor</w:t>
      </w:r>
      <w:r w:rsidRPr="00A52307">
        <w:t xml:space="preserve"> designated laboratory with validated PCR technology that has a sensitivity of at least 4.5 logs (</w:t>
      </w:r>
      <w:r w:rsidR="009949D4">
        <w:t>IS</w:t>
      </w:r>
      <w:r w:rsidRPr="00A52307">
        <w:t>).</w:t>
      </w:r>
    </w:p>
    <w:p w14:paraId="56E76BB7" w14:textId="6CC723CD" w:rsidR="00A52307" w:rsidRDefault="00A52307" w:rsidP="00A52307">
      <w:r w:rsidRPr="00A52307">
        <w:t>Cytogenetic response was assessed as th</w:t>
      </w:r>
      <w:r>
        <w:t>e</w:t>
      </w:r>
      <w:r w:rsidRPr="00A52307">
        <w:t xml:space="preserve"> percentage of Ph</w:t>
      </w:r>
      <w:r>
        <w:t>iladelphia chromosome positive</w:t>
      </w:r>
      <w:r w:rsidRPr="00A52307">
        <w:t xml:space="preserve"> metaphases</w:t>
      </w:r>
      <w:r>
        <w:t xml:space="preserve"> </w:t>
      </w:r>
      <w:r w:rsidRPr="00A52307">
        <w:t>in the bone</w:t>
      </w:r>
      <w:r>
        <w:t xml:space="preserve"> </w:t>
      </w:r>
      <w:r w:rsidRPr="00A52307">
        <w:t>marrow. Achievement of cytogenetic response categories was summar</w:t>
      </w:r>
      <w:r w:rsidR="00F62E65">
        <w:t>is</w:t>
      </w:r>
      <w:r w:rsidRPr="00A52307">
        <w:t xml:space="preserve">ed by time points (including Week 24 and Week 48) and treatment group using the </w:t>
      </w:r>
      <w:r>
        <w:t>full analysis set</w:t>
      </w:r>
      <w:r w:rsidRPr="00A52307">
        <w:t xml:space="preserve">. In addition, analyses of cytogenetic response by time point were conducted in the subset of patients harbouring the </w:t>
      </w:r>
      <w:r w:rsidRPr="00CE16E4">
        <w:t>T315I</w:t>
      </w:r>
      <w:r w:rsidRPr="00A52307">
        <w:t xml:space="preserve"> mutation at study entry from Arm 1.</w:t>
      </w:r>
    </w:p>
    <w:p w14:paraId="5A51B8A9" w14:textId="351D9D2C" w:rsidR="00A52307" w:rsidRPr="00A52307" w:rsidRDefault="00A52307" w:rsidP="00A52307">
      <w:r w:rsidRPr="00A52307">
        <w:lastRenderedPageBreak/>
        <w:t xml:space="preserve">A complete hematologic response was defined when </w:t>
      </w:r>
      <w:proofErr w:type="gramStart"/>
      <w:r w:rsidRPr="00A52307">
        <w:t>all of</w:t>
      </w:r>
      <w:proofErr w:type="gramEnd"/>
      <w:r w:rsidRPr="00A52307">
        <w:t xml:space="preserve"> the following criteria were present at any assessment, and was confirmed by another assessment at least after </w:t>
      </w:r>
      <w:r>
        <w:t>four</w:t>
      </w:r>
      <w:r w:rsidRPr="00A52307">
        <w:t xml:space="preserve"> weeks:</w:t>
      </w:r>
    </w:p>
    <w:p w14:paraId="0C261619" w14:textId="616051BE" w:rsidR="00A52307" w:rsidRPr="00A52307" w:rsidRDefault="00A52307" w:rsidP="00A52307">
      <w:r w:rsidRPr="00A52307">
        <w:t>•</w:t>
      </w:r>
      <w:r w:rsidR="00101FE3">
        <w:t xml:space="preserve"> </w:t>
      </w:r>
      <w:r>
        <w:t>White blood cell</w:t>
      </w:r>
      <w:r w:rsidRPr="00A52307">
        <w:t xml:space="preserve"> </w:t>
      </w:r>
      <w:proofErr w:type="gramStart"/>
      <w:r w:rsidRPr="00A52307">
        <w:t>count</w:t>
      </w:r>
      <w:proofErr w:type="gramEnd"/>
      <w:r w:rsidRPr="00A52307">
        <w:t xml:space="preserve"> </w:t>
      </w:r>
      <w:r>
        <w:t>less than</w:t>
      </w:r>
      <w:r w:rsidRPr="00A52307">
        <w:t xml:space="preserve"> 10 </w:t>
      </w:r>
      <w:r w:rsidR="00A92A33">
        <w:t>x</w:t>
      </w:r>
      <w:r w:rsidR="00A92A33" w:rsidRPr="00A52307">
        <w:t xml:space="preserve"> </w:t>
      </w:r>
      <w:r w:rsidRPr="00A52307">
        <w:t>10</w:t>
      </w:r>
      <w:r w:rsidRPr="00A52307">
        <w:rPr>
          <w:vertAlign w:val="superscript"/>
        </w:rPr>
        <w:t>9</w:t>
      </w:r>
      <w:r w:rsidRPr="00A52307">
        <w:t xml:space="preserve"> /L</w:t>
      </w:r>
    </w:p>
    <w:p w14:paraId="2C2A635F" w14:textId="1DBD50F2" w:rsidR="00A52307" w:rsidRPr="00A52307" w:rsidRDefault="00A52307" w:rsidP="00A52307">
      <w:r w:rsidRPr="00A52307">
        <w:t>•</w:t>
      </w:r>
      <w:r w:rsidR="00101FE3">
        <w:t xml:space="preserve"> </w:t>
      </w:r>
      <w:r w:rsidRPr="00A52307">
        <w:t xml:space="preserve">Platelet count </w:t>
      </w:r>
      <w:r>
        <w:t>less than</w:t>
      </w:r>
      <w:r w:rsidRPr="00A52307">
        <w:t xml:space="preserve"> 450 </w:t>
      </w:r>
      <w:r w:rsidR="00A92A33">
        <w:t>x</w:t>
      </w:r>
      <w:r w:rsidR="00A92A33" w:rsidRPr="00A52307">
        <w:t xml:space="preserve"> </w:t>
      </w:r>
      <w:r w:rsidRPr="00A52307">
        <w:t>10</w:t>
      </w:r>
      <w:r w:rsidRPr="00A52307">
        <w:rPr>
          <w:vertAlign w:val="superscript"/>
        </w:rPr>
        <w:t>9</w:t>
      </w:r>
      <w:r w:rsidRPr="00A52307">
        <w:t xml:space="preserve"> /L</w:t>
      </w:r>
    </w:p>
    <w:p w14:paraId="71330661" w14:textId="49310904" w:rsidR="00A52307" w:rsidRPr="00A52307" w:rsidRDefault="00A52307" w:rsidP="00A52307">
      <w:r w:rsidRPr="00A52307">
        <w:t>•</w:t>
      </w:r>
      <w:r w:rsidR="00101FE3">
        <w:t xml:space="preserve"> </w:t>
      </w:r>
      <w:r w:rsidRPr="00A52307">
        <w:t>No extra medullary involvement (spleen, liver, lymph nodes)</w:t>
      </w:r>
    </w:p>
    <w:p w14:paraId="4D88B365" w14:textId="5054655E" w:rsidR="00A52307" w:rsidRPr="00A52307" w:rsidRDefault="00A52307" w:rsidP="00A52307">
      <w:r w:rsidRPr="00A52307">
        <w:t>•</w:t>
      </w:r>
      <w:r w:rsidR="00101FE3">
        <w:t xml:space="preserve"> </w:t>
      </w:r>
      <w:r w:rsidRPr="00A52307">
        <w:t xml:space="preserve">Myelocytes </w:t>
      </w:r>
      <w:r w:rsidR="00B75BEA">
        <w:t>and</w:t>
      </w:r>
      <w:r w:rsidRPr="00A52307">
        <w:t xml:space="preserve"> metamyelocytes </w:t>
      </w:r>
      <w:r w:rsidR="00B75BEA">
        <w:t>less than</w:t>
      </w:r>
      <w:r w:rsidRPr="00A52307">
        <w:t xml:space="preserve"> 5% in peripheral blood</w:t>
      </w:r>
    </w:p>
    <w:p w14:paraId="105702C9" w14:textId="2D94EF3E" w:rsidR="00A52307" w:rsidRPr="00A52307" w:rsidRDefault="00A52307" w:rsidP="00A52307">
      <w:r w:rsidRPr="00A52307">
        <w:t>•</w:t>
      </w:r>
      <w:r w:rsidR="00101FE3">
        <w:t xml:space="preserve"> </w:t>
      </w:r>
      <w:r w:rsidRPr="00A52307">
        <w:t>No evidence of blasts or promyelocytes in the peripheral blood</w:t>
      </w:r>
    </w:p>
    <w:p w14:paraId="2CAA752B" w14:textId="47547C43" w:rsidR="00A52307" w:rsidRDefault="00A52307" w:rsidP="00A52307">
      <w:r w:rsidRPr="00A52307">
        <w:t xml:space="preserve">Achievement of </w:t>
      </w:r>
      <w:r w:rsidR="00B75BEA">
        <w:t>complete hematologic response</w:t>
      </w:r>
      <w:r w:rsidRPr="00A52307">
        <w:t xml:space="preserve"> at and by time points (including Week 24 and Week 48) was summarised by treatment group using the </w:t>
      </w:r>
      <w:r w:rsidR="00B75BEA">
        <w:t>full analysis set.</w:t>
      </w:r>
    </w:p>
    <w:p w14:paraId="68708DA6" w14:textId="0681CF59" w:rsidR="00B75BEA" w:rsidRDefault="00B75BEA" w:rsidP="00B75BEA">
      <w:pPr>
        <w:pStyle w:val="Heading6"/>
      </w:pPr>
      <w:r w:rsidRPr="00B75BEA">
        <w:t xml:space="preserve">Demographic and baseline characteristics </w:t>
      </w:r>
      <w:r>
        <w:t xml:space="preserve">in </w:t>
      </w:r>
      <w:r w:rsidRPr="00B75BEA">
        <w:t>A</w:t>
      </w:r>
      <w:r>
        <w:t>rm</w:t>
      </w:r>
      <w:r w:rsidRPr="00B75BEA">
        <w:t>s 1 and 5</w:t>
      </w:r>
    </w:p>
    <w:p w14:paraId="3CFC2EDF" w14:textId="788374F0" w:rsidR="00776049" w:rsidRPr="00776049" w:rsidRDefault="00776049" w:rsidP="00776049">
      <w:pPr>
        <w:pStyle w:val="Heading7"/>
        <w:rPr>
          <w:sz w:val="22"/>
          <w:szCs w:val="28"/>
        </w:rPr>
      </w:pPr>
      <w:r w:rsidRPr="00776049">
        <w:rPr>
          <w:sz w:val="22"/>
          <w:szCs w:val="28"/>
        </w:rPr>
        <w:t>Arm 1: Asciminib as single agent in chronic myeloid leukaemia in chronic phase/ accelerated phase</w:t>
      </w:r>
    </w:p>
    <w:p w14:paraId="5DE5F816" w14:textId="02D723A4" w:rsidR="00B75BEA" w:rsidRPr="00B75BEA" w:rsidRDefault="00404FBD" w:rsidP="00B75BEA">
      <w:r>
        <w:t>Two hundred</w:t>
      </w:r>
      <w:r w:rsidR="00B75BEA" w:rsidRPr="00B75BEA">
        <w:t xml:space="preserve"> </w:t>
      </w:r>
      <w:r w:rsidR="00A92A33">
        <w:t xml:space="preserve">(200) </w:t>
      </w:r>
      <w:r w:rsidR="00B75BEA" w:rsidRPr="00B75BEA">
        <w:t xml:space="preserve">patients </w:t>
      </w:r>
      <w:r>
        <w:t>in Arm 1</w:t>
      </w:r>
      <w:r w:rsidR="00D826F9">
        <w:t xml:space="preserve"> </w:t>
      </w:r>
      <w:r w:rsidR="00B75BEA" w:rsidRPr="00B75BEA">
        <w:t xml:space="preserve">with </w:t>
      </w:r>
      <w:r>
        <w:t xml:space="preserve">chronic myeloid </w:t>
      </w:r>
      <w:r w:rsidR="001B10B9">
        <w:t>leukaemia</w:t>
      </w:r>
      <w:r>
        <w:t xml:space="preserve"> </w:t>
      </w:r>
      <w:r w:rsidR="00DC26BD">
        <w:t xml:space="preserve">in </w:t>
      </w:r>
      <w:r>
        <w:t>chronic phase/accelerated phase</w:t>
      </w:r>
      <w:r w:rsidRPr="00B75BEA">
        <w:t xml:space="preserve"> </w:t>
      </w:r>
      <w:r>
        <w:t xml:space="preserve">were </w:t>
      </w:r>
      <w:r w:rsidR="00B75BEA" w:rsidRPr="00B75BEA">
        <w:t>treated with asciminib single agent across treatment cohorts, the median age was 55.5 years (min</w:t>
      </w:r>
      <w:r w:rsidR="009949D4">
        <w:t xml:space="preserve"> to </w:t>
      </w:r>
      <w:r w:rsidR="00B75BEA" w:rsidRPr="00B75BEA">
        <w:t>max: 22</w:t>
      </w:r>
      <w:r w:rsidR="009949D4">
        <w:t xml:space="preserve"> to </w:t>
      </w:r>
      <w:r w:rsidR="00B75BEA" w:rsidRPr="00B75BEA">
        <w:t xml:space="preserve">88 years) with 72.5% of patients being 18 to </w:t>
      </w:r>
      <w:r w:rsidR="00B75BEA">
        <w:t>less than</w:t>
      </w:r>
      <w:r w:rsidR="00B75BEA" w:rsidRPr="00B75BEA">
        <w:t xml:space="preserve"> 65 years old. The majority (60%) of patients were male and White (67.5%). Most of them (98.5%) had ECOG </w:t>
      </w:r>
      <w:r w:rsidR="00A92A33">
        <w:t xml:space="preserve">performance status </w:t>
      </w:r>
      <w:r w:rsidR="00B75BEA" w:rsidRPr="00B75BEA">
        <w:t xml:space="preserve">of 0 or 1; </w:t>
      </w:r>
      <w:r w:rsidR="00A92A33">
        <w:t>t</w:t>
      </w:r>
      <w:r w:rsidR="009949D4">
        <w:t>hree</w:t>
      </w:r>
      <w:r w:rsidR="00B75BEA" w:rsidRPr="00B75BEA">
        <w:t xml:space="preserve"> patients had ECOG </w:t>
      </w:r>
      <w:r w:rsidR="00A92A33">
        <w:t xml:space="preserve">performance status </w:t>
      </w:r>
      <w:r w:rsidR="00B75BEA" w:rsidRPr="00B75BEA">
        <w:t>of 2 and were part of the 40</w:t>
      </w:r>
      <w:r w:rsidR="00B75BEA">
        <w:t> </w:t>
      </w:r>
      <w:r w:rsidR="00B75BEA" w:rsidRPr="00B75BEA">
        <w:t xml:space="preserve">mg </w:t>
      </w:r>
      <w:r w:rsidR="00B75BEA">
        <w:t>twice a day</w:t>
      </w:r>
      <w:r w:rsidR="00B75BEA" w:rsidRPr="00B75BEA">
        <w:t xml:space="preserve"> cohort.</w:t>
      </w:r>
    </w:p>
    <w:p w14:paraId="5A6B3DC1" w14:textId="127F083F" w:rsidR="00B75BEA" w:rsidRPr="00B75BEA" w:rsidRDefault="00B75BEA" w:rsidP="00B75BEA">
      <w:r w:rsidRPr="00B75BEA">
        <w:t xml:space="preserve">One hundred </w:t>
      </w:r>
      <w:proofErr w:type="gramStart"/>
      <w:r w:rsidRPr="00B75BEA">
        <w:t>eighty</w:t>
      </w:r>
      <w:r>
        <w:t xml:space="preserve"> </w:t>
      </w:r>
      <w:r w:rsidRPr="00B75BEA">
        <w:t>five</w:t>
      </w:r>
      <w:proofErr w:type="gramEnd"/>
      <w:r w:rsidRPr="00B75BEA">
        <w:t xml:space="preserve"> (</w:t>
      </w:r>
      <w:r w:rsidR="00A92A33">
        <w:t xml:space="preserve">185, or </w:t>
      </w:r>
      <w:r w:rsidRPr="00B75BEA">
        <w:t xml:space="preserve">92.5%) patients had </w:t>
      </w:r>
      <w:r>
        <w:t xml:space="preserve">chronic myeloid </w:t>
      </w:r>
      <w:r w:rsidR="001B10B9">
        <w:t>leukaemia</w:t>
      </w:r>
      <w:r>
        <w:t xml:space="preserve"> </w:t>
      </w:r>
      <w:r w:rsidR="00DC26BD">
        <w:t xml:space="preserve">in </w:t>
      </w:r>
      <w:r>
        <w:t>chronic phase</w:t>
      </w:r>
      <w:r w:rsidRPr="00B75BEA">
        <w:t xml:space="preserve"> and 15 (7.5%) had </w:t>
      </w:r>
      <w:r>
        <w:t xml:space="preserve">chronic myeloid </w:t>
      </w:r>
      <w:r w:rsidR="001B10B9">
        <w:t>leukaemia</w:t>
      </w:r>
      <w:r>
        <w:t xml:space="preserve"> </w:t>
      </w:r>
      <w:r w:rsidR="00DC26BD">
        <w:t xml:space="preserve">in </w:t>
      </w:r>
      <w:r>
        <w:t>accelerated phase</w:t>
      </w:r>
      <w:r w:rsidRPr="00B75BEA">
        <w:t xml:space="preserve">. </w:t>
      </w:r>
      <w:r w:rsidR="00A92A33">
        <w:t>The m</w:t>
      </w:r>
      <w:r w:rsidRPr="00B75BEA">
        <w:t xml:space="preserve">ajority (60%) of these patients with </w:t>
      </w:r>
      <w:r>
        <w:t xml:space="preserve">chronic myeloid </w:t>
      </w:r>
      <w:r w:rsidR="001B10B9">
        <w:t>leukaemia</w:t>
      </w:r>
      <w:r w:rsidR="00DC26BD">
        <w:t xml:space="preserve"> in</w:t>
      </w:r>
      <w:r>
        <w:t xml:space="preserve"> chronic phase/accelerated phase</w:t>
      </w:r>
      <w:r w:rsidRPr="00B75BEA">
        <w:t xml:space="preserve"> did not harbor the </w:t>
      </w:r>
      <w:r w:rsidRPr="001F79DF">
        <w:t>T315I</w:t>
      </w:r>
      <w:r w:rsidRPr="00B75BEA">
        <w:t xml:space="preserve"> mutation.</w:t>
      </w:r>
    </w:p>
    <w:p w14:paraId="30345CA8" w14:textId="7BB8FF57" w:rsidR="00B75BEA" w:rsidRDefault="00B75BEA" w:rsidP="00B75BEA">
      <w:r w:rsidRPr="00B75BEA">
        <w:t xml:space="preserve">Of </w:t>
      </w:r>
      <w:r w:rsidR="00A92A33">
        <w:t xml:space="preserve">the </w:t>
      </w:r>
      <w:r w:rsidRPr="00B75BEA">
        <w:t xml:space="preserve">185 patients with </w:t>
      </w:r>
      <w:r>
        <w:t xml:space="preserve">chronic myeloid </w:t>
      </w:r>
      <w:r w:rsidR="001B10B9">
        <w:t>leukaemia</w:t>
      </w:r>
      <w:r>
        <w:t xml:space="preserve"> </w:t>
      </w:r>
      <w:r w:rsidR="00DC26BD">
        <w:t xml:space="preserve">in </w:t>
      </w:r>
      <w:r>
        <w:t>chronic phase</w:t>
      </w:r>
      <w:r w:rsidRPr="00B75BEA">
        <w:t xml:space="preserve">, 115 had </w:t>
      </w:r>
      <w:r>
        <w:t xml:space="preserve">chronic myeloid </w:t>
      </w:r>
      <w:r w:rsidR="001B10B9">
        <w:t>leukaemia</w:t>
      </w:r>
      <w:r w:rsidR="00DC26BD">
        <w:t xml:space="preserve"> in</w:t>
      </w:r>
      <w:r>
        <w:t xml:space="preserve"> chronic phase</w:t>
      </w:r>
      <w:r w:rsidRPr="00B75BEA">
        <w:t xml:space="preserve"> without the </w:t>
      </w:r>
      <w:r w:rsidRPr="001F79DF">
        <w:t>T315I</w:t>
      </w:r>
      <w:r w:rsidRPr="00B75BEA">
        <w:t xml:space="preserve"> mutation and 70 with </w:t>
      </w:r>
      <w:r>
        <w:t xml:space="preserve">chronic myeloid </w:t>
      </w:r>
      <w:r w:rsidR="001B10B9">
        <w:t>leukaemia</w:t>
      </w:r>
      <w:r w:rsidR="00DC26BD">
        <w:t xml:space="preserve"> in</w:t>
      </w:r>
      <w:r>
        <w:t xml:space="preserve"> chronic phase</w:t>
      </w:r>
      <w:r w:rsidRPr="00B75BEA">
        <w:t xml:space="preserve"> harboured the </w:t>
      </w:r>
      <w:r w:rsidRPr="001F79DF">
        <w:t>T315I</w:t>
      </w:r>
      <w:r w:rsidRPr="00B75BEA">
        <w:t xml:space="preserve"> mutation with 48 patients enrolled at 200</w:t>
      </w:r>
      <w:r>
        <w:t> </w:t>
      </w:r>
      <w:r w:rsidRPr="00B75BEA">
        <w:t xml:space="preserve">mg </w:t>
      </w:r>
      <w:r>
        <w:t>twice a day</w:t>
      </w:r>
      <w:r w:rsidRPr="00B75BEA">
        <w:t xml:space="preserve">, which was an enrichment cohort for the patients with </w:t>
      </w:r>
      <w:r>
        <w:t xml:space="preserve">chronic myeloid </w:t>
      </w:r>
      <w:r w:rsidR="001B10B9">
        <w:t>leukaemia</w:t>
      </w:r>
      <w:r>
        <w:t xml:space="preserve"> </w:t>
      </w:r>
      <w:r w:rsidR="00DC26BD">
        <w:t xml:space="preserve">in </w:t>
      </w:r>
      <w:r>
        <w:t>chronic phase</w:t>
      </w:r>
      <w:r w:rsidRPr="00B75BEA">
        <w:t xml:space="preserve"> harbouring the mutation and was recommended dose for expansion.</w:t>
      </w:r>
    </w:p>
    <w:p w14:paraId="39184A4E" w14:textId="52418E3F" w:rsidR="00776049" w:rsidRPr="00776049" w:rsidRDefault="00776049" w:rsidP="00776049">
      <w:pPr>
        <w:pStyle w:val="Heading7"/>
        <w:rPr>
          <w:sz w:val="22"/>
          <w:szCs w:val="28"/>
        </w:rPr>
      </w:pPr>
      <w:r w:rsidRPr="00776049">
        <w:rPr>
          <w:sz w:val="22"/>
          <w:szCs w:val="28"/>
        </w:rPr>
        <w:t xml:space="preserve">Asciminib as single agent in chronic myeloid leukaemia in chronic phase without the </w:t>
      </w:r>
      <w:r w:rsidRPr="001F79DF">
        <w:rPr>
          <w:sz w:val="22"/>
          <w:szCs w:val="28"/>
        </w:rPr>
        <w:t>T315I</w:t>
      </w:r>
      <w:r w:rsidRPr="00776049">
        <w:rPr>
          <w:sz w:val="22"/>
          <w:szCs w:val="28"/>
        </w:rPr>
        <w:t xml:space="preserve"> mutation at screening</w:t>
      </w:r>
    </w:p>
    <w:p w14:paraId="4CDA3E06" w14:textId="67EDD120" w:rsidR="00D826F9" w:rsidRDefault="00D826F9" w:rsidP="00D826F9">
      <w:r w:rsidRPr="00D826F9">
        <w:t xml:space="preserve">Among </w:t>
      </w:r>
      <w:r w:rsidR="00A92A33">
        <w:t xml:space="preserve">the </w:t>
      </w:r>
      <w:r w:rsidRPr="00D826F9">
        <w:t xml:space="preserve">115 patients with </w:t>
      </w:r>
      <w:r>
        <w:t xml:space="preserve">chronic myeloid </w:t>
      </w:r>
      <w:r w:rsidR="001B10B9">
        <w:t>leukaemia</w:t>
      </w:r>
      <w:r>
        <w:t xml:space="preserve"> </w:t>
      </w:r>
      <w:r w:rsidR="00DC26BD">
        <w:t xml:space="preserve">in </w:t>
      </w:r>
      <w:r>
        <w:t>chronic phase</w:t>
      </w:r>
      <w:r w:rsidRPr="00D826F9">
        <w:t xml:space="preserve"> without the </w:t>
      </w:r>
      <w:r w:rsidRPr="001F79DF">
        <w:t>T315I</w:t>
      </w:r>
      <w:r w:rsidRPr="00D826F9">
        <w:t xml:space="preserve"> mutation treated with asciminib single agent across treatment cohorts, the median age was 56 years (min</w:t>
      </w:r>
      <w:r w:rsidR="009949D4">
        <w:t xml:space="preserve"> to </w:t>
      </w:r>
      <w:r w:rsidRPr="00D826F9">
        <w:t>max: 25</w:t>
      </w:r>
      <w:r w:rsidR="009949D4">
        <w:t xml:space="preserve"> to </w:t>
      </w:r>
      <w:r w:rsidRPr="00D826F9">
        <w:t xml:space="preserve">88 years) with 73.9% of patients being 18 to </w:t>
      </w:r>
      <w:r>
        <w:t>less than</w:t>
      </w:r>
      <w:r w:rsidRPr="00D826F9">
        <w:t xml:space="preserve"> 65</w:t>
      </w:r>
      <w:r>
        <w:t> </w:t>
      </w:r>
      <w:r w:rsidRPr="00D826F9">
        <w:t xml:space="preserve">years old. The proportion of males was 52.2% and females was 47.8%. </w:t>
      </w:r>
      <w:proofErr w:type="gramStart"/>
      <w:r w:rsidRPr="00D826F9">
        <w:t>The majority of</w:t>
      </w:r>
      <w:proofErr w:type="gramEnd"/>
      <w:r w:rsidRPr="00D826F9">
        <w:t xml:space="preserve"> patients were White (77.4%). Most (98.3%) had ECOG </w:t>
      </w:r>
      <w:r w:rsidR="00A92A33">
        <w:t xml:space="preserve">performance status </w:t>
      </w:r>
      <w:r w:rsidRPr="00D826F9">
        <w:t xml:space="preserve">of 0 or 1; </w:t>
      </w:r>
      <w:r>
        <w:t>two</w:t>
      </w:r>
      <w:r w:rsidRPr="00D826F9">
        <w:t xml:space="preserve"> patients had ECOG</w:t>
      </w:r>
      <w:r w:rsidR="00A92A33">
        <w:t xml:space="preserve"> performance status</w:t>
      </w:r>
      <w:r w:rsidRPr="00D826F9">
        <w:t xml:space="preserve"> of 2 and were part of the 40</w:t>
      </w:r>
      <w:r>
        <w:t> </w:t>
      </w:r>
      <w:r w:rsidRPr="00D826F9">
        <w:t xml:space="preserve">mg </w:t>
      </w:r>
      <w:r>
        <w:t>twice a day</w:t>
      </w:r>
      <w:r w:rsidRPr="00D826F9">
        <w:t xml:space="preserve"> cohort.</w:t>
      </w:r>
    </w:p>
    <w:p w14:paraId="2EEDCCD9" w14:textId="479328D0" w:rsidR="00776049" w:rsidRPr="00776049" w:rsidRDefault="00776049" w:rsidP="00776049">
      <w:pPr>
        <w:pStyle w:val="Heading7"/>
        <w:rPr>
          <w:sz w:val="22"/>
          <w:szCs w:val="28"/>
        </w:rPr>
      </w:pPr>
      <w:r w:rsidRPr="00776049">
        <w:rPr>
          <w:sz w:val="22"/>
          <w:szCs w:val="28"/>
        </w:rPr>
        <w:t>Asciminib as single agent in chronic myeloid leukaemia in chronic phase harbouring the T315I mutation at screening</w:t>
      </w:r>
    </w:p>
    <w:p w14:paraId="5CCDBCE9" w14:textId="1B1B8C34" w:rsidR="00D826F9" w:rsidRDefault="00D826F9" w:rsidP="00D826F9">
      <w:r w:rsidRPr="00D826F9">
        <w:t xml:space="preserve">Among 70 patients with </w:t>
      </w:r>
      <w:r>
        <w:t xml:space="preserve">chronic myeloid </w:t>
      </w:r>
      <w:r w:rsidR="001B10B9">
        <w:t>leukaemia</w:t>
      </w:r>
      <w:r>
        <w:t xml:space="preserve"> </w:t>
      </w:r>
      <w:r w:rsidR="00DC26BD">
        <w:t xml:space="preserve">in </w:t>
      </w:r>
      <w:r>
        <w:t xml:space="preserve">chronic phase </w:t>
      </w:r>
      <w:r w:rsidRPr="00D826F9">
        <w:t xml:space="preserve">harbouring the </w:t>
      </w:r>
      <w:r w:rsidRPr="00DD22B0">
        <w:t>T315I</w:t>
      </w:r>
      <w:r w:rsidRPr="00D826F9">
        <w:t xml:space="preserve"> mutation treated with asciminib single agent across treatment cohorts, the median age was 53.5 years (min</w:t>
      </w:r>
      <w:r w:rsidR="009949D4">
        <w:t xml:space="preserve"> to </w:t>
      </w:r>
      <w:r w:rsidRPr="00D826F9">
        <w:t>max: 22</w:t>
      </w:r>
      <w:r w:rsidR="009949D4">
        <w:t xml:space="preserve"> to </w:t>
      </w:r>
      <w:r w:rsidRPr="00D826F9">
        <w:t xml:space="preserve">86 years) with 70% of patients being 18 to </w:t>
      </w:r>
      <w:r>
        <w:t>less than</w:t>
      </w:r>
      <w:r w:rsidRPr="00D826F9">
        <w:t xml:space="preserve"> 65</w:t>
      </w:r>
      <w:r>
        <w:t> </w:t>
      </w:r>
      <w:r w:rsidRPr="00D826F9">
        <w:t xml:space="preserve">years old. </w:t>
      </w:r>
      <w:r w:rsidR="002E5A64">
        <w:t>The majority</w:t>
      </w:r>
      <w:r w:rsidR="00220B09">
        <w:t xml:space="preserve"> (74.3) of patients were male and</w:t>
      </w:r>
      <w:r w:rsidRPr="00220B09">
        <w:t xml:space="preserve"> White (51.4%). The ECOG </w:t>
      </w:r>
      <w:r w:rsidR="00A92A33">
        <w:t xml:space="preserve">performance status </w:t>
      </w:r>
      <w:r w:rsidRPr="00220B09">
        <w:t>was 0 (78.6%) or 1 (21.4%).</w:t>
      </w:r>
    </w:p>
    <w:p w14:paraId="30410D3B" w14:textId="2507E636" w:rsidR="00776049" w:rsidRPr="00776049" w:rsidRDefault="00776049" w:rsidP="00776049">
      <w:pPr>
        <w:pStyle w:val="Heading7"/>
        <w:rPr>
          <w:sz w:val="22"/>
          <w:szCs w:val="28"/>
        </w:rPr>
      </w:pPr>
      <w:r w:rsidRPr="00776049">
        <w:rPr>
          <w:sz w:val="22"/>
          <w:szCs w:val="28"/>
        </w:rPr>
        <w:lastRenderedPageBreak/>
        <w:t>Arm 5: Asciminib as single agent in chronic myeloid leukaemia in blast phase and Philadelphia positive chromosome acute lymphoblastic leukaemia</w:t>
      </w:r>
    </w:p>
    <w:p w14:paraId="1D287695" w14:textId="207EC2ED" w:rsidR="00D826F9" w:rsidRDefault="00D826F9" w:rsidP="00D826F9">
      <w:r>
        <w:t xml:space="preserve">Among 43 patients with chronic myeloid </w:t>
      </w:r>
      <w:r w:rsidR="001B10B9">
        <w:t>leukaemia</w:t>
      </w:r>
      <w:r>
        <w:t xml:space="preserve"> </w:t>
      </w:r>
      <w:r w:rsidR="007F3963">
        <w:t xml:space="preserve">in </w:t>
      </w:r>
      <w:r>
        <w:t xml:space="preserve">blast phase or </w:t>
      </w:r>
      <w:r w:rsidRPr="00A61030">
        <w:t>Philadelphia</w:t>
      </w:r>
      <w:r>
        <w:t xml:space="preserve"> c</w:t>
      </w:r>
      <w:r w:rsidRPr="00A61030">
        <w:t>hromosome</w:t>
      </w:r>
      <w:r>
        <w:t xml:space="preserve"> </w:t>
      </w:r>
      <w:r w:rsidRPr="00A61030">
        <w:t xml:space="preserve">positive acute lymphoblastic </w:t>
      </w:r>
      <w:r w:rsidR="001B10B9">
        <w:t>leukaemia</w:t>
      </w:r>
      <w:r w:rsidRPr="00A61030">
        <w:t xml:space="preserve"> </w:t>
      </w:r>
      <w:r>
        <w:t>treated with asciminib single agent across cohorts, the median age was 56 years (min</w:t>
      </w:r>
      <w:r w:rsidR="009949D4">
        <w:t xml:space="preserve"> to </w:t>
      </w:r>
      <w:r>
        <w:t>max: 20</w:t>
      </w:r>
      <w:r w:rsidR="009949D4">
        <w:t xml:space="preserve"> to </w:t>
      </w:r>
      <w:r>
        <w:t xml:space="preserve">77 years) with 65.1% of patients being 18 to less than 65 years old. </w:t>
      </w:r>
      <w:proofErr w:type="gramStart"/>
      <w:r>
        <w:t>The majority of</w:t>
      </w:r>
      <w:proofErr w:type="gramEnd"/>
      <w:r>
        <w:t xml:space="preserve"> patients were White (67.4%) and ECOG </w:t>
      </w:r>
      <w:r w:rsidR="00A92A33">
        <w:t xml:space="preserve">performance status </w:t>
      </w:r>
      <w:r>
        <w:t>of 0 or 1 (83.7%).</w:t>
      </w:r>
    </w:p>
    <w:p w14:paraId="3ED6ADE7" w14:textId="04F4B401" w:rsidR="00D826F9" w:rsidRDefault="00D826F9" w:rsidP="00D826F9">
      <w:r>
        <w:t xml:space="preserve">Among 43 patients enrolled across cohorts, 15 (34.9%) had chronic myeloid </w:t>
      </w:r>
      <w:r w:rsidR="001B10B9">
        <w:t>leukaemia</w:t>
      </w:r>
      <w:r>
        <w:t xml:space="preserve"> </w:t>
      </w:r>
      <w:r w:rsidR="007F3963">
        <w:t xml:space="preserve">in </w:t>
      </w:r>
      <w:r>
        <w:t xml:space="preserve">blast phase and 28 (65.1%) had </w:t>
      </w:r>
      <w:r w:rsidRPr="00D826F9">
        <w:t xml:space="preserve">Philadelphia chromosome positive acute lymphoblastic </w:t>
      </w:r>
      <w:r w:rsidR="001B10B9">
        <w:t>leukaemia</w:t>
      </w:r>
      <w:r>
        <w:t xml:space="preserve">. Of these, 53.5% of patients had chronic myeloid </w:t>
      </w:r>
      <w:r w:rsidR="001B10B9">
        <w:t>leukaemia</w:t>
      </w:r>
      <w:r>
        <w:t xml:space="preserve"> </w:t>
      </w:r>
      <w:r w:rsidR="007F3963">
        <w:t xml:space="preserve">in </w:t>
      </w:r>
      <w:r>
        <w:t xml:space="preserve">blast phase or </w:t>
      </w:r>
      <w:r w:rsidRPr="00A61030">
        <w:t>Philadelphia</w:t>
      </w:r>
      <w:r>
        <w:t xml:space="preserve"> c</w:t>
      </w:r>
      <w:r w:rsidRPr="00A61030">
        <w:t>hromosome</w:t>
      </w:r>
      <w:r>
        <w:t xml:space="preserve"> </w:t>
      </w:r>
      <w:r w:rsidRPr="00A61030">
        <w:t xml:space="preserve">positive acute lymphoblastic </w:t>
      </w:r>
      <w:r w:rsidR="001B10B9">
        <w:t>leukaemia</w:t>
      </w:r>
      <w:r w:rsidRPr="00A61030">
        <w:t xml:space="preserve"> </w:t>
      </w:r>
      <w:r>
        <w:t xml:space="preserve">not harbouring the </w:t>
      </w:r>
      <w:r w:rsidR="00FB39FA" w:rsidRPr="00281B1A">
        <w:t>T315</w:t>
      </w:r>
      <w:r w:rsidR="00752B5B" w:rsidRPr="00281B1A">
        <w:t>I</w:t>
      </w:r>
      <w:r>
        <w:t xml:space="preserve"> mutation while 25.6% harboured the </w:t>
      </w:r>
      <w:r w:rsidR="00FB39FA" w:rsidRPr="00281B1A">
        <w:t>T315</w:t>
      </w:r>
      <w:r w:rsidR="00752B5B" w:rsidRPr="00281B1A">
        <w:t>I</w:t>
      </w:r>
      <w:r>
        <w:t xml:space="preserve"> mutation. For the remaining 20.9% of patients, </w:t>
      </w:r>
      <w:r w:rsidR="00FB39FA" w:rsidRPr="00281B1A">
        <w:t>T315I</w:t>
      </w:r>
      <w:r>
        <w:t xml:space="preserve"> mutation status was missing.</w:t>
      </w:r>
    </w:p>
    <w:p w14:paraId="689C757D" w14:textId="77777777" w:rsidR="00A51598" w:rsidRDefault="00A51598" w:rsidP="00A51598">
      <w:pPr>
        <w:pStyle w:val="Heading6"/>
      </w:pPr>
      <w:r>
        <w:t>Efficacy results in Arm 1 and 5</w:t>
      </w:r>
    </w:p>
    <w:p w14:paraId="202AD597" w14:textId="64E3D4B0" w:rsidR="00A51598" w:rsidRPr="00A51598" w:rsidRDefault="00A51598" w:rsidP="00A51598">
      <w:r>
        <w:t>I</w:t>
      </w:r>
      <w:r w:rsidRPr="00A51598">
        <w:t xml:space="preserve">n Arm 1, 200 patients with </w:t>
      </w:r>
      <w:r>
        <w:t xml:space="preserve">chronic myeloid </w:t>
      </w:r>
      <w:r w:rsidR="001B10B9">
        <w:t>leukaemia</w:t>
      </w:r>
      <w:r w:rsidR="00DC26BD">
        <w:t xml:space="preserve"> in</w:t>
      </w:r>
      <w:r>
        <w:t xml:space="preserve"> chronic phase/accelerated phase</w:t>
      </w:r>
      <w:r w:rsidRPr="00A51598">
        <w:t xml:space="preserve"> were treated with asciminib single agent across treatment cohorts, among those 115 had </w:t>
      </w:r>
      <w:r>
        <w:t xml:space="preserve">chronic myeloid </w:t>
      </w:r>
      <w:r w:rsidR="001B10B9">
        <w:t>leukaemia</w:t>
      </w:r>
      <w:r>
        <w:t xml:space="preserve"> </w:t>
      </w:r>
      <w:r w:rsidR="00DC26BD">
        <w:t xml:space="preserve">in </w:t>
      </w:r>
      <w:r>
        <w:t>chronic phase</w:t>
      </w:r>
      <w:r w:rsidRPr="00A51598">
        <w:t xml:space="preserve"> without </w:t>
      </w:r>
      <w:r w:rsidR="00FB39FA" w:rsidRPr="00281B1A">
        <w:t>T315I</w:t>
      </w:r>
      <w:r w:rsidRPr="00752B5B">
        <w:t xml:space="preserve"> </w:t>
      </w:r>
      <w:r w:rsidRPr="00A51598">
        <w:t xml:space="preserve">mutation and 48 had </w:t>
      </w:r>
      <w:r>
        <w:t xml:space="preserve">chronic myeloid </w:t>
      </w:r>
      <w:r w:rsidR="001B10B9">
        <w:t>leukaemia</w:t>
      </w:r>
      <w:r>
        <w:t xml:space="preserve"> </w:t>
      </w:r>
      <w:r w:rsidR="00DC26BD">
        <w:t xml:space="preserve">in </w:t>
      </w:r>
      <w:r>
        <w:t xml:space="preserve">chronic phase </w:t>
      </w:r>
      <w:r w:rsidRPr="00A51598">
        <w:t xml:space="preserve">harbouring the </w:t>
      </w:r>
      <w:r w:rsidR="00FB39FA" w:rsidRPr="00281B1A">
        <w:t>T315I</w:t>
      </w:r>
      <w:r w:rsidRPr="00A51598">
        <w:t xml:space="preserve"> mutation and treated at 200</w:t>
      </w:r>
      <w:r>
        <w:t> </w:t>
      </w:r>
      <w:r w:rsidRPr="00A51598">
        <w:t xml:space="preserve">mg </w:t>
      </w:r>
      <w:r>
        <w:t>twice a day</w:t>
      </w:r>
      <w:r w:rsidRPr="00A51598">
        <w:t>.</w:t>
      </w:r>
    </w:p>
    <w:p w14:paraId="68A18956" w14:textId="705EE1F9" w:rsidR="00A51598" w:rsidRDefault="00A51598" w:rsidP="00A51598">
      <w:r w:rsidRPr="00A51598">
        <w:t xml:space="preserve">In Arm 5, 43 patients with </w:t>
      </w:r>
      <w:r>
        <w:t xml:space="preserve">chronic myeloid </w:t>
      </w:r>
      <w:r w:rsidR="001B10B9">
        <w:t>leukaemia</w:t>
      </w:r>
      <w:r w:rsidR="00DC26BD">
        <w:t xml:space="preserve"> in</w:t>
      </w:r>
      <w:r>
        <w:t xml:space="preserve"> blast phase </w:t>
      </w:r>
      <w:r w:rsidRPr="00A51598">
        <w:t xml:space="preserve">or Philadelphia chromosome positive acute lymphoblastic </w:t>
      </w:r>
      <w:r w:rsidR="001B10B9">
        <w:t>leukaemia</w:t>
      </w:r>
      <w:r w:rsidRPr="00A51598">
        <w:t xml:space="preserve"> were treated with any dose across cohorts.</w:t>
      </w:r>
    </w:p>
    <w:p w14:paraId="6DCEBB29" w14:textId="1FBFD12A" w:rsidR="00A51598" w:rsidRDefault="00A51598" w:rsidP="00A51598">
      <w:pPr>
        <w:pStyle w:val="Heading6"/>
      </w:pPr>
      <w:r w:rsidRPr="00A51598">
        <w:t xml:space="preserve">Patients with </w:t>
      </w:r>
      <w:r>
        <w:t xml:space="preserve">chronic myeloid </w:t>
      </w:r>
      <w:r w:rsidR="001B10B9">
        <w:t>leukaemia</w:t>
      </w:r>
      <w:r w:rsidR="00DC26BD">
        <w:t xml:space="preserve"> in</w:t>
      </w:r>
      <w:r>
        <w:t xml:space="preserve"> chronic phase/accelerated phase</w:t>
      </w:r>
    </w:p>
    <w:p w14:paraId="604F6D6F" w14:textId="51968A1A" w:rsidR="00A51598" w:rsidRDefault="00A51598" w:rsidP="00A51598">
      <w:pPr>
        <w:pStyle w:val="Tabletitle0"/>
      </w:pPr>
      <w:bookmarkStart w:id="66" w:name="_Ref127274629"/>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47BEA">
        <w:rPr>
          <w:noProof/>
        </w:rPr>
        <w:t>10</w:t>
      </w:r>
      <w:r>
        <w:rPr>
          <w:color w:val="2B579A"/>
          <w:shd w:val="clear" w:color="auto" w:fill="E6E6E6"/>
        </w:rPr>
        <w:fldChar w:fldCharType="end"/>
      </w:r>
      <w:bookmarkEnd w:id="66"/>
      <w:r>
        <w:t xml:space="preserve">: </w:t>
      </w:r>
      <w:r w:rsidR="00A92A33">
        <w:t xml:space="preserve">Study X2101 </w:t>
      </w:r>
      <w:r>
        <w:t>Major molecular response by time point</w:t>
      </w:r>
      <w:r w:rsidR="00A92A33">
        <w:t>;</w:t>
      </w:r>
      <w:r>
        <w:t xml:space="preserve"> </w:t>
      </w:r>
      <w:r w:rsidR="00A92A33">
        <w:t>s</w:t>
      </w:r>
      <w:r>
        <w:t xml:space="preserve">ingle agent asciminib in chronic myeloid </w:t>
      </w:r>
      <w:r w:rsidR="001B10B9">
        <w:t>leukaemia</w:t>
      </w:r>
      <w:r>
        <w:t xml:space="preserve"> </w:t>
      </w:r>
      <w:r w:rsidR="00DC26BD">
        <w:t xml:space="preserve">in </w:t>
      </w:r>
      <w:r>
        <w:t>chronic phase/accelerated phase not in major molecular response at screening</w:t>
      </w:r>
      <w:r w:rsidR="00A92A33">
        <w:t xml:space="preserve"> (m</w:t>
      </w:r>
      <w:r>
        <w:t>ajor molecular response evaluable full analysis set</w:t>
      </w:r>
      <w:r w:rsidR="00A92A33">
        <w:t>)</w:t>
      </w:r>
    </w:p>
    <w:p w14:paraId="42CE6E31" w14:textId="5104FFE2" w:rsidR="00A51598" w:rsidRPr="00A51598" w:rsidRDefault="00A51598" w:rsidP="00A51598">
      <w:r>
        <w:rPr>
          <w:noProof/>
          <w:color w:val="2B579A"/>
          <w:shd w:val="clear" w:color="auto" w:fill="E6E6E6"/>
          <w:lang w:val="en-GB" w:eastAsia="en-GB"/>
        </w:rPr>
        <w:drawing>
          <wp:inline distT="0" distB="0" distL="0" distR="0" wp14:anchorId="4D7DB1EF" wp14:editId="147E9A19">
            <wp:extent cx="5172075" cy="1476375"/>
            <wp:effectExtent l="0" t="0" r="9525" b="9525"/>
            <wp:docPr id="11" name="Picture 11" descr="Major molecular response by time point. Single agent asciminib in chronic myeloid leukaemia in chronic phase/accelerated phase not in major molecular response at screening. Major molecular response evaluable full analysis set for Study X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jor molecular response by time point. Single agent asciminib in chronic myeloid leukaemia in chronic phase/accelerated phase not in major molecular response at screening. Major molecular response evaluable full analysis set for Study X2101"/>
                    <pic:cNvPicPr>
                      <a:picLocks noChangeAspect="1" noChangeArrowheads="1"/>
                    </pic:cNvPicPr>
                  </pic:nvPicPr>
                  <pic:blipFill rotWithShape="1">
                    <a:blip r:embed="rId30">
                      <a:extLst>
                        <a:ext uri="{28A0092B-C50C-407E-A947-70E740481C1C}">
                          <a14:useLocalDpi xmlns:a14="http://schemas.microsoft.com/office/drawing/2010/main" val="0"/>
                        </a:ext>
                      </a:extLst>
                    </a:blip>
                    <a:srcRect l="4155" t="3073" r="5595" b="17520"/>
                    <a:stretch/>
                  </pic:blipFill>
                  <pic:spPr bwMode="auto">
                    <a:xfrm>
                      <a:off x="0" y="0"/>
                      <a:ext cx="5172075" cy="1476375"/>
                    </a:xfrm>
                    <a:prstGeom prst="rect">
                      <a:avLst/>
                    </a:prstGeom>
                    <a:noFill/>
                    <a:ln>
                      <a:noFill/>
                    </a:ln>
                    <a:extLst>
                      <a:ext uri="{53640926-AAD7-44D8-BBD7-CCE9431645EC}">
                        <a14:shadowObscured xmlns:a14="http://schemas.microsoft.com/office/drawing/2010/main"/>
                      </a:ext>
                    </a:extLst>
                  </pic:spPr>
                </pic:pic>
              </a:graphicData>
            </a:graphic>
          </wp:inline>
        </w:drawing>
      </w:r>
    </w:p>
    <w:p w14:paraId="68D9A125" w14:textId="729BDB94" w:rsidR="00A92A33" w:rsidRDefault="00A92A33" w:rsidP="00A51598">
      <w:pPr>
        <w:pStyle w:val="TableDescription"/>
      </w:pPr>
      <w:r>
        <w:t xml:space="preserve">Abbreviations: </w:t>
      </w:r>
      <w:r w:rsidR="006C3B43">
        <w:t xml:space="preserve">ABL001 = drug development code for asciminib; </w:t>
      </w:r>
      <w:r>
        <w:t xml:space="preserve">b.i.d. = twice a day; MMR = major molecular response; </w:t>
      </w:r>
      <w:proofErr w:type="spellStart"/>
      <w:r>
        <w:t>q.d</w:t>
      </w:r>
      <w:proofErr w:type="spellEnd"/>
      <w:r>
        <w:t>. = once daily</w:t>
      </w:r>
    </w:p>
    <w:p w14:paraId="13EE16B2" w14:textId="62DFA558" w:rsidR="00A51598" w:rsidRDefault="007A021D" w:rsidP="00A51598">
      <w:pPr>
        <w:pStyle w:val="TableDescription"/>
      </w:pPr>
      <w:proofErr w:type="gramStart"/>
      <w:r w:rsidRPr="00281B1A">
        <w:rPr>
          <w:i/>
          <w:iCs/>
        </w:rPr>
        <w:t>BCR::</w:t>
      </w:r>
      <w:proofErr w:type="gramEnd"/>
      <w:r w:rsidRPr="00281B1A">
        <w:rPr>
          <w:i/>
          <w:iCs/>
        </w:rPr>
        <w:t>ABL1</w:t>
      </w:r>
      <w:r w:rsidR="00A51598">
        <w:t xml:space="preserve"> % measured at the international scale.</w:t>
      </w:r>
    </w:p>
    <w:p w14:paraId="1F9071B1" w14:textId="3A8DCB4D" w:rsidR="00A51598" w:rsidRPr="00A51598" w:rsidRDefault="00A51598" w:rsidP="00A51598">
      <w:r>
        <w:t>Major molecular response</w:t>
      </w:r>
      <w:r w:rsidRPr="00A51598">
        <w:t xml:space="preserve"> was evaluable in 164</w:t>
      </w:r>
      <w:r>
        <w:t xml:space="preserve"> out of </w:t>
      </w:r>
      <w:r w:rsidRPr="00A51598">
        <w:t>200 patients. A clinically meaningful and durable</w:t>
      </w:r>
      <w:r>
        <w:t xml:space="preserve"> major molecular response</w:t>
      </w:r>
      <w:r w:rsidRPr="00A51598">
        <w:t xml:space="preserve"> rate was observed across all asciminib dose levels </w:t>
      </w:r>
      <w:r>
        <w:t>greater than or equal to</w:t>
      </w:r>
      <w:r w:rsidRPr="00A51598">
        <w:t xml:space="preserve"> 20</w:t>
      </w:r>
      <w:r>
        <w:t> </w:t>
      </w:r>
      <w:r w:rsidRPr="00A51598">
        <w:t xml:space="preserve">mg </w:t>
      </w:r>
      <w:r>
        <w:t>twice a day</w:t>
      </w:r>
      <w:r w:rsidRPr="00A51598">
        <w:t xml:space="preserve"> and across all lines of therapy.</w:t>
      </w:r>
      <w:r>
        <w:t xml:space="preserve"> </w:t>
      </w:r>
      <w:r w:rsidRPr="00A51598">
        <w:t xml:space="preserve">There was no meaningful difference in </w:t>
      </w:r>
      <w:r w:rsidR="00C37C98">
        <w:t>major molecular response</w:t>
      </w:r>
      <w:r w:rsidRPr="00A51598">
        <w:t xml:space="preserve"> between the 40</w:t>
      </w:r>
      <w:r w:rsidR="00C37C98">
        <w:t> </w:t>
      </w:r>
      <w:r w:rsidRPr="00A51598">
        <w:t xml:space="preserve">mg </w:t>
      </w:r>
      <w:r w:rsidR="00C37C98">
        <w:t>twice a day</w:t>
      </w:r>
      <w:r w:rsidRPr="00A51598">
        <w:t xml:space="preserve"> and 80</w:t>
      </w:r>
      <w:r w:rsidR="00C37C98">
        <w:t> </w:t>
      </w:r>
      <w:r w:rsidRPr="00A51598">
        <w:t xml:space="preserve">mg </w:t>
      </w:r>
      <w:r w:rsidR="00C37C98">
        <w:t xml:space="preserve">once </w:t>
      </w:r>
      <w:r w:rsidR="000820A3">
        <w:t>daily</w:t>
      </w:r>
      <w:r w:rsidR="00C37C98">
        <w:t xml:space="preserve"> </w:t>
      </w:r>
      <w:r w:rsidRPr="00A51598">
        <w:t xml:space="preserve">dose groups. </w:t>
      </w:r>
      <w:r w:rsidR="00C37C98">
        <w:t>Major molecular response</w:t>
      </w:r>
      <w:r w:rsidRPr="00A51598">
        <w:t xml:space="preserve"> was achieved by 77</w:t>
      </w:r>
      <w:r w:rsidR="00C37C98">
        <w:t xml:space="preserve"> out of </w:t>
      </w:r>
      <w:r w:rsidRPr="00A51598">
        <w:t>164 (47%) patients overall and</w:t>
      </w:r>
      <w:r w:rsidR="00C37C98">
        <w:t xml:space="preserve"> major molecular response</w:t>
      </w:r>
      <w:r w:rsidRPr="00A51598">
        <w:t xml:space="preserve"> by Week 24 by 26.2% patients (25% at Week 24).</w:t>
      </w:r>
    </w:p>
    <w:p w14:paraId="036648BB" w14:textId="38D71E79" w:rsidR="00A51598" w:rsidRPr="00A51598" w:rsidRDefault="00F2530B" w:rsidP="00A51598">
      <w:r>
        <w:t>There are 71</w:t>
      </w:r>
      <w:r w:rsidR="00C37C98">
        <w:t xml:space="preserve"> out of </w:t>
      </w:r>
      <w:r w:rsidR="00A51598" w:rsidRPr="00A51598">
        <w:t xml:space="preserve">77 patients who achieved response, maintained this </w:t>
      </w:r>
      <w:proofErr w:type="gramStart"/>
      <w:r w:rsidR="00A51598" w:rsidRPr="00A51598">
        <w:t>response</w:t>
      </w:r>
      <w:proofErr w:type="gramEnd"/>
      <w:r w:rsidR="00A51598" w:rsidRPr="00A51598">
        <w:t xml:space="preserve"> or improved it to a deeper level of response up to the cut</w:t>
      </w:r>
      <w:r w:rsidR="006C3B43">
        <w:t>-</w:t>
      </w:r>
      <w:r w:rsidR="00A51598" w:rsidRPr="00A51598">
        <w:t xml:space="preserve">off date. The responses achieved were highly durable given the median duration of exposure of 124.6 weeks. The </w:t>
      </w:r>
      <w:r w:rsidR="00C37C98">
        <w:t xml:space="preserve">Kaplan </w:t>
      </w:r>
      <w:r w:rsidR="00C37C98">
        <w:lastRenderedPageBreak/>
        <w:t xml:space="preserve">Meier </w:t>
      </w:r>
      <w:r w:rsidR="00A51598" w:rsidRPr="00A51598">
        <w:t xml:space="preserve">estimated proportion of patients maintaining their first </w:t>
      </w:r>
      <w:r w:rsidR="00C37C98">
        <w:t>major molecular response</w:t>
      </w:r>
      <w:r w:rsidR="00A51598" w:rsidRPr="00A51598">
        <w:t xml:space="preserve"> for at least 96 weeks was 92% (95% CI: 85.4%, 98.8%). The median time to first </w:t>
      </w:r>
      <w:r w:rsidR="00C37C98">
        <w:t>major molecular response</w:t>
      </w:r>
      <w:r w:rsidR="00A51598" w:rsidRPr="00A51598">
        <w:t xml:space="preserve"> among responders was 20.9 weeks.</w:t>
      </w:r>
    </w:p>
    <w:p w14:paraId="0600CE9B" w14:textId="7514FD8A" w:rsidR="00A51598" w:rsidRPr="00A51598" w:rsidRDefault="00F2530B" w:rsidP="00A51598">
      <w:r>
        <w:t xml:space="preserve">There are 74 </w:t>
      </w:r>
      <w:r w:rsidR="00C37C98">
        <w:t xml:space="preserve">out of </w:t>
      </w:r>
      <w:r w:rsidR="00A51598" w:rsidRPr="00A51598">
        <w:t xml:space="preserve">200 patients, who were not in </w:t>
      </w:r>
      <w:r w:rsidR="00C37C98">
        <w:t>complete cytogenetic response</w:t>
      </w:r>
      <w:r w:rsidR="00A51598" w:rsidRPr="00A51598">
        <w:t xml:space="preserve"> at screening and had at least one valid assessment after screening. Within this group, </w:t>
      </w:r>
      <w:r w:rsidR="00C37C98">
        <w:t>complete cytogenetic response</w:t>
      </w:r>
      <w:r w:rsidR="00A51598" w:rsidRPr="00A51598">
        <w:t xml:space="preserve"> was achieved by 41</w:t>
      </w:r>
      <w:r w:rsidR="00C37C98">
        <w:t xml:space="preserve"> out of </w:t>
      </w:r>
      <w:r w:rsidR="00A51598" w:rsidRPr="00A51598">
        <w:t>74 (55.4%) patients overall (bone marrow aspirate was not required after screening in patients for whom it was not clinically indicated).</w:t>
      </w:r>
    </w:p>
    <w:p w14:paraId="6802CB46" w14:textId="414F825B" w:rsidR="00A51598" w:rsidRDefault="00F2530B" w:rsidP="00A51598">
      <w:r>
        <w:t>There are 44</w:t>
      </w:r>
      <w:r w:rsidR="00C37C98">
        <w:t xml:space="preserve"> out of </w:t>
      </w:r>
      <w:r w:rsidR="00A51598" w:rsidRPr="00A51598">
        <w:t xml:space="preserve">200 patients were evaluable for </w:t>
      </w:r>
      <w:r w:rsidR="00C37C98">
        <w:t>c</w:t>
      </w:r>
      <w:r w:rsidR="00C37C98" w:rsidRPr="00A520FA">
        <w:t>omplete h</w:t>
      </w:r>
      <w:r w:rsidR="00C37C98">
        <w:t>a</w:t>
      </w:r>
      <w:r w:rsidR="00C37C98" w:rsidRPr="00A520FA">
        <w:t>ematologic response</w:t>
      </w:r>
      <w:r w:rsidR="00A51598" w:rsidRPr="00A51598">
        <w:t xml:space="preserve"> analysis. </w:t>
      </w:r>
      <w:r w:rsidR="00C37C98" w:rsidRPr="00A520FA">
        <w:t>Complete h</w:t>
      </w:r>
      <w:r w:rsidR="00C37C98">
        <w:t>a</w:t>
      </w:r>
      <w:r w:rsidR="00C37C98" w:rsidRPr="00A520FA">
        <w:t>ematologic response</w:t>
      </w:r>
      <w:r w:rsidR="00A51598" w:rsidRPr="00A51598">
        <w:t xml:space="preserve"> was achieved by 39</w:t>
      </w:r>
      <w:r w:rsidR="00C37C98">
        <w:t xml:space="preserve"> out of </w:t>
      </w:r>
      <w:r w:rsidR="00A51598" w:rsidRPr="00A51598">
        <w:t>44 (88.6%) overall (37</w:t>
      </w:r>
      <w:r w:rsidR="00C37C98">
        <w:t xml:space="preserve"> out of </w:t>
      </w:r>
      <w:r w:rsidR="00A51598" w:rsidRPr="00A51598">
        <w:t>44 (84.1%) patients by Week 24).</w:t>
      </w:r>
    </w:p>
    <w:p w14:paraId="173761CF" w14:textId="615FABCD" w:rsidR="00C37C98" w:rsidRPr="00C37C98" w:rsidRDefault="00C37C98" w:rsidP="00C37C98">
      <w:pPr>
        <w:pStyle w:val="Heading6"/>
      </w:pPr>
      <w:r w:rsidRPr="00C37C98">
        <w:t xml:space="preserve">Patients with </w:t>
      </w:r>
      <w:r>
        <w:t xml:space="preserve">chronic myeloid </w:t>
      </w:r>
      <w:r w:rsidR="001B10B9">
        <w:t>leukaemia</w:t>
      </w:r>
      <w:r>
        <w:t xml:space="preserve"> </w:t>
      </w:r>
      <w:r w:rsidR="00DC26BD">
        <w:t xml:space="preserve">in </w:t>
      </w:r>
      <w:r>
        <w:t>chronic phase</w:t>
      </w:r>
      <w:r w:rsidRPr="00C37C98">
        <w:t xml:space="preserve"> without the </w:t>
      </w:r>
      <w:r w:rsidR="00FB39FA" w:rsidRPr="00FB39FA">
        <w:rPr>
          <w:iCs/>
        </w:rPr>
        <w:t>T315I</w:t>
      </w:r>
      <w:r w:rsidRPr="00C37C98">
        <w:t xml:space="preserve"> mutation at screening</w:t>
      </w:r>
    </w:p>
    <w:p w14:paraId="6AE3378D" w14:textId="6428305B" w:rsidR="003E39E6" w:rsidRDefault="00C37C98" w:rsidP="00C37C98">
      <w:r w:rsidRPr="00C37C98">
        <w:t xml:space="preserve">A clinically meaningful and durable </w:t>
      </w:r>
      <w:r>
        <w:t>major molecular response</w:t>
      </w:r>
      <w:r w:rsidRPr="00C37C98">
        <w:t xml:space="preserve"> rate was observed across asciminib dose levels </w:t>
      </w:r>
      <w:r>
        <w:t>greater than or equal to</w:t>
      </w:r>
      <w:r w:rsidRPr="00C37C98">
        <w:t xml:space="preserve"> 20</w:t>
      </w:r>
      <w:r>
        <w:t> </w:t>
      </w:r>
      <w:r w:rsidRPr="00C37C98">
        <w:t xml:space="preserve">mg </w:t>
      </w:r>
      <w:r>
        <w:t>twice a day</w:t>
      </w:r>
      <w:r w:rsidRPr="00C37C98">
        <w:t xml:space="preserve"> and across all lines of therapy. </w:t>
      </w:r>
      <w:r>
        <w:t xml:space="preserve">One hundred fifteen </w:t>
      </w:r>
      <w:r w:rsidRPr="00C37C98">
        <w:t>patients were treated at any dose across cohorts and 86</w:t>
      </w:r>
      <w:r>
        <w:t xml:space="preserve"> out of </w:t>
      </w:r>
      <w:r w:rsidRPr="00C37C98">
        <w:t xml:space="preserve">115 patients were evaluable for </w:t>
      </w:r>
      <w:r>
        <w:t>major molecular response</w:t>
      </w:r>
      <w:r w:rsidRPr="00C37C98">
        <w:t xml:space="preserve"> analysis. </w:t>
      </w:r>
      <w:r>
        <w:t>Major molecular response w</w:t>
      </w:r>
      <w:r w:rsidRPr="00C37C98">
        <w:t>as achieved by 50</w:t>
      </w:r>
      <w:r>
        <w:t xml:space="preserve"> out of </w:t>
      </w:r>
      <w:r w:rsidRPr="00C37C98">
        <w:t>86 (58.1%) patients overall and th</w:t>
      </w:r>
      <w:r>
        <w:t>e major molecular response</w:t>
      </w:r>
      <w:r w:rsidRPr="00C37C98">
        <w:t xml:space="preserve"> rate by Week 24 was 23.3% (same </w:t>
      </w:r>
      <w:r>
        <w:t>major molecular response</w:t>
      </w:r>
      <w:r w:rsidRPr="00C37C98">
        <w:t xml:space="preserve"> rate at Week 24).</w:t>
      </w:r>
      <w:r>
        <w:t xml:space="preserve"> Forty</w:t>
      </w:r>
      <w:r w:rsidR="006C3B43">
        <w:t>-</w:t>
      </w:r>
      <w:r>
        <w:t xml:space="preserve">six out of </w:t>
      </w:r>
      <w:r w:rsidRPr="00C37C98">
        <w:t xml:space="preserve">50 patients who achieved response, maintained this </w:t>
      </w:r>
      <w:proofErr w:type="gramStart"/>
      <w:r w:rsidRPr="00C37C98">
        <w:t>response</w:t>
      </w:r>
      <w:proofErr w:type="gramEnd"/>
      <w:r w:rsidRPr="00C37C98">
        <w:t xml:space="preserve"> or improved it to a deeper level of response up to the cut</w:t>
      </w:r>
      <w:r w:rsidR="006C3B43">
        <w:t>-</w:t>
      </w:r>
      <w:r w:rsidRPr="00C37C98">
        <w:t>off date. The responses achieved were highly durable given the median duration of exposure of 183.4 weeks. K</w:t>
      </w:r>
      <w:r>
        <w:t>aplan Meier</w:t>
      </w:r>
      <w:r w:rsidRPr="00C37C98">
        <w:t xml:space="preserve"> estimated proportion of patients maintaining their first </w:t>
      </w:r>
      <w:r>
        <w:t>major molecular response</w:t>
      </w:r>
      <w:r w:rsidRPr="00C37C98">
        <w:t xml:space="preserve"> for at least 96</w:t>
      </w:r>
      <w:r w:rsidR="003E39E6">
        <w:t> </w:t>
      </w:r>
      <w:r w:rsidRPr="00C37C98">
        <w:t xml:space="preserve">weeks was 93% (95% CI: 85.7%, 100%). The median time to first </w:t>
      </w:r>
      <w:r w:rsidR="003E39E6">
        <w:t>major molecular response</w:t>
      </w:r>
      <w:r w:rsidRPr="00C37C98">
        <w:t xml:space="preserve"> among responders was 38.3 weeks.</w:t>
      </w:r>
    </w:p>
    <w:p w14:paraId="12CA2C24" w14:textId="3EEA7FEF" w:rsidR="00C37C98" w:rsidRDefault="003E39E6" w:rsidP="00C37C98">
      <w:r>
        <w:t xml:space="preserve">Thirty one out of </w:t>
      </w:r>
      <w:r w:rsidR="00C37C98" w:rsidRPr="00C37C98">
        <w:t xml:space="preserve">115 patients, who were not in </w:t>
      </w:r>
      <w:r>
        <w:t>complete cytogenetic response</w:t>
      </w:r>
      <w:r w:rsidR="00C37C98" w:rsidRPr="00C37C98">
        <w:t xml:space="preserve"> at screening and had at least one valid assessment after screening </w:t>
      </w:r>
      <w:r>
        <w:t xml:space="preserve">complete cytogenetic response </w:t>
      </w:r>
      <w:r w:rsidR="00C37C98" w:rsidRPr="00C37C98">
        <w:t>was achieved by 22</w:t>
      </w:r>
      <w:r>
        <w:t xml:space="preserve"> out of </w:t>
      </w:r>
      <w:r w:rsidR="00C37C98" w:rsidRPr="00C37C98">
        <w:t xml:space="preserve">31 (71%) patients overall (bone marrow aspirate was not required after screening in patients for whom it was not clinically indicated). </w:t>
      </w:r>
      <w:r>
        <w:t xml:space="preserve">Twenty five out of </w:t>
      </w:r>
      <w:r w:rsidR="00C37C98" w:rsidRPr="00C37C98">
        <w:t xml:space="preserve">115 patients were evaluable for </w:t>
      </w:r>
      <w:r>
        <w:t>c</w:t>
      </w:r>
      <w:r w:rsidRPr="00A520FA">
        <w:t>omplete h</w:t>
      </w:r>
      <w:r>
        <w:t>a</w:t>
      </w:r>
      <w:r w:rsidRPr="00A520FA">
        <w:t>ematologic response</w:t>
      </w:r>
      <w:r w:rsidR="00C37C98" w:rsidRPr="00C37C98">
        <w:t xml:space="preserve"> analysis. </w:t>
      </w:r>
      <w:r>
        <w:t>C</w:t>
      </w:r>
      <w:r w:rsidRPr="00A520FA">
        <w:t>omplete h</w:t>
      </w:r>
      <w:r>
        <w:t>a</w:t>
      </w:r>
      <w:r w:rsidRPr="00A520FA">
        <w:t>ematologic response</w:t>
      </w:r>
      <w:r w:rsidRPr="00A51598">
        <w:t xml:space="preserve"> </w:t>
      </w:r>
      <w:r w:rsidR="00C37C98" w:rsidRPr="00C37C98">
        <w:t>was achieved by 22</w:t>
      </w:r>
      <w:r>
        <w:t xml:space="preserve"> out of </w:t>
      </w:r>
      <w:r w:rsidR="00C37C98" w:rsidRPr="00C37C98">
        <w:t>25 (88%) overall (21</w:t>
      </w:r>
      <w:r>
        <w:t xml:space="preserve"> out of </w:t>
      </w:r>
      <w:r w:rsidR="00C37C98" w:rsidRPr="00C37C98">
        <w:t>25 (84%) patients by Week 24).</w:t>
      </w:r>
    </w:p>
    <w:p w14:paraId="516FFB4D" w14:textId="1C14BA50" w:rsidR="003E39E6" w:rsidRPr="003E39E6" w:rsidRDefault="003E39E6" w:rsidP="003E39E6">
      <w:pPr>
        <w:pStyle w:val="Heading6"/>
      </w:pPr>
      <w:r w:rsidRPr="003E39E6">
        <w:t xml:space="preserve">Patients with </w:t>
      </w:r>
      <w:r>
        <w:t xml:space="preserve">chronic myeloid </w:t>
      </w:r>
      <w:r w:rsidR="001B10B9">
        <w:t>leukaemia</w:t>
      </w:r>
      <w:r w:rsidR="007F3963">
        <w:t xml:space="preserve"> in</w:t>
      </w:r>
      <w:r>
        <w:t xml:space="preserve"> chronic phase </w:t>
      </w:r>
      <w:r w:rsidRPr="003E39E6">
        <w:t xml:space="preserve">harbouring the </w:t>
      </w:r>
      <w:r w:rsidR="00FB39FA" w:rsidRPr="00FB39FA">
        <w:rPr>
          <w:iCs/>
        </w:rPr>
        <w:t>T315I</w:t>
      </w:r>
      <w:r w:rsidRPr="003E39E6">
        <w:t xml:space="preserve"> mutation at screening and treated at 200</w:t>
      </w:r>
      <w:r>
        <w:t> </w:t>
      </w:r>
      <w:r w:rsidRPr="003E39E6">
        <w:t xml:space="preserve">mg </w:t>
      </w:r>
      <w:r>
        <w:t>twice a day</w:t>
      </w:r>
    </w:p>
    <w:p w14:paraId="5008ABD6" w14:textId="6CBFD036" w:rsidR="003E39E6" w:rsidRPr="003E39E6" w:rsidRDefault="003E39E6" w:rsidP="003E39E6">
      <w:r w:rsidRPr="003E39E6">
        <w:t xml:space="preserve">A clinically meaningful and durable </w:t>
      </w:r>
      <w:r>
        <w:t>major molecular response</w:t>
      </w:r>
      <w:r w:rsidRPr="003E39E6">
        <w:t xml:space="preserve"> rate was observed in patients with </w:t>
      </w:r>
      <w:r>
        <w:t xml:space="preserve">chronic myeloid </w:t>
      </w:r>
      <w:r w:rsidR="001B10B9">
        <w:t>leukaemia</w:t>
      </w:r>
      <w:r>
        <w:t xml:space="preserve"> </w:t>
      </w:r>
      <w:r w:rsidR="007F3963">
        <w:t xml:space="preserve">in </w:t>
      </w:r>
      <w:r>
        <w:t>chronic phase</w:t>
      </w:r>
      <w:r w:rsidRPr="003E39E6">
        <w:t xml:space="preserve"> harbouring </w:t>
      </w:r>
      <w:r w:rsidRPr="00752B5B">
        <w:t xml:space="preserve">the </w:t>
      </w:r>
      <w:r w:rsidR="00FB39FA" w:rsidRPr="00281B1A">
        <w:t>T315I</w:t>
      </w:r>
      <w:r w:rsidRPr="00752B5B">
        <w:t xml:space="preserve"> mutation treated at 200 mg twice a day and regardless of prior ponatinib treatment. For the 48 patients with </w:t>
      </w:r>
      <w:r w:rsidR="00FB39FA" w:rsidRPr="00281B1A">
        <w:t>T315I</w:t>
      </w:r>
      <w:r w:rsidRPr="00752B5B">
        <w:t xml:space="preserve"> mutation</w:t>
      </w:r>
      <w:r w:rsidRPr="003E39E6">
        <w:t xml:space="preserve"> the median duration of exposure was 69.8 weeks, including 40 patients (83.3%) who were exposed to study treatment for at least 24 weeks. 48 patients were treated at 200</w:t>
      </w:r>
      <w:r>
        <w:t> </w:t>
      </w:r>
      <w:r w:rsidRPr="003E39E6">
        <w:t xml:space="preserve">mg </w:t>
      </w:r>
      <w:r>
        <w:t>twice a day</w:t>
      </w:r>
      <w:r w:rsidRPr="003E39E6">
        <w:t>. Of these, 45</w:t>
      </w:r>
      <w:r>
        <w:t xml:space="preserve"> out of </w:t>
      </w:r>
      <w:r w:rsidRPr="003E39E6">
        <w:t>48 patients were evaluable for</w:t>
      </w:r>
      <w:r>
        <w:t xml:space="preserve"> major molecular response </w:t>
      </w:r>
      <w:r w:rsidRPr="003E39E6">
        <w:t>analysis (26 patients were pre</w:t>
      </w:r>
      <w:r w:rsidR="00A2692B">
        <w:t>-</w:t>
      </w:r>
      <w:r w:rsidRPr="003E39E6">
        <w:t>treated with ponatinib and 19 were ponatinib naive). M</w:t>
      </w:r>
      <w:r>
        <w:t>ajor molecular response</w:t>
      </w:r>
      <w:r w:rsidRPr="003E39E6">
        <w:t xml:space="preserve"> was achieved by 22</w:t>
      </w:r>
      <w:r>
        <w:t xml:space="preserve"> out of </w:t>
      </w:r>
      <w:r w:rsidRPr="003E39E6">
        <w:t>45 (48.9%) overall.</w:t>
      </w:r>
    </w:p>
    <w:p w14:paraId="77B51C09" w14:textId="06CA1575" w:rsidR="003E39E6" w:rsidRPr="003E39E6" w:rsidRDefault="003E39E6" w:rsidP="003E39E6">
      <w:pPr>
        <w:pStyle w:val="ListBullet"/>
      </w:pPr>
      <w:r w:rsidRPr="003E39E6">
        <w:t>M</w:t>
      </w:r>
      <w:r>
        <w:t>ajor molecular response</w:t>
      </w:r>
      <w:r w:rsidRPr="003E39E6">
        <w:t xml:space="preserve"> by Week 24 was 42.2% (37.8% at Week 24)</w:t>
      </w:r>
      <w:r>
        <w:t>.</w:t>
      </w:r>
    </w:p>
    <w:p w14:paraId="7A0189AA" w14:textId="2F12D351" w:rsidR="003E39E6" w:rsidRPr="003E39E6" w:rsidRDefault="003E39E6" w:rsidP="003E39E6">
      <w:pPr>
        <w:pStyle w:val="ListBullet"/>
      </w:pPr>
      <w:r w:rsidRPr="003E39E6">
        <w:t xml:space="preserve">In 26 ponatinib pre-treated patients, </w:t>
      </w:r>
      <w:r>
        <w:t>major molecular response</w:t>
      </w:r>
      <w:r w:rsidRPr="003E39E6">
        <w:t xml:space="preserve"> was achieved by </w:t>
      </w:r>
      <w:r>
        <w:t>nine</w:t>
      </w:r>
      <w:r w:rsidRPr="003E39E6">
        <w:t xml:space="preserve"> (34.6%) patients overall; </w:t>
      </w:r>
      <w:r>
        <w:t>major molecular response</w:t>
      </w:r>
      <w:r w:rsidRPr="003E39E6">
        <w:t xml:space="preserve"> by Week 24 in </w:t>
      </w:r>
      <w:r>
        <w:t>eight</w:t>
      </w:r>
      <w:r w:rsidRPr="003E39E6">
        <w:t xml:space="preserve"> (30.8%) patients (26.9% at Week 24).</w:t>
      </w:r>
    </w:p>
    <w:p w14:paraId="280B3D77" w14:textId="31E810FD" w:rsidR="003E39E6" w:rsidRPr="003E39E6" w:rsidRDefault="003E39E6" w:rsidP="003E39E6">
      <w:pPr>
        <w:pStyle w:val="ListBullet"/>
      </w:pPr>
      <w:r w:rsidRPr="003E39E6">
        <w:t xml:space="preserve">In 19 ponatinib naive patients, </w:t>
      </w:r>
      <w:r>
        <w:t>major molecular response</w:t>
      </w:r>
      <w:r w:rsidRPr="003E39E6">
        <w:t xml:space="preserve"> was achieved by 13 (68.4%) patients overall; </w:t>
      </w:r>
      <w:r>
        <w:t>major molecular response</w:t>
      </w:r>
      <w:r w:rsidRPr="003E39E6">
        <w:t xml:space="preserve"> by Week 24 in 11 (57.9%) patients (52.6% at Week 24).</w:t>
      </w:r>
    </w:p>
    <w:p w14:paraId="5241B7B3" w14:textId="02689230" w:rsidR="003E39E6" w:rsidRPr="003E39E6" w:rsidRDefault="003E39E6" w:rsidP="003E39E6">
      <w:pPr>
        <w:pStyle w:val="ListBullet"/>
      </w:pPr>
      <w:r>
        <w:lastRenderedPageBreak/>
        <w:t xml:space="preserve">Twenty out of </w:t>
      </w:r>
      <w:r w:rsidRPr="003E39E6">
        <w:t xml:space="preserve">22 patients who achieved response, maintained this </w:t>
      </w:r>
      <w:proofErr w:type="gramStart"/>
      <w:r w:rsidRPr="003E39E6">
        <w:t>response</w:t>
      </w:r>
      <w:proofErr w:type="gramEnd"/>
      <w:r w:rsidRPr="003E39E6">
        <w:t xml:space="preserve"> or improved it to a deeper level of response up to the </w:t>
      </w:r>
      <w:r w:rsidR="008B7305" w:rsidRPr="003E39E6">
        <w:t>cut</w:t>
      </w:r>
      <w:r w:rsidR="008B7305">
        <w:t>-</w:t>
      </w:r>
      <w:r w:rsidR="008B7305" w:rsidRPr="003E39E6">
        <w:t>off</w:t>
      </w:r>
      <w:r w:rsidRPr="003E39E6">
        <w:t xml:space="preserve"> date.</w:t>
      </w:r>
    </w:p>
    <w:p w14:paraId="3E313415" w14:textId="7DAB4EE3" w:rsidR="003E39E6" w:rsidRPr="003E39E6" w:rsidRDefault="003E39E6" w:rsidP="003E39E6">
      <w:pPr>
        <w:pStyle w:val="ListBullet"/>
      </w:pPr>
      <w:r w:rsidRPr="003E39E6">
        <w:t>K</w:t>
      </w:r>
      <w:r>
        <w:t xml:space="preserve">aplan </w:t>
      </w:r>
      <w:r w:rsidRPr="003E39E6">
        <w:t>M</w:t>
      </w:r>
      <w:r>
        <w:t>eier</w:t>
      </w:r>
      <w:r w:rsidRPr="003E39E6">
        <w:t xml:space="preserve"> estimated proportion of patients maintaining their first </w:t>
      </w:r>
      <w:r>
        <w:t>major molecular response</w:t>
      </w:r>
      <w:r w:rsidRPr="003E39E6">
        <w:t xml:space="preserve"> for at least 96 weeks was 86% (95% CI: 65.9%, 100%).</w:t>
      </w:r>
    </w:p>
    <w:p w14:paraId="00A7CC3F" w14:textId="5B3313F3" w:rsidR="003E39E6" w:rsidRPr="003E39E6" w:rsidRDefault="003E39E6" w:rsidP="003E39E6">
      <w:pPr>
        <w:pStyle w:val="ListBullet"/>
      </w:pPr>
      <w:r>
        <w:t>M</w:t>
      </w:r>
      <w:r w:rsidRPr="003E39E6">
        <w:t>edian time to first</w:t>
      </w:r>
      <w:r>
        <w:t xml:space="preserve"> major molecular response</w:t>
      </w:r>
      <w:r w:rsidRPr="003E39E6">
        <w:t xml:space="preserve"> among responders was 12.2 weeks</w:t>
      </w:r>
      <w:r>
        <w:t>.</w:t>
      </w:r>
    </w:p>
    <w:p w14:paraId="40532C5B" w14:textId="00BCDFDC" w:rsidR="003E39E6" w:rsidRPr="003E39E6" w:rsidRDefault="008B7305" w:rsidP="003E39E6">
      <w:pPr>
        <w:pStyle w:val="ListBullet"/>
      </w:pPr>
      <w:r>
        <w:t>Twenty-three</w:t>
      </w:r>
      <w:r w:rsidR="003E39E6">
        <w:t xml:space="preserve"> out of </w:t>
      </w:r>
      <w:r w:rsidR="003E39E6" w:rsidRPr="003E39E6">
        <w:t>48 patients, who were not in</w:t>
      </w:r>
      <w:r w:rsidR="003E39E6">
        <w:t xml:space="preserve"> complete cytogenetic response</w:t>
      </w:r>
      <w:r w:rsidR="003E39E6" w:rsidRPr="003E39E6">
        <w:t xml:space="preserve"> at screening and had at least one valid assessment after screening. </w:t>
      </w:r>
      <w:r w:rsidR="003E39E6">
        <w:t xml:space="preserve">Complete cytogenetic response </w:t>
      </w:r>
      <w:r w:rsidR="003E39E6" w:rsidRPr="003E39E6">
        <w:t>was achieved by 13</w:t>
      </w:r>
      <w:r w:rsidR="003E39E6">
        <w:t xml:space="preserve"> out of </w:t>
      </w:r>
      <w:r w:rsidR="003E39E6" w:rsidRPr="003E39E6">
        <w:t>23 (56.5%) patients overall (bone marrow aspirate was not required after screening in patients for whom it was not clinically indicated)</w:t>
      </w:r>
      <w:r w:rsidR="00651CA0">
        <w:t>.</w:t>
      </w:r>
    </w:p>
    <w:p w14:paraId="453ACD10" w14:textId="2882584E" w:rsidR="003E39E6" w:rsidRDefault="003E39E6" w:rsidP="003E39E6">
      <w:pPr>
        <w:pStyle w:val="ListBullet"/>
      </w:pPr>
      <w:r>
        <w:t xml:space="preserve">Ten out of </w:t>
      </w:r>
      <w:r w:rsidRPr="003E39E6">
        <w:t xml:space="preserve">48 patients were evaluable for </w:t>
      </w:r>
      <w:r w:rsidR="00065E9A">
        <w:t>c</w:t>
      </w:r>
      <w:r w:rsidR="00065E9A" w:rsidRPr="00A520FA">
        <w:t>omplete h</w:t>
      </w:r>
      <w:r w:rsidR="00065E9A">
        <w:t>a</w:t>
      </w:r>
      <w:r w:rsidR="00065E9A" w:rsidRPr="00A520FA">
        <w:t>ematologic response</w:t>
      </w:r>
      <w:r w:rsidRPr="003E39E6">
        <w:t xml:space="preserve"> analysis. </w:t>
      </w:r>
      <w:r w:rsidR="00065E9A">
        <w:t>C</w:t>
      </w:r>
      <w:r w:rsidR="00065E9A" w:rsidRPr="00A520FA">
        <w:t>omplete h</w:t>
      </w:r>
      <w:r w:rsidR="00065E9A">
        <w:t>a</w:t>
      </w:r>
      <w:r w:rsidR="00065E9A" w:rsidRPr="00A520FA">
        <w:t>ematologic response</w:t>
      </w:r>
      <w:r w:rsidRPr="003E39E6">
        <w:t xml:space="preserve"> was achieved by Week 24 in 90% of patients.</w:t>
      </w:r>
    </w:p>
    <w:p w14:paraId="20CC6B22" w14:textId="55DB099D" w:rsidR="007E074E" w:rsidRPr="00D30BCE" w:rsidRDefault="007E074E" w:rsidP="00281B1A">
      <w:pPr>
        <w:spacing w:before="0" w:after="200" w:line="0" w:lineRule="auto"/>
      </w:pPr>
      <w:r>
        <w:br w:type="page"/>
      </w:r>
    </w:p>
    <w:p w14:paraId="271D9A15" w14:textId="3136CCEA" w:rsidR="00065E9A" w:rsidRDefault="00065E9A" w:rsidP="00065E9A">
      <w:pPr>
        <w:pStyle w:val="Heading4"/>
      </w:pPr>
      <w:r>
        <w:lastRenderedPageBreak/>
        <w:t>Safety</w:t>
      </w:r>
    </w:p>
    <w:p w14:paraId="1E600055" w14:textId="661AD252" w:rsidR="008B7305" w:rsidRPr="00D30BCE" w:rsidRDefault="008B7305" w:rsidP="00281B1A">
      <w:pPr>
        <w:pStyle w:val="Heading5"/>
      </w:pPr>
      <w:r>
        <w:t>Exposure</w:t>
      </w:r>
    </w:p>
    <w:p w14:paraId="7ACCDA3E" w14:textId="0B9F16C7" w:rsidR="00DA55E6" w:rsidRDefault="000820A3" w:rsidP="000820A3">
      <w:r w:rsidRPr="000820A3">
        <w:t xml:space="preserve">Safety data for patients with </w:t>
      </w:r>
      <w:r>
        <w:t xml:space="preserve">Philadelphia chromosome positive chronic myeloid </w:t>
      </w:r>
      <w:r w:rsidR="001B10B9">
        <w:t>leukaemia</w:t>
      </w:r>
      <w:r>
        <w:t xml:space="preserve"> </w:t>
      </w:r>
      <w:r w:rsidR="007F3963">
        <w:t xml:space="preserve">in </w:t>
      </w:r>
      <w:r>
        <w:t>chronic phase</w:t>
      </w:r>
      <w:r w:rsidRPr="000820A3">
        <w:t xml:space="preserve"> previously treated with two or more</w:t>
      </w:r>
      <w:r>
        <w:t xml:space="preserve"> tyrosine kinase inhibitors</w:t>
      </w:r>
      <w:r w:rsidRPr="000820A3">
        <w:t xml:space="preserve"> are based on the safety analysis of two studies, the pivotal Study A2301 and supportive </w:t>
      </w:r>
      <w:r>
        <w:t>S</w:t>
      </w:r>
      <w:r w:rsidRPr="000820A3">
        <w:t>tudy X2101, with a data cut</w:t>
      </w:r>
      <w:r w:rsidR="008B7305">
        <w:t>-</w:t>
      </w:r>
      <w:r w:rsidRPr="000820A3">
        <w:t>off</w:t>
      </w:r>
      <w:r w:rsidR="008B7305">
        <w:t xml:space="preserve"> date </w:t>
      </w:r>
      <w:r w:rsidRPr="000820A3">
        <w:t>of 6</w:t>
      </w:r>
      <w:r>
        <w:t xml:space="preserve"> </w:t>
      </w:r>
      <w:r w:rsidRPr="000820A3">
        <w:t>Jan</w:t>
      </w:r>
      <w:r>
        <w:t xml:space="preserve">uary </w:t>
      </w:r>
      <w:r w:rsidRPr="000820A3">
        <w:t>2021.</w:t>
      </w:r>
    </w:p>
    <w:p w14:paraId="3F5C340D" w14:textId="17051E2F" w:rsidR="007E074E" w:rsidRDefault="000820A3" w:rsidP="000820A3">
      <w:r w:rsidRPr="000820A3">
        <w:t xml:space="preserve">All analyses were based on the </w:t>
      </w:r>
      <w:r>
        <w:t>s</w:t>
      </w:r>
      <w:r w:rsidRPr="000820A3">
        <w:t xml:space="preserve">afety sets which included all patients who received at least one dose of study treatment. Data from both efficacy studies is presented separately and in the </w:t>
      </w:r>
      <w:proofErr w:type="gramStart"/>
      <w:r w:rsidRPr="000820A3">
        <w:t>safety</w:t>
      </w:r>
      <w:proofErr w:type="gramEnd"/>
      <w:r w:rsidRPr="000820A3">
        <w:t xml:space="preserve"> pools</w:t>
      </w:r>
      <w:r>
        <w:t xml:space="preserve"> outlined in </w:t>
      </w:r>
      <w:r>
        <w:rPr>
          <w:color w:val="2B579A"/>
          <w:shd w:val="clear" w:color="auto" w:fill="E6E6E6"/>
        </w:rPr>
        <w:fldChar w:fldCharType="begin"/>
      </w:r>
      <w:r>
        <w:instrText xml:space="preserve"> REF _Ref127254789 \h </w:instrText>
      </w:r>
      <w:r>
        <w:rPr>
          <w:color w:val="2B579A"/>
          <w:shd w:val="clear" w:color="auto" w:fill="E6E6E6"/>
        </w:rPr>
      </w:r>
      <w:r>
        <w:rPr>
          <w:color w:val="2B579A"/>
          <w:shd w:val="clear" w:color="auto" w:fill="E6E6E6"/>
        </w:rPr>
        <w:fldChar w:fldCharType="separate"/>
      </w:r>
      <w:r w:rsidR="00547BEA">
        <w:t xml:space="preserve">Table </w:t>
      </w:r>
      <w:r w:rsidR="00547BEA">
        <w:rPr>
          <w:noProof/>
        </w:rPr>
        <w:t>11</w:t>
      </w:r>
      <w:r>
        <w:rPr>
          <w:color w:val="2B579A"/>
          <w:shd w:val="clear" w:color="auto" w:fill="E6E6E6"/>
        </w:rPr>
        <w:fldChar w:fldCharType="end"/>
      </w:r>
      <w:r>
        <w:t>.</w:t>
      </w:r>
    </w:p>
    <w:p w14:paraId="354DF79B" w14:textId="0BFFA38A" w:rsidR="000820A3" w:rsidRDefault="000820A3" w:rsidP="00FE331D">
      <w:pPr>
        <w:pStyle w:val="Tabletitle0"/>
      </w:pPr>
      <w:bookmarkStart w:id="67" w:name="_Ref127254789"/>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47BEA">
        <w:rPr>
          <w:noProof/>
        </w:rPr>
        <w:t>11</w:t>
      </w:r>
      <w:r>
        <w:rPr>
          <w:color w:val="2B579A"/>
          <w:shd w:val="clear" w:color="auto" w:fill="E6E6E6"/>
        </w:rPr>
        <w:fldChar w:fldCharType="end"/>
      </w:r>
      <w:bookmarkEnd w:id="67"/>
      <w:r>
        <w:t>: Safety data pools for Study A2301 and Study X2101</w:t>
      </w:r>
    </w:p>
    <w:p w14:paraId="1343B600" w14:textId="2574DB81" w:rsidR="000820A3" w:rsidRDefault="000820A3" w:rsidP="000820A3">
      <w:r>
        <w:rPr>
          <w:noProof/>
          <w:color w:val="2B579A"/>
          <w:shd w:val="clear" w:color="auto" w:fill="E6E6E6"/>
          <w:lang w:val="en-GB" w:eastAsia="en-GB"/>
        </w:rPr>
        <w:drawing>
          <wp:inline distT="0" distB="0" distL="0" distR="0" wp14:anchorId="4C8C43FE" wp14:editId="74BAA00D">
            <wp:extent cx="5349240" cy="2352675"/>
            <wp:effectExtent l="0" t="0" r="3810" b="9525"/>
            <wp:docPr id="4" name="Picture 4" descr="Safety data pools for Study A2301 and Study X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afety data pools for Study A2301 and Study X2101"/>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l="1330" r="1772"/>
                    <a:stretch/>
                  </pic:blipFill>
                  <pic:spPr bwMode="auto">
                    <a:xfrm>
                      <a:off x="0" y="0"/>
                      <a:ext cx="5367011" cy="2360491"/>
                    </a:xfrm>
                    <a:prstGeom prst="rect">
                      <a:avLst/>
                    </a:prstGeom>
                    <a:noFill/>
                    <a:ln>
                      <a:noFill/>
                    </a:ln>
                    <a:extLst>
                      <a:ext uri="{53640926-AAD7-44D8-BBD7-CCE9431645EC}">
                        <a14:shadowObscured xmlns:a14="http://schemas.microsoft.com/office/drawing/2010/main"/>
                      </a:ext>
                    </a:extLst>
                  </pic:spPr>
                </pic:pic>
              </a:graphicData>
            </a:graphic>
          </wp:inline>
        </w:drawing>
      </w:r>
    </w:p>
    <w:p w14:paraId="74F4009E" w14:textId="69D81A40" w:rsidR="00E85C5E" w:rsidRPr="008125B3" w:rsidRDefault="00E85C5E" w:rsidP="00281B1A">
      <w:pPr>
        <w:pStyle w:val="TableDescription"/>
      </w:pPr>
      <w:r w:rsidRPr="00D30BCE">
        <w:t>Abbreviations: P</w:t>
      </w:r>
      <w:r w:rsidR="007F084D" w:rsidRPr="00F90B00">
        <w:t>h</w:t>
      </w:r>
      <w:r w:rsidRPr="00D30BCE">
        <w:t>+</w:t>
      </w:r>
      <w:r w:rsidR="007F084D" w:rsidRPr="00F90B00">
        <w:t xml:space="preserve"> </w:t>
      </w:r>
      <w:r w:rsidRPr="00322B59">
        <w:t xml:space="preserve">CML-CP/AP: Philadelphia chromosome positive chronic myeloid leukaemia in chronic phase/accelerated phase, </w:t>
      </w:r>
      <w:proofErr w:type="spellStart"/>
      <w:r w:rsidRPr="00322B59">
        <w:t>b.i.d</w:t>
      </w:r>
      <w:proofErr w:type="spellEnd"/>
      <w:r w:rsidRPr="00322B59">
        <w:t>: twice a day, CP: chronic phase</w:t>
      </w:r>
    </w:p>
    <w:p w14:paraId="32C57A08" w14:textId="2945C71A" w:rsidR="00FE331D" w:rsidRPr="0070021A" w:rsidRDefault="00FE331D" w:rsidP="00281B1A">
      <w:pPr>
        <w:pStyle w:val="TableDescription"/>
      </w:pPr>
      <w:r w:rsidRPr="00512393">
        <w:t>* Safety data col</w:t>
      </w:r>
      <w:r w:rsidRPr="0070021A">
        <w:t>lected during switch-treatment phase in patients who switched to asciminib following treatment failure with bosutinib were not included.</w:t>
      </w:r>
    </w:p>
    <w:p w14:paraId="5CE761F7" w14:textId="35190B57" w:rsidR="00FE331D" w:rsidRPr="008125B3" w:rsidRDefault="00FE331D" w:rsidP="00281B1A">
      <w:pPr>
        <w:pStyle w:val="TableDescription"/>
      </w:pPr>
      <w:r w:rsidRPr="0070021A">
        <w:t xml:space="preserve">** Patients with Philadelphia chromosome positive chronic myeloid </w:t>
      </w:r>
      <w:r w:rsidR="001B10B9" w:rsidRPr="007E074E">
        <w:t>leukaemia</w:t>
      </w:r>
      <w:r w:rsidRPr="007E074E">
        <w:t xml:space="preserve"> </w:t>
      </w:r>
      <w:r w:rsidR="007F3963" w:rsidRPr="007E074E">
        <w:t xml:space="preserve">in </w:t>
      </w:r>
      <w:r w:rsidRPr="007E074E">
        <w:t>chronic phase (Ph</w:t>
      </w:r>
      <w:r w:rsidR="007F3963" w:rsidRPr="007E074E">
        <w:t>+</w:t>
      </w:r>
      <w:r w:rsidR="007F084D" w:rsidRPr="007E074E">
        <w:t xml:space="preserve"> </w:t>
      </w:r>
      <w:r w:rsidRPr="007E074E">
        <w:t xml:space="preserve">CML-CP) </w:t>
      </w:r>
      <w:r w:rsidR="00FB39FA" w:rsidRPr="00281B1A">
        <w:t>T315I</w:t>
      </w:r>
      <w:r w:rsidRPr="00D30BCE">
        <w:t xml:space="preserve"> mutation</w:t>
      </w:r>
      <w:r w:rsidRPr="00F90B00">
        <w:t xml:space="preserve"> were included</w:t>
      </w:r>
      <w:r w:rsidRPr="00322B59">
        <w:t>.</w:t>
      </w:r>
    </w:p>
    <w:p w14:paraId="0F15AF78" w14:textId="74962C7B" w:rsidR="00FE331D" w:rsidRPr="0070021A" w:rsidRDefault="00FE331D" w:rsidP="00281B1A">
      <w:pPr>
        <w:pStyle w:val="TableDescription"/>
      </w:pPr>
      <w:r w:rsidRPr="00512393">
        <w:t>#Doses/regimens included: 10 mg twice a day (n = 1), 20 mg twice a day. (n = 14), 40 mg twice a day (n = 35), 80 mg twice a day (n = 12), 150 mg twice a day (n = 13), 160 mg twice a day (n = 11), 200 mg twice a day (n = 62), 80 mg once dai</w:t>
      </w:r>
      <w:r w:rsidRPr="0070021A">
        <w:t>ly (n = 18), 120 mg once daily (n = 22), and 200 mg once daily (n = 12).</w:t>
      </w:r>
    </w:p>
    <w:p w14:paraId="0976DBCD" w14:textId="22740555" w:rsidR="00FE331D" w:rsidRPr="00FE331D" w:rsidRDefault="00FE331D" w:rsidP="00FE331D">
      <w:r w:rsidRPr="00FE331D">
        <w:t>In addition, results from Study X2101 for patients in the 80</w:t>
      </w:r>
      <w:r>
        <w:t> </w:t>
      </w:r>
      <w:r w:rsidRPr="00FE331D">
        <w:t xml:space="preserve">mg </w:t>
      </w:r>
      <w:r>
        <w:t>once daily</w:t>
      </w:r>
      <w:r w:rsidRPr="00FE331D">
        <w:t xml:space="preserve"> dose group are presented</w:t>
      </w:r>
      <w:r w:rsidR="008B7305">
        <w:t>.</w:t>
      </w:r>
    </w:p>
    <w:p w14:paraId="40356A49" w14:textId="31C8F981" w:rsidR="00FE331D" w:rsidRDefault="00FE331D" w:rsidP="00FE331D">
      <w:r w:rsidRPr="00FE331D">
        <w:t xml:space="preserve">Safety data were initially based on earlier cut off dates for </w:t>
      </w:r>
      <w:r>
        <w:t>S</w:t>
      </w:r>
      <w:r w:rsidRPr="00FE331D">
        <w:t>tudy A2301 (25</w:t>
      </w:r>
      <w:r>
        <w:t xml:space="preserve"> May </w:t>
      </w:r>
      <w:r w:rsidRPr="00FE331D">
        <w:t xml:space="preserve">2020) and </w:t>
      </w:r>
      <w:r>
        <w:t xml:space="preserve">Study </w:t>
      </w:r>
      <w:r w:rsidRPr="00FE331D">
        <w:t>X2101 (2</w:t>
      </w:r>
      <w:r>
        <w:t xml:space="preserve"> April </w:t>
      </w:r>
      <w:r w:rsidRPr="00FE331D">
        <w:t>2020) and have been supplemented by an update (cut</w:t>
      </w:r>
      <w:r w:rsidR="00A2692B">
        <w:t xml:space="preserve"> </w:t>
      </w:r>
      <w:r w:rsidRPr="00FE331D">
        <w:t>off 6</w:t>
      </w:r>
      <w:r>
        <w:t xml:space="preserve"> January </w:t>
      </w:r>
      <w:r w:rsidRPr="00FE331D">
        <w:t>2021 for both studies). While data based on cut off 6</w:t>
      </w:r>
      <w:r>
        <w:t xml:space="preserve"> January </w:t>
      </w:r>
      <w:r w:rsidRPr="00FE331D">
        <w:t>2021 was provided, some parts of the safety review refer to data on the earlier cut off.</w:t>
      </w:r>
      <w:r w:rsidR="00F50C80">
        <w:t xml:space="preserve"> </w:t>
      </w:r>
      <w:r w:rsidRPr="00FE331D">
        <w:t>Safety information included data from 48 patients who received asciminib 200</w:t>
      </w:r>
      <w:r>
        <w:t> </w:t>
      </w:r>
      <w:r w:rsidRPr="00FE331D">
        <w:t xml:space="preserve">mg </w:t>
      </w:r>
      <w:r>
        <w:t xml:space="preserve">twice a day </w:t>
      </w:r>
      <w:r w:rsidRPr="00FE331D">
        <w:t xml:space="preserve">in </w:t>
      </w:r>
      <w:r>
        <w:t>S</w:t>
      </w:r>
      <w:r w:rsidRPr="00FE331D">
        <w:t>tudy X2</w:t>
      </w:r>
      <w:r>
        <w:t xml:space="preserve">101 </w:t>
      </w:r>
      <w:r w:rsidRPr="00FE331D">
        <w:t>however, a dose of 200</w:t>
      </w:r>
      <w:r>
        <w:t> </w:t>
      </w:r>
      <w:r w:rsidRPr="00FE331D">
        <w:t xml:space="preserve">mg </w:t>
      </w:r>
      <w:r>
        <w:t>twice a day</w:t>
      </w:r>
      <w:r w:rsidRPr="00FE331D">
        <w:t xml:space="preserve"> is not being proposed by the</w:t>
      </w:r>
      <w:r>
        <w:t xml:space="preserve"> sponsor</w:t>
      </w:r>
      <w:r w:rsidRPr="00FE331D">
        <w:t>.</w:t>
      </w:r>
    </w:p>
    <w:p w14:paraId="4403F971" w14:textId="7DDAC30A" w:rsidR="00FE331D" w:rsidRDefault="00FE331D" w:rsidP="00281B1A">
      <w:pPr>
        <w:pStyle w:val="Heading6"/>
      </w:pPr>
      <w:r>
        <w:t>Study A2301</w:t>
      </w:r>
    </w:p>
    <w:p w14:paraId="5516FC2D" w14:textId="008F4C40" w:rsidR="00FE331D" w:rsidRPr="00FE331D" w:rsidRDefault="00FE331D" w:rsidP="00FE331D">
      <w:r w:rsidRPr="00FE331D">
        <w:t xml:space="preserve">The median duration of exposure to treatment was 67 weeks with asciminib and 30 weeks for bosutinib. The proportion of patients in the bosutinib group continuing treatment (17 patients; 22.4%) was considerably lower than in the asciminib group (89 patients; 56.7%) leading to a substantial difference in duration of treatment between groups. For comparisons between treatment groups, emphasis is given to exposure adjusted incidence rates and cumulative incidence proportions at Week 8, </w:t>
      </w:r>
      <w:r w:rsidR="00651CA0">
        <w:t xml:space="preserve">Week </w:t>
      </w:r>
      <w:r w:rsidRPr="00FE331D">
        <w:t xml:space="preserve">24, and </w:t>
      </w:r>
      <w:r w:rsidR="00651CA0">
        <w:t xml:space="preserve">Week </w:t>
      </w:r>
      <w:r w:rsidRPr="00FE331D">
        <w:t>48.</w:t>
      </w:r>
    </w:p>
    <w:p w14:paraId="6DD52BAD" w14:textId="146CD618" w:rsidR="00FE331D" w:rsidRPr="00FE331D" w:rsidRDefault="00FE331D" w:rsidP="00FE331D">
      <w:r w:rsidRPr="00FE331D">
        <w:lastRenderedPageBreak/>
        <w:t>As of 6</w:t>
      </w:r>
      <w:r>
        <w:t xml:space="preserve"> </w:t>
      </w:r>
      <w:r w:rsidRPr="00FE331D">
        <w:t>Jan</w:t>
      </w:r>
      <w:r>
        <w:t xml:space="preserve">uary </w:t>
      </w:r>
      <w:r w:rsidRPr="00FE331D">
        <w:t>2021, 106 of the 233 patients (45.5%) were continuing the study treatment with 89 patients (56.7%) and 17 patients (22.4%) still ongoing in the asciminib and bosutinib arms, respectively. Lack of efficacy (35.5% bosutinib v</w:t>
      </w:r>
      <w:r>
        <w:t>ersus</w:t>
      </w:r>
      <w:r w:rsidRPr="00FE331D">
        <w:t xml:space="preserve"> 23.6% asciminib) and </w:t>
      </w:r>
      <w:r>
        <w:t>adverse events</w:t>
      </w:r>
      <w:r w:rsidRPr="00FE331D">
        <w:t xml:space="preserve"> (23.7% bosutinib v</w:t>
      </w:r>
      <w:r>
        <w:t>ersus</w:t>
      </w:r>
      <w:r w:rsidRPr="00FE331D">
        <w:t xml:space="preserve"> 5.7% asciminib) were the primary reasons for discontinuation, and both were notably less frequent in the asciminib group compared to bosutinib.</w:t>
      </w:r>
    </w:p>
    <w:p w14:paraId="6F95B59B" w14:textId="77777777" w:rsidR="002B0690" w:rsidRDefault="00FE331D" w:rsidP="00FE331D">
      <w:r w:rsidRPr="00FE331D">
        <w:t>Median dose intensities were 79.8</w:t>
      </w:r>
      <w:r>
        <w:t> </w:t>
      </w:r>
      <w:r w:rsidRPr="00FE331D">
        <w:t>mg/day (min</w:t>
      </w:r>
      <w:r w:rsidR="00651CA0">
        <w:t xml:space="preserve"> to </w:t>
      </w:r>
      <w:r w:rsidRPr="00FE331D">
        <w:t>max: 33</w:t>
      </w:r>
      <w:r w:rsidR="00651CA0">
        <w:t xml:space="preserve"> to </w:t>
      </w:r>
      <w:r w:rsidRPr="00FE331D">
        <w:t>80) and 463.8 mg (min</w:t>
      </w:r>
      <w:r w:rsidR="00651CA0">
        <w:t xml:space="preserve"> to </w:t>
      </w:r>
      <w:r w:rsidRPr="00FE331D">
        <w:t>max: 181</w:t>
      </w:r>
      <w:r w:rsidR="00651CA0">
        <w:t xml:space="preserve"> to </w:t>
      </w:r>
      <w:r w:rsidRPr="00FE331D">
        <w:t xml:space="preserve">566) for the asciminib and bosutinib respectively. The relative dose intensity of </w:t>
      </w:r>
      <w:r>
        <w:t>greater than</w:t>
      </w:r>
      <w:r w:rsidRPr="00FE331D">
        <w:t xml:space="preserve"> 90 to 110% was observed for 70.5% and 53.9% of patients in the asciminib and bosutinib groups, respectively.</w:t>
      </w:r>
    </w:p>
    <w:p w14:paraId="7EB9D38B" w14:textId="57FD5FED" w:rsidR="00FE331D" w:rsidRDefault="00FE331D" w:rsidP="00FE331D">
      <w:r w:rsidRPr="00FE331D">
        <w:t xml:space="preserve">Dose reductions were primarily attributable to </w:t>
      </w:r>
      <w:r>
        <w:t>adverse events</w:t>
      </w:r>
      <w:r w:rsidRPr="00FE331D">
        <w:t xml:space="preserve"> in both treatment groups, 23.1% in asciminib and 44.7% in the bosutinib. Dose interruptions were primarily attributable to </w:t>
      </w:r>
      <w:r w:rsidR="007C54CC">
        <w:t>adverse events</w:t>
      </w:r>
      <w:r w:rsidRPr="00FE331D">
        <w:t xml:space="preserve"> (asciminib 40.4% </w:t>
      </w:r>
      <w:r w:rsidR="007C54CC">
        <w:t>versus</w:t>
      </w:r>
      <w:r w:rsidRPr="00FE331D">
        <w:t xml:space="preserve"> bosutinib 60.5%). Permanent discontinuation was primarily due to lack of efficacy in both groups (23.7% asciminib v</w:t>
      </w:r>
      <w:r w:rsidR="007C54CC">
        <w:t>ersus</w:t>
      </w:r>
      <w:r w:rsidRPr="00FE331D">
        <w:t xml:space="preserve"> 35.5% in the bosutinib). At </w:t>
      </w:r>
      <w:r w:rsidR="007C54CC">
        <w:t>B</w:t>
      </w:r>
      <w:r w:rsidRPr="00FE331D">
        <w:t xml:space="preserve">aseline a higher proportion of patients had discontinued prior </w:t>
      </w:r>
      <w:r w:rsidR="007C54CC">
        <w:t>tyrosine kinase inhibitors</w:t>
      </w:r>
      <w:r w:rsidRPr="00FE331D">
        <w:t xml:space="preserve"> due to intolerance in the asciminib arm v</w:t>
      </w:r>
      <w:r w:rsidR="007C54CC">
        <w:t>ersus</w:t>
      </w:r>
      <w:r w:rsidRPr="00FE331D">
        <w:t xml:space="preserve"> the bosutinib arm (37.6% v</w:t>
      </w:r>
      <w:r w:rsidR="007C54CC">
        <w:t xml:space="preserve">ersus </w:t>
      </w:r>
      <w:r w:rsidRPr="00FE331D">
        <w:t>28.9%).</w:t>
      </w:r>
    </w:p>
    <w:p w14:paraId="51D7F56B" w14:textId="77777777" w:rsidR="007C54CC" w:rsidRDefault="007C54CC" w:rsidP="00281B1A">
      <w:pPr>
        <w:pStyle w:val="Heading6"/>
      </w:pPr>
      <w:r w:rsidRPr="007C54CC">
        <w:t>Study X2101</w:t>
      </w:r>
    </w:p>
    <w:p w14:paraId="34E6DA38" w14:textId="2E55DCF8" w:rsidR="007C54CC" w:rsidRPr="007C54CC" w:rsidRDefault="007C54CC" w:rsidP="007C54CC">
      <w:r w:rsidRPr="007C54CC">
        <w:t>As of 6</w:t>
      </w:r>
      <w:r>
        <w:t xml:space="preserve"> January </w:t>
      </w:r>
      <w:r w:rsidRPr="007C54CC">
        <w:t>2021, 113 patients (56.5%) were continuing treatment with single</w:t>
      </w:r>
      <w:r>
        <w:t xml:space="preserve"> </w:t>
      </w:r>
      <w:r w:rsidRPr="007C54CC">
        <w:t xml:space="preserve">agent </w:t>
      </w:r>
      <w:proofErr w:type="gramStart"/>
      <w:r w:rsidRPr="007C54CC">
        <w:t>asciminib</w:t>
      </w:r>
      <w:proofErr w:type="gramEnd"/>
      <w:r w:rsidRPr="007C54CC">
        <w:t xml:space="preserve"> and 87 patients (43.5%) had discontinued study treatment. The most frequent reasons for discontinuation of treatment were physician’s decision (16.5%) and </w:t>
      </w:r>
      <w:r>
        <w:t>adverse events</w:t>
      </w:r>
      <w:r w:rsidRPr="007C54CC">
        <w:t xml:space="preserve"> (10%). </w:t>
      </w:r>
      <w:proofErr w:type="gramStart"/>
      <w:r w:rsidRPr="007C54CC">
        <w:t>The majority of</w:t>
      </w:r>
      <w:proofErr w:type="gramEnd"/>
      <w:r w:rsidRPr="007C54CC">
        <w:t xml:space="preserve"> patients who discontinued due to physician</w:t>
      </w:r>
      <w:r>
        <w:t>’s</w:t>
      </w:r>
      <w:r w:rsidRPr="007C54CC">
        <w:t xml:space="preserve"> decision were due to lack of efficacy (29</w:t>
      </w:r>
      <w:r>
        <w:t xml:space="preserve"> out of </w:t>
      </w:r>
      <w:r w:rsidRPr="007C54CC">
        <w:t>32 patients reported as of initial cut</w:t>
      </w:r>
      <w:r w:rsidR="007E074E">
        <w:t>-</w:t>
      </w:r>
      <w:r w:rsidRPr="007C54CC">
        <w:t>off date April 2020).</w:t>
      </w:r>
    </w:p>
    <w:p w14:paraId="174E5B81" w14:textId="4CCF6D1B" w:rsidR="007C54CC" w:rsidRPr="007C54CC" w:rsidRDefault="002B0690" w:rsidP="007C54CC">
      <w:r>
        <w:t xml:space="preserve">As </w:t>
      </w:r>
      <w:r w:rsidR="007C54CC" w:rsidRPr="007C54CC">
        <w:t>Study X2101 is a Phase I, dose</w:t>
      </w:r>
      <w:r w:rsidR="00A2692B">
        <w:t xml:space="preserve"> </w:t>
      </w:r>
      <w:r w:rsidR="007C54CC" w:rsidRPr="007C54CC">
        <w:t>escalation study to determine maximum tolerated dose/</w:t>
      </w:r>
      <w:r w:rsidR="007C54CC">
        <w:t>r</w:t>
      </w:r>
      <w:r w:rsidR="007C54CC" w:rsidRPr="007C54CC">
        <w:t>ecommended dose for expansion wherein intra-patient dose escalations are allowed as per the protocol</w:t>
      </w:r>
      <w:r>
        <w:t>, d</w:t>
      </w:r>
      <w:r w:rsidR="007C54CC" w:rsidRPr="007C54CC">
        <w:t xml:space="preserve">ose modification included both dose escalation and dose reduction in Study X2101. Hence the data on dose modifications and the summary of dose received from Study X2101 are not included in the asciminib </w:t>
      </w:r>
      <w:r w:rsidR="007C54CC">
        <w:t>s</w:t>
      </w:r>
      <w:r w:rsidR="007C54CC" w:rsidRPr="007C54CC">
        <w:t xml:space="preserve">afety </w:t>
      </w:r>
      <w:r w:rsidR="007C54CC">
        <w:t>p</w:t>
      </w:r>
      <w:r w:rsidR="007C54CC" w:rsidRPr="007C54CC">
        <w:t xml:space="preserve">ools. Dose </w:t>
      </w:r>
      <w:r w:rsidR="007C54CC">
        <w:t>l</w:t>
      </w:r>
      <w:r w:rsidR="007C54CC" w:rsidRPr="007C54CC">
        <w:t xml:space="preserve">imiting </w:t>
      </w:r>
      <w:r w:rsidR="007C54CC">
        <w:t>t</w:t>
      </w:r>
      <w:r w:rsidR="007C54CC" w:rsidRPr="007C54CC">
        <w:t xml:space="preserve">oxicities reported for asciminib as a single agent included: lipase increase in </w:t>
      </w:r>
      <w:r w:rsidR="007C54CC">
        <w:t>one</w:t>
      </w:r>
      <w:r w:rsidR="007C54CC" w:rsidRPr="007C54CC">
        <w:t xml:space="preserve"> patient each at 40</w:t>
      </w:r>
      <w:r w:rsidR="007C54CC">
        <w:t> </w:t>
      </w:r>
      <w:r w:rsidR="007C54CC" w:rsidRPr="007C54CC">
        <w:t xml:space="preserve">mg </w:t>
      </w:r>
      <w:r w:rsidR="007C54CC">
        <w:t>twice a day</w:t>
      </w:r>
      <w:r w:rsidR="007C54CC" w:rsidRPr="007C54CC">
        <w:t xml:space="preserve"> and 200</w:t>
      </w:r>
      <w:r w:rsidR="007C54CC">
        <w:t> </w:t>
      </w:r>
      <w:r w:rsidR="007C54CC" w:rsidRPr="007C54CC">
        <w:t xml:space="preserve">mg </w:t>
      </w:r>
      <w:r w:rsidR="007C54CC">
        <w:t>once daily</w:t>
      </w:r>
      <w:r w:rsidR="007C54CC" w:rsidRPr="007C54CC">
        <w:t>; arthralgia and myalgia in same patient at 80</w:t>
      </w:r>
      <w:r w:rsidR="007C54CC">
        <w:t> </w:t>
      </w:r>
      <w:r w:rsidR="007C54CC" w:rsidRPr="007C54CC">
        <w:t xml:space="preserve">mg </w:t>
      </w:r>
      <w:r w:rsidR="007C54CC">
        <w:t>twice a day</w:t>
      </w:r>
      <w:r w:rsidR="007C54CC" w:rsidRPr="007C54CC">
        <w:t xml:space="preserve">; acute coronary syndrome in </w:t>
      </w:r>
      <w:r w:rsidR="007C54CC">
        <w:t>one</w:t>
      </w:r>
      <w:r w:rsidR="007C54CC" w:rsidRPr="007C54CC">
        <w:t xml:space="preserve"> patient at 150</w:t>
      </w:r>
      <w:r w:rsidR="007C54CC">
        <w:t> </w:t>
      </w:r>
      <w:r w:rsidR="007C54CC" w:rsidRPr="007C54CC">
        <w:t xml:space="preserve">mg </w:t>
      </w:r>
      <w:r w:rsidR="007C54CC">
        <w:t>twice a day</w:t>
      </w:r>
      <w:r w:rsidR="007C54CC" w:rsidRPr="007C54CC">
        <w:t xml:space="preserve">; thrombocytopenia in </w:t>
      </w:r>
      <w:r w:rsidR="007C54CC">
        <w:t>one</w:t>
      </w:r>
      <w:r w:rsidR="007C54CC" w:rsidRPr="007C54CC">
        <w:t xml:space="preserve"> patient at 160</w:t>
      </w:r>
      <w:r w:rsidR="007C54CC">
        <w:t> </w:t>
      </w:r>
      <w:r w:rsidR="007C54CC" w:rsidRPr="007C54CC">
        <w:t xml:space="preserve">mg </w:t>
      </w:r>
      <w:r w:rsidR="007C54CC">
        <w:t>twice a day</w:t>
      </w:r>
      <w:r w:rsidR="007C54CC" w:rsidRPr="007C54CC">
        <w:t xml:space="preserve">; bronchospasm in </w:t>
      </w:r>
      <w:r w:rsidR="007C54CC">
        <w:t>one</w:t>
      </w:r>
      <w:r w:rsidR="007C54CC" w:rsidRPr="007C54CC">
        <w:t xml:space="preserve"> patient at 200</w:t>
      </w:r>
      <w:r w:rsidR="007C54CC">
        <w:t> </w:t>
      </w:r>
      <w:r w:rsidR="007C54CC" w:rsidRPr="007C54CC">
        <w:t xml:space="preserve">mg </w:t>
      </w:r>
      <w:r w:rsidR="007C54CC">
        <w:t>twice a day</w:t>
      </w:r>
      <w:r w:rsidR="007C54CC" w:rsidRPr="007C54CC">
        <w:t xml:space="preserve">; and </w:t>
      </w:r>
      <w:r w:rsidR="007C54CC">
        <w:t xml:space="preserve">two </w:t>
      </w:r>
      <w:r w:rsidR="007C54CC" w:rsidRPr="007C54CC">
        <w:t xml:space="preserve">events of pancreatitis in </w:t>
      </w:r>
      <w:r w:rsidR="007C54CC">
        <w:t>two</w:t>
      </w:r>
      <w:r w:rsidR="007C54CC" w:rsidRPr="007C54CC">
        <w:t xml:space="preserve"> different patients at 200</w:t>
      </w:r>
      <w:r w:rsidR="007C54CC">
        <w:t> </w:t>
      </w:r>
      <w:r w:rsidR="007C54CC" w:rsidRPr="007C54CC">
        <w:t xml:space="preserve">mg </w:t>
      </w:r>
      <w:r w:rsidR="007C54CC">
        <w:t>once daily</w:t>
      </w:r>
      <w:r w:rsidR="007C54CC" w:rsidRPr="007C54CC">
        <w:t>.</w:t>
      </w:r>
    </w:p>
    <w:p w14:paraId="34193071" w14:textId="12D23BCE" w:rsidR="007C54CC" w:rsidRPr="007C54CC" w:rsidRDefault="007C54CC" w:rsidP="007C54CC">
      <w:r w:rsidRPr="007C54CC">
        <w:t xml:space="preserve">In Arm 3 (asciminib </w:t>
      </w:r>
      <w:r w:rsidR="004F499D">
        <w:t>in combination with</w:t>
      </w:r>
      <w:r>
        <w:t xml:space="preserve"> </w:t>
      </w:r>
      <w:r w:rsidRPr="007C54CC">
        <w:t xml:space="preserve">imatinib in </w:t>
      </w:r>
      <w:r>
        <w:t xml:space="preserve">chronic myeloid </w:t>
      </w:r>
      <w:r w:rsidR="001B10B9">
        <w:t>leukaemia</w:t>
      </w:r>
      <w:r w:rsidR="007F3963">
        <w:t xml:space="preserve"> in</w:t>
      </w:r>
      <w:r>
        <w:t xml:space="preserve"> </w:t>
      </w:r>
      <w:r w:rsidR="002B0690">
        <w:t xml:space="preserve">the </w:t>
      </w:r>
      <w:r>
        <w:t>chronic phase/accelerated phase)</w:t>
      </w:r>
      <w:r w:rsidRPr="007C54CC">
        <w:t xml:space="preserve"> as of April 2020, 25 patients with </w:t>
      </w:r>
      <w:r>
        <w:t xml:space="preserve">chronic myeloid </w:t>
      </w:r>
      <w:r w:rsidR="001B10B9">
        <w:t>leukaemia</w:t>
      </w:r>
      <w:r>
        <w:t xml:space="preserve"> </w:t>
      </w:r>
      <w:r w:rsidR="007F3963">
        <w:t xml:space="preserve">in </w:t>
      </w:r>
      <w:r>
        <w:t xml:space="preserve">chronic phase/accelerated phase dose limiting toxicities </w:t>
      </w:r>
      <w:r w:rsidRPr="007C54CC">
        <w:t xml:space="preserve">were reported in </w:t>
      </w:r>
      <w:r w:rsidR="004F499D">
        <w:t>six</w:t>
      </w:r>
      <w:r w:rsidRPr="007C54CC">
        <w:t xml:space="preserve"> (24%) patients during the first cycle of treatment with various dose levels of asciminib in combination with imatinib 400</w:t>
      </w:r>
      <w:r w:rsidR="004F499D">
        <w:t> </w:t>
      </w:r>
      <w:r w:rsidRPr="007C54CC">
        <w:t xml:space="preserve">mg </w:t>
      </w:r>
      <w:r w:rsidR="004F499D">
        <w:t>once daily.</w:t>
      </w:r>
      <w:r w:rsidRPr="007C54CC">
        <w:t xml:space="preserve"> D</w:t>
      </w:r>
      <w:r w:rsidR="004F499D">
        <w:t>ose limiting toxicities</w:t>
      </w:r>
      <w:r w:rsidRPr="007C54CC">
        <w:t xml:space="preserve"> reported included pancreatitis in </w:t>
      </w:r>
      <w:r w:rsidR="004F499D">
        <w:t>one</w:t>
      </w:r>
      <w:r w:rsidRPr="007C54CC">
        <w:t xml:space="preserve"> patient each at asciminib 40</w:t>
      </w:r>
      <w:r w:rsidR="004F499D">
        <w:t> </w:t>
      </w:r>
      <w:r w:rsidRPr="007C54CC">
        <w:t xml:space="preserve">mg </w:t>
      </w:r>
      <w:r w:rsidR="004F499D">
        <w:t>twice a day</w:t>
      </w:r>
      <w:r w:rsidRPr="007C54CC">
        <w:t xml:space="preserve"> and 80</w:t>
      </w:r>
      <w:r w:rsidR="004F499D">
        <w:t> </w:t>
      </w:r>
      <w:r w:rsidRPr="007C54CC">
        <w:t>mg</w:t>
      </w:r>
      <w:r w:rsidR="004F499D">
        <w:t xml:space="preserve"> once daily</w:t>
      </w:r>
      <w:r w:rsidRPr="007C54CC">
        <w:t xml:space="preserve">, neutrophils count decrease in </w:t>
      </w:r>
      <w:r w:rsidR="004F499D">
        <w:t>one</w:t>
      </w:r>
      <w:r w:rsidRPr="007C54CC">
        <w:t xml:space="preserve"> patient at asciminib 40</w:t>
      </w:r>
      <w:r w:rsidR="004F499D">
        <w:t> </w:t>
      </w:r>
      <w:r w:rsidRPr="007C54CC">
        <w:t xml:space="preserve">mg </w:t>
      </w:r>
      <w:r w:rsidR="004F499D">
        <w:t>one daily</w:t>
      </w:r>
      <w:r w:rsidRPr="007C54CC">
        <w:t xml:space="preserve">, increased lipase in </w:t>
      </w:r>
      <w:r w:rsidR="004F499D">
        <w:t>one</w:t>
      </w:r>
      <w:r w:rsidRPr="007C54CC">
        <w:t xml:space="preserve"> patient at asciminib 80</w:t>
      </w:r>
      <w:r w:rsidR="004F499D">
        <w:t> </w:t>
      </w:r>
      <w:r w:rsidRPr="007C54CC">
        <w:t xml:space="preserve">mg </w:t>
      </w:r>
      <w:r w:rsidR="004F499D">
        <w:t>once daily</w:t>
      </w:r>
      <w:r w:rsidRPr="007C54CC">
        <w:t xml:space="preserve">, abdominal pain and nausea in </w:t>
      </w:r>
      <w:r w:rsidR="004F499D">
        <w:t>one</w:t>
      </w:r>
      <w:r w:rsidRPr="007C54CC">
        <w:t xml:space="preserve"> patient each both at asciminib 60</w:t>
      </w:r>
      <w:r w:rsidR="004F499D">
        <w:t> </w:t>
      </w:r>
      <w:r w:rsidRPr="007C54CC">
        <w:t xml:space="preserve">mg </w:t>
      </w:r>
      <w:r w:rsidR="004F499D">
        <w:t>once daily</w:t>
      </w:r>
      <w:r w:rsidRPr="007C54CC">
        <w:t>.</w:t>
      </w:r>
    </w:p>
    <w:p w14:paraId="45642AF4" w14:textId="77655E0A" w:rsidR="007C54CC" w:rsidRPr="007C54CC" w:rsidRDefault="007C54CC" w:rsidP="007C54CC">
      <w:r w:rsidRPr="007C54CC">
        <w:t xml:space="preserve">In Arm 4 (asciminib </w:t>
      </w:r>
      <w:r w:rsidR="004F499D">
        <w:t>in combination with</w:t>
      </w:r>
      <w:r w:rsidRPr="007C54CC">
        <w:t xml:space="preserve"> </w:t>
      </w:r>
      <w:proofErr w:type="spellStart"/>
      <w:r w:rsidRPr="007C54CC">
        <w:t>dasatinib</w:t>
      </w:r>
      <w:proofErr w:type="spellEnd"/>
      <w:r w:rsidRPr="007C54CC">
        <w:t xml:space="preserve">) as of April 2020, 22 patients with </w:t>
      </w:r>
      <w:r w:rsidR="004F499D">
        <w:t xml:space="preserve">chronic myeloid </w:t>
      </w:r>
      <w:r w:rsidR="001B10B9">
        <w:t>leukaemia</w:t>
      </w:r>
      <w:r w:rsidR="007F3963">
        <w:t xml:space="preserve"> in</w:t>
      </w:r>
      <w:r w:rsidR="004F499D">
        <w:t xml:space="preserve"> chronic phase/accelerated phase</w:t>
      </w:r>
      <w:r w:rsidRPr="007C54CC">
        <w:t xml:space="preserve"> were treated with asciminib (40</w:t>
      </w:r>
      <w:r w:rsidR="004F499D">
        <w:t> </w:t>
      </w:r>
      <w:r w:rsidRPr="007C54CC">
        <w:t xml:space="preserve">mg </w:t>
      </w:r>
      <w:r w:rsidR="004F499D">
        <w:t>twice a day</w:t>
      </w:r>
      <w:r w:rsidRPr="007C54CC">
        <w:t xml:space="preserve"> or 80</w:t>
      </w:r>
      <w:r w:rsidR="004F499D">
        <w:t xml:space="preserve"> mg </w:t>
      </w:r>
      <w:r w:rsidRPr="007C54CC">
        <w:t>and 160</w:t>
      </w:r>
      <w:r w:rsidR="004F499D">
        <w:t> </w:t>
      </w:r>
      <w:r w:rsidRPr="007C54CC">
        <w:t xml:space="preserve">mg </w:t>
      </w:r>
      <w:r w:rsidR="004F499D">
        <w:t>once daily</w:t>
      </w:r>
      <w:r w:rsidRPr="007C54CC">
        <w:t xml:space="preserve">) in combination with </w:t>
      </w:r>
      <w:proofErr w:type="spellStart"/>
      <w:r w:rsidRPr="007C54CC">
        <w:t>dasatinib</w:t>
      </w:r>
      <w:proofErr w:type="spellEnd"/>
      <w:r w:rsidRPr="007C54CC">
        <w:t xml:space="preserve"> (100</w:t>
      </w:r>
      <w:r w:rsidR="004F499D">
        <w:t> </w:t>
      </w:r>
      <w:r w:rsidRPr="007C54CC">
        <w:t xml:space="preserve">mg </w:t>
      </w:r>
      <w:r w:rsidR="004F499D">
        <w:t>once daily</w:t>
      </w:r>
      <w:r w:rsidRPr="007C54CC">
        <w:t xml:space="preserve">). Overall, </w:t>
      </w:r>
      <w:r w:rsidR="004F499D">
        <w:t>dose limiting toxicities</w:t>
      </w:r>
      <w:r w:rsidRPr="007C54CC">
        <w:t xml:space="preserve"> were reported in </w:t>
      </w:r>
      <w:r w:rsidR="004F499D">
        <w:t>two</w:t>
      </w:r>
      <w:r w:rsidRPr="007C54CC">
        <w:t xml:space="preserve"> (9.1%) patients during the first cycle of treatment with various dose levels of asciminib in combination with </w:t>
      </w:r>
      <w:proofErr w:type="spellStart"/>
      <w:r w:rsidRPr="007C54CC">
        <w:t>dasatinib</w:t>
      </w:r>
      <w:proofErr w:type="spellEnd"/>
      <w:r w:rsidRPr="007C54CC">
        <w:t xml:space="preserve"> 100</w:t>
      </w:r>
      <w:r w:rsidR="004F499D">
        <w:t> </w:t>
      </w:r>
      <w:r w:rsidRPr="007C54CC">
        <w:t xml:space="preserve">mg </w:t>
      </w:r>
      <w:r w:rsidR="004F499D">
        <w:t>once daily</w:t>
      </w:r>
      <w:r w:rsidRPr="007C54CC">
        <w:t xml:space="preserve">. </w:t>
      </w:r>
      <w:r w:rsidR="004F499D">
        <w:t>Dose limiting toxicities</w:t>
      </w:r>
      <w:r w:rsidRPr="007C54CC">
        <w:t xml:space="preserve"> reported included increased lipase in </w:t>
      </w:r>
      <w:r w:rsidR="004F499D">
        <w:t>one</w:t>
      </w:r>
      <w:r w:rsidRPr="007C54CC">
        <w:t xml:space="preserve"> patient at asciminib 40</w:t>
      </w:r>
      <w:r w:rsidR="004F499D">
        <w:t> </w:t>
      </w:r>
      <w:r w:rsidRPr="007C54CC">
        <w:t xml:space="preserve">mg </w:t>
      </w:r>
      <w:r w:rsidR="004F499D">
        <w:t>twice a day</w:t>
      </w:r>
      <w:r w:rsidRPr="007C54CC">
        <w:t xml:space="preserve">, and thrombocytopenia in </w:t>
      </w:r>
      <w:r w:rsidR="004F499D">
        <w:t>one</w:t>
      </w:r>
      <w:r w:rsidRPr="007C54CC">
        <w:t xml:space="preserve"> patient at asciminib 160</w:t>
      </w:r>
      <w:r w:rsidR="004F499D">
        <w:t> </w:t>
      </w:r>
      <w:r w:rsidRPr="007C54CC">
        <w:t xml:space="preserve">mg </w:t>
      </w:r>
      <w:r w:rsidR="004F499D">
        <w:t>once daily</w:t>
      </w:r>
      <w:r w:rsidRPr="007C54CC">
        <w:t>.</w:t>
      </w:r>
    </w:p>
    <w:p w14:paraId="4410DC5B" w14:textId="608C5295" w:rsidR="004A61FD" w:rsidRDefault="004A61FD" w:rsidP="00281B1A">
      <w:pPr>
        <w:pStyle w:val="Heading5"/>
      </w:pPr>
      <w:r>
        <w:lastRenderedPageBreak/>
        <w:t>Adverse events</w:t>
      </w:r>
    </w:p>
    <w:p w14:paraId="2E77674A" w14:textId="35058A4B" w:rsidR="007C54CC" w:rsidRDefault="007C54CC" w:rsidP="007C54CC">
      <w:r w:rsidRPr="007C54CC">
        <w:t xml:space="preserve">Adverse events occurring in each of these studies are shown in </w:t>
      </w:r>
      <w:r w:rsidR="004F499D" w:rsidRPr="00281B1A">
        <w:fldChar w:fldCharType="begin"/>
      </w:r>
      <w:r w:rsidR="004F499D" w:rsidRPr="004A61FD">
        <w:instrText xml:space="preserve"> REF _Ref127256420 \h </w:instrText>
      </w:r>
      <w:r w:rsidR="004F499D" w:rsidRPr="00281B1A">
        <w:fldChar w:fldCharType="separate"/>
      </w:r>
      <w:r w:rsidR="00547BEA">
        <w:t xml:space="preserve">Table </w:t>
      </w:r>
      <w:r w:rsidR="00547BEA">
        <w:rPr>
          <w:noProof/>
        </w:rPr>
        <w:t>12</w:t>
      </w:r>
      <w:r w:rsidR="004F499D" w:rsidRPr="00281B1A">
        <w:fldChar w:fldCharType="end"/>
      </w:r>
      <w:r w:rsidR="004A61FD" w:rsidRPr="00281B1A">
        <w:t xml:space="preserve"> and </w:t>
      </w:r>
      <w:r w:rsidR="004A61FD">
        <w:fldChar w:fldCharType="begin"/>
      </w:r>
      <w:r w:rsidR="004A61FD">
        <w:instrText xml:space="preserve"> REF _Ref127265065 \h </w:instrText>
      </w:r>
      <w:r w:rsidR="004A61FD">
        <w:fldChar w:fldCharType="separate"/>
      </w:r>
      <w:r w:rsidR="00547BEA">
        <w:t xml:space="preserve">Table </w:t>
      </w:r>
      <w:r w:rsidR="00547BEA">
        <w:rPr>
          <w:noProof/>
        </w:rPr>
        <w:t>13</w:t>
      </w:r>
      <w:r w:rsidR="004A61FD">
        <w:fldChar w:fldCharType="end"/>
      </w:r>
      <w:r w:rsidRPr="00D30BCE">
        <w:t>.</w:t>
      </w:r>
      <w:r w:rsidRPr="007C54CC">
        <w:t xml:space="preserve"> There is a higher increase in </w:t>
      </w:r>
      <w:r w:rsidR="004F499D">
        <w:t>adverse events</w:t>
      </w:r>
      <w:r w:rsidRPr="007C54CC">
        <w:t xml:space="preserve"> related to </w:t>
      </w:r>
      <w:r w:rsidR="004F499D">
        <w:t>gastrointestinal</w:t>
      </w:r>
      <w:r w:rsidRPr="007C54CC">
        <w:t xml:space="preserve">, raised </w:t>
      </w:r>
      <w:r w:rsidR="004F499D">
        <w:t>a</w:t>
      </w:r>
      <w:r w:rsidR="004F499D" w:rsidRPr="004F499D">
        <w:t>lanine aminotransferase</w:t>
      </w:r>
      <w:r w:rsidR="004F499D">
        <w:t>/ a</w:t>
      </w:r>
      <w:r w:rsidR="004F499D" w:rsidRPr="004F499D">
        <w:t>spartate aminotransferase</w:t>
      </w:r>
      <w:r w:rsidR="004F499D">
        <w:t xml:space="preserve"> </w:t>
      </w:r>
      <w:r w:rsidRPr="007C54CC">
        <w:t>and rash with bosutinib in line with its known safety profile while thrombocytopaenia notably occurred at a higher incidence with asciminib (all doses).</w:t>
      </w:r>
    </w:p>
    <w:p w14:paraId="58FF4EA8" w14:textId="2AFC8B0A" w:rsidR="004F499D" w:rsidRDefault="004F499D" w:rsidP="004278AF">
      <w:pPr>
        <w:pStyle w:val="Tabletitle0"/>
      </w:pPr>
      <w:bookmarkStart w:id="68" w:name="_Ref127256420"/>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47BEA">
        <w:rPr>
          <w:noProof/>
        </w:rPr>
        <w:t>12</w:t>
      </w:r>
      <w:r>
        <w:rPr>
          <w:color w:val="2B579A"/>
          <w:shd w:val="clear" w:color="auto" w:fill="E6E6E6"/>
        </w:rPr>
        <w:fldChar w:fldCharType="end"/>
      </w:r>
      <w:bookmarkEnd w:id="68"/>
      <w:r>
        <w:t xml:space="preserve">: </w:t>
      </w:r>
      <w:r w:rsidR="002B0690">
        <w:t xml:space="preserve">Study X2101 </w:t>
      </w:r>
      <w:r>
        <w:t xml:space="preserve">Overview of adverse events for single agent asciminib in chronic myeloid </w:t>
      </w:r>
      <w:r w:rsidR="001B10B9">
        <w:t>leukaemia</w:t>
      </w:r>
      <w:r>
        <w:t xml:space="preserve"> </w:t>
      </w:r>
      <w:r w:rsidR="007F3963">
        <w:t xml:space="preserve">in </w:t>
      </w:r>
      <w:r>
        <w:t>chronic phase/accelerated phase</w:t>
      </w:r>
    </w:p>
    <w:p w14:paraId="7F049B55" w14:textId="688792C7" w:rsidR="004F499D" w:rsidRDefault="001B5249" w:rsidP="004F499D">
      <w:r>
        <w:rPr>
          <w:noProof/>
          <w:color w:val="2B579A"/>
          <w:shd w:val="clear" w:color="auto" w:fill="E6E6E6"/>
          <w:lang w:val="en-GB" w:eastAsia="en-GB"/>
        </w:rPr>
        <w:drawing>
          <wp:inline distT="0" distB="0" distL="0" distR="0" wp14:anchorId="17DB3D5A" wp14:editId="58A0207F">
            <wp:extent cx="5343525" cy="2728306"/>
            <wp:effectExtent l="0" t="0" r="0" b="0"/>
            <wp:docPr id="19" name="Picture 19" descr="Overview of adverse events for single agent asciminib in chronic myeloid leukaemia in chronic phase/accelerated phase for Study X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Overview of adverse events for single agent asciminib in chronic myeloid leukaemia in chronic phase/accelerated phase for Study X21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2539" cy="2732909"/>
                    </a:xfrm>
                    <a:prstGeom prst="rect">
                      <a:avLst/>
                    </a:prstGeom>
                    <a:noFill/>
                  </pic:spPr>
                </pic:pic>
              </a:graphicData>
            </a:graphic>
          </wp:inline>
        </w:drawing>
      </w:r>
    </w:p>
    <w:p w14:paraId="19DE7EDA" w14:textId="2C2614BA" w:rsidR="007E074E" w:rsidRPr="0070021A" w:rsidRDefault="002B0690" w:rsidP="00281B1A">
      <w:pPr>
        <w:pStyle w:val="TableDescription"/>
      </w:pPr>
      <w:r w:rsidRPr="00D30BCE">
        <w:t xml:space="preserve">Abbreviations: </w:t>
      </w:r>
      <w:r w:rsidR="007E074E" w:rsidRPr="00322B59">
        <w:t>ABL001 = drug devel</w:t>
      </w:r>
      <w:r w:rsidR="007E074E" w:rsidRPr="008125B3">
        <w:t xml:space="preserve">opment code for asciminib; </w:t>
      </w:r>
      <w:r w:rsidRPr="00512393">
        <w:t xml:space="preserve">AE = adverse event; b.i.d. = twice a day; </w:t>
      </w:r>
      <w:proofErr w:type="spellStart"/>
      <w:r w:rsidRPr="00512393">
        <w:t>q.d</w:t>
      </w:r>
      <w:proofErr w:type="spellEnd"/>
      <w:r w:rsidRPr="00512393">
        <w:t xml:space="preserve">. = once daily; </w:t>
      </w:r>
      <w:r w:rsidR="007E074E" w:rsidRPr="0070021A">
        <w:t>SAE = serious adverse event</w:t>
      </w:r>
    </w:p>
    <w:p w14:paraId="51DEDDAE" w14:textId="3BE7B5BA" w:rsidR="004278AF" w:rsidRPr="007E074E" w:rsidRDefault="004278AF" w:rsidP="00281B1A">
      <w:pPr>
        <w:pStyle w:val="TableDescription"/>
      </w:pPr>
      <w:r w:rsidRPr="007E074E">
        <w:t>*An additional patient had prolonged interruption (greater than 30 days after last dose) due to serious adverse event (SAE) which was fatal.</w:t>
      </w:r>
    </w:p>
    <w:p w14:paraId="3C3EB403" w14:textId="4B6BB3FF" w:rsidR="004278AF" w:rsidRPr="007E074E" w:rsidRDefault="004278AF" w:rsidP="00281B1A">
      <w:pPr>
        <w:pStyle w:val="TableDescription"/>
      </w:pPr>
      <w:r w:rsidRPr="007E074E">
        <w:t xml:space="preserve">Among the 5 patients who has fatal SAEs, three were reported among the patients who discontinued study treatment due to death, and the remaining two were reported among patients who discontinued due to an adverse event (one patient who died due to altered general condition), and due to physician’s decision (one patient who died due to </w:t>
      </w:r>
      <w:r w:rsidR="001B10B9" w:rsidRPr="007E074E">
        <w:t>leukaemia</w:t>
      </w:r>
      <w:r w:rsidRPr="007E074E">
        <w:t xml:space="preserve"> and cardiovascular failure as contributing reason for death).</w:t>
      </w:r>
    </w:p>
    <w:p w14:paraId="0355F405" w14:textId="18E90F72" w:rsidR="004278AF" w:rsidRPr="007E074E" w:rsidRDefault="004278AF" w:rsidP="00281B1A">
      <w:pPr>
        <w:pStyle w:val="TableDescription"/>
      </w:pPr>
      <w:r w:rsidRPr="007E074E">
        <w:t>** One patient in the 200 mg twice a day cohort has SAE related to disease progression which led to treatment discontinuation, this was counted under the category of adverse events leading to discontinuation in this table.</w:t>
      </w:r>
    </w:p>
    <w:p w14:paraId="40023991" w14:textId="340CFF4F" w:rsidR="002C7875" w:rsidRDefault="002C7875" w:rsidP="002C7875">
      <w:r>
        <w:t xml:space="preserve">In </w:t>
      </w:r>
      <w:r w:rsidRPr="002C7875">
        <w:t xml:space="preserve">Study A2301 </w:t>
      </w:r>
      <w:r>
        <w:t xml:space="preserve">for </w:t>
      </w:r>
      <w:r w:rsidRPr="002C7875">
        <w:t>asciminib 40</w:t>
      </w:r>
      <w:r>
        <w:t> </w:t>
      </w:r>
      <w:r w:rsidRPr="002C7875">
        <w:t>mg</w:t>
      </w:r>
      <w:r>
        <w:t xml:space="preserve"> twice a day </w:t>
      </w:r>
      <w:r w:rsidRPr="002C7875">
        <w:t>dose</w:t>
      </w:r>
      <w:r>
        <w:t xml:space="preserve"> </w:t>
      </w:r>
      <w:r w:rsidRPr="002C7875">
        <w:t xml:space="preserve">the first occurrence of </w:t>
      </w:r>
      <w:r>
        <w:t xml:space="preserve">an adverse event </w:t>
      </w:r>
      <w:r w:rsidRPr="002C7875">
        <w:t xml:space="preserve">was primarily within the first 8 weeks of treatment (75.6%). The incidence of </w:t>
      </w:r>
      <w:r>
        <w:t>adverse events</w:t>
      </w:r>
      <w:r w:rsidRPr="002C7875">
        <w:t xml:space="preserve"> during Weeks 8 to 24 and Weeks 24 to 48 either remained similar or decreased over time. For bosutinib,</w:t>
      </w:r>
      <w:r w:rsidR="000B2600">
        <w:rPr>
          <w:color w:val="2B579A"/>
          <w:shd w:val="clear" w:color="auto" w:fill="E6E6E6"/>
        </w:rPr>
        <w:fldChar w:fldCharType="begin"/>
      </w:r>
      <w:r w:rsidR="000B2600">
        <w:instrText xml:space="preserve"> NOTEREF _Ref127872937 \f \h </w:instrText>
      </w:r>
      <w:r w:rsidR="000B2600">
        <w:rPr>
          <w:color w:val="2B579A"/>
          <w:shd w:val="clear" w:color="auto" w:fill="E6E6E6"/>
        </w:rPr>
      </w:r>
      <w:r w:rsidR="000B2600">
        <w:rPr>
          <w:color w:val="2B579A"/>
          <w:shd w:val="clear" w:color="auto" w:fill="E6E6E6"/>
        </w:rPr>
        <w:fldChar w:fldCharType="separate"/>
      </w:r>
      <w:r w:rsidR="00547BEA" w:rsidRPr="00547BEA">
        <w:rPr>
          <w:rStyle w:val="FootnoteReference"/>
        </w:rPr>
        <w:t>14</w:t>
      </w:r>
      <w:r w:rsidR="000B2600">
        <w:rPr>
          <w:color w:val="2B579A"/>
          <w:shd w:val="clear" w:color="auto" w:fill="E6E6E6"/>
        </w:rPr>
        <w:fldChar w:fldCharType="end"/>
      </w:r>
      <w:r w:rsidRPr="002C7875">
        <w:t xml:space="preserve"> first occurrence of </w:t>
      </w:r>
      <w:r>
        <w:t>adverse events</w:t>
      </w:r>
      <w:r w:rsidRPr="002C7875">
        <w:t xml:space="preserve"> was also primarily observed within the first 8 weeks of treatment and for most </w:t>
      </w:r>
      <w:r>
        <w:t>adverse events</w:t>
      </w:r>
      <w:r w:rsidRPr="002C7875">
        <w:t xml:space="preserve"> reduced (or remained similar) during the 8 to 24 weeks of treatment with exception of haematologic toxicity, </w:t>
      </w:r>
      <w:r>
        <w:t>a</w:t>
      </w:r>
      <w:r w:rsidRPr="004F499D">
        <w:t>lanine aminotransferase</w:t>
      </w:r>
      <w:r>
        <w:t>/ a</w:t>
      </w:r>
      <w:r w:rsidRPr="004F499D">
        <w:t>spartate aminotransferase</w:t>
      </w:r>
      <w:r w:rsidRPr="002C7875">
        <w:t xml:space="preserve"> </w:t>
      </w:r>
      <w:proofErr w:type="gramStart"/>
      <w:r w:rsidRPr="002C7875">
        <w:t>increase</w:t>
      </w:r>
      <w:proofErr w:type="gramEnd"/>
      <w:r w:rsidRPr="002C7875">
        <w:t xml:space="preserve"> and lipase increase. </w:t>
      </w:r>
      <w:r>
        <w:rPr>
          <w:color w:val="2B579A"/>
          <w:shd w:val="clear" w:color="auto" w:fill="E6E6E6"/>
        </w:rPr>
        <w:fldChar w:fldCharType="begin"/>
      </w:r>
      <w:r>
        <w:instrText xml:space="preserve"> REF _Ref127265065 \h </w:instrText>
      </w:r>
      <w:r>
        <w:rPr>
          <w:color w:val="2B579A"/>
          <w:shd w:val="clear" w:color="auto" w:fill="E6E6E6"/>
        </w:rPr>
      </w:r>
      <w:r>
        <w:rPr>
          <w:color w:val="2B579A"/>
          <w:shd w:val="clear" w:color="auto" w:fill="E6E6E6"/>
        </w:rPr>
        <w:fldChar w:fldCharType="separate"/>
      </w:r>
      <w:r w:rsidR="00547BEA">
        <w:t xml:space="preserve">Table </w:t>
      </w:r>
      <w:r w:rsidR="00547BEA">
        <w:rPr>
          <w:noProof/>
        </w:rPr>
        <w:t>13</w:t>
      </w:r>
      <w:r>
        <w:rPr>
          <w:color w:val="2B579A"/>
          <w:shd w:val="clear" w:color="auto" w:fill="E6E6E6"/>
        </w:rPr>
        <w:fldChar w:fldCharType="end"/>
      </w:r>
      <w:r>
        <w:t xml:space="preserve"> </w:t>
      </w:r>
      <w:r w:rsidRPr="002C7875">
        <w:t xml:space="preserve">shows adverse events from the </w:t>
      </w:r>
      <w:proofErr w:type="gramStart"/>
      <w:r w:rsidRPr="002C7875">
        <w:t>30</w:t>
      </w:r>
      <w:r>
        <w:t xml:space="preserve"> </w:t>
      </w:r>
      <w:r w:rsidRPr="002C7875">
        <w:t>day</w:t>
      </w:r>
      <w:proofErr w:type="gramEnd"/>
      <w:r w:rsidRPr="002C7875">
        <w:t xml:space="preserve"> safety update report.</w:t>
      </w:r>
    </w:p>
    <w:p w14:paraId="0D1DBA60" w14:textId="09CFE59A" w:rsidR="002C7875" w:rsidRDefault="002C7875" w:rsidP="00B23804">
      <w:pPr>
        <w:pStyle w:val="Tabletitle0"/>
      </w:pPr>
      <w:bookmarkStart w:id="69" w:name="_Ref127265065"/>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47BEA">
        <w:rPr>
          <w:noProof/>
        </w:rPr>
        <w:t>13</w:t>
      </w:r>
      <w:r>
        <w:rPr>
          <w:color w:val="2B579A"/>
          <w:shd w:val="clear" w:color="auto" w:fill="E6E6E6"/>
        </w:rPr>
        <w:fldChar w:fldCharType="end"/>
      </w:r>
      <w:bookmarkEnd w:id="69"/>
      <w:r>
        <w:t xml:space="preserve">: </w:t>
      </w:r>
      <w:r w:rsidR="002B0690">
        <w:t xml:space="preserve">Studies A2301 and X2101 </w:t>
      </w:r>
      <w:r>
        <w:t xml:space="preserve">Adverse events by </w:t>
      </w:r>
      <w:r w:rsidR="002B0690">
        <w:t>P</w:t>
      </w:r>
      <w:r>
        <w:t xml:space="preserve">referred </w:t>
      </w:r>
      <w:r w:rsidR="002B0690">
        <w:t>T</w:t>
      </w:r>
      <w:r>
        <w:t xml:space="preserve">erm and </w:t>
      </w:r>
      <w:r w:rsidR="002B0690">
        <w:t xml:space="preserve">severity </w:t>
      </w:r>
      <w:r>
        <w:t>grade</w:t>
      </w:r>
      <w:r w:rsidR="004A61FD">
        <w:t xml:space="preserve"> (including safety pool A population)</w:t>
      </w:r>
    </w:p>
    <w:p w14:paraId="2ADB2CE1" w14:textId="5B73463B" w:rsidR="002C7875" w:rsidRDefault="00B23804" w:rsidP="002C7875">
      <w:r>
        <w:rPr>
          <w:noProof/>
          <w:color w:val="2B579A"/>
          <w:shd w:val="clear" w:color="auto" w:fill="E6E6E6"/>
          <w:lang w:val="en-GB" w:eastAsia="en-GB"/>
        </w:rPr>
        <w:drawing>
          <wp:inline distT="0" distB="0" distL="0" distR="0" wp14:anchorId="3C80998E" wp14:editId="1D54EB50">
            <wp:extent cx="5446644" cy="6978646"/>
            <wp:effectExtent l="0" t="0" r="1905" b="0"/>
            <wp:docPr id="13" name="Picture 13" descr="Adverse events by preferred term and grade Study A2301 and X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dverse events by preferred term and grade Study A2301 and X2101"/>
                    <pic:cNvPicPr>
                      <a:picLocks noChangeAspect="1" noChangeArrowheads="1"/>
                    </pic:cNvPicPr>
                  </pic:nvPicPr>
                  <pic:blipFill rotWithShape="1">
                    <a:blip r:embed="rId34">
                      <a:extLst>
                        <a:ext uri="{28A0092B-C50C-407E-A947-70E740481C1C}">
                          <a14:useLocalDpi xmlns:a14="http://schemas.microsoft.com/office/drawing/2010/main" val="0"/>
                        </a:ext>
                      </a:extLst>
                    </a:blip>
                    <a:srcRect b="6194"/>
                    <a:stretch/>
                  </pic:blipFill>
                  <pic:spPr bwMode="auto">
                    <a:xfrm>
                      <a:off x="0" y="0"/>
                      <a:ext cx="5471585" cy="7010603"/>
                    </a:xfrm>
                    <a:prstGeom prst="rect">
                      <a:avLst/>
                    </a:prstGeom>
                    <a:noFill/>
                    <a:ln>
                      <a:noFill/>
                    </a:ln>
                    <a:extLst>
                      <a:ext uri="{53640926-AAD7-44D8-BBD7-CCE9431645EC}">
                        <a14:shadowObscured xmlns:a14="http://schemas.microsoft.com/office/drawing/2010/main"/>
                      </a:ext>
                    </a:extLst>
                  </pic:spPr>
                </pic:pic>
              </a:graphicData>
            </a:graphic>
          </wp:inline>
        </w:drawing>
      </w:r>
    </w:p>
    <w:p w14:paraId="6230C53E" w14:textId="60EFC72F" w:rsidR="007E074E" w:rsidRPr="00281B1A" w:rsidRDefault="007E074E" w:rsidP="00281B1A">
      <w:pPr>
        <w:pStyle w:val="TableDescription"/>
      </w:pPr>
      <w:r w:rsidRPr="00D30BCE">
        <w:t xml:space="preserve">Abbreviations: </w:t>
      </w:r>
      <w:r w:rsidRPr="00322B59">
        <w:t>ABL001 = drug devel</w:t>
      </w:r>
      <w:r w:rsidRPr="008125B3">
        <w:t xml:space="preserve">opment code for asciminib; </w:t>
      </w:r>
      <w:r w:rsidRPr="00512393">
        <w:t xml:space="preserve">b.i.d. = twice a day; </w:t>
      </w:r>
      <w:proofErr w:type="spellStart"/>
      <w:r w:rsidRPr="0070021A">
        <w:t>q.d</w:t>
      </w:r>
      <w:proofErr w:type="spellEnd"/>
      <w:r w:rsidRPr="0070021A">
        <w:t>. = once daily.</w:t>
      </w:r>
    </w:p>
    <w:p w14:paraId="705A2171" w14:textId="4007F3EB" w:rsidR="00B23804" w:rsidRPr="00D30BCE" w:rsidRDefault="00B23804" w:rsidP="00281B1A">
      <w:pPr>
        <w:pStyle w:val="TableDescription"/>
      </w:pPr>
      <w:r w:rsidRPr="00281B1A">
        <w:t>1</w:t>
      </w:r>
      <w:r w:rsidR="009B6F63">
        <w:t xml:space="preserve">: </w:t>
      </w:r>
      <w:r w:rsidRPr="00D30BCE">
        <w:t>With at least 5% incidence in Study A2301 or asciminib safet</w:t>
      </w:r>
      <w:r w:rsidRPr="00322B59">
        <w:t>y pool or at least 15% incidence in Study X2101 (due to small sample size of 80 mg once daily dose group</w:t>
      </w:r>
      <w:r w:rsidR="00590F1E" w:rsidRPr="008125B3">
        <w:t>)</w:t>
      </w:r>
      <w:r w:rsidRPr="00512393">
        <w:t>.</w:t>
      </w:r>
    </w:p>
    <w:p w14:paraId="60467C5D" w14:textId="31501A41" w:rsidR="00B23804" w:rsidRDefault="00B23804" w:rsidP="00281B1A">
      <w:pPr>
        <w:pStyle w:val="TableDescription"/>
      </w:pPr>
      <w:r w:rsidRPr="00322B59">
        <w:t>A patient with multiple severity grades in an adverse event is only counted under the maximum grade.</w:t>
      </w:r>
    </w:p>
    <w:p w14:paraId="690C0A93" w14:textId="3845D8F8" w:rsidR="004A61FD" w:rsidRPr="00D30BCE" w:rsidRDefault="004A61FD" w:rsidP="00281B1A">
      <w:pPr>
        <w:pStyle w:val="TableDescription"/>
      </w:pPr>
      <w:r>
        <w:t xml:space="preserve">See </w:t>
      </w:r>
      <w:r>
        <w:fldChar w:fldCharType="begin"/>
      </w:r>
      <w:r>
        <w:instrText xml:space="preserve"> REF _Ref127254789 \h </w:instrText>
      </w:r>
      <w:r>
        <w:fldChar w:fldCharType="separate"/>
      </w:r>
      <w:r w:rsidR="00547BEA">
        <w:t xml:space="preserve">Table </w:t>
      </w:r>
      <w:r w:rsidR="00547BEA">
        <w:rPr>
          <w:noProof/>
        </w:rPr>
        <w:t>11</w:t>
      </w:r>
      <w:r>
        <w:fldChar w:fldCharType="end"/>
      </w:r>
      <w:r>
        <w:t xml:space="preserve"> for descriptions of the safety populations.</w:t>
      </w:r>
    </w:p>
    <w:p w14:paraId="1DA998F6" w14:textId="4BBD94C3" w:rsidR="00B23804" w:rsidRDefault="00707323" w:rsidP="000C0C76">
      <w:pPr>
        <w:pStyle w:val="Tabletitle0"/>
      </w:pPr>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47BEA">
        <w:rPr>
          <w:noProof/>
        </w:rPr>
        <w:t>14</w:t>
      </w:r>
      <w:r>
        <w:rPr>
          <w:color w:val="2B579A"/>
          <w:shd w:val="clear" w:color="auto" w:fill="E6E6E6"/>
        </w:rPr>
        <w:fldChar w:fldCharType="end"/>
      </w:r>
      <w:r>
        <w:t xml:space="preserve">: </w:t>
      </w:r>
      <w:r w:rsidR="00DA55E6">
        <w:t xml:space="preserve">Studies A2301 and X2101 </w:t>
      </w:r>
      <w:r>
        <w:t xml:space="preserve">Serious adverse events </w:t>
      </w:r>
      <w:r w:rsidR="004A61FD">
        <w:t>(including safety pool A population)</w:t>
      </w:r>
    </w:p>
    <w:p w14:paraId="50381E6F" w14:textId="50BB71B4" w:rsidR="00707323" w:rsidRDefault="00707323" w:rsidP="00707323">
      <w:r>
        <w:rPr>
          <w:noProof/>
          <w:color w:val="2B579A"/>
          <w:shd w:val="clear" w:color="auto" w:fill="E6E6E6"/>
          <w:lang w:val="en-GB" w:eastAsia="en-GB"/>
        </w:rPr>
        <w:drawing>
          <wp:inline distT="0" distB="0" distL="0" distR="0" wp14:anchorId="07C00E48" wp14:editId="0BAFE800">
            <wp:extent cx="5409723" cy="5181600"/>
            <wp:effectExtent l="0" t="0" r="635" b="0"/>
            <wp:docPr id="14" name="Picture 14" descr="Serious adverse events safety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erious adverse events safety pool A"/>
                    <pic:cNvPicPr>
                      <a:picLocks noChangeAspect="1" noChangeArrowheads="1"/>
                    </pic:cNvPicPr>
                  </pic:nvPicPr>
                  <pic:blipFill rotWithShape="1">
                    <a:blip r:embed="rId35">
                      <a:extLst>
                        <a:ext uri="{28A0092B-C50C-407E-A947-70E740481C1C}">
                          <a14:useLocalDpi xmlns:a14="http://schemas.microsoft.com/office/drawing/2010/main" val="0"/>
                        </a:ext>
                      </a:extLst>
                    </a:blip>
                    <a:srcRect b="6807"/>
                    <a:stretch/>
                  </pic:blipFill>
                  <pic:spPr bwMode="auto">
                    <a:xfrm>
                      <a:off x="0" y="0"/>
                      <a:ext cx="5419157" cy="5190636"/>
                    </a:xfrm>
                    <a:prstGeom prst="rect">
                      <a:avLst/>
                    </a:prstGeom>
                    <a:noFill/>
                    <a:ln>
                      <a:noFill/>
                    </a:ln>
                    <a:extLst>
                      <a:ext uri="{53640926-AAD7-44D8-BBD7-CCE9431645EC}">
                        <a14:shadowObscured xmlns:a14="http://schemas.microsoft.com/office/drawing/2010/main"/>
                      </a:ext>
                    </a:extLst>
                  </pic:spPr>
                </pic:pic>
              </a:graphicData>
            </a:graphic>
          </wp:inline>
        </w:drawing>
      </w:r>
    </w:p>
    <w:p w14:paraId="31B2ACF1" w14:textId="063A9DA6" w:rsidR="004A61FD" w:rsidRDefault="004A61FD" w:rsidP="00281B1A">
      <w:pPr>
        <w:pStyle w:val="TableDescription"/>
      </w:pPr>
      <w:r>
        <w:t xml:space="preserve">Abbreviations: ABL001 = drug development code for asciminib; b.i.d. = twice a day; </w:t>
      </w:r>
      <w:proofErr w:type="spellStart"/>
      <w:r>
        <w:t>q.d</w:t>
      </w:r>
      <w:proofErr w:type="spellEnd"/>
      <w:r>
        <w:t>. = once daily.</w:t>
      </w:r>
    </w:p>
    <w:p w14:paraId="4205D8E3" w14:textId="22EE795D" w:rsidR="000C0C76" w:rsidRPr="00322B59" w:rsidRDefault="000C0C76" w:rsidP="00281B1A">
      <w:pPr>
        <w:pStyle w:val="TableDescription"/>
      </w:pPr>
      <w:r w:rsidRPr="00281B1A">
        <w:t>1</w:t>
      </w:r>
      <w:r w:rsidR="004A61FD">
        <w:t xml:space="preserve">: </w:t>
      </w:r>
      <w:r w:rsidRPr="00D30BCE">
        <w:t>With incidence of at least 2 patients in Study A2301/ Study X2101/asciminib safety pool.</w:t>
      </w:r>
    </w:p>
    <w:p w14:paraId="1C2A7EC3" w14:textId="78A47A03" w:rsidR="000C0C76" w:rsidRPr="008125B3" w:rsidRDefault="000C0C76" w:rsidP="00281B1A">
      <w:pPr>
        <w:pStyle w:val="TableDescription"/>
      </w:pPr>
      <w:r w:rsidRPr="008125B3">
        <w:t>A patient with multiple severity grades for an adverse evet is only counted under the maximum grade.</w:t>
      </w:r>
    </w:p>
    <w:p w14:paraId="58E9C1B2" w14:textId="057288B7" w:rsidR="00ED3B34" w:rsidRPr="0070021A" w:rsidRDefault="00ED3B34" w:rsidP="00281B1A">
      <w:pPr>
        <w:pStyle w:val="TableDescription"/>
      </w:pPr>
      <w:r w:rsidRPr="00512393">
        <w:t>Grades based on common terminology criteria for adverse events (CTCAE) version 4.03.</w:t>
      </w:r>
    </w:p>
    <w:p w14:paraId="15F3869C" w14:textId="77156AC4" w:rsidR="004A61FD" w:rsidRPr="00512393" w:rsidRDefault="004A61FD" w:rsidP="00281B1A">
      <w:pPr>
        <w:pStyle w:val="TableDescription"/>
      </w:pPr>
      <w:r w:rsidRPr="0070021A">
        <w:t xml:space="preserve">See </w:t>
      </w:r>
      <w:r w:rsidRPr="00322B59">
        <w:fldChar w:fldCharType="begin"/>
      </w:r>
      <w:r w:rsidRPr="004A61FD">
        <w:instrText xml:space="preserve"> REF _Ref127254789 \h </w:instrText>
      </w:r>
      <w:r>
        <w:instrText xml:space="preserve"> \* MERGEFORMAT </w:instrText>
      </w:r>
      <w:r w:rsidRPr="00322B59">
        <w:fldChar w:fldCharType="separate"/>
      </w:r>
      <w:r w:rsidR="00547BEA">
        <w:t>Table 11</w:t>
      </w:r>
      <w:r w:rsidRPr="00322B59">
        <w:fldChar w:fldCharType="end"/>
      </w:r>
      <w:r w:rsidRPr="00D30BCE">
        <w:t xml:space="preserve"> for </w:t>
      </w:r>
      <w:r w:rsidRPr="00322B59">
        <w:t>descriptions</w:t>
      </w:r>
      <w:r w:rsidRPr="008125B3">
        <w:t xml:space="preserve"> of the safety populations.</w:t>
      </w:r>
    </w:p>
    <w:p w14:paraId="6AF4D688" w14:textId="395BE112" w:rsidR="000C0C76" w:rsidRDefault="000C0C76" w:rsidP="000C0C76">
      <w:r w:rsidRPr="000C0C76">
        <w:t>While there is a large difference in the proportion of patients given asciminib 40</w:t>
      </w:r>
      <w:r>
        <w:t> </w:t>
      </w:r>
      <w:r w:rsidRPr="000C0C76">
        <w:t xml:space="preserve">mg </w:t>
      </w:r>
      <w:r>
        <w:t xml:space="preserve">twice a day versus </w:t>
      </w:r>
      <w:r w:rsidRPr="000C0C76">
        <w:t>80</w:t>
      </w:r>
      <w:r>
        <w:t> </w:t>
      </w:r>
      <w:r w:rsidRPr="000C0C76">
        <w:t xml:space="preserve">mg </w:t>
      </w:r>
      <w:r>
        <w:t>once daily</w:t>
      </w:r>
      <w:r w:rsidRPr="000C0C76">
        <w:t xml:space="preserve"> (15.4% v</w:t>
      </w:r>
      <w:r>
        <w:t>ersus</w:t>
      </w:r>
      <w:r w:rsidRPr="000C0C76">
        <w:t xml:space="preserve"> 44.4%) these differences are based on populations with different durations of exposure and sample sizes. There was no concentration of individual</w:t>
      </w:r>
      <w:r>
        <w:t xml:space="preserve"> serious adverse events</w:t>
      </w:r>
      <w:r w:rsidRPr="000C0C76">
        <w:t xml:space="preserve"> in the 80</w:t>
      </w:r>
      <w:r>
        <w:t> </w:t>
      </w:r>
      <w:r w:rsidRPr="000C0C76">
        <w:t xml:space="preserve">mg </w:t>
      </w:r>
      <w:r>
        <w:t>once daily</w:t>
      </w:r>
      <w:r w:rsidRPr="000C0C76">
        <w:t xml:space="preserve"> dose group.</w:t>
      </w:r>
      <w:r w:rsidR="00F50C80">
        <w:t xml:space="preserve"> </w:t>
      </w:r>
      <w:r w:rsidRPr="000C0C76">
        <w:t xml:space="preserve">Neither is there any concentration in the </w:t>
      </w:r>
      <w:r>
        <w:t>G</w:t>
      </w:r>
      <w:r w:rsidRPr="000C0C76">
        <w:t>rade 3</w:t>
      </w:r>
      <w:r>
        <w:t xml:space="preserve"> serious adverse events</w:t>
      </w:r>
      <w:r w:rsidRPr="000C0C76">
        <w:t xml:space="preserve"> in the 80</w:t>
      </w:r>
      <w:r>
        <w:t> </w:t>
      </w:r>
      <w:r w:rsidRPr="000C0C76">
        <w:t xml:space="preserve">mg </w:t>
      </w:r>
      <w:r>
        <w:t>once daily</w:t>
      </w:r>
      <w:r w:rsidRPr="000C0C76">
        <w:t xml:space="preserve"> dose group.</w:t>
      </w:r>
    </w:p>
    <w:p w14:paraId="3E626DDE" w14:textId="73556462" w:rsidR="000C0C76" w:rsidRDefault="000C0C76" w:rsidP="000C0C76">
      <w:pPr>
        <w:pStyle w:val="Heading5"/>
      </w:pPr>
      <w:r>
        <w:lastRenderedPageBreak/>
        <w:t>Laboratory abnormalities</w:t>
      </w:r>
    </w:p>
    <w:p w14:paraId="2DF8FABD" w14:textId="4C50F1C2" w:rsidR="00A5457C" w:rsidRDefault="00A5457C" w:rsidP="00ED3B34">
      <w:pPr>
        <w:pStyle w:val="Tabletitle0"/>
      </w:pPr>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47BEA">
        <w:rPr>
          <w:noProof/>
        </w:rPr>
        <w:t>15</w:t>
      </w:r>
      <w:r>
        <w:rPr>
          <w:color w:val="2B579A"/>
          <w:shd w:val="clear" w:color="auto" w:fill="E6E6E6"/>
        </w:rPr>
        <w:fldChar w:fldCharType="end"/>
      </w:r>
      <w:r>
        <w:t xml:space="preserve">: </w:t>
      </w:r>
      <w:r w:rsidR="004A61FD">
        <w:t xml:space="preserve">Studies A2301 and X2101 </w:t>
      </w:r>
      <w:r>
        <w:t xml:space="preserve">New or worsened haematology abnormalities based on </w:t>
      </w:r>
      <w:r w:rsidR="00ED3B34">
        <w:t>common terminology criteria</w:t>
      </w:r>
      <w:r>
        <w:t xml:space="preserve"> grades </w:t>
      </w:r>
      <w:r w:rsidR="00397CAA">
        <w:t>(</w:t>
      </w:r>
      <w:r>
        <w:t>in</w:t>
      </w:r>
      <w:r w:rsidR="00397CAA">
        <w:t>cludes</w:t>
      </w:r>
      <w:r>
        <w:t xml:space="preserve"> safety pool A</w:t>
      </w:r>
      <w:r w:rsidR="00397CAA">
        <w:t xml:space="preserve"> population)</w:t>
      </w:r>
    </w:p>
    <w:p w14:paraId="1C558F03" w14:textId="47753CB6" w:rsidR="00A5457C" w:rsidRDefault="00A5457C" w:rsidP="00A5457C">
      <w:r>
        <w:rPr>
          <w:noProof/>
          <w:color w:val="2B579A"/>
          <w:shd w:val="clear" w:color="auto" w:fill="E6E6E6"/>
          <w:lang w:val="en-GB" w:eastAsia="en-GB"/>
        </w:rPr>
        <w:drawing>
          <wp:inline distT="0" distB="0" distL="0" distR="0" wp14:anchorId="44464E27" wp14:editId="196D518C">
            <wp:extent cx="5344160" cy="2143125"/>
            <wp:effectExtent l="0" t="0" r="8890" b="9525"/>
            <wp:docPr id="16" name="Picture 16" descr="New or worsened haematology abnormalities based on common terminology criteria grades in safety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New or worsened haematology abnormalities based on common terminology criteria grades in safety pool A"/>
                    <pic:cNvPicPr>
                      <a:picLocks noChangeAspect="1" noChangeArrowheads="1"/>
                    </pic:cNvPicPr>
                  </pic:nvPicPr>
                  <pic:blipFill rotWithShape="1">
                    <a:blip r:embed="rId36">
                      <a:extLst>
                        <a:ext uri="{28A0092B-C50C-407E-A947-70E740481C1C}">
                          <a14:useLocalDpi xmlns:a14="http://schemas.microsoft.com/office/drawing/2010/main" val="0"/>
                        </a:ext>
                      </a:extLst>
                    </a:blip>
                    <a:srcRect l="1058" b="21875"/>
                    <a:stretch/>
                  </pic:blipFill>
                  <pic:spPr bwMode="auto">
                    <a:xfrm>
                      <a:off x="0" y="0"/>
                      <a:ext cx="5344160" cy="2143125"/>
                    </a:xfrm>
                    <a:prstGeom prst="rect">
                      <a:avLst/>
                    </a:prstGeom>
                    <a:noFill/>
                    <a:ln>
                      <a:noFill/>
                    </a:ln>
                    <a:extLst>
                      <a:ext uri="{53640926-AAD7-44D8-BBD7-CCE9431645EC}">
                        <a14:shadowObscured xmlns:a14="http://schemas.microsoft.com/office/drawing/2010/main"/>
                      </a:ext>
                    </a:extLst>
                  </pic:spPr>
                </pic:pic>
              </a:graphicData>
            </a:graphic>
          </wp:inline>
        </w:drawing>
      </w:r>
    </w:p>
    <w:p w14:paraId="6AB119FC" w14:textId="6ACE72D9" w:rsidR="00397CAA" w:rsidRDefault="00397CAA" w:rsidP="00281B1A">
      <w:pPr>
        <w:pStyle w:val="TableDescription"/>
      </w:pPr>
      <w:r>
        <w:t xml:space="preserve">Abbreviations: ABL001 = drug development code for asciminib; b.i.d. = twice a day; </w:t>
      </w:r>
      <w:proofErr w:type="spellStart"/>
      <w:r>
        <w:t>q.d</w:t>
      </w:r>
      <w:proofErr w:type="spellEnd"/>
      <w:r>
        <w:t>. = once daily.</w:t>
      </w:r>
    </w:p>
    <w:p w14:paraId="5605AFD5" w14:textId="0DBAF9B9" w:rsidR="00A5457C" w:rsidRPr="008125B3" w:rsidRDefault="00A5457C" w:rsidP="00281B1A">
      <w:pPr>
        <w:pStyle w:val="TableDescription"/>
      </w:pPr>
      <w:r w:rsidRPr="00D30BCE">
        <w:t>m = Total number of patients who has less than grade x at Baseline and with at least one post-baseline value</w:t>
      </w:r>
      <w:r w:rsidRPr="00322B59">
        <w:t xml:space="preserve"> for the lab parameter</w:t>
      </w:r>
      <w:r w:rsidR="00397CAA">
        <w:t xml:space="preserve">; </w:t>
      </w:r>
      <w:r w:rsidRPr="008125B3">
        <w:t>n = Number of patients who had less than grade x at Baseline and worsened to grade x post-baseline.</w:t>
      </w:r>
    </w:p>
    <w:p w14:paraId="1BFA2B25" w14:textId="31CEA1FE" w:rsidR="00A5457C" w:rsidRPr="00512393" w:rsidRDefault="00A5457C" w:rsidP="00281B1A">
      <w:pPr>
        <w:pStyle w:val="TableDescription"/>
      </w:pPr>
      <w:r w:rsidRPr="00512393">
        <w:t>Patients are counted only for the worst grade observed post-baseline.</w:t>
      </w:r>
    </w:p>
    <w:p w14:paraId="7961DFD6" w14:textId="761A5D7D" w:rsidR="00A5457C" w:rsidRPr="0070021A" w:rsidRDefault="00A5457C" w:rsidP="00281B1A">
      <w:pPr>
        <w:pStyle w:val="TableDescription"/>
      </w:pPr>
      <w:r w:rsidRPr="0070021A">
        <w:t>‘New’ means ‘grade 0’ at Baseline and ‘greater than or equal to grade 1’ after baseline.</w:t>
      </w:r>
    </w:p>
    <w:p w14:paraId="6C818223" w14:textId="769E1689" w:rsidR="00A5457C" w:rsidRPr="00397CAA" w:rsidRDefault="00A5457C" w:rsidP="00281B1A">
      <w:pPr>
        <w:pStyle w:val="TableDescription"/>
      </w:pPr>
      <w:r w:rsidRPr="0070021A">
        <w:t>Baseline is defined as the last non-m</w:t>
      </w:r>
      <w:r w:rsidRPr="00397CAA">
        <w:t>issing value prior to the first dose.</w:t>
      </w:r>
    </w:p>
    <w:p w14:paraId="29D37FE8" w14:textId="1D22E45C" w:rsidR="00ED3B34" w:rsidRDefault="00ED3B34" w:rsidP="00281B1A">
      <w:pPr>
        <w:pStyle w:val="TableDescription"/>
      </w:pPr>
      <w:r w:rsidRPr="00397CAA">
        <w:t>Grades based on common terminology criteria for adverse events (CTCAE) version 4.03.</w:t>
      </w:r>
    </w:p>
    <w:p w14:paraId="5E9F53D1" w14:textId="205A9B81" w:rsidR="00397CAA" w:rsidRPr="00D30BCE" w:rsidRDefault="00397CAA" w:rsidP="00281B1A">
      <w:pPr>
        <w:pStyle w:val="TableDescription"/>
      </w:pPr>
      <w:r>
        <w:t xml:space="preserve">See </w:t>
      </w:r>
      <w:r>
        <w:fldChar w:fldCharType="begin"/>
      </w:r>
      <w:r>
        <w:instrText xml:space="preserve"> REF _Ref127254789 \h </w:instrText>
      </w:r>
      <w:r>
        <w:fldChar w:fldCharType="separate"/>
      </w:r>
      <w:r w:rsidR="00547BEA">
        <w:t xml:space="preserve">Table </w:t>
      </w:r>
      <w:r w:rsidR="00547BEA">
        <w:rPr>
          <w:noProof/>
        </w:rPr>
        <w:t>11</w:t>
      </w:r>
      <w:r>
        <w:fldChar w:fldCharType="end"/>
      </w:r>
      <w:r>
        <w:t xml:space="preserve"> for descriptions of the safety populations.</w:t>
      </w:r>
    </w:p>
    <w:p w14:paraId="7E599D3D" w14:textId="77777777" w:rsidR="00101FE3" w:rsidRDefault="00ED3B34" w:rsidP="00ED3B34">
      <w:r w:rsidRPr="00ED3B34">
        <w:t>Thrombocytopenia, leukopenia, and neutropenia are reported at a higher incidence with asciminib whereas bosutinib has a higher incidence of anaemia and lymphopenia. Data for asciminib was overall consistent across studies and different dosing regimens. Note that much of the difference in haematological abnormalities between the 40</w:t>
      </w:r>
      <w:r>
        <w:t> </w:t>
      </w:r>
      <w:r w:rsidRPr="00ED3B34">
        <w:t xml:space="preserve">mg </w:t>
      </w:r>
      <w:r>
        <w:t>twice a day</w:t>
      </w:r>
      <w:r w:rsidRPr="00ED3B34">
        <w:t xml:space="preserve"> and 80</w:t>
      </w:r>
      <w:r>
        <w:t> </w:t>
      </w:r>
      <w:r w:rsidRPr="00ED3B34">
        <w:t>mg</w:t>
      </w:r>
      <w:r>
        <w:t xml:space="preserve"> once daily</w:t>
      </w:r>
      <w:r w:rsidRPr="00ED3B34">
        <w:t xml:space="preserve"> dose groups is due to a higher incidence of reduced lymphocytes in the 80</w:t>
      </w:r>
      <w:r>
        <w:t> </w:t>
      </w:r>
      <w:r w:rsidRPr="00ED3B34">
        <w:t xml:space="preserve">mg </w:t>
      </w:r>
      <w:r>
        <w:t>once daily</w:t>
      </w:r>
      <w:r w:rsidRPr="00ED3B34">
        <w:t xml:space="preserve"> group (17.1% </w:t>
      </w:r>
      <w:r>
        <w:t>versus</w:t>
      </w:r>
      <w:r w:rsidRPr="00ED3B34">
        <w:t xml:space="preserve"> 50%) but the 50% was due to only </w:t>
      </w:r>
      <w:r>
        <w:t>nine</w:t>
      </w:r>
      <w:r w:rsidRPr="00ED3B34">
        <w:t xml:space="preserve"> patients and the incidence of </w:t>
      </w:r>
      <w:r>
        <w:t>G</w:t>
      </w:r>
      <w:r w:rsidRPr="00ED3B34">
        <w:t xml:space="preserve">rade 3 or 4 lymphocytopenia was much smaller 2% </w:t>
      </w:r>
      <w:r>
        <w:t>versus</w:t>
      </w:r>
      <w:r w:rsidRPr="00ED3B34">
        <w:t xml:space="preserve"> 11.1%, with the 11% due to </w:t>
      </w:r>
      <w:r w:rsidR="007635A0">
        <w:t>two</w:t>
      </w:r>
      <w:r>
        <w:t xml:space="preserve"> out of </w:t>
      </w:r>
      <w:r w:rsidRPr="00ED3B34">
        <w:t>18 patients given the 80</w:t>
      </w:r>
      <w:r>
        <w:t> </w:t>
      </w:r>
      <w:r w:rsidRPr="00ED3B34">
        <w:t xml:space="preserve">mg </w:t>
      </w:r>
      <w:r>
        <w:t xml:space="preserve">once daily </w:t>
      </w:r>
      <w:r w:rsidRPr="00ED3B34">
        <w:t>dose regimen</w:t>
      </w:r>
      <w:r w:rsidR="00101FE3">
        <w:t>.</w:t>
      </w:r>
    </w:p>
    <w:p w14:paraId="36EE8D03" w14:textId="7B1F5191" w:rsidR="00ED3B34" w:rsidRDefault="00ED3B34" w:rsidP="00ED3B34">
      <w:r>
        <w:rPr>
          <w:color w:val="2B579A"/>
          <w:shd w:val="clear" w:color="auto" w:fill="E6E6E6"/>
        </w:rPr>
        <w:fldChar w:fldCharType="begin"/>
      </w:r>
      <w:r>
        <w:instrText xml:space="preserve"> REF _Ref127269388 \h </w:instrText>
      </w:r>
      <w:r>
        <w:rPr>
          <w:color w:val="2B579A"/>
          <w:shd w:val="clear" w:color="auto" w:fill="E6E6E6"/>
        </w:rPr>
      </w:r>
      <w:r>
        <w:rPr>
          <w:color w:val="2B579A"/>
          <w:shd w:val="clear" w:color="auto" w:fill="E6E6E6"/>
        </w:rPr>
        <w:fldChar w:fldCharType="separate"/>
      </w:r>
      <w:r w:rsidR="00547BEA">
        <w:t xml:space="preserve">Table </w:t>
      </w:r>
      <w:r w:rsidR="00547BEA">
        <w:rPr>
          <w:noProof/>
        </w:rPr>
        <w:t>16</w:t>
      </w:r>
      <w:r>
        <w:rPr>
          <w:color w:val="2B579A"/>
          <w:shd w:val="clear" w:color="auto" w:fill="E6E6E6"/>
        </w:rPr>
        <w:fldChar w:fldCharType="end"/>
      </w:r>
      <w:r>
        <w:t xml:space="preserve"> </w:t>
      </w:r>
      <w:r w:rsidRPr="00ED3B34">
        <w:t xml:space="preserve">showing chemistry abnormalities is from the </w:t>
      </w:r>
      <w:r w:rsidR="0009304F">
        <w:t>data cut</w:t>
      </w:r>
      <w:r w:rsidR="00A2692B">
        <w:t xml:space="preserve"> </w:t>
      </w:r>
      <w:r w:rsidR="0009304F">
        <w:t>off</w:t>
      </w:r>
      <w:r>
        <w:t xml:space="preserve"> </w:t>
      </w:r>
      <w:r w:rsidRPr="00ED3B34">
        <w:t>25 May 2020 dataset. At the update cut</w:t>
      </w:r>
      <w:r w:rsidR="00397CAA">
        <w:t>-</w:t>
      </w:r>
      <w:r w:rsidRPr="00ED3B34">
        <w:t xml:space="preserve">off </w:t>
      </w:r>
      <w:r w:rsidR="00397CAA">
        <w:t xml:space="preserve">date of </w:t>
      </w:r>
      <w:r w:rsidRPr="00ED3B34">
        <w:t>6 January 2021 there were some numerical increases in the number of new or worsening of any biochemical abnormalities, but no clinically significant changes were observed compared to those previously reported. Additionally, in Study</w:t>
      </w:r>
      <w:r w:rsidR="007635A0">
        <w:t> </w:t>
      </w:r>
      <w:r w:rsidRPr="00ED3B34">
        <w:t xml:space="preserve">A2301 in the asciminib group, increases (any grade) did not exceed </w:t>
      </w:r>
      <w:r>
        <w:t>two</w:t>
      </w:r>
      <w:r w:rsidRPr="00ED3B34">
        <w:t xml:space="preserve"> new patients, </w:t>
      </w:r>
      <w:proofErr w:type="gramStart"/>
      <w:r w:rsidRPr="00ED3B34">
        <w:t>with the exception of</w:t>
      </w:r>
      <w:proofErr w:type="gramEnd"/>
      <w:r w:rsidRPr="00ED3B34">
        <w:t xml:space="preserve"> </w:t>
      </w:r>
      <w:r>
        <w:t>a</w:t>
      </w:r>
      <w:r w:rsidRPr="004F499D">
        <w:t>lanine aminotransferase</w:t>
      </w:r>
      <w:r w:rsidRPr="00ED3B34">
        <w:t xml:space="preserve"> increase (</w:t>
      </w:r>
      <w:r>
        <w:t>seven</w:t>
      </w:r>
      <w:r w:rsidRPr="00ED3B34">
        <w:t xml:space="preserve"> new patients), </w:t>
      </w:r>
      <w:r>
        <w:t>a</w:t>
      </w:r>
      <w:r w:rsidRPr="004F499D">
        <w:t>spartate aminotransferase</w:t>
      </w:r>
      <w:r w:rsidRPr="00ED3B34">
        <w:t xml:space="preserve"> increase (</w:t>
      </w:r>
      <w:r>
        <w:t>five</w:t>
      </w:r>
      <w:r w:rsidRPr="00ED3B34">
        <w:t xml:space="preserve"> new patients), triglycerides increase (</w:t>
      </w:r>
      <w:r>
        <w:t>four</w:t>
      </w:r>
      <w:r w:rsidRPr="00ED3B34">
        <w:t xml:space="preserve"> new patients) and phosphate decrease (</w:t>
      </w:r>
      <w:r>
        <w:t>four</w:t>
      </w:r>
      <w:r w:rsidRPr="00ED3B34">
        <w:t xml:space="preserve"> patients), and for </w:t>
      </w:r>
      <w:r>
        <w:t>greater than or equal to G</w:t>
      </w:r>
      <w:r w:rsidRPr="00ED3B34">
        <w:t xml:space="preserve">rade 3 were marginal. In </w:t>
      </w:r>
      <w:r w:rsidR="007635A0">
        <w:t>S</w:t>
      </w:r>
      <w:r w:rsidRPr="00ED3B34">
        <w:t>tudy X2101 asciminib 80</w:t>
      </w:r>
      <w:r>
        <w:t> </w:t>
      </w:r>
      <w:r w:rsidRPr="00ED3B34">
        <w:t xml:space="preserve">mg </w:t>
      </w:r>
      <w:r>
        <w:t>once daily</w:t>
      </w:r>
      <w:r w:rsidRPr="00ED3B34">
        <w:t xml:space="preserve"> dose amylase increase was observed in </w:t>
      </w:r>
      <w:r>
        <w:t>one</w:t>
      </w:r>
      <w:r w:rsidRPr="00ED3B34">
        <w:t xml:space="preserve"> new patient.</w:t>
      </w:r>
    </w:p>
    <w:p w14:paraId="627B5D40" w14:textId="427C6AC0" w:rsidR="00ED3B34" w:rsidRDefault="00ED3B34" w:rsidP="0009304F">
      <w:pPr>
        <w:pStyle w:val="Tabletitle0"/>
      </w:pPr>
      <w:bookmarkStart w:id="70" w:name="_Ref127269388"/>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47BEA">
        <w:rPr>
          <w:noProof/>
        </w:rPr>
        <w:t>16</w:t>
      </w:r>
      <w:r>
        <w:rPr>
          <w:color w:val="2B579A"/>
          <w:shd w:val="clear" w:color="auto" w:fill="E6E6E6"/>
        </w:rPr>
        <w:fldChar w:fldCharType="end"/>
      </w:r>
      <w:bookmarkEnd w:id="70"/>
      <w:r>
        <w:t xml:space="preserve">: </w:t>
      </w:r>
      <w:r w:rsidR="00397CAA">
        <w:t xml:space="preserve">Studies A2301 and X2101 </w:t>
      </w:r>
      <w:r>
        <w:t>New or worsening chemistry abnormalities</w:t>
      </w:r>
      <w:r w:rsidR="00FE6317">
        <w:t xml:space="preserve"> </w:t>
      </w:r>
      <w:r w:rsidR="00397CAA">
        <w:t>(including safety pool A)</w:t>
      </w:r>
    </w:p>
    <w:p w14:paraId="613E27CB" w14:textId="17B02C9F" w:rsidR="00FE6317" w:rsidRDefault="00FE6317" w:rsidP="00FE6317">
      <w:r>
        <w:rPr>
          <w:noProof/>
          <w:color w:val="2B579A"/>
          <w:shd w:val="clear" w:color="auto" w:fill="E6E6E6"/>
          <w:lang w:val="en-GB" w:eastAsia="en-GB"/>
        </w:rPr>
        <w:drawing>
          <wp:inline distT="0" distB="0" distL="0" distR="0" wp14:anchorId="45DB9DEB" wp14:editId="4E11D325">
            <wp:extent cx="5749290" cy="5210175"/>
            <wp:effectExtent l="0" t="0" r="3810" b="9525"/>
            <wp:docPr id="18" name="Picture 18" descr="New or worsening chemistry abnormalities for safety p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New or worsening chemistry abnormalities for safety pool A"/>
                    <pic:cNvPicPr>
                      <a:picLocks noChangeAspect="1" noChangeArrowheads="1"/>
                    </pic:cNvPicPr>
                  </pic:nvPicPr>
                  <pic:blipFill rotWithShape="1">
                    <a:blip r:embed="rId37">
                      <a:extLst>
                        <a:ext uri="{28A0092B-C50C-407E-A947-70E740481C1C}">
                          <a14:useLocalDpi xmlns:a14="http://schemas.microsoft.com/office/drawing/2010/main" val="0"/>
                        </a:ext>
                      </a:extLst>
                    </a:blip>
                    <a:srcRect b="8691"/>
                    <a:stretch/>
                  </pic:blipFill>
                  <pic:spPr bwMode="auto">
                    <a:xfrm>
                      <a:off x="0" y="0"/>
                      <a:ext cx="5749290" cy="5210175"/>
                    </a:xfrm>
                    <a:prstGeom prst="rect">
                      <a:avLst/>
                    </a:prstGeom>
                    <a:noFill/>
                    <a:ln>
                      <a:noFill/>
                    </a:ln>
                    <a:extLst>
                      <a:ext uri="{53640926-AAD7-44D8-BBD7-CCE9431645EC}">
                        <a14:shadowObscured xmlns:a14="http://schemas.microsoft.com/office/drawing/2010/main"/>
                      </a:ext>
                    </a:extLst>
                  </pic:spPr>
                </pic:pic>
              </a:graphicData>
            </a:graphic>
          </wp:inline>
        </w:drawing>
      </w:r>
    </w:p>
    <w:p w14:paraId="1674E754" w14:textId="25997333" w:rsidR="00397CAA" w:rsidRDefault="00397CAA" w:rsidP="00281B1A">
      <w:pPr>
        <w:pStyle w:val="TableDescription"/>
      </w:pPr>
      <w:r>
        <w:t xml:space="preserve">Abbreviations: ABL001 = drug development code for asciminib; b.i.d. = twice a day; </w:t>
      </w:r>
      <w:proofErr w:type="spellStart"/>
      <w:r>
        <w:t>q.d</w:t>
      </w:r>
      <w:proofErr w:type="spellEnd"/>
      <w:r>
        <w:t>. = once daily.</w:t>
      </w:r>
    </w:p>
    <w:p w14:paraId="179D99E7" w14:textId="1033B50E" w:rsidR="00FE6317" w:rsidRPr="008125B3" w:rsidRDefault="00FE6317" w:rsidP="00281B1A">
      <w:pPr>
        <w:pStyle w:val="TableDescription"/>
      </w:pPr>
      <w:r w:rsidRPr="00D30BCE">
        <w:t>m = Total number of patients who has less than grade x at Baseline and with at least one post-baseline value for the lab parameter</w:t>
      </w:r>
      <w:r w:rsidR="00397CAA">
        <w:t xml:space="preserve">; </w:t>
      </w:r>
      <w:r w:rsidRPr="008125B3">
        <w:t>n = Number of patients who had less than grade x at Baseline and worsened to grade x post-baseline.</w:t>
      </w:r>
    </w:p>
    <w:p w14:paraId="1425E725" w14:textId="77777777" w:rsidR="00FE6317" w:rsidRPr="00512393" w:rsidRDefault="00FE6317" w:rsidP="00281B1A">
      <w:pPr>
        <w:pStyle w:val="TableDescription"/>
      </w:pPr>
      <w:r w:rsidRPr="00512393">
        <w:t>Patients are counted only for the worst grade observed post-baseline.</w:t>
      </w:r>
    </w:p>
    <w:p w14:paraId="0D214113" w14:textId="2AB59A60" w:rsidR="00FE6317" w:rsidRPr="00322B59" w:rsidRDefault="00FE6317" w:rsidP="00281B1A">
      <w:pPr>
        <w:pStyle w:val="TableDescription"/>
      </w:pPr>
      <w:r w:rsidRPr="0070021A">
        <w:t xml:space="preserve">‘New’ means ‘grade 0’ at Baseline and ‘greater than or equal to </w:t>
      </w:r>
      <w:r w:rsidR="00397CAA">
        <w:t>G</w:t>
      </w:r>
      <w:r w:rsidRPr="00322B59">
        <w:t>rade 1’ after baseline.</w:t>
      </w:r>
    </w:p>
    <w:p w14:paraId="4FCA2615" w14:textId="65892142" w:rsidR="00FE6317" w:rsidRDefault="00FE6317" w:rsidP="00281B1A">
      <w:pPr>
        <w:pStyle w:val="TableDescription"/>
      </w:pPr>
      <w:r w:rsidRPr="008125B3">
        <w:t>Baseline is defined as the last non-missing value prior to the first dose.</w:t>
      </w:r>
    </w:p>
    <w:p w14:paraId="58CDCB4C" w14:textId="18DBDE8A" w:rsidR="00397CAA" w:rsidRPr="00D30BCE" w:rsidRDefault="00397CAA" w:rsidP="00281B1A">
      <w:pPr>
        <w:pStyle w:val="TableDescription"/>
      </w:pPr>
      <w:r>
        <w:t xml:space="preserve">See </w:t>
      </w:r>
      <w:r>
        <w:fldChar w:fldCharType="begin"/>
      </w:r>
      <w:r>
        <w:instrText xml:space="preserve"> REF _Ref127254789 \h </w:instrText>
      </w:r>
      <w:r>
        <w:fldChar w:fldCharType="separate"/>
      </w:r>
      <w:r w:rsidR="00547BEA">
        <w:t xml:space="preserve">Table </w:t>
      </w:r>
      <w:r w:rsidR="00547BEA">
        <w:rPr>
          <w:noProof/>
        </w:rPr>
        <w:t>11</w:t>
      </w:r>
      <w:r>
        <w:fldChar w:fldCharType="end"/>
      </w:r>
      <w:r>
        <w:t xml:space="preserve"> for descriptions of the safety populations.</w:t>
      </w:r>
    </w:p>
    <w:p w14:paraId="37881100" w14:textId="64657B04" w:rsidR="00FE6317" w:rsidRDefault="00FE6317" w:rsidP="00FE6317">
      <w:r w:rsidRPr="00FE6317">
        <w:t xml:space="preserve">The incidence of QTc prolongation </w:t>
      </w:r>
      <w:r>
        <w:t>adverse event</w:t>
      </w:r>
      <w:r w:rsidR="00397CAA">
        <w:t>s;</w:t>
      </w:r>
      <w:r w:rsidR="00397CAA" w:rsidRPr="00281B1A">
        <w:rPr>
          <w:vertAlign w:val="superscript"/>
        </w:rPr>
        <w:fldChar w:fldCharType="begin"/>
      </w:r>
      <w:r w:rsidR="00397CAA" w:rsidRPr="00281B1A">
        <w:rPr>
          <w:vertAlign w:val="superscript"/>
        </w:rPr>
        <w:instrText xml:space="preserve"> NOTEREF _Ref127878095 \h </w:instrText>
      </w:r>
      <w:r w:rsidR="00397CAA">
        <w:rPr>
          <w:vertAlign w:val="superscript"/>
        </w:rPr>
        <w:instrText xml:space="preserve"> \* MERGEFORMAT </w:instrText>
      </w:r>
      <w:r w:rsidR="00397CAA" w:rsidRPr="00281B1A">
        <w:rPr>
          <w:vertAlign w:val="superscript"/>
        </w:rPr>
      </w:r>
      <w:r w:rsidR="00397CAA" w:rsidRPr="00281B1A">
        <w:rPr>
          <w:vertAlign w:val="superscript"/>
        </w:rPr>
        <w:fldChar w:fldCharType="separate"/>
      </w:r>
      <w:r w:rsidR="00547BEA">
        <w:rPr>
          <w:vertAlign w:val="superscript"/>
        </w:rPr>
        <w:t>18</w:t>
      </w:r>
      <w:r w:rsidR="00397CAA" w:rsidRPr="00281B1A">
        <w:rPr>
          <w:vertAlign w:val="superscript"/>
        </w:rPr>
        <w:fldChar w:fldCharType="end"/>
      </w:r>
      <w:r w:rsidRPr="00FE6317">
        <w:t xml:space="preserve"> was low in both treatment groups: 4</w:t>
      </w:r>
      <w:r>
        <w:t xml:space="preserve"> out of </w:t>
      </w:r>
      <w:r w:rsidRPr="00FE6317">
        <w:t>156; 2.6% in the asciminib group (</w:t>
      </w:r>
      <w:r>
        <w:t>two</w:t>
      </w:r>
      <w:r w:rsidRPr="00FE6317">
        <w:t xml:space="preserve"> of QT prolongation, </w:t>
      </w:r>
      <w:r>
        <w:t>one</w:t>
      </w:r>
      <w:r w:rsidRPr="00FE6317">
        <w:t xml:space="preserve"> syncope, </w:t>
      </w:r>
      <w:r>
        <w:t xml:space="preserve">one </w:t>
      </w:r>
      <w:r w:rsidRPr="00FE6317">
        <w:t>ventricular tachycardia) and 1</w:t>
      </w:r>
      <w:r>
        <w:t xml:space="preserve"> out of </w:t>
      </w:r>
      <w:r w:rsidRPr="00FE6317">
        <w:t xml:space="preserve">76; 1.3% in the bosutinib (syncope). None of the events in asciminib arm were considered </w:t>
      </w:r>
      <w:r>
        <w:t>serious adverse events</w:t>
      </w:r>
      <w:r w:rsidRPr="00FE6317">
        <w:t>, two out of the four were considered not treatment related and the role of asciminib cannot be fully excluded in the other two patients.</w:t>
      </w:r>
    </w:p>
    <w:p w14:paraId="6C9BC853" w14:textId="55804025" w:rsidR="00397CAA" w:rsidRPr="00FE6317" w:rsidRDefault="00397CAA" w:rsidP="00281B1A">
      <w:pPr>
        <w:pStyle w:val="Heading5"/>
      </w:pPr>
      <w:r>
        <w:t>Safety analyses in specific subgroups and populations</w:t>
      </w:r>
    </w:p>
    <w:p w14:paraId="7A00F467" w14:textId="5A6C2AEC" w:rsidR="00FE6317" w:rsidRPr="00FE6317" w:rsidRDefault="00FE6317" w:rsidP="00FE6317">
      <w:r w:rsidRPr="00FE6317">
        <w:t>Exposure</w:t>
      </w:r>
      <w:r w:rsidR="00A2692B">
        <w:t xml:space="preserve"> </w:t>
      </w:r>
      <w:r w:rsidRPr="00FE6317">
        <w:t>safety analyses based on PK</w:t>
      </w:r>
      <w:r>
        <w:t xml:space="preserve"> </w:t>
      </w:r>
      <w:r w:rsidRPr="00FE6317">
        <w:t>safety set indicated a lack of association between exposure and chance of safety events (</w:t>
      </w:r>
      <w:r>
        <w:t>that is</w:t>
      </w:r>
      <w:r w:rsidRPr="00FE6317">
        <w:t xml:space="preserve">, laboratory abnormalities, vital sign </w:t>
      </w:r>
      <w:r w:rsidRPr="00FE6317">
        <w:lastRenderedPageBreak/>
        <w:t xml:space="preserve">abnormalities, fatigue/asthenia (based on </w:t>
      </w:r>
      <w:r>
        <w:t>adverse events</w:t>
      </w:r>
      <w:r w:rsidRPr="00FE6317">
        <w:t xml:space="preserve">), </w:t>
      </w:r>
      <w:r>
        <w:t>adverse events</w:t>
      </w:r>
      <w:r w:rsidRPr="00FE6317">
        <w:t xml:space="preserve"> of </w:t>
      </w:r>
      <w:r>
        <w:t>G</w:t>
      </w:r>
      <w:r w:rsidRPr="00FE6317">
        <w:t xml:space="preserve">rade 3 or higher, </w:t>
      </w:r>
      <w:r>
        <w:t>adverse event</w:t>
      </w:r>
      <w:r w:rsidRPr="00FE6317">
        <w:t xml:space="preserve">s leading to dose reductions) using pooled data from </w:t>
      </w:r>
      <w:r w:rsidR="005D679D">
        <w:t>S</w:t>
      </w:r>
      <w:r w:rsidRPr="00FE6317">
        <w:t>tud</w:t>
      </w:r>
      <w:r w:rsidR="005D679D">
        <w:t>y</w:t>
      </w:r>
      <w:r w:rsidRPr="00FE6317">
        <w:t xml:space="preserve"> X2101 (</w:t>
      </w:r>
      <w:r w:rsidR="005D679D">
        <w:t>A</w:t>
      </w:r>
      <w:r w:rsidRPr="00FE6317">
        <w:t>rm 1) and Study A2301 (N</w:t>
      </w:r>
      <w:r w:rsidR="005D679D">
        <w:t xml:space="preserve"> </w:t>
      </w:r>
      <w:r w:rsidRPr="00FE6317">
        <w:t>=</w:t>
      </w:r>
      <w:r w:rsidR="005D679D">
        <w:t xml:space="preserve"> </w:t>
      </w:r>
      <w:r w:rsidRPr="00FE6317">
        <w:t>353).</w:t>
      </w:r>
    </w:p>
    <w:p w14:paraId="0C6073D9" w14:textId="59FFD84F" w:rsidR="00FE6317" w:rsidRDefault="00FE6317" w:rsidP="00FE6317">
      <w:r w:rsidRPr="00FE6317">
        <w:t xml:space="preserve">Overall, the various subgroup analyses (age, gender, race, renal impairment at </w:t>
      </w:r>
      <w:r w:rsidR="005D679D">
        <w:t>B</w:t>
      </w:r>
      <w:r w:rsidRPr="00FE6317">
        <w:t xml:space="preserve">aseline) showed a consistent pattern of events with those reported for the overall population in Study A2301. The proportion of patients having </w:t>
      </w:r>
      <w:r w:rsidR="005D679D">
        <w:t>serious adverse events</w:t>
      </w:r>
      <w:r w:rsidRPr="00FE6317">
        <w:t xml:space="preserve"> was higher (</w:t>
      </w:r>
      <w:r w:rsidR="007635A0">
        <w:t>+</w:t>
      </w:r>
      <w:r w:rsidRPr="00FE6317">
        <w:t xml:space="preserve">10.7%) in </w:t>
      </w:r>
      <w:r w:rsidR="00D30BCE">
        <w:t xml:space="preserve">those aged </w:t>
      </w:r>
      <w:r w:rsidRPr="00FE6317">
        <w:t>65 years</w:t>
      </w:r>
      <w:r w:rsidR="00D30BCE">
        <w:t xml:space="preserve"> or older</w:t>
      </w:r>
      <w:r w:rsidRPr="00FE6317">
        <w:t xml:space="preserve"> (24.1%) compared to </w:t>
      </w:r>
      <w:r w:rsidR="00D30BCE">
        <w:t xml:space="preserve">those between the ages of </w:t>
      </w:r>
      <w:r w:rsidRPr="00FE6317">
        <w:t xml:space="preserve">18 </w:t>
      </w:r>
      <w:r w:rsidR="00D30BCE">
        <w:t>and</w:t>
      </w:r>
      <w:r w:rsidRPr="00FE6317">
        <w:t xml:space="preserve"> 65 years (13.4%) </w:t>
      </w:r>
      <w:proofErr w:type="gramStart"/>
      <w:r w:rsidRPr="00FE6317">
        <w:t>and also</w:t>
      </w:r>
      <w:proofErr w:type="gramEnd"/>
      <w:r w:rsidRPr="00FE6317">
        <w:t xml:space="preserve"> the </w:t>
      </w:r>
      <w:r w:rsidR="005D679D">
        <w:t>adverse events</w:t>
      </w:r>
      <w:r w:rsidRPr="00FE6317">
        <w:t xml:space="preserve"> requiring additional therapy was higher (</w:t>
      </w:r>
      <w:r w:rsidR="007635A0">
        <w:t>+</w:t>
      </w:r>
      <w:r w:rsidRPr="00FE6317">
        <w:t xml:space="preserve">13.9%) in </w:t>
      </w:r>
      <w:r w:rsidR="00D30BCE">
        <w:t>those</w:t>
      </w:r>
      <w:r w:rsidRPr="00FE6317">
        <w:t xml:space="preserve"> 65 years</w:t>
      </w:r>
      <w:r w:rsidR="00D30BCE">
        <w:t xml:space="preserve"> or age or older</w:t>
      </w:r>
      <w:r w:rsidRPr="00FE6317">
        <w:t xml:space="preserve"> (79.3%) compared to </w:t>
      </w:r>
      <w:r w:rsidR="00D30BCE">
        <w:t xml:space="preserve">those between </w:t>
      </w:r>
      <w:r w:rsidRPr="00FE6317">
        <w:t xml:space="preserve">18 </w:t>
      </w:r>
      <w:r w:rsidR="00D30BCE">
        <w:t>and</w:t>
      </w:r>
      <w:r w:rsidRPr="00FE6317">
        <w:t xml:space="preserve"> 65 years (65.4%)</w:t>
      </w:r>
      <w:r w:rsidR="00D30BCE">
        <w:t xml:space="preserve"> of age</w:t>
      </w:r>
      <w:r w:rsidRPr="00FE6317">
        <w:t xml:space="preserve">. The incidence of </w:t>
      </w:r>
      <w:r w:rsidR="005D679D">
        <w:t>adverse events</w:t>
      </w:r>
      <w:r w:rsidRPr="00FE6317">
        <w:t xml:space="preserve"> in all other </w:t>
      </w:r>
      <w:r w:rsidR="005D679D">
        <w:t>adverse event</w:t>
      </w:r>
      <w:r w:rsidRPr="00FE6317">
        <w:t xml:space="preserve"> categories was similar (with difference of </w:t>
      </w:r>
      <w:r w:rsidR="005D679D">
        <w:t>less than</w:t>
      </w:r>
      <w:r w:rsidRPr="00FE6317">
        <w:t xml:space="preserve"> 15%) in all the age categories. There were only </w:t>
      </w:r>
      <w:r w:rsidR="005D679D">
        <w:t>four</w:t>
      </w:r>
      <w:r w:rsidRPr="00FE6317">
        <w:t xml:space="preserve"> patients </w:t>
      </w:r>
      <w:r w:rsidR="00D30BCE">
        <w:t>aged</w:t>
      </w:r>
      <w:r w:rsidR="005D679D">
        <w:t xml:space="preserve"> </w:t>
      </w:r>
      <w:r w:rsidRPr="00FE6317">
        <w:t>75 years</w:t>
      </w:r>
      <w:r w:rsidR="00D30BCE">
        <w:t xml:space="preserve"> or older</w:t>
      </w:r>
      <w:r w:rsidRPr="00FE6317">
        <w:t xml:space="preserve"> (already included in </w:t>
      </w:r>
      <w:r w:rsidR="00D30BCE">
        <w:t xml:space="preserve">the </w:t>
      </w:r>
      <w:r w:rsidRPr="00FE6317">
        <w:t>65 years</w:t>
      </w:r>
      <w:r w:rsidR="00D30BCE">
        <w:t xml:space="preserve"> or older</w:t>
      </w:r>
      <w:r w:rsidRPr="00FE6317">
        <w:t xml:space="preserve"> category).</w:t>
      </w:r>
    </w:p>
    <w:p w14:paraId="792D25FE" w14:textId="127B612E" w:rsidR="00D30BCE" w:rsidRPr="00FE6317" w:rsidRDefault="00D30BCE" w:rsidP="00281B1A">
      <w:pPr>
        <w:pStyle w:val="Heading5"/>
      </w:pPr>
      <w:r>
        <w:t>Adverse events of special interest</w:t>
      </w:r>
    </w:p>
    <w:p w14:paraId="263B202E" w14:textId="5301F740" w:rsidR="00FE6317" w:rsidRPr="00FE6317" w:rsidRDefault="005D679D" w:rsidP="00FE6317">
      <w:r>
        <w:t>Adverse events</w:t>
      </w:r>
      <w:r w:rsidR="00FE6317" w:rsidRPr="00FE6317">
        <w:t xml:space="preserve"> of special interest are based on the class effects of other </w:t>
      </w:r>
      <w:r>
        <w:t>tyrosine kinase inhibitors</w:t>
      </w:r>
      <w:r w:rsidR="00FE6317" w:rsidRPr="00FE6317">
        <w:t xml:space="preserve">, mechanism of action and the nonclinical and clinical knowledge of asciminib. They include myelosuppression; pancreatic toxicity; hypersensitivity; hepatotoxicity; hepatitis B virus reactivation; reproductive toxicity; </w:t>
      </w:r>
      <w:r>
        <w:t>gastrointestinal</w:t>
      </w:r>
      <w:r w:rsidR="00FE6317" w:rsidRPr="00FE6317">
        <w:t xml:space="preserve"> toxicity; phototoxicity; QTc prolongation; cardiac failure; oedema and fluid retention; ischemic heart disease</w:t>
      </w:r>
      <w:r w:rsidR="009941A4">
        <w:t xml:space="preserve"> </w:t>
      </w:r>
      <w:r w:rsidR="00FE6317" w:rsidRPr="00FE6317">
        <w:t xml:space="preserve">and </w:t>
      </w:r>
      <w:r w:rsidR="009941A4">
        <w:t xml:space="preserve">ischaemic </w:t>
      </w:r>
      <w:r>
        <w:t>central nervous system</w:t>
      </w:r>
      <w:r w:rsidR="009941A4">
        <w:t xml:space="preserve"> vascular</w:t>
      </w:r>
      <w:r w:rsidR="00FE6317" w:rsidRPr="00FE6317">
        <w:t xml:space="preserve"> conditions</w:t>
      </w:r>
      <w:r w:rsidR="00EC5232">
        <w:t>;</w:t>
      </w:r>
      <w:r w:rsidR="00FE6317" w:rsidRPr="00FE6317">
        <w:t xml:space="preserve"> haemorrhage.</w:t>
      </w:r>
    </w:p>
    <w:p w14:paraId="454E3C75" w14:textId="4F3800AC" w:rsidR="00FE6317" w:rsidRPr="00FE6317" w:rsidRDefault="00FE6317" w:rsidP="00FE6317">
      <w:r w:rsidRPr="00FE6317">
        <w:t xml:space="preserve">As previously discussed, thrombocytopenia was more frequent in patients given asciminib than bosutinib. In Study A2301 pancreatic toxicity (lipase and/or amylase increase) occurred in 8.3% and 9.2% of patients in the asciminib and bosutinib group respectively. </w:t>
      </w:r>
      <w:proofErr w:type="gramStart"/>
      <w:r w:rsidRPr="00FE6317">
        <w:t>The majority of</w:t>
      </w:r>
      <w:proofErr w:type="gramEnd"/>
      <w:r w:rsidRPr="00FE6317">
        <w:t xml:space="preserve"> these events were managed by dose interruption. No events of pancreatitis were reported in either of the treatment groups in </w:t>
      </w:r>
      <w:r w:rsidR="005D679D">
        <w:t>S</w:t>
      </w:r>
      <w:r w:rsidRPr="00FE6317">
        <w:t>tudy A2301. In the total asciminib safety pool (Study A2301 on 25</w:t>
      </w:r>
      <w:r w:rsidR="005D679D">
        <w:t xml:space="preserve"> </w:t>
      </w:r>
      <w:r w:rsidRPr="00FE6317">
        <w:t>May</w:t>
      </w:r>
      <w:r w:rsidR="005D679D">
        <w:t xml:space="preserve"> </w:t>
      </w:r>
      <w:r w:rsidRPr="00FE6317">
        <w:t>2020; Study X2101on 02</w:t>
      </w:r>
      <w:r w:rsidR="005D679D">
        <w:t xml:space="preserve"> </w:t>
      </w:r>
      <w:r w:rsidRPr="00FE6317">
        <w:t>Apr</w:t>
      </w:r>
      <w:r w:rsidR="005D679D">
        <w:t xml:space="preserve"> </w:t>
      </w:r>
      <w:r w:rsidRPr="00FE6317">
        <w:t xml:space="preserve">2020) pancreatitis was reported in </w:t>
      </w:r>
      <w:r w:rsidR="005D679D">
        <w:t>seven</w:t>
      </w:r>
      <w:r w:rsidRPr="00FE6317">
        <w:t xml:space="preserve"> patients including one patient at 80</w:t>
      </w:r>
      <w:r w:rsidR="005D679D">
        <w:t> </w:t>
      </w:r>
      <w:r w:rsidRPr="00FE6317">
        <w:t xml:space="preserve">mg </w:t>
      </w:r>
      <w:r w:rsidR="005D679D">
        <w:t>on</w:t>
      </w:r>
      <w:r w:rsidR="00DB22A2">
        <w:t>c</w:t>
      </w:r>
      <w:r w:rsidR="005D679D">
        <w:t xml:space="preserve">e daily </w:t>
      </w:r>
      <w:r w:rsidRPr="00FE6317">
        <w:t>dose.</w:t>
      </w:r>
    </w:p>
    <w:p w14:paraId="657233BC" w14:textId="56808926" w:rsidR="00FE6317" w:rsidRPr="00FE6317" w:rsidRDefault="00FE6317" w:rsidP="00FE6317">
      <w:r w:rsidRPr="00FE6317">
        <w:t>Overall, pancreatic toxicity events were reported in 63</w:t>
      </w:r>
      <w:r w:rsidR="005D679D">
        <w:t xml:space="preserve"> out of </w:t>
      </w:r>
      <w:r w:rsidRPr="00FE6317">
        <w:t xml:space="preserve">200 (31.5%) patients with </w:t>
      </w:r>
      <w:r w:rsidR="005D679D">
        <w:t xml:space="preserve">chronic myeloid </w:t>
      </w:r>
      <w:r w:rsidR="001B10B9">
        <w:t>leukaemia</w:t>
      </w:r>
      <w:r w:rsidR="005D679D">
        <w:t xml:space="preserve"> </w:t>
      </w:r>
      <w:r w:rsidR="007F3963">
        <w:t xml:space="preserve">in </w:t>
      </w:r>
      <w:r w:rsidR="005D679D">
        <w:t>chronic phase/accelerated phase</w:t>
      </w:r>
      <w:r w:rsidRPr="00FE6317">
        <w:t xml:space="preserve">, with </w:t>
      </w:r>
      <w:r w:rsidR="005D679D">
        <w:t>G</w:t>
      </w:r>
      <w:r w:rsidRPr="00FE6317">
        <w:t>rade 3/4 events reported in 38</w:t>
      </w:r>
      <w:r w:rsidR="005D679D">
        <w:t xml:space="preserve"> out of </w:t>
      </w:r>
      <w:r w:rsidRPr="00FE6317">
        <w:t xml:space="preserve">200 (19%) patients. Lipase increase (26%; </w:t>
      </w:r>
      <w:r w:rsidR="005D679D">
        <w:t>G</w:t>
      </w:r>
      <w:r w:rsidRPr="00FE6317">
        <w:t xml:space="preserve">rade 3/4: 14.5%), and amylase increase (13.5%; </w:t>
      </w:r>
      <w:r w:rsidR="005D679D">
        <w:t>G</w:t>
      </w:r>
      <w:r w:rsidRPr="00FE6317">
        <w:t xml:space="preserve">rade 3/4: 3.5%) were the most frequent </w:t>
      </w:r>
      <w:r w:rsidR="002C644D">
        <w:t>pancreatic toxicities</w:t>
      </w:r>
      <w:r w:rsidRPr="00FE6317">
        <w:t xml:space="preserve"> (all grades) reported in </w:t>
      </w:r>
      <w:r w:rsidR="005D679D">
        <w:t>greater than or equal to</w:t>
      </w:r>
      <w:r w:rsidRPr="00FE6317">
        <w:t xml:space="preserve"> 10% of patients. Of note, pancreatitis (all grades) was reported in </w:t>
      </w:r>
      <w:r w:rsidR="005D679D">
        <w:t>seven</w:t>
      </w:r>
      <w:r w:rsidRPr="00FE6317">
        <w:t xml:space="preserve"> (3.5%) patients including </w:t>
      </w:r>
      <w:r w:rsidR="005D679D">
        <w:t>G</w:t>
      </w:r>
      <w:r w:rsidRPr="00FE6317">
        <w:t xml:space="preserve">rade 3 in </w:t>
      </w:r>
      <w:r w:rsidR="005D679D">
        <w:t>three</w:t>
      </w:r>
      <w:r w:rsidRPr="00FE6317">
        <w:t xml:space="preserve"> (1.5%) patients, pancreatitis acute (all grades) in </w:t>
      </w:r>
      <w:r w:rsidR="005D679D">
        <w:t>two</w:t>
      </w:r>
      <w:r w:rsidRPr="00FE6317">
        <w:t xml:space="preserve"> (1%) patients including </w:t>
      </w:r>
      <w:r w:rsidR="005D679D">
        <w:t>G</w:t>
      </w:r>
      <w:r w:rsidRPr="00FE6317">
        <w:t xml:space="preserve">rade 3 in </w:t>
      </w:r>
      <w:r w:rsidR="005D679D">
        <w:t>one</w:t>
      </w:r>
      <w:r w:rsidRPr="00FE6317">
        <w:t xml:space="preserve"> (0.5%) patient. These events included events in patients given treatments in addition to asciminib.</w:t>
      </w:r>
    </w:p>
    <w:p w14:paraId="6937AE54" w14:textId="07A511C4" w:rsidR="00FE6317" w:rsidRPr="00FE6317" w:rsidRDefault="00FE6317" w:rsidP="00FE6317">
      <w:r w:rsidRPr="00FE6317">
        <w:t xml:space="preserve">In </w:t>
      </w:r>
      <w:r w:rsidR="005D679D">
        <w:t>S</w:t>
      </w:r>
      <w:r w:rsidRPr="00FE6317">
        <w:t xml:space="preserve">tudy A2301, hypersensitivity events were reported in </w:t>
      </w:r>
      <w:r w:rsidRPr="00FE6317" w:rsidDel="001752B3">
        <w:t xml:space="preserve">34.2% </w:t>
      </w:r>
      <w:r w:rsidRPr="00FE6317">
        <w:t xml:space="preserve">and </w:t>
      </w:r>
      <w:r w:rsidRPr="00FE6317" w:rsidDel="001752B3">
        <w:t xml:space="preserve">19.2% </w:t>
      </w:r>
      <w:r w:rsidRPr="00FE6317">
        <w:t xml:space="preserve">of patients in the </w:t>
      </w:r>
      <w:r w:rsidRPr="00FE6317" w:rsidDel="001752B3">
        <w:t xml:space="preserve">bosutinib </w:t>
      </w:r>
      <w:r w:rsidRPr="00FE6317">
        <w:t xml:space="preserve">arm and </w:t>
      </w:r>
      <w:r w:rsidRPr="00FE6317" w:rsidDel="001752B3">
        <w:t xml:space="preserve">asciminib </w:t>
      </w:r>
      <w:r w:rsidRPr="00FE6317">
        <w:t>respectively. Most of these events were skin disorders, primarily rash.</w:t>
      </w:r>
    </w:p>
    <w:p w14:paraId="1827B019" w14:textId="7DBA1200" w:rsidR="00FE6317" w:rsidRPr="00FE6317" w:rsidRDefault="00FE6317" w:rsidP="00FE6317">
      <w:r w:rsidRPr="00FE6317">
        <w:t xml:space="preserve">In Study A2301 the incidence of hepatotoxicity events (including laboratory terms) was 9% </w:t>
      </w:r>
      <w:r w:rsidR="005D679D">
        <w:t xml:space="preserve">versus </w:t>
      </w:r>
      <w:r w:rsidRPr="00FE6317">
        <w:t>30.3% for asciminib and bosutinib respectively (1.9% v</w:t>
      </w:r>
      <w:r w:rsidR="005D679D">
        <w:t>ersus</w:t>
      </w:r>
      <w:r w:rsidRPr="00FE6317">
        <w:t xml:space="preserve"> 17.1% for </w:t>
      </w:r>
      <w:r w:rsidR="005D679D">
        <w:t xml:space="preserve">greater than or equal to </w:t>
      </w:r>
      <w:r w:rsidRPr="00FE6317">
        <w:t>Grade 3 events). Hepatitis B reactivation was not observed in Study</w:t>
      </w:r>
      <w:r w:rsidR="005D679D">
        <w:t> </w:t>
      </w:r>
      <w:r w:rsidRPr="00FE6317">
        <w:t>A2301 or in the in 80</w:t>
      </w:r>
      <w:r w:rsidR="005D679D">
        <w:t> </w:t>
      </w:r>
      <w:r w:rsidRPr="00FE6317">
        <w:t xml:space="preserve">mg </w:t>
      </w:r>
      <w:r w:rsidR="005D679D">
        <w:t>once</w:t>
      </w:r>
      <w:r w:rsidRPr="00FE6317">
        <w:t xml:space="preserve"> dose group. One patient in the asciminib </w:t>
      </w:r>
      <w:r w:rsidR="005D679D">
        <w:t>a</w:t>
      </w:r>
      <w:r w:rsidRPr="00FE6317">
        <w:t xml:space="preserve">ll </w:t>
      </w:r>
      <w:proofErr w:type="gramStart"/>
      <w:r w:rsidR="005D679D">
        <w:t>p</w:t>
      </w:r>
      <w:r w:rsidRPr="00FE6317">
        <w:t>atients</w:t>
      </w:r>
      <w:proofErr w:type="gramEnd"/>
      <w:r w:rsidRPr="00FE6317">
        <w:t xml:space="preserve"> </w:t>
      </w:r>
      <w:r w:rsidR="005D679D">
        <w:t>s</w:t>
      </w:r>
      <w:r w:rsidRPr="00FE6317">
        <w:t xml:space="preserve">afety </w:t>
      </w:r>
      <w:r w:rsidR="005D679D">
        <w:t>p</w:t>
      </w:r>
      <w:r w:rsidRPr="00FE6317">
        <w:t>ool (from Study X2101 at 120</w:t>
      </w:r>
      <w:r w:rsidR="005D679D">
        <w:t> </w:t>
      </w:r>
      <w:r w:rsidRPr="00FE6317">
        <w:t xml:space="preserve">mg </w:t>
      </w:r>
      <w:r w:rsidR="005D679D">
        <w:t>once daily</w:t>
      </w:r>
      <w:r w:rsidRPr="00FE6317">
        <w:t xml:space="preserve"> dose) had hepatitis B virus</w:t>
      </w:r>
      <w:r w:rsidR="00847E69">
        <w:t xml:space="preserve"> infection reactivation.</w:t>
      </w:r>
      <w:r w:rsidR="00847E69">
        <w:rPr>
          <w:rStyle w:val="FootnoteReference"/>
        </w:rPr>
        <w:footnoteReference w:id="43"/>
      </w:r>
      <w:r w:rsidRPr="00FE6317">
        <w:t xml:space="preserve"> </w:t>
      </w:r>
    </w:p>
    <w:p w14:paraId="459B71EB" w14:textId="55A2FB41" w:rsidR="00FE6317" w:rsidRPr="00FE6317" w:rsidRDefault="00FE6317" w:rsidP="00FE6317">
      <w:r w:rsidRPr="00FE6317">
        <w:t xml:space="preserve">Reproductive toxicity events occurred in Study A2301. In that study one patient in bosutinib group (congenital cardiovascular anomaly) and </w:t>
      </w:r>
      <w:r w:rsidR="005D679D">
        <w:t>three</w:t>
      </w:r>
      <w:r w:rsidRPr="00FE6317">
        <w:t xml:space="preserve"> patients in the asciminib group (spontaneous abortion and maternal exposure during pregnancy in one patient, </w:t>
      </w:r>
      <w:r w:rsidRPr="00FE6317">
        <w:lastRenderedPageBreak/>
        <w:t xml:space="preserve">maternal exposure during pregnancy in another patient who opted for termination of pregnancy and a cardiovascular anomaly in one patient) </w:t>
      </w:r>
      <w:r w:rsidR="00E062F3">
        <w:t xml:space="preserve">experienced events </w:t>
      </w:r>
      <w:r w:rsidR="00E062F3" w:rsidRPr="00FE6317">
        <w:t>relative</w:t>
      </w:r>
      <w:r w:rsidR="00E062F3">
        <w:t xml:space="preserve"> to </w:t>
      </w:r>
      <w:r w:rsidRPr="00FE6317">
        <w:t xml:space="preserve">reproductive toxicity. The diagnosis of both congenital cardiovascular anomalies </w:t>
      </w:r>
      <w:proofErr w:type="gramStart"/>
      <w:r w:rsidR="00E062F3">
        <w:t>were</w:t>
      </w:r>
      <w:proofErr w:type="gramEnd"/>
      <w:r w:rsidR="00E062F3">
        <w:t xml:space="preserve"> diagnosed in adult patients</w:t>
      </w:r>
      <w:r w:rsidR="00E062F3" w:rsidRPr="00FE6317">
        <w:t xml:space="preserve"> </w:t>
      </w:r>
      <w:r w:rsidRPr="00FE6317">
        <w:t xml:space="preserve">after signing the </w:t>
      </w:r>
      <w:r w:rsidR="00E11932">
        <w:t>informed consent form</w:t>
      </w:r>
      <w:r w:rsidRPr="00FE6317">
        <w:t xml:space="preserve"> at </w:t>
      </w:r>
      <w:r w:rsidR="005D679D">
        <w:t>B</w:t>
      </w:r>
      <w:r w:rsidRPr="00FE6317">
        <w:t>aseline visit. In Study X2101, one patient was exposed to the combination of asciminib 40</w:t>
      </w:r>
      <w:r w:rsidR="005D679D">
        <w:t> </w:t>
      </w:r>
      <w:r w:rsidRPr="00FE6317">
        <w:t xml:space="preserve">mg </w:t>
      </w:r>
      <w:r w:rsidR="005D679D">
        <w:t>once daily</w:t>
      </w:r>
      <w:r w:rsidRPr="00FE6317">
        <w:t xml:space="preserve"> and imatinib 400</w:t>
      </w:r>
      <w:r w:rsidR="0009304F">
        <w:t> </w:t>
      </w:r>
      <w:r w:rsidRPr="00FE6317">
        <w:t xml:space="preserve">mg </w:t>
      </w:r>
      <w:r w:rsidR="0009304F">
        <w:t>once daily</w:t>
      </w:r>
      <w:r w:rsidRPr="00FE6317">
        <w:t xml:space="preserve"> during the first trimester of pregnancy. No </w:t>
      </w:r>
      <w:r w:rsidR="0009304F">
        <w:t>adverse event</w:t>
      </w:r>
      <w:r w:rsidRPr="00FE6317">
        <w:t xml:space="preserve"> was reported, and a </w:t>
      </w:r>
      <w:proofErr w:type="gramStart"/>
      <w:r w:rsidRPr="00FE6317">
        <w:t>full</w:t>
      </w:r>
      <w:r w:rsidR="00A2692B">
        <w:t xml:space="preserve"> </w:t>
      </w:r>
      <w:r w:rsidRPr="00FE6317">
        <w:t>term</w:t>
      </w:r>
      <w:proofErr w:type="gramEnd"/>
      <w:r w:rsidRPr="00FE6317">
        <w:t xml:space="preserve"> normal neonate was delivered.</w:t>
      </w:r>
    </w:p>
    <w:p w14:paraId="776E1F1B" w14:textId="21907169" w:rsidR="00FE6317" w:rsidRPr="00FE6317" w:rsidRDefault="00FE6317" w:rsidP="00FE6317">
      <w:r w:rsidRPr="00FE6317">
        <w:t xml:space="preserve">Based on updated 6 </w:t>
      </w:r>
      <w:r w:rsidR="004C7CC5">
        <w:t>January</w:t>
      </w:r>
      <w:r w:rsidRPr="00FE6317">
        <w:t xml:space="preserve"> 2021 cut off, in Study A2301 </w:t>
      </w:r>
      <w:r w:rsidR="0009304F">
        <w:t>gastrointestinal</w:t>
      </w:r>
      <w:r w:rsidRPr="00FE6317">
        <w:t xml:space="preserve"> toxicity </w:t>
      </w:r>
      <w:r w:rsidR="0009304F">
        <w:t>adverse event</w:t>
      </w:r>
      <w:r w:rsidRPr="00FE6317">
        <w:t xml:space="preserve"> occurred in 32.7% of patients given asciminib </w:t>
      </w:r>
      <w:r w:rsidR="0009304F">
        <w:t>versus</w:t>
      </w:r>
      <w:r w:rsidRPr="00FE6317">
        <w:t xml:space="preserve"> 78.9% given bosutinib (</w:t>
      </w:r>
      <w:r w:rsidR="0009304F">
        <w:t>greater than or equal to</w:t>
      </w:r>
      <w:r w:rsidRPr="00FE6317">
        <w:t xml:space="preserve"> Grade 3: 2.6% </w:t>
      </w:r>
      <w:r w:rsidR="0009304F">
        <w:t>versus</w:t>
      </w:r>
      <w:r w:rsidRPr="00FE6317">
        <w:t xml:space="preserve"> 11.8%). Nausea, </w:t>
      </w:r>
      <w:proofErr w:type="gramStart"/>
      <w:r w:rsidRPr="00FE6317">
        <w:t>vomiting</w:t>
      </w:r>
      <w:proofErr w:type="gramEnd"/>
      <w:r w:rsidRPr="00FE6317">
        <w:t xml:space="preserve"> and diarrhoea were the most frequent </w:t>
      </w:r>
      <w:r w:rsidR="0009304F">
        <w:t>gastrointestinal</w:t>
      </w:r>
      <w:r w:rsidRPr="00FE6317">
        <w:t xml:space="preserve"> toxicity events in both treatment groups. In </w:t>
      </w:r>
      <w:r w:rsidR="0009304F">
        <w:t>S</w:t>
      </w:r>
      <w:r w:rsidRPr="00FE6317">
        <w:t>tudy</w:t>
      </w:r>
      <w:r w:rsidR="0009304F">
        <w:t> </w:t>
      </w:r>
      <w:r w:rsidRPr="00FE6317">
        <w:t>A2301</w:t>
      </w:r>
      <w:r w:rsidR="0009304F">
        <w:t xml:space="preserve"> </w:t>
      </w:r>
      <w:r w:rsidRPr="00FE6317">
        <w:t xml:space="preserve">QTc prolongation related events occurred in </w:t>
      </w:r>
      <w:r w:rsidR="0009304F">
        <w:t>six</w:t>
      </w:r>
      <w:r w:rsidRPr="00FE6317">
        <w:t xml:space="preserve"> patients (3.8 %) in the asciminib group and </w:t>
      </w:r>
      <w:r w:rsidR="0009304F">
        <w:t>one</w:t>
      </w:r>
      <w:r w:rsidRPr="00FE6317">
        <w:t xml:space="preserve"> patient (1.3%) in the bosutinib. In the asciminib group the events were </w:t>
      </w:r>
      <w:r w:rsidR="003E6962">
        <w:t>e</w:t>
      </w:r>
      <w:r w:rsidR="003E6962" w:rsidRPr="003E6962">
        <w:t>lectrocardiogram</w:t>
      </w:r>
      <w:r w:rsidRPr="00FE6317">
        <w:t xml:space="preserve"> QT prolonged (n</w:t>
      </w:r>
      <w:r w:rsidR="0009304F">
        <w:t xml:space="preserve"> </w:t>
      </w:r>
      <w:r w:rsidRPr="00FE6317">
        <w:t>=</w:t>
      </w:r>
      <w:r w:rsidR="0009304F">
        <w:t xml:space="preserve"> </w:t>
      </w:r>
      <w:r w:rsidRPr="00FE6317">
        <w:t>2), cardiac arrest (n</w:t>
      </w:r>
      <w:r w:rsidR="0009304F">
        <w:t xml:space="preserve"> </w:t>
      </w:r>
      <w:r w:rsidRPr="00FE6317">
        <w:t>=</w:t>
      </w:r>
      <w:r w:rsidR="0009304F">
        <w:t xml:space="preserve"> </w:t>
      </w:r>
      <w:r w:rsidRPr="00FE6317">
        <w:t>1), syncope (n</w:t>
      </w:r>
      <w:r w:rsidR="0009304F">
        <w:t xml:space="preserve"> </w:t>
      </w:r>
      <w:r w:rsidRPr="00FE6317">
        <w:t>=</w:t>
      </w:r>
      <w:r w:rsidR="0009304F">
        <w:t xml:space="preserve"> </w:t>
      </w:r>
      <w:r w:rsidRPr="00FE6317">
        <w:t>2) and ventricular tachycardia (n</w:t>
      </w:r>
      <w:r w:rsidR="0009304F">
        <w:t xml:space="preserve"> </w:t>
      </w:r>
      <w:r w:rsidRPr="00FE6317">
        <w:t>=</w:t>
      </w:r>
      <w:r w:rsidR="0009304F">
        <w:t xml:space="preserve"> </w:t>
      </w:r>
      <w:r w:rsidRPr="00FE6317">
        <w:t>1). The single event in the bosutinib group was syncope.</w:t>
      </w:r>
    </w:p>
    <w:p w14:paraId="56AC4DBC" w14:textId="678EFFEB" w:rsidR="00FE6317" w:rsidRPr="00FE6317" w:rsidRDefault="00FE6317" w:rsidP="00FE6317">
      <w:r w:rsidRPr="00FE6317">
        <w:t xml:space="preserve">In </w:t>
      </w:r>
      <w:proofErr w:type="gramStart"/>
      <w:r w:rsidRPr="00FE6317">
        <w:t xml:space="preserve">the </w:t>
      </w:r>
      <w:r w:rsidR="0009304F">
        <w:t>a</w:t>
      </w:r>
      <w:r w:rsidRPr="00FE6317">
        <w:t>ll</w:t>
      </w:r>
      <w:proofErr w:type="gramEnd"/>
      <w:r w:rsidRPr="00FE6317">
        <w:t xml:space="preserve"> </w:t>
      </w:r>
      <w:r w:rsidR="0009304F">
        <w:t>p</w:t>
      </w:r>
      <w:r w:rsidRPr="00FE6317">
        <w:t xml:space="preserve">atients </w:t>
      </w:r>
      <w:r w:rsidR="0009304F">
        <w:t>s</w:t>
      </w:r>
      <w:r w:rsidRPr="00FE6317">
        <w:t xml:space="preserve">afety </w:t>
      </w:r>
      <w:r w:rsidR="0009304F">
        <w:t>p</w:t>
      </w:r>
      <w:r w:rsidRPr="00FE6317">
        <w:t>ool photosensitivity reaction (</w:t>
      </w:r>
      <w:r w:rsidR="0009304F">
        <w:t>nine</w:t>
      </w:r>
      <w:r w:rsidRPr="00FE6317">
        <w:t xml:space="preserve"> patients), sunburn (</w:t>
      </w:r>
      <w:r w:rsidR="0009304F">
        <w:t>three</w:t>
      </w:r>
      <w:r w:rsidRPr="00FE6317">
        <w:t xml:space="preserve"> patients) and retinal phototoxicity (</w:t>
      </w:r>
      <w:r w:rsidR="0009304F">
        <w:t>one</w:t>
      </w:r>
      <w:r w:rsidRPr="00FE6317">
        <w:t xml:space="preserve"> patient) were reported.</w:t>
      </w:r>
    </w:p>
    <w:p w14:paraId="2B2F1A1D" w14:textId="2DF065A5" w:rsidR="00FE6317" w:rsidRPr="00FE6317" w:rsidRDefault="00FE6317" w:rsidP="00FE6317">
      <w:r w:rsidRPr="00FE6317">
        <w:t>In Study A2301 cardiac failure occurred in 1.3% (</w:t>
      </w:r>
      <w:r w:rsidR="0009304F">
        <w:t>two</w:t>
      </w:r>
      <w:r w:rsidRPr="00FE6317">
        <w:t xml:space="preserve"> patients) and 1.3% (</w:t>
      </w:r>
      <w:r w:rsidR="0009304F">
        <w:t>one</w:t>
      </w:r>
      <w:r w:rsidRPr="00FE6317">
        <w:t xml:space="preserve"> patient; </w:t>
      </w:r>
      <w:r w:rsidR="0009304F">
        <w:t>G</w:t>
      </w:r>
      <w:r w:rsidRPr="00FE6317">
        <w:t xml:space="preserve">rade 3) in the asciminib group and the bosutinib respectively. The events in the asciminib group were cardiac failure and ejection fraction decrease (each in </w:t>
      </w:r>
      <w:r w:rsidR="0009304F">
        <w:t>one</w:t>
      </w:r>
      <w:r w:rsidRPr="00FE6317">
        <w:t xml:space="preserve"> patient), both </w:t>
      </w:r>
      <w:r w:rsidR="0009304F">
        <w:t>G</w:t>
      </w:r>
      <w:r w:rsidRPr="00FE6317">
        <w:t xml:space="preserve">rade 3. Ejection fraction decrease was suspected to be treatment related and led to study discontinuation. In the bosutinib group, </w:t>
      </w:r>
      <w:r w:rsidR="0009304F">
        <w:t>one</w:t>
      </w:r>
      <w:r w:rsidRPr="00FE6317">
        <w:t xml:space="preserve"> patient experienced cardiac failure congestive (</w:t>
      </w:r>
      <w:r w:rsidR="0009304F">
        <w:t>G</w:t>
      </w:r>
      <w:r w:rsidRPr="00FE6317">
        <w:t xml:space="preserve">rade 3), considered </w:t>
      </w:r>
      <w:r w:rsidR="0009304F">
        <w:t>a serious adverse event</w:t>
      </w:r>
      <w:r w:rsidRPr="00FE6317">
        <w:t xml:space="preserve"> and required study treatment interruption. In Study X2101 asciminib 80</w:t>
      </w:r>
      <w:r w:rsidR="0009304F">
        <w:t> </w:t>
      </w:r>
      <w:r w:rsidRPr="00FE6317">
        <w:t xml:space="preserve">mg </w:t>
      </w:r>
      <w:r w:rsidR="0009304F">
        <w:t>once daily</w:t>
      </w:r>
      <w:r w:rsidRPr="00FE6317">
        <w:t xml:space="preserve"> dose, </w:t>
      </w:r>
      <w:r w:rsidR="0009304F">
        <w:t>three</w:t>
      </w:r>
      <w:r w:rsidRPr="00FE6317">
        <w:t xml:space="preserve"> patients had events of cardiac failure, </w:t>
      </w:r>
      <w:proofErr w:type="gramStart"/>
      <w:r w:rsidRPr="00FE6317">
        <w:t>all of</w:t>
      </w:r>
      <w:proofErr w:type="gramEnd"/>
      <w:r w:rsidRPr="00FE6317">
        <w:t xml:space="preserve"> </w:t>
      </w:r>
      <w:r w:rsidR="0009304F">
        <w:t>greater than or equal to G</w:t>
      </w:r>
      <w:r w:rsidRPr="00FE6317">
        <w:t xml:space="preserve">rade 3 and </w:t>
      </w:r>
      <w:r w:rsidR="0009304F">
        <w:t>serious adverse event</w:t>
      </w:r>
      <w:r w:rsidRPr="00FE6317">
        <w:t>, and none were considered treatment related or led to discontinuation of study treatment.</w:t>
      </w:r>
    </w:p>
    <w:p w14:paraId="490984D4" w14:textId="6D071CF6" w:rsidR="00FE6317" w:rsidRPr="00FE6317" w:rsidRDefault="00FE6317" w:rsidP="00FE6317">
      <w:r w:rsidRPr="00FE6317">
        <w:t>In Study A2301 oedema and fluid retention events occurred in 8.3% (13 patients) and 9.2% (</w:t>
      </w:r>
      <w:r w:rsidR="0009304F">
        <w:t>seven</w:t>
      </w:r>
      <w:r w:rsidRPr="00FE6317">
        <w:t xml:space="preserve"> patients) in the asciminib and bosutinib groups, respectively. There were no g</w:t>
      </w:r>
      <w:r w:rsidR="0009304F">
        <w:t>reater than or equal to Grade</w:t>
      </w:r>
      <w:r w:rsidRPr="00FE6317">
        <w:t xml:space="preserve"> 3 events in the asciminib treatment group. In Study A2301, </w:t>
      </w:r>
      <w:r w:rsidR="0009304F">
        <w:t>nine</w:t>
      </w:r>
      <w:r w:rsidRPr="00FE6317">
        <w:t xml:space="preserve"> patients (5.8%) in the asciminib group and </w:t>
      </w:r>
      <w:r w:rsidR="0009304F">
        <w:t>four</w:t>
      </w:r>
      <w:r w:rsidRPr="00FE6317">
        <w:t xml:space="preserve"> patients (5.3%) in the bosutinib had ischemic heart and </w:t>
      </w:r>
      <w:r w:rsidR="0009304F">
        <w:t>central nervous system</w:t>
      </w:r>
      <w:r w:rsidRPr="00FE6317">
        <w:t xml:space="preserve"> condition events. These events include a patient who died of ischaemic stroke who was given asciminib 40</w:t>
      </w:r>
      <w:r w:rsidR="0009304F">
        <w:t> </w:t>
      </w:r>
      <w:r w:rsidRPr="00FE6317">
        <w:t xml:space="preserve">mg </w:t>
      </w:r>
      <w:r w:rsidR="0009304F">
        <w:t>twice a day</w:t>
      </w:r>
      <w:r w:rsidRPr="00FE6317">
        <w:t>.</w:t>
      </w:r>
    </w:p>
    <w:p w14:paraId="5CAC9F42" w14:textId="3ACCACD0" w:rsidR="00FE6317" w:rsidRDefault="00FE6317" w:rsidP="00FE6317">
      <w:r w:rsidRPr="00FE6317">
        <w:t xml:space="preserve">In </w:t>
      </w:r>
      <w:r w:rsidR="004C7CC5">
        <w:t>S</w:t>
      </w:r>
      <w:r w:rsidRPr="00FE6317">
        <w:t xml:space="preserve">tudy A2301, 18 patients (11.5%) in the asciminib group and </w:t>
      </w:r>
      <w:r w:rsidR="0009304F">
        <w:t>eight</w:t>
      </w:r>
      <w:r w:rsidRPr="00FE6317">
        <w:t xml:space="preserve"> patients (10.5%) in the bosutinib had haemorrhage events</w:t>
      </w:r>
      <w:r w:rsidR="00281B1A">
        <w:t>.</w:t>
      </w:r>
    </w:p>
    <w:p w14:paraId="515C3921" w14:textId="19D206B8" w:rsidR="003E6962" w:rsidRPr="003E6962" w:rsidRDefault="003E6962" w:rsidP="003E6962">
      <w:pPr>
        <w:pStyle w:val="Heading4"/>
      </w:pPr>
      <w:r w:rsidRPr="003E6962">
        <w:t>Other</w:t>
      </w:r>
      <w:r w:rsidR="008513EA">
        <w:t xml:space="preserve"> clinical factors</w:t>
      </w:r>
    </w:p>
    <w:p w14:paraId="22B38FFA" w14:textId="6EEDB53A" w:rsidR="003E6962" w:rsidRPr="003E6962" w:rsidRDefault="003E6962" w:rsidP="003E6962">
      <w:r w:rsidRPr="003E6962">
        <w:t xml:space="preserve">It is not clear at this time whether and when in the course of their </w:t>
      </w:r>
      <w:r>
        <w:t xml:space="preserve">chronic myeloid </w:t>
      </w:r>
      <w:r w:rsidR="001B10B9">
        <w:t>leukaemia</w:t>
      </w:r>
      <w:r>
        <w:t xml:space="preserve"> </w:t>
      </w:r>
      <w:r w:rsidRPr="003E6962">
        <w:t xml:space="preserve">that patients should be tested for mutations in </w:t>
      </w:r>
      <w:proofErr w:type="gramStart"/>
      <w:r w:rsidR="007A021D">
        <w:rPr>
          <w:i/>
          <w:iCs/>
        </w:rPr>
        <w:t>BCR::</w:t>
      </w:r>
      <w:proofErr w:type="gramEnd"/>
      <w:r w:rsidR="007A021D">
        <w:rPr>
          <w:i/>
          <w:iCs/>
        </w:rPr>
        <w:t>ABL1</w:t>
      </w:r>
      <w:r w:rsidRPr="003E6962">
        <w:t xml:space="preserve">. </w:t>
      </w:r>
      <w:r w:rsidRPr="00752B5B">
        <w:t xml:space="preserve">The </w:t>
      </w:r>
      <w:r w:rsidR="00FB39FA" w:rsidRPr="00281B1A">
        <w:t>T315I</w:t>
      </w:r>
      <w:r w:rsidRPr="00752B5B">
        <w:t xml:space="preserve"> mutation</w:t>
      </w:r>
      <w:r w:rsidRPr="003E6962">
        <w:t xml:space="preserve"> is associated with resistance to currently available treatments other than ponatinib. The development program included assessment of the safety and efficacy of asciminib in patients with this mutation however the </w:t>
      </w:r>
      <w:r>
        <w:t>s</w:t>
      </w:r>
      <w:r w:rsidRPr="003E6962">
        <w:t xml:space="preserve">ponsor is not pursuing that indication at this time. These patients required a higher dose of asciminib than patients without the mutation and the available data were limited. Use of that regimen would require identification of patients with </w:t>
      </w:r>
      <w:r>
        <w:t xml:space="preserve">chronic myeloid </w:t>
      </w:r>
      <w:r w:rsidR="001B10B9">
        <w:t>leukaemia</w:t>
      </w:r>
      <w:r w:rsidRPr="003E6962">
        <w:t xml:space="preserve"> with </w:t>
      </w:r>
      <w:proofErr w:type="gramStart"/>
      <w:r w:rsidR="007A021D">
        <w:rPr>
          <w:i/>
          <w:iCs/>
        </w:rPr>
        <w:t>BCR::</w:t>
      </w:r>
      <w:proofErr w:type="gramEnd"/>
      <w:r w:rsidR="007A021D">
        <w:rPr>
          <w:i/>
          <w:iCs/>
        </w:rPr>
        <w:t>ABL1</w:t>
      </w:r>
      <w:r w:rsidRPr="003E6962">
        <w:t xml:space="preserve"> with that </w:t>
      </w:r>
      <w:r w:rsidR="00FB39FA" w:rsidRPr="00281B1A">
        <w:t>T315I</w:t>
      </w:r>
      <w:r w:rsidRPr="00752B5B">
        <w:t xml:space="preserve"> </w:t>
      </w:r>
      <w:r w:rsidRPr="003E6962">
        <w:t>mutation.</w:t>
      </w:r>
    </w:p>
    <w:p w14:paraId="40A9EAFF" w14:textId="3CD15D62" w:rsidR="008E7846" w:rsidRDefault="00386150" w:rsidP="007B6132">
      <w:pPr>
        <w:pStyle w:val="Heading3"/>
        <w:rPr>
          <w:lang w:eastAsia="en-AU"/>
        </w:rPr>
      </w:pPr>
      <w:bookmarkStart w:id="71" w:name="_Toc314842514"/>
      <w:bookmarkStart w:id="72" w:name="_Toc131683501"/>
      <w:r>
        <w:rPr>
          <w:lang w:eastAsia="en-AU"/>
        </w:rPr>
        <w:t>Risk m</w:t>
      </w:r>
      <w:r w:rsidR="008E7846">
        <w:rPr>
          <w:lang w:eastAsia="en-AU"/>
        </w:rPr>
        <w:t xml:space="preserve">anagement </w:t>
      </w:r>
      <w:r>
        <w:rPr>
          <w:lang w:eastAsia="en-AU"/>
        </w:rPr>
        <w:t>p</w:t>
      </w:r>
      <w:r w:rsidR="008E7846">
        <w:rPr>
          <w:lang w:eastAsia="en-AU"/>
        </w:rPr>
        <w:t>lan</w:t>
      </w:r>
      <w:bookmarkEnd w:id="71"/>
      <w:bookmarkEnd w:id="72"/>
    </w:p>
    <w:p w14:paraId="6C8D3DCA" w14:textId="31D1588A" w:rsidR="005B7541" w:rsidRDefault="00FE77E1" w:rsidP="005B7541">
      <w:bookmarkStart w:id="73" w:name="_Toc247691531"/>
      <w:bookmarkStart w:id="74" w:name="_Toc314842515"/>
      <w:bookmarkStart w:id="75" w:name="_Toc196046505"/>
      <w:bookmarkStart w:id="76" w:name="_Toc196046949"/>
      <w:r>
        <w:t>The sponsor</w:t>
      </w:r>
      <w:r w:rsidR="005B7541">
        <w:t xml:space="preserve"> has submitted European Union (EU) Risk management plan (RMP) version 1.0 (15 June 2021; data lock point (DLP) 6 January 2021) and Australia specific annex </w:t>
      </w:r>
      <w:r w:rsidR="005B7541">
        <w:lastRenderedPageBreak/>
        <w:t xml:space="preserve">(ASA) version 1.0 (8 July 2021) in support of this application. No RMP updates were provided in the </w:t>
      </w:r>
      <w:r w:rsidR="00EA4550" w:rsidRPr="00EA4550">
        <w:t>questions raised by TGA</w:t>
      </w:r>
      <w:r w:rsidR="005B7541">
        <w:t>.</w:t>
      </w:r>
    </w:p>
    <w:p w14:paraId="54E8D903" w14:textId="2F08BA28" w:rsidR="00F50C80" w:rsidRDefault="0074163C" w:rsidP="0074163C">
      <w:r>
        <w:t xml:space="preserve">The summary of safety concerns and their associated risk monitoring and mitigation strategies are summarised in </w:t>
      </w:r>
      <w:r w:rsidR="005B7541">
        <w:rPr>
          <w:color w:val="2B579A"/>
          <w:shd w:val="clear" w:color="auto" w:fill="E6E6E6"/>
        </w:rPr>
        <w:fldChar w:fldCharType="begin"/>
      </w:r>
      <w:r w:rsidR="005B7541">
        <w:instrText xml:space="preserve"> REF _Ref97629131 \h </w:instrText>
      </w:r>
      <w:r w:rsidR="005B7541">
        <w:rPr>
          <w:color w:val="2B579A"/>
          <w:shd w:val="clear" w:color="auto" w:fill="E6E6E6"/>
        </w:rPr>
      </w:r>
      <w:r w:rsidR="005B7541">
        <w:rPr>
          <w:color w:val="2B579A"/>
          <w:shd w:val="clear" w:color="auto" w:fill="E6E6E6"/>
        </w:rPr>
        <w:fldChar w:fldCharType="separate"/>
      </w:r>
      <w:r w:rsidR="00547BEA">
        <w:t xml:space="preserve">Table </w:t>
      </w:r>
      <w:r w:rsidR="00547BEA">
        <w:rPr>
          <w:noProof/>
        </w:rPr>
        <w:t>17</w:t>
      </w:r>
      <w:r w:rsidR="005B7541">
        <w:rPr>
          <w:color w:val="2B579A"/>
          <w:shd w:val="clear" w:color="auto" w:fill="E6E6E6"/>
        </w:rPr>
        <w:fldChar w:fldCharType="end"/>
      </w:r>
      <w:r>
        <w:t xml:space="preserve">. Further information regarding </w:t>
      </w:r>
      <w:r w:rsidR="00CC5044">
        <w:t>the TGA</w:t>
      </w:r>
      <w:r w:rsidR="00BF7063">
        <w:t>’</w:t>
      </w:r>
      <w:r w:rsidR="00CC5044">
        <w:t>s r</w:t>
      </w:r>
      <w:r>
        <w:t xml:space="preserve">isk management approach can be found in </w:t>
      </w:r>
      <w:hyperlink r:id="rId38" w:history="1">
        <w:r w:rsidRPr="0023444E">
          <w:rPr>
            <w:rStyle w:val="Hyperlink"/>
          </w:rPr>
          <w:t>risk management plans for medicines and biologicals</w:t>
        </w:r>
      </w:hyperlink>
      <w:r>
        <w:t xml:space="preserve"> and </w:t>
      </w:r>
      <w:hyperlink r:id="rId39" w:history="1">
        <w:r w:rsidRPr="0023444E">
          <w:rPr>
            <w:rStyle w:val="Hyperlink"/>
          </w:rPr>
          <w:t>the TGA's risk management approach</w:t>
        </w:r>
      </w:hyperlink>
      <w:r>
        <w:t>.</w:t>
      </w:r>
    </w:p>
    <w:p w14:paraId="6DC3A4A8" w14:textId="77777777" w:rsidR="00F50C80" w:rsidRDefault="00F50C80" w:rsidP="0074163C"/>
    <w:p w14:paraId="223FC38B" w14:textId="720344D1" w:rsidR="0074163C" w:rsidRDefault="0074163C" w:rsidP="0074163C">
      <w:pPr>
        <w:pStyle w:val="TableTitle"/>
      </w:pPr>
      <w:bookmarkStart w:id="77" w:name="_Ref97629131"/>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547BEA">
        <w:rPr>
          <w:noProof/>
        </w:rPr>
        <w:t>17</w:t>
      </w:r>
      <w:r>
        <w:rPr>
          <w:color w:val="2B579A"/>
          <w:shd w:val="clear" w:color="auto" w:fill="E6E6E6"/>
        </w:rPr>
        <w:fldChar w:fldCharType="end"/>
      </w:r>
      <w:bookmarkEnd w:id="77"/>
      <w:r>
        <w:t>: Summary of safety concerns</w:t>
      </w:r>
    </w:p>
    <w:tbl>
      <w:tblPr>
        <w:tblStyle w:val="TableGrid"/>
        <w:tblW w:w="0" w:type="auto"/>
        <w:jc w:val="center"/>
        <w:tblBorders>
          <w:top w:val="single" w:sz="8" w:space="0" w:color="auto"/>
          <w:left w:val="single" w:sz="8" w:space="0" w:color="auto"/>
          <w:bottom w:val="single" w:sz="8" w:space="0" w:color="auto"/>
          <w:right w:val="single" w:sz="8" w:space="0" w:color="auto"/>
        </w:tblBorders>
        <w:tblCellMar>
          <w:left w:w="85" w:type="dxa"/>
          <w:right w:w="85" w:type="dxa"/>
        </w:tblCellMar>
        <w:tblLook w:val="04A0" w:firstRow="1" w:lastRow="0" w:firstColumn="1" w:lastColumn="0" w:noHBand="0" w:noVBand="1"/>
      </w:tblPr>
      <w:tblGrid>
        <w:gridCol w:w="2031"/>
        <w:gridCol w:w="2779"/>
        <w:gridCol w:w="946"/>
        <w:gridCol w:w="976"/>
        <w:gridCol w:w="776"/>
        <w:gridCol w:w="976"/>
      </w:tblGrid>
      <w:tr w:rsidR="005B7541" w:rsidRPr="00BF52F4" w14:paraId="032BD28E" w14:textId="77777777" w:rsidTr="2F08127F">
        <w:trPr>
          <w:trHeight w:val="131"/>
          <w:jc w:val="center"/>
        </w:trPr>
        <w:tc>
          <w:tcPr>
            <w:tcW w:w="4810" w:type="dxa"/>
            <w:gridSpan w:val="2"/>
            <w:vMerge w:val="restart"/>
            <w:tcBorders>
              <w:top w:val="single" w:sz="8" w:space="0" w:color="auto"/>
              <w:right w:val="single" w:sz="4" w:space="0" w:color="auto"/>
            </w:tcBorders>
            <w:shd w:val="clear" w:color="auto" w:fill="006DA7" w:themeFill="accent3"/>
          </w:tcPr>
          <w:p w14:paraId="79B1F191" w14:textId="77777777" w:rsidR="005B7541" w:rsidRPr="005B7541" w:rsidRDefault="005B7541" w:rsidP="009159FD">
            <w:pPr>
              <w:pStyle w:val="Tabletext"/>
              <w:rPr>
                <w:b/>
                <w:color w:val="FFFFFF" w:themeColor="background1"/>
              </w:rPr>
            </w:pPr>
            <w:r w:rsidRPr="005B7541">
              <w:rPr>
                <w:b/>
                <w:color w:val="FFFFFF" w:themeColor="background1"/>
              </w:rPr>
              <w:t>Summary of safety concerns</w:t>
            </w:r>
          </w:p>
        </w:tc>
        <w:tc>
          <w:tcPr>
            <w:tcW w:w="1922" w:type="dxa"/>
            <w:gridSpan w:val="2"/>
            <w:tcBorders>
              <w:top w:val="single" w:sz="8" w:space="0" w:color="auto"/>
              <w:left w:val="single" w:sz="4" w:space="0" w:color="auto"/>
              <w:bottom w:val="single" w:sz="4" w:space="0" w:color="auto"/>
            </w:tcBorders>
            <w:shd w:val="clear" w:color="auto" w:fill="006DA7" w:themeFill="accent3"/>
          </w:tcPr>
          <w:p w14:paraId="3A8D488E" w14:textId="77777777" w:rsidR="005B7541" w:rsidRPr="005B7541" w:rsidRDefault="005B7541" w:rsidP="009159FD">
            <w:pPr>
              <w:pStyle w:val="Tabletext"/>
              <w:rPr>
                <w:b/>
                <w:color w:val="FFFFFF" w:themeColor="background1"/>
                <w:sz w:val="18"/>
              </w:rPr>
            </w:pPr>
            <w:r w:rsidRPr="005B7541">
              <w:rPr>
                <w:b/>
                <w:color w:val="FFFFFF" w:themeColor="background1"/>
                <w:sz w:val="18"/>
              </w:rPr>
              <w:t>Pharmacovigilance</w:t>
            </w:r>
          </w:p>
        </w:tc>
        <w:tc>
          <w:tcPr>
            <w:tcW w:w="0" w:type="auto"/>
            <w:gridSpan w:val="2"/>
            <w:tcBorders>
              <w:top w:val="single" w:sz="8" w:space="0" w:color="auto"/>
              <w:left w:val="single" w:sz="4" w:space="0" w:color="auto"/>
              <w:bottom w:val="single" w:sz="4" w:space="0" w:color="auto"/>
            </w:tcBorders>
            <w:shd w:val="clear" w:color="auto" w:fill="006DA7" w:themeFill="accent3"/>
          </w:tcPr>
          <w:p w14:paraId="5925333F" w14:textId="77777777" w:rsidR="005B7541" w:rsidRPr="005B7541" w:rsidRDefault="005B7541" w:rsidP="009159FD">
            <w:pPr>
              <w:pStyle w:val="Tabletext"/>
              <w:rPr>
                <w:b/>
                <w:color w:val="FFFFFF" w:themeColor="background1"/>
                <w:sz w:val="18"/>
              </w:rPr>
            </w:pPr>
            <w:r w:rsidRPr="005B7541">
              <w:rPr>
                <w:b/>
                <w:color w:val="FFFFFF" w:themeColor="background1"/>
                <w:sz w:val="18"/>
              </w:rPr>
              <w:t>Risk Minimisation</w:t>
            </w:r>
          </w:p>
        </w:tc>
      </w:tr>
      <w:tr w:rsidR="005B7541" w:rsidRPr="00BF52F4" w14:paraId="018C135D" w14:textId="77777777" w:rsidTr="2F08127F">
        <w:trPr>
          <w:trHeight w:val="150"/>
          <w:jc w:val="center"/>
        </w:trPr>
        <w:tc>
          <w:tcPr>
            <w:tcW w:w="4810" w:type="dxa"/>
            <w:gridSpan w:val="2"/>
            <w:vMerge/>
          </w:tcPr>
          <w:p w14:paraId="43393CD2" w14:textId="77777777" w:rsidR="005B7541" w:rsidRPr="005B7541" w:rsidRDefault="005B7541" w:rsidP="009159FD">
            <w:pPr>
              <w:pStyle w:val="Tabletext"/>
              <w:rPr>
                <w:b/>
                <w:color w:val="FFFFFF" w:themeColor="background1"/>
              </w:rPr>
            </w:pPr>
          </w:p>
        </w:tc>
        <w:tc>
          <w:tcPr>
            <w:tcW w:w="946" w:type="dxa"/>
            <w:tcBorders>
              <w:top w:val="single" w:sz="4" w:space="0" w:color="auto"/>
              <w:left w:val="single" w:sz="4" w:space="0" w:color="auto"/>
              <w:bottom w:val="single" w:sz="8" w:space="0" w:color="auto"/>
              <w:right w:val="single" w:sz="4" w:space="0" w:color="auto"/>
            </w:tcBorders>
            <w:shd w:val="clear" w:color="auto" w:fill="006DA7" w:themeFill="accent3"/>
          </w:tcPr>
          <w:p w14:paraId="05DF16B7" w14:textId="77777777" w:rsidR="005B7541" w:rsidRPr="005B7541" w:rsidRDefault="005B7541" w:rsidP="009159FD">
            <w:pPr>
              <w:pStyle w:val="Tabletext"/>
              <w:rPr>
                <w:color w:val="FFFFFF" w:themeColor="background1"/>
                <w:sz w:val="18"/>
              </w:rPr>
            </w:pPr>
            <w:r w:rsidRPr="005B7541">
              <w:rPr>
                <w:color w:val="FFFFFF" w:themeColor="background1"/>
                <w:sz w:val="18"/>
              </w:rPr>
              <w:t>Routine</w:t>
            </w:r>
          </w:p>
        </w:tc>
        <w:tc>
          <w:tcPr>
            <w:tcW w:w="0" w:type="auto"/>
            <w:tcBorders>
              <w:top w:val="single" w:sz="4" w:space="0" w:color="auto"/>
              <w:left w:val="single" w:sz="4" w:space="0" w:color="auto"/>
              <w:bottom w:val="single" w:sz="8" w:space="0" w:color="auto"/>
            </w:tcBorders>
            <w:shd w:val="clear" w:color="auto" w:fill="006DA7" w:themeFill="accent3"/>
          </w:tcPr>
          <w:p w14:paraId="5A772D77" w14:textId="77777777" w:rsidR="005B7541" w:rsidRPr="005B7541" w:rsidRDefault="005B7541" w:rsidP="009159FD">
            <w:pPr>
              <w:pStyle w:val="Tabletext"/>
              <w:rPr>
                <w:color w:val="FFFFFF" w:themeColor="background1"/>
                <w:sz w:val="18"/>
              </w:rPr>
            </w:pPr>
            <w:r w:rsidRPr="005B7541">
              <w:rPr>
                <w:color w:val="FFFFFF" w:themeColor="background1"/>
                <w:sz w:val="18"/>
              </w:rPr>
              <w:t>Additional</w:t>
            </w:r>
          </w:p>
        </w:tc>
        <w:tc>
          <w:tcPr>
            <w:tcW w:w="0" w:type="auto"/>
            <w:tcBorders>
              <w:top w:val="single" w:sz="4" w:space="0" w:color="auto"/>
              <w:left w:val="single" w:sz="4" w:space="0" w:color="auto"/>
              <w:bottom w:val="single" w:sz="8" w:space="0" w:color="auto"/>
              <w:right w:val="single" w:sz="4" w:space="0" w:color="auto"/>
            </w:tcBorders>
            <w:shd w:val="clear" w:color="auto" w:fill="006DA7" w:themeFill="accent3"/>
          </w:tcPr>
          <w:p w14:paraId="291816E8" w14:textId="77777777" w:rsidR="005B7541" w:rsidRPr="005B7541" w:rsidRDefault="005B7541" w:rsidP="009159FD">
            <w:pPr>
              <w:pStyle w:val="Tabletext"/>
              <w:rPr>
                <w:color w:val="FFFFFF" w:themeColor="background1"/>
                <w:sz w:val="18"/>
              </w:rPr>
            </w:pPr>
            <w:r w:rsidRPr="005B7541">
              <w:rPr>
                <w:color w:val="FFFFFF" w:themeColor="background1"/>
                <w:sz w:val="18"/>
              </w:rPr>
              <w:t>Routine</w:t>
            </w:r>
          </w:p>
        </w:tc>
        <w:tc>
          <w:tcPr>
            <w:tcW w:w="0" w:type="auto"/>
            <w:tcBorders>
              <w:top w:val="single" w:sz="4" w:space="0" w:color="auto"/>
              <w:left w:val="single" w:sz="4" w:space="0" w:color="auto"/>
              <w:bottom w:val="single" w:sz="8" w:space="0" w:color="auto"/>
            </w:tcBorders>
            <w:shd w:val="clear" w:color="auto" w:fill="006DA7" w:themeFill="accent3"/>
          </w:tcPr>
          <w:p w14:paraId="1C33929B" w14:textId="77777777" w:rsidR="005B7541" w:rsidRPr="005B7541" w:rsidRDefault="005B7541" w:rsidP="009159FD">
            <w:pPr>
              <w:pStyle w:val="Tabletext"/>
              <w:rPr>
                <w:color w:val="FFFFFF" w:themeColor="background1"/>
                <w:sz w:val="18"/>
              </w:rPr>
            </w:pPr>
            <w:r w:rsidRPr="005B7541">
              <w:rPr>
                <w:color w:val="FFFFFF" w:themeColor="background1"/>
                <w:sz w:val="18"/>
              </w:rPr>
              <w:t>Additional</w:t>
            </w:r>
          </w:p>
        </w:tc>
      </w:tr>
      <w:tr w:rsidR="005B7541" w:rsidRPr="00BF52F4" w14:paraId="2B5061AA" w14:textId="77777777" w:rsidTr="2F08127F">
        <w:trPr>
          <w:trHeight w:val="137"/>
          <w:jc w:val="center"/>
        </w:trPr>
        <w:tc>
          <w:tcPr>
            <w:tcW w:w="0" w:type="auto"/>
            <w:vMerge w:val="restart"/>
            <w:tcBorders>
              <w:top w:val="single" w:sz="8" w:space="0" w:color="auto"/>
            </w:tcBorders>
          </w:tcPr>
          <w:p w14:paraId="75CF7C19" w14:textId="77777777" w:rsidR="005B7541" w:rsidRPr="00281B1A" w:rsidRDefault="6FCD1EA7" w:rsidP="009159FD">
            <w:pPr>
              <w:pStyle w:val="Tabletext"/>
              <w:rPr>
                <w:b/>
              </w:rPr>
            </w:pPr>
            <w:r w:rsidRPr="00281B1A">
              <w:rPr>
                <w:b/>
              </w:rPr>
              <w:t>Important identified risks</w:t>
            </w:r>
          </w:p>
        </w:tc>
        <w:tc>
          <w:tcPr>
            <w:tcW w:w="2779" w:type="dxa"/>
            <w:tcBorders>
              <w:top w:val="single" w:sz="4" w:space="0" w:color="auto"/>
              <w:bottom w:val="single" w:sz="4" w:space="0" w:color="auto"/>
              <w:right w:val="single" w:sz="4" w:space="0" w:color="auto"/>
            </w:tcBorders>
          </w:tcPr>
          <w:p w14:paraId="33D8B675" w14:textId="03FA1BFB" w:rsidR="005B7541" w:rsidRPr="005B7541" w:rsidRDefault="6FCD1EA7" w:rsidP="2F08127F">
            <w:pPr>
              <w:pStyle w:val="Tabletext"/>
            </w:pPr>
            <w:r>
              <w:t>Pancreatic Toxicity</w:t>
            </w:r>
          </w:p>
        </w:tc>
        <w:tc>
          <w:tcPr>
            <w:tcW w:w="946" w:type="dxa"/>
            <w:tcBorders>
              <w:top w:val="single" w:sz="4" w:space="0" w:color="auto"/>
              <w:left w:val="single" w:sz="4" w:space="0" w:color="auto"/>
              <w:bottom w:val="single" w:sz="4" w:space="0" w:color="auto"/>
              <w:right w:val="single" w:sz="4" w:space="0" w:color="auto"/>
            </w:tcBorders>
            <w:vAlign w:val="center"/>
          </w:tcPr>
          <w:p w14:paraId="1BDC70C3" w14:textId="77777777" w:rsidR="005B7541" w:rsidRPr="00761E0E" w:rsidRDefault="005B7541" w:rsidP="009159FD">
            <w:pPr>
              <w:pStyle w:val="Tabletext"/>
              <w:jc w:val="center"/>
            </w:pPr>
            <w:r w:rsidRPr="00761E0E">
              <w:rPr>
                <w:rFonts w:ascii="Wingdings" w:eastAsia="Wingdings" w:hAnsi="Wingdings" w:cs="Wingdings"/>
              </w:rPr>
              <w:t></w:t>
            </w:r>
          </w:p>
        </w:tc>
        <w:tc>
          <w:tcPr>
            <w:tcW w:w="0" w:type="auto"/>
            <w:tcBorders>
              <w:top w:val="single" w:sz="4" w:space="0" w:color="auto"/>
              <w:left w:val="single" w:sz="4" w:space="0" w:color="auto"/>
              <w:bottom w:val="single" w:sz="4" w:space="0" w:color="auto"/>
              <w:right w:val="single" w:sz="4" w:space="0" w:color="auto"/>
            </w:tcBorders>
          </w:tcPr>
          <w:p w14:paraId="72DE9C8A" w14:textId="77777777" w:rsidR="005B7541" w:rsidRPr="00761E0E" w:rsidRDefault="005B7541" w:rsidP="009159FD">
            <w:pPr>
              <w:pStyle w:val="Tabletext"/>
              <w:jc w:val="center"/>
            </w:pPr>
            <w:r w:rsidRPr="00761E0E">
              <w:t>–</w:t>
            </w:r>
          </w:p>
        </w:tc>
        <w:tc>
          <w:tcPr>
            <w:tcW w:w="0" w:type="auto"/>
            <w:tcBorders>
              <w:top w:val="single" w:sz="4" w:space="0" w:color="auto"/>
              <w:left w:val="single" w:sz="4" w:space="0" w:color="auto"/>
              <w:bottom w:val="single" w:sz="4" w:space="0" w:color="auto"/>
              <w:right w:val="single" w:sz="4" w:space="0" w:color="auto"/>
            </w:tcBorders>
            <w:vAlign w:val="center"/>
          </w:tcPr>
          <w:p w14:paraId="612840B5" w14:textId="77777777" w:rsidR="005B7541" w:rsidRPr="00761E0E" w:rsidRDefault="005B7541" w:rsidP="009159FD">
            <w:pPr>
              <w:pStyle w:val="Tabletext"/>
              <w:jc w:val="center"/>
            </w:pPr>
            <w:r w:rsidRPr="00761E0E">
              <w:rPr>
                <w:rFonts w:ascii="Wingdings" w:eastAsia="Wingdings" w:hAnsi="Wingdings" w:cs="Wingdings"/>
              </w:rPr>
              <w:t></w:t>
            </w:r>
          </w:p>
        </w:tc>
        <w:tc>
          <w:tcPr>
            <w:tcW w:w="0" w:type="auto"/>
            <w:tcBorders>
              <w:top w:val="single" w:sz="4" w:space="0" w:color="auto"/>
              <w:left w:val="single" w:sz="4" w:space="0" w:color="auto"/>
              <w:bottom w:val="single" w:sz="4" w:space="0" w:color="auto"/>
              <w:right w:val="single" w:sz="4" w:space="0" w:color="auto"/>
            </w:tcBorders>
          </w:tcPr>
          <w:p w14:paraId="60475337" w14:textId="77777777" w:rsidR="005B7541" w:rsidRPr="00761E0E" w:rsidRDefault="005B7541" w:rsidP="009159FD">
            <w:pPr>
              <w:pStyle w:val="Tabletext"/>
              <w:jc w:val="center"/>
            </w:pPr>
            <w:r w:rsidRPr="00761E0E">
              <w:t>–</w:t>
            </w:r>
          </w:p>
        </w:tc>
      </w:tr>
      <w:tr w:rsidR="005B7541" w:rsidRPr="00BF52F4" w14:paraId="0D613C07" w14:textId="77777777" w:rsidTr="2F08127F">
        <w:trPr>
          <w:trHeight w:val="94"/>
          <w:jc w:val="center"/>
        </w:trPr>
        <w:tc>
          <w:tcPr>
            <w:tcW w:w="0" w:type="auto"/>
            <w:vMerge/>
          </w:tcPr>
          <w:p w14:paraId="45BF73D3" w14:textId="77777777" w:rsidR="005B7541" w:rsidRPr="00547BEA" w:rsidRDefault="005B7541" w:rsidP="009159FD">
            <w:pPr>
              <w:pStyle w:val="Tabletext"/>
              <w:rPr>
                <w:b/>
                <w:bCs/>
              </w:rPr>
            </w:pPr>
          </w:p>
        </w:tc>
        <w:tc>
          <w:tcPr>
            <w:tcW w:w="2779" w:type="dxa"/>
            <w:tcBorders>
              <w:top w:val="single" w:sz="4" w:space="0" w:color="auto"/>
              <w:bottom w:val="single" w:sz="4" w:space="0" w:color="auto"/>
              <w:right w:val="single" w:sz="4" w:space="0" w:color="auto"/>
            </w:tcBorders>
          </w:tcPr>
          <w:p w14:paraId="5CCB40EA" w14:textId="77777777" w:rsidR="005B7541" w:rsidRPr="005B7541" w:rsidRDefault="005B7541" w:rsidP="009159FD">
            <w:pPr>
              <w:pStyle w:val="Tabletext"/>
              <w:rPr>
                <w:bCs/>
              </w:rPr>
            </w:pPr>
            <w:r w:rsidRPr="005B7541">
              <w:rPr>
                <w:bCs/>
              </w:rPr>
              <w:t>Myelosuppression</w:t>
            </w:r>
          </w:p>
        </w:tc>
        <w:tc>
          <w:tcPr>
            <w:tcW w:w="946" w:type="dxa"/>
            <w:tcBorders>
              <w:top w:val="single" w:sz="4" w:space="0" w:color="auto"/>
              <w:left w:val="single" w:sz="4" w:space="0" w:color="auto"/>
              <w:bottom w:val="single" w:sz="4" w:space="0" w:color="auto"/>
              <w:right w:val="single" w:sz="4" w:space="0" w:color="auto"/>
            </w:tcBorders>
            <w:vAlign w:val="center"/>
          </w:tcPr>
          <w:p w14:paraId="7C8633FC" w14:textId="77777777" w:rsidR="005B7541" w:rsidRPr="00761E0E" w:rsidRDefault="005B7541" w:rsidP="009159FD">
            <w:pPr>
              <w:pStyle w:val="Tabletext"/>
              <w:jc w:val="center"/>
            </w:pPr>
            <w:r w:rsidRPr="00761E0E">
              <w:rPr>
                <w:rFonts w:ascii="Wingdings" w:eastAsia="Wingdings" w:hAnsi="Wingdings" w:cs="Wingdings"/>
              </w:rPr>
              <w:t></w:t>
            </w:r>
          </w:p>
        </w:tc>
        <w:tc>
          <w:tcPr>
            <w:tcW w:w="0" w:type="auto"/>
            <w:tcBorders>
              <w:top w:val="single" w:sz="4" w:space="0" w:color="auto"/>
              <w:left w:val="single" w:sz="4" w:space="0" w:color="auto"/>
              <w:bottom w:val="single" w:sz="4" w:space="0" w:color="auto"/>
              <w:right w:val="single" w:sz="4" w:space="0" w:color="auto"/>
            </w:tcBorders>
          </w:tcPr>
          <w:p w14:paraId="438548BA" w14:textId="77777777" w:rsidR="005B7541" w:rsidRPr="00761E0E" w:rsidRDefault="005B7541" w:rsidP="009159FD">
            <w:pPr>
              <w:pStyle w:val="Tabletext"/>
              <w:jc w:val="center"/>
            </w:pPr>
            <w:r w:rsidRPr="00761E0E">
              <w:t>–</w:t>
            </w:r>
          </w:p>
        </w:tc>
        <w:tc>
          <w:tcPr>
            <w:tcW w:w="0" w:type="auto"/>
            <w:tcBorders>
              <w:top w:val="single" w:sz="4" w:space="0" w:color="auto"/>
              <w:left w:val="single" w:sz="4" w:space="0" w:color="auto"/>
              <w:bottom w:val="single" w:sz="4" w:space="0" w:color="auto"/>
              <w:right w:val="single" w:sz="4" w:space="0" w:color="auto"/>
            </w:tcBorders>
            <w:vAlign w:val="center"/>
          </w:tcPr>
          <w:p w14:paraId="6B43DCE9" w14:textId="77777777" w:rsidR="005B7541" w:rsidRPr="00761E0E" w:rsidRDefault="005B7541" w:rsidP="009159FD">
            <w:pPr>
              <w:pStyle w:val="Tabletext"/>
              <w:jc w:val="center"/>
            </w:pPr>
            <w:r w:rsidRPr="00761E0E">
              <w:rPr>
                <w:rFonts w:ascii="Wingdings" w:eastAsia="Wingdings" w:hAnsi="Wingdings" w:cs="Wingdings"/>
              </w:rPr>
              <w:t></w:t>
            </w:r>
          </w:p>
        </w:tc>
        <w:tc>
          <w:tcPr>
            <w:tcW w:w="0" w:type="auto"/>
            <w:tcBorders>
              <w:top w:val="single" w:sz="4" w:space="0" w:color="auto"/>
              <w:left w:val="single" w:sz="4" w:space="0" w:color="auto"/>
              <w:bottom w:val="single" w:sz="4" w:space="0" w:color="auto"/>
              <w:right w:val="single" w:sz="4" w:space="0" w:color="auto"/>
            </w:tcBorders>
          </w:tcPr>
          <w:p w14:paraId="257ED294" w14:textId="77777777" w:rsidR="005B7541" w:rsidRPr="00761E0E" w:rsidRDefault="005B7541" w:rsidP="009159FD">
            <w:pPr>
              <w:pStyle w:val="Tabletext"/>
              <w:jc w:val="center"/>
            </w:pPr>
            <w:r w:rsidRPr="00761E0E">
              <w:t>–</w:t>
            </w:r>
          </w:p>
        </w:tc>
      </w:tr>
      <w:tr w:rsidR="005B7541" w:rsidRPr="00BF52F4" w14:paraId="183E9429" w14:textId="77777777" w:rsidTr="2F08127F">
        <w:trPr>
          <w:trHeight w:val="187"/>
          <w:jc w:val="center"/>
        </w:trPr>
        <w:tc>
          <w:tcPr>
            <w:tcW w:w="0" w:type="auto"/>
            <w:vMerge/>
          </w:tcPr>
          <w:p w14:paraId="66489E39" w14:textId="77777777" w:rsidR="005B7541" w:rsidRPr="00547BEA" w:rsidRDefault="005B7541" w:rsidP="009159FD">
            <w:pPr>
              <w:pStyle w:val="Tabletext"/>
              <w:rPr>
                <w:b/>
                <w:bCs/>
              </w:rPr>
            </w:pPr>
          </w:p>
        </w:tc>
        <w:tc>
          <w:tcPr>
            <w:tcW w:w="2779" w:type="dxa"/>
            <w:tcBorders>
              <w:top w:val="single" w:sz="4" w:space="0" w:color="auto"/>
              <w:bottom w:val="single" w:sz="4" w:space="0" w:color="auto"/>
              <w:right w:val="single" w:sz="4" w:space="0" w:color="auto"/>
            </w:tcBorders>
          </w:tcPr>
          <w:p w14:paraId="0AEAEE11" w14:textId="77777777" w:rsidR="005B7541" w:rsidRPr="005B7541" w:rsidRDefault="005B7541" w:rsidP="009159FD">
            <w:pPr>
              <w:pStyle w:val="Tabletext"/>
              <w:rPr>
                <w:bCs/>
              </w:rPr>
            </w:pPr>
            <w:r w:rsidRPr="005B7541">
              <w:rPr>
                <w:bCs/>
              </w:rPr>
              <w:t>QTc prolongation</w:t>
            </w:r>
          </w:p>
        </w:tc>
        <w:tc>
          <w:tcPr>
            <w:tcW w:w="946" w:type="dxa"/>
            <w:tcBorders>
              <w:top w:val="single" w:sz="4" w:space="0" w:color="auto"/>
              <w:left w:val="single" w:sz="4" w:space="0" w:color="auto"/>
              <w:bottom w:val="single" w:sz="4" w:space="0" w:color="auto"/>
              <w:right w:val="single" w:sz="4" w:space="0" w:color="auto"/>
            </w:tcBorders>
            <w:vAlign w:val="center"/>
          </w:tcPr>
          <w:p w14:paraId="71BBB13A" w14:textId="77777777" w:rsidR="005B7541" w:rsidRPr="00761E0E" w:rsidRDefault="005B7541" w:rsidP="009159FD">
            <w:pPr>
              <w:pStyle w:val="Tabletext"/>
              <w:jc w:val="center"/>
            </w:pPr>
            <w:r w:rsidRPr="00761E0E">
              <w:rPr>
                <w:rFonts w:ascii="Wingdings" w:eastAsia="Wingdings" w:hAnsi="Wingdings" w:cs="Wingdings"/>
              </w:rPr>
              <w:t></w:t>
            </w:r>
          </w:p>
        </w:tc>
        <w:tc>
          <w:tcPr>
            <w:tcW w:w="0" w:type="auto"/>
            <w:tcBorders>
              <w:top w:val="single" w:sz="4" w:space="0" w:color="auto"/>
              <w:left w:val="single" w:sz="4" w:space="0" w:color="auto"/>
              <w:bottom w:val="single" w:sz="4" w:space="0" w:color="auto"/>
              <w:right w:val="single" w:sz="4" w:space="0" w:color="auto"/>
            </w:tcBorders>
          </w:tcPr>
          <w:p w14:paraId="488B00F8" w14:textId="77777777" w:rsidR="005B7541" w:rsidRPr="00761E0E" w:rsidRDefault="005B7541" w:rsidP="009159FD">
            <w:pPr>
              <w:pStyle w:val="Tabletext"/>
              <w:jc w:val="center"/>
            </w:pPr>
            <w:r w:rsidRPr="00761E0E">
              <w:t>–</w:t>
            </w:r>
          </w:p>
        </w:tc>
        <w:tc>
          <w:tcPr>
            <w:tcW w:w="0" w:type="auto"/>
            <w:tcBorders>
              <w:top w:val="single" w:sz="4" w:space="0" w:color="auto"/>
              <w:left w:val="single" w:sz="4" w:space="0" w:color="auto"/>
              <w:bottom w:val="single" w:sz="4" w:space="0" w:color="auto"/>
              <w:right w:val="single" w:sz="4" w:space="0" w:color="auto"/>
            </w:tcBorders>
            <w:vAlign w:val="center"/>
          </w:tcPr>
          <w:p w14:paraId="17B11086" w14:textId="77777777" w:rsidR="005B7541" w:rsidRPr="00761E0E" w:rsidRDefault="005B7541" w:rsidP="009159FD">
            <w:pPr>
              <w:pStyle w:val="Tabletext"/>
              <w:jc w:val="center"/>
            </w:pPr>
            <w:r w:rsidRPr="00761E0E">
              <w:rPr>
                <w:rFonts w:ascii="Wingdings" w:eastAsia="Wingdings" w:hAnsi="Wingdings" w:cs="Wingdings"/>
              </w:rPr>
              <w:t></w:t>
            </w:r>
          </w:p>
        </w:tc>
        <w:tc>
          <w:tcPr>
            <w:tcW w:w="0" w:type="auto"/>
            <w:tcBorders>
              <w:top w:val="single" w:sz="4" w:space="0" w:color="auto"/>
              <w:left w:val="single" w:sz="4" w:space="0" w:color="auto"/>
              <w:bottom w:val="single" w:sz="4" w:space="0" w:color="auto"/>
              <w:right w:val="single" w:sz="4" w:space="0" w:color="auto"/>
            </w:tcBorders>
          </w:tcPr>
          <w:p w14:paraId="7ED3A3C4" w14:textId="77777777" w:rsidR="005B7541" w:rsidRPr="00761E0E" w:rsidRDefault="005B7541" w:rsidP="009159FD">
            <w:pPr>
              <w:pStyle w:val="Tabletext"/>
              <w:jc w:val="center"/>
            </w:pPr>
            <w:r w:rsidRPr="00761E0E">
              <w:t>–</w:t>
            </w:r>
          </w:p>
        </w:tc>
      </w:tr>
      <w:tr w:rsidR="005B7541" w:rsidRPr="00BF52F4" w14:paraId="32BB1866" w14:textId="77777777" w:rsidTr="2F08127F">
        <w:trPr>
          <w:trHeight w:val="159"/>
          <w:jc w:val="center"/>
        </w:trPr>
        <w:tc>
          <w:tcPr>
            <w:tcW w:w="0" w:type="auto"/>
            <w:vMerge w:val="restart"/>
          </w:tcPr>
          <w:p w14:paraId="33C6A969" w14:textId="77777777" w:rsidR="005B7541" w:rsidRPr="00281B1A" w:rsidRDefault="005B7541" w:rsidP="009159FD">
            <w:pPr>
              <w:pStyle w:val="Tabletext"/>
              <w:rPr>
                <w:b/>
                <w:bCs/>
              </w:rPr>
            </w:pPr>
            <w:r w:rsidRPr="00281B1A">
              <w:rPr>
                <w:b/>
                <w:bCs/>
              </w:rPr>
              <w:t>Important potential risks</w:t>
            </w:r>
          </w:p>
        </w:tc>
        <w:tc>
          <w:tcPr>
            <w:tcW w:w="2779" w:type="dxa"/>
            <w:tcBorders>
              <w:top w:val="single" w:sz="4" w:space="0" w:color="auto"/>
              <w:bottom w:val="single" w:sz="4" w:space="0" w:color="auto"/>
              <w:right w:val="single" w:sz="4" w:space="0" w:color="auto"/>
            </w:tcBorders>
          </w:tcPr>
          <w:p w14:paraId="675DE3AE" w14:textId="77777777" w:rsidR="005B7541" w:rsidRPr="005B7541" w:rsidRDefault="005B7541" w:rsidP="009159FD">
            <w:pPr>
              <w:pStyle w:val="Tabletext"/>
              <w:rPr>
                <w:bCs/>
              </w:rPr>
            </w:pPr>
            <w:r w:rsidRPr="005B7541">
              <w:rPr>
                <w:bCs/>
              </w:rPr>
              <w:t>Hepatotoxicity</w:t>
            </w:r>
          </w:p>
        </w:tc>
        <w:tc>
          <w:tcPr>
            <w:tcW w:w="946" w:type="dxa"/>
            <w:tcBorders>
              <w:top w:val="single" w:sz="4" w:space="0" w:color="auto"/>
              <w:left w:val="single" w:sz="4" w:space="0" w:color="auto"/>
              <w:bottom w:val="single" w:sz="4" w:space="0" w:color="auto"/>
              <w:right w:val="single" w:sz="4" w:space="0" w:color="auto"/>
            </w:tcBorders>
            <w:vAlign w:val="center"/>
          </w:tcPr>
          <w:p w14:paraId="17F46F71" w14:textId="77777777" w:rsidR="005B7541" w:rsidRPr="00761E0E" w:rsidRDefault="005B7541" w:rsidP="009159FD">
            <w:pPr>
              <w:pStyle w:val="Tabletext"/>
              <w:jc w:val="center"/>
            </w:pPr>
            <w:r w:rsidRPr="00761E0E">
              <w:rPr>
                <w:rFonts w:ascii="Wingdings" w:eastAsia="Wingdings" w:hAnsi="Wingdings" w:cs="Wingdings"/>
              </w:rPr>
              <w:t></w:t>
            </w:r>
          </w:p>
        </w:tc>
        <w:tc>
          <w:tcPr>
            <w:tcW w:w="0" w:type="auto"/>
            <w:tcBorders>
              <w:top w:val="single" w:sz="4" w:space="0" w:color="auto"/>
              <w:left w:val="single" w:sz="4" w:space="0" w:color="auto"/>
              <w:bottom w:val="single" w:sz="4" w:space="0" w:color="auto"/>
              <w:right w:val="single" w:sz="4" w:space="0" w:color="auto"/>
            </w:tcBorders>
          </w:tcPr>
          <w:p w14:paraId="176404BD" w14:textId="77777777" w:rsidR="005B7541" w:rsidRPr="00761E0E" w:rsidRDefault="005B7541" w:rsidP="009159FD">
            <w:pPr>
              <w:pStyle w:val="Tabletext"/>
              <w:jc w:val="center"/>
            </w:pPr>
            <w:r w:rsidRPr="00761E0E">
              <w:t>–</w:t>
            </w:r>
          </w:p>
        </w:tc>
        <w:tc>
          <w:tcPr>
            <w:tcW w:w="0" w:type="auto"/>
            <w:tcBorders>
              <w:top w:val="single" w:sz="4" w:space="0" w:color="auto"/>
              <w:left w:val="single" w:sz="4" w:space="0" w:color="auto"/>
              <w:bottom w:val="single" w:sz="4" w:space="0" w:color="auto"/>
              <w:right w:val="single" w:sz="4" w:space="0" w:color="auto"/>
            </w:tcBorders>
            <w:vAlign w:val="center"/>
          </w:tcPr>
          <w:p w14:paraId="73169375" w14:textId="77777777" w:rsidR="005B7541" w:rsidRPr="00761E0E" w:rsidRDefault="005B7541" w:rsidP="009159FD">
            <w:pPr>
              <w:pStyle w:val="Tabletext"/>
              <w:jc w:val="center"/>
            </w:pPr>
            <w:r w:rsidRPr="00761E0E">
              <w:rPr>
                <w:rFonts w:ascii="Wingdings" w:eastAsia="Wingdings" w:hAnsi="Wingdings" w:cs="Wingdings"/>
              </w:rPr>
              <w:t></w:t>
            </w:r>
          </w:p>
        </w:tc>
        <w:tc>
          <w:tcPr>
            <w:tcW w:w="0" w:type="auto"/>
            <w:tcBorders>
              <w:top w:val="single" w:sz="4" w:space="0" w:color="auto"/>
              <w:left w:val="single" w:sz="4" w:space="0" w:color="auto"/>
              <w:bottom w:val="single" w:sz="4" w:space="0" w:color="auto"/>
              <w:right w:val="single" w:sz="4" w:space="0" w:color="auto"/>
            </w:tcBorders>
          </w:tcPr>
          <w:p w14:paraId="4423F6AD" w14:textId="77777777" w:rsidR="005B7541" w:rsidRPr="00761E0E" w:rsidRDefault="005B7541" w:rsidP="009159FD">
            <w:pPr>
              <w:pStyle w:val="Tabletext"/>
              <w:jc w:val="center"/>
            </w:pPr>
            <w:r w:rsidRPr="00761E0E">
              <w:t>–</w:t>
            </w:r>
          </w:p>
        </w:tc>
      </w:tr>
      <w:tr w:rsidR="005B7541" w:rsidRPr="00BF52F4" w14:paraId="3591B875" w14:textId="77777777" w:rsidTr="2F08127F">
        <w:trPr>
          <w:trHeight w:val="122"/>
          <w:jc w:val="center"/>
        </w:trPr>
        <w:tc>
          <w:tcPr>
            <w:tcW w:w="0" w:type="auto"/>
            <w:vMerge/>
          </w:tcPr>
          <w:p w14:paraId="4EA3DAD1" w14:textId="77777777" w:rsidR="005B7541" w:rsidRPr="00547BEA" w:rsidRDefault="005B7541" w:rsidP="009159FD">
            <w:pPr>
              <w:pStyle w:val="Tabletext"/>
              <w:rPr>
                <w:b/>
                <w:bCs/>
              </w:rPr>
            </w:pPr>
          </w:p>
        </w:tc>
        <w:tc>
          <w:tcPr>
            <w:tcW w:w="2779" w:type="dxa"/>
            <w:tcBorders>
              <w:top w:val="single" w:sz="4" w:space="0" w:color="auto"/>
              <w:bottom w:val="single" w:sz="4" w:space="0" w:color="auto"/>
              <w:right w:val="single" w:sz="4" w:space="0" w:color="auto"/>
            </w:tcBorders>
          </w:tcPr>
          <w:p w14:paraId="7F0E74FD" w14:textId="77777777" w:rsidR="005B7541" w:rsidRPr="005B7541" w:rsidRDefault="005B7541" w:rsidP="009159FD">
            <w:pPr>
              <w:pStyle w:val="Tabletext"/>
              <w:rPr>
                <w:bCs/>
              </w:rPr>
            </w:pPr>
            <w:r w:rsidRPr="005B7541">
              <w:rPr>
                <w:bCs/>
              </w:rPr>
              <w:t>Hepatitis B virus infection reactivation</w:t>
            </w:r>
          </w:p>
        </w:tc>
        <w:tc>
          <w:tcPr>
            <w:tcW w:w="946" w:type="dxa"/>
            <w:tcBorders>
              <w:top w:val="single" w:sz="4" w:space="0" w:color="auto"/>
              <w:left w:val="single" w:sz="4" w:space="0" w:color="auto"/>
              <w:bottom w:val="single" w:sz="4" w:space="0" w:color="auto"/>
              <w:right w:val="single" w:sz="4" w:space="0" w:color="auto"/>
            </w:tcBorders>
            <w:vAlign w:val="center"/>
          </w:tcPr>
          <w:p w14:paraId="68AB11C8" w14:textId="77777777" w:rsidR="005B7541" w:rsidRPr="00761E0E" w:rsidRDefault="005B7541" w:rsidP="009159FD">
            <w:pPr>
              <w:pStyle w:val="Tabletext"/>
              <w:jc w:val="center"/>
            </w:pPr>
            <w:r w:rsidRPr="00761E0E">
              <w:rPr>
                <w:rFonts w:ascii="Wingdings" w:eastAsia="Wingdings" w:hAnsi="Wingdings" w:cs="Wingdings"/>
              </w:rPr>
              <w:t></w:t>
            </w:r>
          </w:p>
        </w:tc>
        <w:tc>
          <w:tcPr>
            <w:tcW w:w="0" w:type="auto"/>
            <w:tcBorders>
              <w:top w:val="single" w:sz="4" w:space="0" w:color="auto"/>
              <w:left w:val="single" w:sz="4" w:space="0" w:color="auto"/>
              <w:bottom w:val="single" w:sz="4" w:space="0" w:color="auto"/>
              <w:right w:val="single" w:sz="4" w:space="0" w:color="auto"/>
            </w:tcBorders>
          </w:tcPr>
          <w:p w14:paraId="05D619E0" w14:textId="77777777" w:rsidR="005B7541" w:rsidRPr="00761E0E" w:rsidRDefault="005B7541" w:rsidP="009159FD">
            <w:pPr>
              <w:pStyle w:val="Tabletext"/>
              <w:jc w:val="center"/>
            </w:pPr>
            <w:r w:rsidRPr="00761E0E">
              <w:t>–</w:t>
            </w:r>
          </w:p>
        </w:tc>
        <w:tc>
          <w:tcPr>
            <w:tcW w:w="0" w:type="auto"/>
            <w:tcBorders>
              <w:top w:val="single" w:sz="4" w:space="0" w:color="auto"/>
              <w:left w:val="single" w:sz="4" w:space="0" w:color="auto"/>
              <w:bottom w:val="single" w:sz="4" w:space="0" w:color="auto"/>
              <w:right w:val="single" w:sz="4" w:space="0" w:color="auto"/>
            </w:tcBorders>
            <w:vAlign w:val="center"/>
          </w:tcPr>
          <w:p w14:paraId="01AB4F4A" w14:textId="77777777" w:rsidR="005B7541" w:rsidRPr="00761E0E" w:rsidRDefault="005B7541" w:rsidP="009159FD">
            <w:pPr>
              <w:pStyle w:val="Tabletext"/>
              <w:jc w:val="center"/>
            </w:pPr>
            <w:r w:rsidRPr="00761E0E">
              <w:rPr>
                <w:rFonts w:ascii="Wingdings" w:eastAsia="Wingdings" w:hAnsi="Wingdings" w:cs="Wingdings"/>
              </w:rPr>
              <w:t></w:t>
            </w:r>
          </w:p>
        </w:tc>
        <w:tc>
          <w:tcPr>
            <w:tcW w:w="0" w:type="auto"/>
            <w:tcBorders>
              <w:top w:val="single" w:sz="4" w:space="0" w:color="auto"/>
              <w:left w:val="single" w:sz="4" w:space="0" w:color="auto"/>
              <w:bottom w:val="single" w:sz="4" w:space="0" w:color="auto"/>
              <w:right w:val="single" w:sz="4" w:space="0" w:color="auto"/>
            </w:tcBorders>
          </w:tcPr>
          <w:p w14:paraId="240D841B" w14:textId="77777777" w:rsidR="005B7541" w:rsidRPr="00761E0E" w:rsidRDefault="005B7541" w:rsidP="009159FD">
            <w:pPr>
              <w:pStyle w:val="Tabletext"/>
              <w:jc w:val="center"/>
            </w:pPr>
            <w:r w:rsidRPr="00761E0E">
              <w:t>–</w:t>
            </w:r>
          </w:p>
        </w:tc>
      </w:tr>
      <w:tr w:rsidR="005B7541" w:rsidRPr="00BF52F4" w14:paraId="5FD37481" w14:textId="77777777" w:rsidTr="2F08127F">
        <w:trPr>
          <w:trHeight w:val="112"/>
          <w:jc w:val="center"/>
        </w:trPr>
        <w:tc>
          <w:tcPr>
            <w:tcW w:w="0" w:type="auto"/>
            <w:vMerge/>
          </w:tcPr>
          <w:p w14:paraId="325E3746" w14:textId="77777777" w:rsidR="005B7541" w:rsidRPr="00547BEA" w:rsidRDefault="005B7541" w:rsidP="009159FD">
            <w:pPr>
              <w:pStyle w:val="Tabletext"/>
              <w:rPr>
                <w:b/>
                <w:bCs/>
              </w:rPr>
            </w:pPr>
          </w:p>
        </w:tc>
        <w:tc>
          <w:tcPr>
            <w:tcW w:w="2779" w:type="dxa"/>
            <w:tcBorders>
              <w:top w:val="single" w:sz="4" w:space="0" w:color="auto"/>
              <w:bottom w:val="single" w:sz="4" w:space="0" w:color="auto"/>
              <w:right w:val="single" w:sz="4" w:space="0" w:color="auto"/>
            </w:tcBorders>
          </w:tcPr>
          <w:p w14:paraId="637B38F1" w14:textId="77777777" w:rsidR="005B7541" w:rsidRPr="005B7541" w:rsidRDefault="005B7541" w:rsidP="009159FD">
            <w:pPr>
              <w:pStyle w:val="Tabletext"/>
              <w:rPr>
                <w:bCs/>
              </w:rPr>
            </w:pPr>
            <w:r w:rsidRPr="005B7541">
              <w:rPr>
                <w:bCs/>
              </w:rPr>
              <w:t>Reproductive toxicity</w:t>
            </w:r>
          </w:p>
        </w:tc>
        <w:tc>
          <w:tcPr>
            <w:tcW w:w="946" w:type="dxa"/>
            <w:tcBorders>
              <w:top w:val="single" w:sz="4" w:space="0" w:color="auto"/>
              <w:left w:val="single" w:sz="4" w:space="0" w:color="auto"/>
              <w:bottom w:val="single" w:sz="4" w:space="0" w:color="auto"/>
              <w:right w:val="single" w:sz="4" w:space="0" w:color="auto"/>
            </w:tcBorders>
            <w:vAlign w:val="center"/>
          </w:tcPr>
          <w:p w14:paraId="09445E74" w14:textId="77777777" w:rsidR="005B7541" w:rsidRPr="00761E0E" w:rsidRDefault="005B7541" w:rsidP="009159FD">
            <w:pPr>
              <w:pStyle w:val="Tabletext"/>
              <w:jc w:val="center"/>
            </w:pPr>
            <w:r w:rsidRPr="00761E0E">
              <w:rPr>
                <w:rFonts w:ascii="Wingdings" w:eastAsia="Wingdings" w:hAnsi="Wingdings" w:cs="Wingdings"/>
              </w:rPr>
              <w:t></w:t>
            </w:r>
          </w:p>
        </w:tc>
        <w:tc>
          <w:tcPr>
            <w:tcW w:w="0" w:type="auto"/>
            <w:tcBorders>
              <w:top w:val="single" w:sz="4" w:space="0" w:color="auto"/>
              <w:left w:val="single" w:sz="4" w:space="0" w:color="auto"/>
              <w:bottom w:val="single" w:sz="4" w:space="0" w:color="auto"/>
              <w:right w:val="single" w:sz="4" w:space="0" w:color="auto"/>
            </w:tcBorders>
          </w:tcPr>
          <w:p w14:paraId="1EE84702" w14:textId="77777777" w:rsidR="005B7541" w:rsidRPr="00761E0E" w:rsidRDefault="005B7541" w:rsidP="009159FD">
            <w:pPr>
              <w:pStyle w:val="Tabletext"/>
              <w:jc w:val="center"/>
            </w:pPr>
            <w:r w:rsidRPr="00761E0E">
              <w:t>–</w:t>
            </w:r>
          </w:p>
        </w:tc>
        <w:tc>
          <w:tcPr>
            <w:tcW w:w="0" w:type="auto"/>
            <w:tcBorders>
              <w:top w:val="single" w:sz="4" w:space="0" w:color="auto"/>
              <w:left w:val="single" w:sz="4" w:space="0" w:color="auto"/>
              <w:bottom w:val="single" w:sz="4" w:space="0" w:color="auto"/>
              <w:right w:val="single" w:sz="4" w:space="0" w:color="auto"/>
            </w:tcBorders>
            <w:vAlign w:val="center"/>
          </w:tcPr>
          <w:p w14:paraId="4FF8DA69" w14:textId="77777777" w:rsidR="005B7541" w:rsidRPr="00761E0E" w:rsidRDefault="005B7541" w:rsidP="009159FD">
            <w:pPr>
              <w:pStyle w:val="Tabletext"/>
              <w:jc w:val="center"/>
            </w:pPr>
            <w:r w:rsidRPr="00761E0E">
              <w:rPr>
                <w:rFonts w:ascii="Wingdings" w:eastAsia="Wingdings" w:hAnsi="Wingdings" w:cs="Wingdings"/>
              </w:rPr>
              <w:t></w:t>
            </w:r>
          </w:p>
        </w:tc>
        <w:tc>
          <w:tcPr>
            <w:tcW w:w="0" w:type="auto"/>
            <w:tcBorders>
              <w:top w:val="single" w:sz="4" w:space="0" w:color="auto"/>
              <w:left w:val="single" w:sz="4" w:space="0" w:color="auto"/>
              <w:bottom w:val="single" w:sz="4" w:space="0" w:color="auto"/>
              <w:right w:val="single" w:sz="4" w:space="0" w:color="auto"/>
            </w:tcBorders>
          </w:tcPr>
          <w:p w14:paraId="18DFE150" w14:textId="77777777" w:rsidR="005B7541" w:rsidRPr="00761E0E" w:rsidRDefault="005B7541" w:rsidP="009159FD">
            <w:pPr>
              <w:pStyle w:val="Tabletext"/>
              <w:jc w:val="center"/>
            </w:pPr>
            <w:r w:rsidRPr="00761E0E">
              <w:t>–</w:t>
            </w:r>
          </w:p>
        </w:tc>
      </w:tr>
      <w:tr w:rsidR="005B7541" w:rsidRPr="00BA39DA" w14:paraId="18C79194" w14:textId="77777777" w:rsidTr="2F08127F">
        <w:trPr>
          <w:trHeight w:val="178"/>
          <w:jc w:val="center"/>
        </w:trPr>
        <w:tc>
          <w:tcPr>
            <w:tcW w:w="0" w:type="auto"/>
          </w:tcPr>
          <w:p w14:paraId="4E296CC7" w14:textId="51012650" w:rsidR="005B7541" w:rsidRPr="00281B1A" w:rsidRDefault="6FCD1EA7" w:rsidP="009159FD">
            <w:pPr>
              <w:pStyle w:val="Tabletext"/>
              <w:rPr>
                <w:b/>
              </w:rPr>
            </w:pPr>
            <w:r w:rsidRPr="00281B1A">
              <w:rPr>
                <w:b/>
              </w:rPr>
              <w:t>Missing information</w:t>
            </w:r>
            <w:r w:rsidR="00807FA0" w:rsidRPr="00281B1A">
              <w:rPr>
                <w:b/>
                <w:vertAlign w:val="superscript"/>
              </w:rPr>
              <w:t>†</w:t>
            </w:r>
          </w:p>
        </w:tc>
        <w:tc>
          <w:tcPr>
            <w:tcW w:w="2779" w:type="dxa"/>
            <w:tcBorders>
              <w:top w:val="single" w:sz="4" w:space="0" w:color="auto"/>
              <w:bottom w:val="single" w:sz="4" w:space="0" w:color="auto"/>
              <w:right w:val="single" w:sz="4" w:space="0" w:color="auto"/>
            </w:tcBorders>
          </w:tcPr>
          <w:p w14:paraId="263EE80F" w14:textId="3F767F7C" w:rsidR="005B7541" w:rsidRPr="005B7541" w:rsidRDefault="005B7541" w:rsidP="009159FD">
            <w:pPr>
              <w:pStyle w:val="Tabletext"/>
              <w:rPr>
                <w:bCs/>
              </w:rPr>
            </w:pPr>
            <w:r w:rsidRPr="005B7541">
              <w:rPr>
                <w:bCs/>
              </w:rPr>
              <w:t>Long</w:t>
            </w:r>
            <w:r w:rsidR="00A2692B">
              <w:rPr>
                <w:bCs/>
              </w:rPr>
              <w:t xml:space="preserve"> </w:t>
            </w:r>
            <w:r w:rsidRPr="005B7541">
              <w:rPr>
                <w:bCs/>
              </w:rPr>
              <w:t>term safety</w:t>
            </w:r>
          </w:p>
        </w:tc>
        <w:tc>
          <w:tcPr>
            <w:tcW w:w="946" w:type="dxa"/>
            <w:tcBorders>
              <w:top w:val="single" w:sz="4" w:space="0" w:color="auto"/>
              <w:left w:val="single" w:sz="4" w:space="0" w:color="auto"/>
              <w:bottom w:val="single" w:sz="4" w:space="0" w:color="auto"/>
              <w:right w:val="single" w:sz="4" w:space="0" w:color="auto"/>
            </w:tcBorders>
            <w:vAlign w:val="center"/>
          </w:tcPr>
          <w:p w14:paraId="56595227" w14:textId="77777777" w:rsidR="005B7541" w:rsidRPr="00BA39DA" w:rsidRDefault="005B7541" w:rsidP="009159FD">
            <w:pPr>
              <w:pStyle w:val="Tabletext"/>
              <w:jc w:val="center"/>
            </w:pPr>
            <w:r w:rsidRPr="00BA39DA">
              <w:rPr>
                <w:rFonts w:ascii="Wingdings" w:eastAsia="Wingdings" w:hAnsi="Wingdings" w:cs="Wingdings"/>
              </w:rPr>
              <w:t></w:t>
            </w:r>
          </w:p>
        </w:tc>
        <w:tc>
          <w:tcPr>
            <w:tcW w:w="0" w:type="auto"/>
            <w:tcBorders>
              <w:top w:val="single" w:sz="4" w:space="0" w:color="auto"/>
              <w:left w:val="single" w:sz="4" w:space="0" w:color="auto"/>
              <w:bottom w:val="single" w:sz="4" w:space="0" w:color="auto"/>
              <w:right w:val="single" w:sz="4" w:space="0" w:color="auto"/>
            </w:tcBorders>
          </w:tcPr>
          <w:p w14:paraId="3BB17FAE" w14:textId="77777777" w:rsidR="005B7541" w:rsidRPr="00BA39DA" w:rsidRDefault="005B7541" w:rsidP="009159FD">
            <w:pPr>
              <w:pStyle w:val="Tabletext"/>
              <w:jc w:val="center"/>
            </w:pPr>
            <w:r w:rsidRPr="00BA39DA">
              <w:rPr>
                <w:rFonts w:ascii="Wingdings" w:eastAsia="Wingdings" w:hAnsi="Wingdings" w:cs="Wingdings"/>
              </w:rPr>
              <w:t></w:t>
            </w:r>
            <w:r w:rsidRPr="00BA39DA">
              <w:t>*</w:t>
            </w:r>
          </w:p>
        </w:tc>
        <w:tc>
          <w:tcPr>
            <w:tcW w:w="0" w:type="auto"/>
            <w:tcBorders>
              <w:top w:val="single" w:sz="4" w:space="0" w:color="auto"/>
              <w:left w:val="single" w:sz="4" w:space="0" w:color="auto"/>
              <w:bottom w:val="single" w:sz="4" w:space="0" w:color="auto"/>
              <w:right w:val="single" w:sz="4" w:space="0" w:color="auto"/>
            </w:tcBorders>
            <w:vAlign w:val="center"/>
          </w:tcPr>
          <w:p w14:paraId="237C0410" w14:textId="77777777" w:rsidR="005B7541" w:rsidRPr="00BA39DA" w:rsidRDefault="005B7541" w:rsidP="009159FD">
            <w:pPr>
              <w:pStyle w:val="Tabletext"/>
              <w:jc w:val="center"/>
            </w:pPr>
            <w:r w:rsidRPr="00BA39DA">
              <w:t>–</w:t>
            </w:r>
          </w:p>
        </w:tc>
        <w:tc>
          <w:tcPr>
            <w:tcW w:w="0" w:type="auto"/>
            <w:tcBorders>
              <w:top w:val="single" w:sz="4" w:space="0" w:color="auto"/>
              <w:left w:val="single" w:sz="4" w:space="0" w:color="auto"/>
              <w:bottom w:val="single" w:sz="4" w:space="0" w:color="auto"/>
              <w:right w:val="single" w:sz="4" w:space="0" w:color="auto"/>
            </w:tcBorders>
          </w:tcPr>
          <w:p w14:paraId="67B4A916" w14:textId="77777777" w:rsidR="005B7541" w:rsidRPr="00BA39DA" w:rsidRDefault="005B7541" w:rsidP="009159FD">
            <w:pPr>
              <w:pStyle w:val="Tabletext"/>
              <w:jc w:val="center"/>
            </w:pPr>
            <w:r w:rsidRPr="00BA39DA">
              <w:t>–</w:t>
            </w:r>
          </w:p>
        </w:tc>
      </w:tr>
    </w:tbl>
    <w:p w14:paraId="0F54BDB2" w14:textId="77777777" w:rsidR="005B7541" w:rsidRPr="00180168" w:rsidRDefault="005B7541" w:rsidP="00281B1A">
      <w:pPr>
        <w:pStyle w:val="TableDescription"/>
      </w:pPr>
      <w:r w:rsidRPr="00F90B00">
        <w:t>* Clinical trials</w:t>
      </w:r>
    </w:p>
    <w:p w14:paraId="40FE16DA" w14:textId="46AB5F5A" w:rsidR="005B7541" w:rsidRPr="00F90B00" w:rsidRDefault="005B7541" w:rsidP="00281B1A">
      <w:pPr>
        <w:pStyle w:val="TableDescription"/>
      </w:pPr>
      <w:r w:rsidRPr="00322B59">
        <w:t xml:space="preserve">† </w:t>
      </w:r>
      <w:r w:rsidR="00807FA0">
        <w:t xml:space="preserve">‘Use in paediatric population’ was originally included under ‘Missing information’ in EU-RMP version 1.0 </w:t>
      </w:r>
      <w:proofErr w:type="gramStart"/>
      <w:r w:rsidR="00807FA0">
        <w:t>submitted, and</w:t>
      </w:r>
      <w:proofErr w:type="gramEnd"/>
      <w:r w:rsidR="00807FA0">
        <w:t xml:space="preserve"> was subsequently removed at the request of the TGA following the second round of RMP evaluation.</w:t>
      </w:r>
    </w:p>
    <w:p w14:paraId="35150313" w14:textId="5B62C10C" w:rsidR="005B7541" w:rsidRPr="005B7541" w:rsidRDefault="005B7541" w:rsidP="005B7541">
      <w:r w:rsidRPr="005B7541">
        <w:t xml:space="preserve">The summary of safety concerns proposed by the sponsor are generally endorsed. The sponsor was asked to further discuss ‘use in paediatric population’ and noting the elimination pathways for asciminib, whether drug interactions with asciminib warrant inclusion in the RMP summary of safety concerns. The sponsor was requested to include hypertension as an important identified risk. The sponsor has satisfactorily addressed the concerns regarding hypertension and drug interactions </w:t>
      </w:r>
      <w:r w:rsidR="00A72FB8">
        <w:t>in a TGA request for information</w:t>
      </w:r>
      <w:r w:rsidRPr="005B7541">
        <w:t xml:space="preserve"> and inclusion in the summary of safety concerns is not requested at this time. </w:t>
      </w:r>
      <w:r w:rsidR="00807FA0">
        <w:t>With</w:t>
      </w:r>
      <w:r w:rsidR="00807FA0" w:rsidRPr="005B7541">
        <w:t xml:space="preserve"> </w:t>
      </w:r>
      <w:r w:rsidRPr="005B7541">
        <w:t>missing information ‘</w:t>
      </w:r>
      <w:r w:rsidR="00EA4550">
        <w:t>u</w:t>
      </w:r>
      <w:r w:rsidRPr="005B7541">
        <w:t xml:space="preserve">se in paediatric population’ removed, the summary of safety concerns </w:t>
      </w:r>
      <w:r w:rsidR="00807FA0">
        <w:t>is</w:t>
      </w:r>
      <w:r w:rsidRPr="005B7541">
        <w:t xml:space="preserve"> considered acceptable from an RMP perspective.</w:t>
      </w:r>
    </w:p>
    <w:p w14:paraId="0223CE9E" w14:textId="056DF778" w:rsidR="005B7541" w:rsidRPr="005B7541" w:rsidRDefault="005B7541" w:rsidP="005B7541">
      <w:r w:rsidRPr="005B7541">
        <w:t>Routine pharmacovigilance activities only are proposed. The sponsor has been asked to discuss the adequacy of routine pharmacovigilance for missing information ‘long</w:t>
      </w:r>
      <w:r w:rsidR="00A2692B">
        <w:t xml:space="preserve"> </w:t>
      </w:r>
      <w:r w:rsidRPr="005B7541">
        <w:t>term safety’ and consider whether additional pharmacovigilance activities could better characterise this safety concern. The sponsor has advised that additional pharmacovigilance in the form of four ongoing clinical trials to further characterise missing information ‘long term</w:t>
      </w:r>
      <w:r w:rsidR="00A2692B">
        <w:t xml:space="preserve"> </w:t>
      </w:r>
      <w:r w:rsidRPr="005B7541">
        <w:t>safety’ will be conducted. Once an updated ASA and EU RMP have been provided that include these additional pharmacovigilance activities, the pharmacovigilance plan will be considered acceptable from an RMP perspective.</w:t>
      </w:r>
    </w:p>
    <w:p w14:paraId="7FEE00A6" w14:textId="7EFF7A34" w:rsidR="00E85C5E" w:rsidRDefault="005B7541" w:rsidP="00E85C5E">
      <w:r w:rsidRPr="005B7541">
        <w:t xml:space="preserve">Routine risk minimisation activities only are proposed which is acceptable as asciminib is an oral formulation prescribed by specialists and the safety concerns can be adequately </w:t>
      </w:r>
      <w:r w:rsidRPr="005B7541">
        <w:lastRenderedPageBreak/>
        <w:t xml:space="preserve">addressed in the PI and </w:t>
      </w:r>
      <w:r w:rsidR="009E4C16">
        <w:t>Consumer Medicines Information (</w:t>
      </w:r>
      <w:r w:rsidRPr="005B7541">
        <w:t>CMI</w:t>
      </w:r>
      <w:r w:rsidR="009E4C16">
        <w:t>)</w:t>
      </w:r>
      <w:r w:rsidRPr="005B7541">
        <w:t>. The risk minimisation plan is considered acceptable.</w:t>
      </w:r>
    </w:p>
    <w:p w14:paraId="2A0021AA" w14:textId="7694D374" w:rsidR="00E85C5E" w:rsidRDefault="00E85C5E" w:rsidP="00E85C5E">
      <w:pPr>
        <w:pStyle w:val="Heading4"/>
      </w:pPr>
      <w:r w:rsidRPr="00E85C5E">
        <w:t xml:space="preserve">RMP </w:t>
      </w:r>
      <w:r w:rsidR="00F90B00" w:rsidRPr="00E85C5E">
        <w:t>e</w:t>
      </w:r>
      <w:r w:rsidR="00F90B00">
        <w:t xml:space="preserve">valuation’s </w:t>
      </w:r>
      <w:r w:rsidRPr="00E85C5E">
        <w:t>recommendations regarding condition/s of registration</w:t>
      </w:r>
    </w:p>
    <w:p w14:paraId="4AEF26DC" w14:textId="680FAEA4" w:rsidR="00E85C5E" w:rsidRDefault="00E85C5E" w:rsidP="00E85C5E">
      <w:r>
        <w:t xml:space="preserve">Any changes to which the sponsor has agreed should be included in a revised RMP and ASA. However, irrespective of </w:t>
      </w:r>
      <w:proofErr w:type="gramStart"/>
      <w:r>
        <w:t>whether or not</w:t>
      </w:r>
      <w:proofErr w:type="gramEnd"/>
      <w:r>
        <w:t xml:space="preserve"> they are included in the currently available version of the RMP document, the agreed changes become part of the risk management system.</w:t>
      </w:r>
    </w:p>
    <w:p w14:paraId="53B2933F" w14:textId="7473DD67" w:rsidR="00E85C5E" w:rsidRPr="000B2600" w:rsidRDefault="00975285" w:rsidP="00A41D5B">
      <w:pPr>
        <w:ind w:left="720"/>
      </w:pPr>
      <w:r>
        <w:t>‘</w:t>
      </w:r>
      <w:r w:rsidR="00E85C5E" w:rsidRPr="000B2600">
        <w:t>The S</w:t>
      </w:r>
      <w:r w:rsidR="00A41D5B" w:rsidRPr="000B2600">
        <w:t>cemblix</w:t>
      </w:r>
      <w:r w:rsidR="00E85C5E" w:rsidRPr="000B2600">
        <w:t xml:space="preserve"> EU-Risk Management Plan (RMP) (version 1.0, dated 15 June 2021, data lock point 6 January 2021), with Australian Specific Annex (version 1.0, dated 8 July 2021), included with submission PM-2021-03048-1-6, to be revised to the satisfaction of the TGA, and any subsequent revisions, will be implemented in Australia.</w:t>
      </w:r>
      <w:r>
        <w:t>’</w:t>
      </w:r>
    </w:p>
    <w:p w14:paraId="04C7C31D" w14:textId="46E1B376" w:rsidR="00E85C5E" w:rsidRDefault="00E85C5E" w:rsidP="00E85C5E">
      <w:r>
        <w:t xml:space="preserve">The following wording is recommended for the </w:t>
      </w:r>
      <w:r w:rsidR="00F90B00">
        <w:t>periodic safety update report (</w:t>
      </w:r>
      <w:r>
        <w:t>PSUR</w:t>
      </w:r>
      <w:r w:rsidR="00F90B00">
        <w:t>)</w:t>
      </w:r>
      <w:r>
        <w:t xml:space="preserve"> requirement:</w:t>
      </w:r>
    </w:p>
    <w:p w14:paraId="384242E2" w14:textId="2BFADA91" w:rsidR="00101FE3" w:rsidRPr="000B2600" w:rsidRDefault="000B2600" w:rsidP="00A41D5B">
      <w:pPr>
        <w:ind w:left="720"/>
      </w:pPr>
      <w:r>
        <w:t>‘</w:t>
      </w:r>
      <w:r w:rsidR="00E85C5E" w:rsidRPr="000B2600">
        <w:t>An obligatory component of risk management plans is routine pharmacovigilance. Routine pharmacovigilance includes the submission of periodic safety update reports (PSURs)</w:t>
      </w:r>
      <w:r w:rsidR="00101FE3" w:rsidRPr="000B2600">
        <w:t>.</w:t>
      </w:r>
    </w:p>
    <w:p w14:paraId="306B608C" w14:textId="4EF215FC" w:rsidR="00E85C5E" w:rsidRPr="000B2600" w:rsidRDefault="00E85C5E" w:rsidP="00A41D5B">
      <w:pPr>
        <w:ind w:left="720"/>
      </w:pPr>
      <w:r w:rsidRPr="000B2600">
        <w:t>Unless agreed separately between the supplier who is the recipient of the approval and the TGA, the first report must be submitted to TGA no later than 15 calendar months after the date of t</w:t>
      </w:r>
      <w:r w:rsidR="00A41D5B" w:rsidRPr="000B2600">
        <w:t>he</w:t>
      </w:r>
      <w:r w:rsidRPr="000B2600">
        <w:t xml:space="preserve"> approval letter. The subsequent reports must be submitted no less frequently than annually from the date of the first submitted report until the period covered by such reports is not less than three years from the date of th</w:t>
      </w:r>
      <w:r w:rsidR="00A41D5B" w:rsidRPr="000B2600">
        <w:t>e</w:t>
      </w:r>
      <w:r w:rsidRPr="000B2600">
        <w:t xml:space="preserve"> approval letter. The annual submission may be made up of two PSURs each covering six months. If the sponsor wishes, the </w:t>
      </w:r>
      <w:proofErr w:type="gramStart"/>
      <w:r w:rsidRPr="000B2600">
        <w:t>six monthly</w:t>
      </w:r>
      <w:proofErr w:type="gramEnd"/>
      <w:r w:rsidRPr="000B2600">
        <w:t xml:space="preserve"> reports may be submitted separately as they become available.</w:t>
      </w:r>
    </w:p>
    <w:p w14:paraId="2263B35A" w14:textId="2CC7129F" w:rsidR="00E85C5E" w:rsidRPr="000B2600" w:rsidRDefault="00E85C5E" w:rsidP="00A41D5B">
      <w:pPr>
        <w:ind w:left="720"/>
      </w:pPr>
      <w:r w:rsidRPr="000B2600">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w:t>
      </w:r>
      <w:r w:rsidR="00A41D5B" w:rsidRPr="000B2600">
        <w:t>e</w:t>
      </w:r>
      <w:r w:rsidRPr="000B2600">
        <w:t xml:space="preserve"> approval letter.</w:t>
      </w:r>
    </w:p>
    <w:p w14:paraId="65E44B06" w14:textId="1845C4EC" w:rsidR="00E85C5E" w:rsidRPr="000B2600" w:rsidRDefault="00E85C5E" w:rsidP="00A41D5B">
      <w:pPr>
        <w:ind w:left="720"/>
      </w:pPr>
      <w:r w:rsidRPr="000B2600">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r w:rsidR="000B2600">
        <w:t>’</w:t>
      </w:r>
    </w:p>
    <w:p w14:paraId="021F2264" w14:textId="5B694EE4" w:rsidR="00E85C5E" w:rsidRDefault="00E85C5E" w:rsidP="00E85C5E">
      <w:r>
        <w:t>As S</w:t>
      </w:r>
      <w:r w:rsidR="00A41D5B">
        <w:t>cemblix</w:t>
      </w:r>
      <w:r>
        <w:t xml:space="preserve"> is a new chemical entity it should be included in the Black Triangle Scheme as a condition of registration. The following wording is recommended for the condition of registration: </w:t>
      </w:r>
    </w:p>
    <w:p w14:paraId="506D27E3" w14:textId="319DCA8F" w:rsidR="00E85C5E" w:rsidRPr="000B2600" w:rsidRDefault="000B2600" w:rsidP="00A41D5B">
      <w:pPr>
        <w:ind w:left="720"/>
      </w:pPr>
      <w:r>
        <w:t>‘</w:t>
      </w:r>
      <w:r w:rsidR="00E85C5E" w:rsidRPr="000B2600">
        <w:t>S</w:t>
      </w:r>
      <w:r w:rsidR="00A41D5B" w:rsidRPr="000B2600">
        <w:t>cemblix</w:t>
      </w:r>
      <w:r w:rsidR="00E85C5E" w:rsidRPr="000B2600">
        <w:t xml:space="preserve"> (asciminib hydrochloride) is to be included in the Black Triangle Scheme. The PI and CMI for S</w:t>
      </w:r>
      <w:r w:rsidR="00A41D5B" w:rsidRPr="000B2600">
        <w:t>cemblix</w:t>
      </w:r>
      <w:r w:rsidR="00E85C5E" w:rsidRPr="000B2600">
        <w:t xml:space="preserve"> must include the black triangle symbol and mandatory accompanying text for five years, which starts from the date that the sponsor notifies the TGA of supply of the product.</w:t>
      </w:r>
      <w:r>
        <w:t>’</w:t>
      </w:r>
    </w:p>
    <w:p w14:paraId="07751FB4" w14:textId="77777777" w:rsidR="008E7846" w:rsidRDefault="00AA0ED0" w:rsidP="008E7846">
      <w:pPr>
        <w:pStyle w:val="Heading3"/>
      </w:pPr>
      <w:bookmarkStart w:id="78" w:name="_Toc131683502"/>
      <w:r>
        <w:lastRenderedPageBreak/>
        <w:t>Risk-benefit a</w:t>
      </w:r>
      <w:r w:rsidR="008E7846">
        <w:t>nalysis</w:t>
      </w:r>
      <w:bookmarkEnd w:id="73"/>
      <w:bookmarkEnd w:id="74"/>
      <w:bookmarkEnd w:id="78"/>
    </w:p>
    <w:p w14:paraId="334DDE7C" w14:textId="77777777" w:rsidR="0074163C" w:rsidRDefault="0074163C" w:rsidP="0074163C">
      <w:pPr>
        <w:pStyle w:val="Heading4"/>
      </w:pPr>
      <w:bookmarkStart w:id="79" w:name="_Toc98931932"/>
      <w:r>
        <w:t>Delegate’s considerations</w:t>
      </w:r>
      <w:bookmarkEnd w:id="79"/>
    </w:p>
    <w:p w14:paraId="10EB604F" w14:textId="5E303E39" w:rsidR="002C644D" w:rsidRPr="002C644D" w:rsidRDefault="002C644D" w:rsidP="002C644D">
      <w:r>
        <w:t xml:space="preserve">No absolute bioavailability study has been conducted and the drug-drug interaction studies are not comprehensive. The </w:t>
      </w:r>
      <w:r w:rsidR="00180168">
        <w:t>United States (US) Food and Drug Administration (FDA)</w:t>
      </w:r>
      <w:r w:rsidR="00322B59">
        <w:t>;</w:t>
      </w:r>
      <w:bookmarkStart w:id="80" w:name="_Ref131417059"/>
      <w:r w:rsidR="00322B59">
        <w:rPr>
          <w:rStyle w:val="FootnoteReference"/>
        </w:rPr>
        <w:footnoteReference w:id="44"/>
      </w:r>
      <w:bookmarkEnd w:id="80"/>
      <w:r>
        <w:t xml:space="preserve"> recommended </w:t>
      </w:r>
      <w:r w:rsidR="73A43011">
        <w:t xml:space="preserve"> </w:t>
      </w:r>
      <w:r w:rsidR="009F33AE">
        <w:t xml:space="preserve">the sponsor </w:t>
      </w:r>
      <w:r w:rsidR="73A43011">
        <w:t xml:space="preserve">conduct </w:t>
      </w:r>
      <w:r w:rsidR="009F33AE">
        <w:t>p</w:t>
      </w:r>
      <w:r w:rsidR="009F33AE" w:rsidRPr="009F33AE">
        <w:t>hysiological based pharmacokinetic</w:t>
      </w:r>
      <w:r w:rsidR="009F33AE">
        <w:t xml:space="preserve"> </w:t>
      </w:r>
      <w:r w:rsidR="73A43011">
        <w:t xml:space="preserve"> simulation</w:t>
      </w:r>
      <w:r w:rsidR="218DB2EB">
        <w:t>s</w:t>
      </w:r>
      <w:r w:rsidR="73A43011">
        <w:t xml:space="preserve"> </w:t>
      </w:r>
      <w:r>
        <w:t xml:space="preserve">of asciminib when co-administered with breast cancer resistant protein substrates, </w:t>
      </w:r>
      <w:r w:rsidR="0095166B">
        <w:t>organic anion-transporting polypeptide 1B1 and 1B3 (</w:t>
      </w:r>
      <w:r>
        <w:t>OATP1B1/3</w:t>
      </w:r>
      <w:r w:rsidR="0095166B">
        <w:t xml:space="preserve">) </w:t>
      </w:r>
      <w:r>
        <w:t>substrates, strong CYP3A</w:t>
      </w:r>
      <w:r w:rsidR="00C22EE5">
        <w:t>;</w:t>
      </w:r>
      <w:r w:rsidR="00C22EE5" w:rsidRPr="00281B1A">
        <w:rPr>
          <w:vertAlign w:val="superscript"/>
        </w:rPr>
        <w:fldChar w:fldCharType="begin"/>
      </w:r>
      <w:r w:rsidR="00C22EE5" w:rsidRPr="00281B1A">
        <w:rPr>
          <w:vertAlign w:val="superscript"/>
        </w:rPr>
        <w:instrText xml:space="preserve"> NOTEREF _Ref127877652 \h </w:instrText>
      </w:r>
      <w:r w:rsidR="00C22EE5">
        <w:rPr>
          <w:vertAlign w:val="superscript"/>
        </w:rPr>
        <w:instrText xml:space="preserve"> \* MERGEFORMAT </w:instrText>
      </w:r>
      <w:r w:rsidR="00C22EE5" w:rsidRPr="00281B1A">
        <w:rPr>
          <w:vertAlign w:val="superscript"/>
        </w:rPr>
      </w:r>
      <w:r w:rsidR="00C22EE5" w:rsidRPr="00281B1A">
        <w:rPr>
          <w:vertAlign w:val="superscript"/>
        </w:rPr>
        <w:fldChar w:fldCharType="separate"/>
      </w:r>
      <w:r w:rsidR="00547BEA">
        <w:rPr>
          <w:vertAlign w:val="superscript"/>
        </w:rPr>
        <w:t>17</w:t>
      </w:r>
      <w:r w:rsidR="00C22EE5" w:rsidRPr="00281B1A">
        <w:rPr>
          <w:vertAlign w:val="superscript"/>
        </w:rPr>
        <w:fldChar w:fldCharType="end"/>
      </w:r>
      <w:r>
        <w:t xml:space="preserve"> and UGT inducers and for concomitant use of asciminib with oral drug products containing hydroxypropyl-β</w:t>
      </w:r>
      <w:r w:rsidR="00590F1E">
        <w:t>-</w:t>
      </w:r>
      <w:r>
        <w:t xml:space="preserve">cyclodextrin. Conduct of these studies was not a condition of approval for marketing in the USA. A paediatric </w:t>
      </w:r>
      <w:r w:rsidR="00180168">
        <w:t>pharmacokinetic (</w:t>
      </w:r>
      <w:r>
        <w:t>PK</w:t>
      </w:r>
      <w:r w:rsidR="00180168">
        <w:t>)</w:t>
      </w:r>
      <w:r>
        <w:t>, efficacy and safety study was required.</w:t>
      </w:r>
    </w:p>
    <w:p w14:paraId="30DA7651" w14:textId="649FA754" w:rsidR="002C644D" w:rsidRPr="002C644D" w:rsidRDefault="002C644D" w:rsidP="002C644D">
      <w:r w:rsidRPr="002C644D">
        <w:t xml:space="preserve">Based on </w:t>
      </w:r>
      <w:r w:rsidRPr="002C644D">
        <w:rPr>
          <w:i/>
          <w:iCs/>
        </w:rPr>
        <w:t>in vitro</w:t>
      </w:r>
      <w:r w:rsidRPr="002C644D">
        <w:t xml:space="preserve"> assessments, PK study results, </w:t>
      </w:r>
      <w:r w:rsidR="00180168">
        <w:t>population pharmacokinetic (</w:t>
      </w:r>
      <w:proofErr w:type="spellStart"/>
      <w:r w:rsidRPr="002C644D">
        <w:t>popPK</w:t>
      </w:r>
      <w:proofErr w:type="spellEnd"/>
      <w:r w:rsidR="00180168">
        <w:t>)</w:t>
      </w:r>
      <w:r w:rsidRPr="002C644D">
        <w:t xml:space="preserve"> modelling and the limited efficacy and safety data from Study X2101, the asciminib dose of 80</w:t>
      </w:r>
      <w:r>
        <w:t> </w:t>
      </w:r>
      <w:r w:rsidRPr="002C644D">
        <w:t xml:space="preserve">mg </w:t>
      </w:r>
      <w:r>
        <w:t>once daily</w:t>
      </w:r>
      <w:r w:rsidRPr="002C644D">
        <w:t xml:space="preserve"> is expected to provide similar efficacy and safety to that of the 40</w:t>
      </w:r>
      <w:r>
        <w:t> </w:t>
      </w:r>
      <w:r w:rsidRPr="002C644D">
        <w:t xml:space="preserve">mg </w:t>
      </w:r>
      <w:r>
        <w:t>twice a day</w:t>
      </w:r>
      <w:r w:rsidRPr="002C644D">
        <w:t xml:space="preserve"> dose (refer to </w:t>
      </w:r>
      <w:r>
        <w:rPr>
          <w:color w:val="2B579A"/>
          <w:shd w:val="clear" w:color="auto" w:fill="E6E6E6"/>
        </w:rPr>
        <w:fldChar w:fldCharType="begin"/>
      </w:r>
      <w:r>
        <w:instrText xml:space="preserve"> REF _Ref127274629 \h </w:instrText>
      </w:r>
      <w:r>
        <w:rPr>
          <w:color w:val="2B579A"/>
          <w:shd w:val="clear" w:color="auto" w:fill="E6E6E6"/>
        </w:rPr>
      </w:r>
      <w:r>
        <w:rPr>
          <w:color w:val="2B579A"/>
          <w:shd w:val="clear" w:color="auto" w:fill="E6E6E6"/>
        </w:rPr>
        <w:fldChar w:fldCharType="separate"/>
      </w:r>
      <w:r w:rsidR="00547BEA">
        <w:t xml:space="preserve">Table </w:t>
      </w:r>
      <w:r w:rsidR="00547BEA">
        <w:rPr>
          <w:noProof/>
        </w:rPr>
        <w:t>10</w:t>
      </w:r>
      <w:r>
        <w:rPr>
          <w:color w:val="2B579A"/>
          <w:shd w:val="clear" w:color="auto" w:fill="E6E6E6"/>
        </w:rPr>
        <w:fldChar w:fldCharType="end"/>
      </w:r>
      <w:r>
        <w:t xml:space="preserve"> </w:t>
      </w:r>
      <w:r w:rsidRPr="002C644D">
        <w:t xml:space="preserve">and </w:t>
      </w:r>
      <w:r>
        <w:rPr>
          <w:color w:val="2B579A"/>
          <w:shd w:val="clear" w:color="auto" w:fill="E6E6E6"/>
        </w:rPr>
        <w:fldChar w:fldCharType="begin"/>
      </w:r>
      <w:r>
        <w:instrText xml:space="preserve"> REF _Ref127256420 \h </w:instrText>
      </w:r>
      <w:r>
        <w:rPr>
          <w:color w:val="2B579A"/>
          <w:shd w:val="clear" w:color="auto" w:fill="E6E6E6"/>
        </w:rPr>
      </w:r>
      <w:r>
        <w:rPr>
          <w:color w:val="2B579A"/>
          <w:shd w:val="clear" w:color="auto" w:fill="E6E6E6"/>
        </w:rPr>
        <w:fldChar w:fldCharType="separate"/>
      </w:r>
      <w:r w:rsidR="00547BEA">
        <w:t xml:space="preserve">Table </w:t>
      </w:r>
      <w:r w:rsidR="00547BEA">
        <w:rPr>
          <w:noProof/>
        </w:rPr>
        <w:t>12</w:t>
      </w:r>
      <w:r>
        <w:rPr>
          <w:color w:val="2B579A"/>
          <w:shd w:val="clear" w:color="auto" w:fill="E6E6E6"/>
        </w:rPr>
        <w:fldChar w:fldCharType="end"/>
      </w:r>
      <w:r w:rsidRPr="002C644D">
        <w:t xml:space="preserve"> respectively) that was given in the pivotal study. No dose adjustment is needed for patients with hepatic or renal impairment or for age, body weight or race.</w:t>
      </w:r>
    </w:p>
    <w:p w14:paraId="47F9BD12" w14:textId="2EA3DA6B" w:rsidR="002C644D" w:rsidRPr="002C644D" w:rsidRDefault="002C644D" w:rsidP="002C644D">
      <w:r w:rsidRPr="002C644D">
        <w:t>The criteria for dose reduction and interruption that were applied in the pivotal study</w:t>
      </w:r>
      <w:r w:rsidR="00180168">
        <w:t xml:space="preserve"> (Study A2301, also known as the ASCEMBL trial)</w:t>
      </w:r>
      <w:r w:rsidRPr="002C644D">
        <w:t xml:space="preserve"> have been included in the dose modification recommendations in the </w:t>
      </w:r>
      <w:r w:rsidR="007B295C">
        <w:t>Product Information (</w:t>
      </w:r>
      <w:r w:rsidRPr="002C644D">
        <w:t>PI</w:t>
      </w:r>
      <w:r w:rsidR="007B295C">
        <w:t>)</w:t>
      </w:r>
      <w:r w:rsidRPr="002C644D">
        <w:t>.</w:t>
      </w:r>
    </w:p>
    <w:p w14:paraId="52D7257E" w14:textId="18025F43" w:rsidR="002C644D" w:rsidRPr="002C644D" w:rsidRDefault="002C644D" w:rsidP="002C644D">
      <w:r w:rsidRPr="002C644D">
        <w:t xml:space="preserve">Study A2301 convincingly demonstrated superiority of efficacy of asciminib over bosutinib </w:t>
      </w:r>
      <w:r w:rsidR="007B295C">
        <w:t xml:space="preserve">(another tyrosine kinase inhibitor) </w:t>
      </w:r>
      <w:r w:rsidRPr="002C644D">
        <w:t xml:space="preserve">in adult patients with </w:t>
      </w:r>
      <w:r>
        <w:t xml:space="preserve">Philadelphia chromosome positive chronic myeloid </w:t>
      </w:r>
      <w:r w:rsidR="001B10B9">
        <w:t>leukaemia</w:t>
      </w:r>
      <w:r w:rsidR="007F3963">
        <w:t xml:space="preserve"> in</w:t>
      </w:r>
      <w:r>
        <w:t xml:space="preserve"> chronic phase</w:t>
      </w:r>
      <w:r w:rsidRPr="002C644D">
        <w:t xml:space="preserve"> with at least </w:t>
      </w:r>
      <w:r>
        <w:t>two</w:t>
      </w:r>
      <w:r w:rsidRPr="002C644D">
        <w:t xml:space="preserve"> prior lines of </w:t>
      </w:r>
      <w:r>
        <w:t>tyrosine kinase inhibitors</w:t>
      </w:r>
      <w:r w:rsidRPr="002C644D">
        <w:t xml:space="preserve">. The primary efficacy endpoint was the Week 24 </w:t>
      </w:r>
      <w:r>
        <w:t>major molecular response.</w:t>
      </w:r>
      <w:r w:rsidRPr="002C644D">
        <w:t xml:space="preserve"> While </w:t>
      </w:r>
      <w:r w:rsidR="00C22EE5">
        <w:t xml:space="preserve">the </w:t>
      </w:r>
      <w:r w:rsidR="00C22EE5" w:rsidRPr="00C22EE5">
        <w:t>European Society for Medical Oncology</w:t>
      </w:r>
      <w:r w:rsidR="00C22EE5">
        <w:t xml:space="preserve"> (</w:t>
      </w:r>
      <w:r w:rsidRPr="002C644D">
        <w:t>ESMO</w:t>
      </w:r>
      <w:r w:rsidR="00C22EE5">
        <w:t>)</w:t>
      </w:r>
      <w:r w:rsidR="008125B3">
        <w:t>;</w:t>
      </w:r>
      <w:r w:rsidR="008125B3">
        <w:rPr>
          <w:rStyle w:val="FootnoteReference"/>
        </w:rPr>
        <w:footnoteReference w:id="45"/>
      </w:r>
      <w:r w:rsidRPr="002C644D">
        <w:t xml:space="preserve"> accepts that 3 month data predicts longer term response</w:t>
      </w:r>
      <w:r w:rsidR="008125B3">
        <w:t xml:space="preserve"> (see </w:t>
      </w:r>
      <w:r w:rsidR="008125B3">
        <w:fldChar w:fldCharType="begin"/>
      </w:r>
      <w:r w:rsidR="008125B3">
        <w:instrText xml:space="preserve"> REF _Ref131417217 \h </w:instrText>
      </w:r>
      <w:r w:rsidR="008125B3">
        <w:fldChar w:fldCharType="separate"/>
      </w:r>
      <w:r w:rsidR="00547BEA" w:rsidRPr="00301804">
        <w:t xml:space="preserve">Assessment of </w:t>
      </w:r>
      <w:r w:rsidR="00547BEA">
        <w:t>chronic myeloid leukaemia</w:t>
      </w:r>
      <w:r w:rsidR="00547BEA" w:rsidRPr="00301804">
        <w:t xml:space="preserve"> response to treatment</w:t>
      </w:r>
      <w:r w:rsidR="008125B3">
        <w:fldChar w:fldCharType="end"/>
      </w:r>
      <w:r w:rsidR="008125B3">
        <w:t>, above);</w:t>
      </w:r>
      <w:r w:rsidRPr="002C644D">
        <w:t xml:space="preserve"> the 24 week </w:t>
      </w:r>
      <w:r>
        <w:t>major molecular respon</w:t>
      </w:r>
      <w:r w:rsidR="00A72FB8">
        <w:t>s</w:t>
      </w:r>
      <w:r>
        <w:t>e</w:t>
      </w:r>
      <w:r w:rsidRPr="002C644D">
        <w:t xml:space="preserve"> has not been fully accepted as a surrogate for long term response by the </w:t>
      </w:r>
      <w:r w:rsidR="008125B3">
        <w:t>US FDA</w:t>
      </w:r>
      <w:r w:rsidRPr="002C644D">
        <w:t xml:space="preserve">, where previously Week 96 </w:t>
      </w:r>
      <w:r w:rsidR="00A72FB8">
        <w:t>major molecular response</w:t>
      </w:r>
      <w:r w:rsidRPr="002C644D">
        <w:t xml:space="preserve"> data were required to confirm efficacy.</w:t>
      </w:r>
      <w:r w:rsidR="008125B3" w:rsidRPr="00281B1A">
        <w:rPr>
          <w:vertAlign w:val="superscript"/>
        </w:rPr>
        <w:fldChar w:fldCharType="begin"/>
      </w:r>
      <w:r w:rsidR="008125B3" w:rsidRPr="00281B1A">
        <w:rPr>
          <w:vertAlign w:val="superscript"/>
        </w:rPr>
        <w:instrText xml:space="preserve"> NOTEREF _Ref131417059 \h </w:instrText>
      </w:r>
      <w:r w:rsidR="008125B3">
        <w:rPr>
          <w:vertAlign w:val="superscript"/>
        </w:rPr>
        <w:instrText xml:space="preserve"> \* MERGEFORMAT </w:instrText>
      </w:r>
      <w:r w:rsidR="008125B3" w:rsidRPr="00281B1A">
        <w:rPr>
          <w:vertAlign w:val="superscript"/>
        </w:rPr>
      </w:r>
      <w:r w:rsidR="008125B3" w:rsidRPr="00281B1A">
        <w:rPr>
          <w:vertAlign w:val="superscript"/>
        </w:rPr>
        <w:fldChar w:fldCharType="separate"/>
      </w:r>
      <w:r w:rsidR="00547BEA">
        <w:rPr>
          <w:vertAlign w:val="superscript"/>
        </w:rPr>
        <w:t>43</w:t>
      </w:r>
      <w:r w:rsidR="008125B3" w:rsidRPr="00281B1A">
        <w:rPr>
          <w:vertAlign w:val="superscript"/>
        </w:rPr>
        <w:fldChar w:fldCharType="end"/>
      </w:r>
      <w:r w:rsidRPr="002C644D">
        <w:t xml:space="preserve"> The lack of longer term data was stated to be the reason for the accelerated approval in the USA</w:t>
      </w:r>
      <w:r w:rsidR="007B295C">
        <w:t xml:space="preserve"> (see </w:t>
      </w:r>
      <w:r w:rsidR="007B295C">
        <w:fldChar w:fldCharType="begin"/>
      </w:r>
      <w:r w:rsidR="007B295C">
        <w:instrText xml:space="preserve"> REF _Ref131414980 \h </w:instrText>
      </w:r>
      <w:r w:rsidR="007B295C">
        <w:fldChar w:fldCharType="separate"/>
      </w:r>
      <w:r w:rsidR="00547BEA">
        <w:t>Regulatory status</w:t>
      </w:r>
      <w:r w:rsidR="007B295C">
        <w:fldChar w:fldCharType="end"/>
      </w:r>
      <w:r w:rsidR="007B295C">
        <w:t>, above)</w:t>
      </w:r>
      <w:r w:rsidRPr="002C644D">
        <w:t>.</w:t>
      </w:r>
    </w:p>
    <w:p w14:paraId="22C63754" w14:textId="4A2600A7" w:rsidR="002C644D" w:rsidRPr="002C644D" w:rsidRDefault="002C644D" w:rsidP="002C644D">
      <w:r w:rsidRPr="002C644D">
        <w:t xml:space="preserve">The </w:t>
      </w:r>
      <w:r w:rsidR="00A72FB8">
        <w:t>major molecular response</w:t>
      </w:r>
      <w:r w:rsidRPr="002C644D">
        <w:t xml:space="preserve"> rate was higher in the asciminib arm than in the bosutinib arm at each timepoint assessed to Week 24. Additionally</w:t>
      </w:r>
      <w:r w:rsidR="00EA4550">
        <w:t>,</w:t>
      </w:r>
      <w:r w:rsidRPr="002C644D">
        <w:t xml:space="preserve"> the median time to </w:t>
      </w:r>
      <w:r w:rsidR="00A72FB8">
        <w:t>major molecular response</w:t>
      </w:r>
      <w:r w:rsidRPr="002C644D">
        <w:t xml:space="preserve"> was somewhat less with asciminib than bosutinib (12.7 weeks v</w:t>
      </w:r>
      <w:r w:rsidR="00A72FB8">
        <w:t>ersus</w:t>
      </w:r>
      <w:r w:rsidRPr="002C644D">
        <w:t xml:space="preserve"> 14.3 weeks). The </w:t>
      </w:r>
      <w:proofErr w:type="gramStart"/>
      <w:r w:rsidRPr="002C644D">
        <w:t>96 week</w:t>
      </w:r>
      <w:proofErr w:type="gramEnd"/>
      <w:r w:rsidR="00A72FB8">
        <w:t xml:space="preserve"> major molecular response</w:t>
      </w:r>
      <w:r w:rsidRPr="002C644D">
        <w:t xml:space="preserve"> data confirm efficacy of asciminib in the proposed setting and demonstrated durability of response.</w:t>
      </w:r>
    </w:p>
    <w:p w14:paraId="29456237" w14:textId="5F1DF8B7" w:rsidR="002C644D" w:rsidRPr="002C644D" w:rsidRDefault="002C644D" w:rsidP="002C644D">
      <w:r w:rsidRPr="002C644D">
        <w:t xml:space="preserve">Dose reductions and interruptions were more frequent for patients given bosutinib than those given asciminib with dose adjustments primarily due to </w:t>
      </w:r>
      <w:r w:rsidR="00A72FB8">
        <w:t>adverse event</w:t>
      </w:r>
      <w:r w:rsidRPr="002C644D">
        <w:t xml:space="preserve">s. </w:t>
      </w:r>
      <w:proofErr w:type="gramStart"/>
      <w:r w:rsidRPr="002C644D">
        <w:t>Similarly</w:t>
      </w:r>
      <w:proofErr w:type="gramEnd"/>
      <w:r w:rsidRPr="002C644D">
        <w:t xml:space="preserve"> treatment duration was longer for patients given asciminib than those given bosutinib (median </w:t>
      </w:r>
      <w:r w:rsidR="007B295C">
        <w:t xml:space="preserve">duration of </w:t>
      </w:r>
      <w:r w:rsidRPr="002C644D">
        <w:t>43.4 weeks; range: 0.1 to 129.9 for asciminib v</w:t>
      </w:r>
      <w:r w:rsidR="00A72FB8">
        <w:t xml:space="preserve">ersus </w:t>
      </w:r>
      <w:r w:rsidRPr="002C644D">
        <w:t xml:space="preserve">median </w:t>
      </w:r>
      <w:r w:rsidR="007B295C">
        <w:t xml:space="preserve">duration of </w:t>
      </w:r>
      <w:r w:rsidRPr="002C644D">
        <w:t>29.2 weeks; range: 1 to 117 for bosutinib</w:t>
      </w:r>
      <w:r w:rsidR="00A72FB8">
        <w:t>)</w:t>
      </w:r>
      <w:r w:rsidRPr="002C644D">
        <w:t>.</w:t>
      </w:r>
    </w:p>
    <w:p w14:paraId="65D5A382" w14:textId="4F095EAC" w:rsidR="002C644D" w:rsidRPr="002C644D" w:rsidRDefault="002C644D" w:rsidP="002C644D">
      <w:r w:rsidRPr="002C644D">
        <w:t xml:space="preserve">Overall, discontinuations in both treatment arms were predominantly due to lack of efficacy, followed by </w:t>
      </w:r>
      <w:r w:rsidR="00A72FB8">
        <w:t>adverse event</w:t>
      </w:r>
      <w:r w:rsidRPr="002C644D">
        <w:t>s and physician decision, although all were less frequent in the asciminib arm relative to the bosutinib arm (lack of efficacy: 21% v</w:t>
      </w:r>
      <w:r w:rsidR="00A72FB8">
        <w:t>ersus</w:t>
      </w:r>
      <w:r w:rsidRPr="002C644D">
        <w:t xml:space="preserve"> </w:t>
      </w:r>
      <w:r w:rsidRPr="002C644D">
        <w:lastRenderedPageBreak/>
        <w:t xml:space="preserve">31.6%; </w:t>
      </w:r>
      <w:r w:rsidR="00A72FB8">
        <w:t>adverse events</w:t>
      </w:r>
      <w:r w:rsidRPr="002C644D">
        <w:t xml:space="preserve">: 5.1% </w:t>
      </w:r>
      <w:r w:rsidR="00A72FB8">
        <w:t>versus</w:t>
      </w:r>
      <w:r w:rsidRPr="002C644D">
        <w:t xml:space="preserve"> 21.1%; physician decision: 6.4% v</w:t>
      </w:r>
      <w:r w:rsidR="00A72FB8">
        <w:t>ersus</w:t>
      </w:r>
      <w:r w:rsidRPr="002C644D">
        <w:t xml:space="preserve"> 7.9%). Twenty</w:t>
      </w:r>
      <w:r w:rsidR="007B295C">
        <w:t>-</w:t>
      </w:r>
      <w:r w:rsidRPr="002C644D">
        <w:t>two patients (28.9%) randomi</w:t>
      </w:r>
      <w:r w:rsidR="00703FA0">
        <w:t>s</w:t>
      </w:r>
      <w:r w:rsidRPr="002C644D">
        <w:t>ed to bosutinib switched to asciminib treatment after meeting lack of efficacy criteria as per protocol.</w:t>
      </w:r>
    </w:p>
    <w:p w14:paraId="4FEE8FA9" w14:textId="6EB343FE" w:rsidR="002C644D" w:rsidRPr="002C644D" w:rsidRDefault="0E2620D2" w:rsidP="002C644D">
      <w:r>
        <w:t>Overall, the safety profile of asciminib at 40</w:t>
      </w:r>
      <w:r w:rsidR="29AC8975">
        <w:t> </w:t>
      </w:r>
      <w:r>
        <w:t xml:space="preserve">mg </w:t>
      </w:r>
      <w:r w:rsidR="29AC8975">
        <w:t>twice a day</w:t>
      </w:r>
      <w:r>
        <w:t xml:space="preserve"> appears </w:t>
      </w:r>
      <w:r w:rsidR="000A0BCD">
        <w:t xml:space="preserve">somewhat </w:t>
      </w:r>
      <w:r>
        <w:t>more favourable than that of bosutinib.</w:t>
      </w:r>
    </w:p>
    <w:p w14:paraId="0E0A33A5" w14:textId="4C4BB14E" w:rsidR="002C644D" w:rsidRPr="002C644D" w:rsidRDefault="002C644D" w:rsidP="002C644D">
      <w:r w:rsidRPr="002C644D">
        <w:t xml:space="preserve">Some </w:t>
      </w:r>
      <w:r w:rsidR="00A72FB8">
        <w:t>adverse events</w:t>
      </w:r>
      <w:r w:rsidRPr="002C644D">
        <w:t xml:space="preserve"> have been identified with </w:t>
      </w:r>
      <w:r w:rsidR="00A72FB8">
        <w:t>tyrosine kinase inhibitor</w:t>
      </w:r>
      <w:r w:rsidRPr="002C644D">
        <w:t xml:space="preserve"> treatment (myelosuppression, pancreatic toxicity, hypersensitivity, haemorrhage) or in nonclinical studies (QTc prolongation</w:t>
      </w:r>
      <w:r w:rsidR="007B295C">
        <w:t>;</w:t>
      </w:r>
      <w:r w:rsidR="007B295C" w:rsidRPr="00281B1A">
        <w:rPr>
          <w:vertAlign w:val="superscript"/>
        </w:rPr>
        <w:fldChar w:fldCharType="begin"/>
      </w:r>
      <w:r w:rsidR="007B295C" w:rsidRPr="00281B1A">
        <w:rPr>
          <w:vertAlign w:val="superscript"/>
        </w:rPr>
        <w:instrText xml:space="preserve"> NOTEREF _Ref127878095 \h </w:instrText>
      </w:r>
      <w:r w:rsidR="007B295C">
        <w:rPr>
          <w:vertAlign w:val="superscript"/>
        </w:rPr>
        <w:instrText xml:space="preserve"> \* MERGEFORMAT </w:instrText>
      </w:r>
      <w:r w:rsidR="007B295C" w:rsidRPr="00281B1A">
        <w:rPr>
          <w:vertAlign w:val="superscript"/>
        </w:rPr>
      </w:r>
      <w:r w:rsidR="007B295C" w:rsidRPr="00281B1A">
        <w:rPr>
          <w:vertAlign w:val="superscript"/>
        </w:rPr>
        <w:fldChar w:fldCharType="separate"/>
      </w:r>
      <w:r w:rsidR="00547BEA">
        <w:rPr>
          <w:vertAlign w:val="superscript"/>
        </w:rPr>
        <w:t>18</w:t>
      </w:r>
      <w:r w:rsidR="007B295C" w:rsidRPr="00281B1A">
        <w:rPr>
          <w:vertAlign w:val="superscript"/>
        </w:rPr>
        <w:fldChar w:fldCharType="end"/>
      </w:r>
      <w:r w:rsidRPr="002C644D">
        <w:t xml:space="preserve"> pancreatic toxicity) and these have been identified in the proposed PI and their association with asciminib adequately described.</w:t>
      </w:r>
    </w:p>
    <w:p w14:paraId="386BEDF9" w14:textId="3BFF4316" w:rsidR="002C644D" w:rsidRPr="002C644D" w:rsidRDefault="002C644D" w:rsidP="002C644D">
      <w:r w:rsidRPr="002C644D">
        <w:t>There are limited long term safety data however patients may receive asciminib for considerably longer periods than data currently support. It is acknowledged this is an important safety issue in a disease like</w:t>
      </w:r>
      <w:r w:rsidR="00A72FB8">
        <w:t xml:space="preserve"> chronic myeloid </w:t>
      </w:r>
      <w:r w:rsidR="001B10B9">
        <w:t>leukaemia</w:t>
      </w:r>
      <w:r w:rsidRPr="002C644D">
        <w:t xml:space="preserve"> in chronic phase but in the context of a new </w:t>
      </w:r>
      <w:r w:rsidR="00A72FB8">
        <w:t>tyrosine kinase inhibitor</w:t>
      </w:r>
      <w:r w:rsidRPr="002C644D">
        <w:t xml:space="preserve"> with a different mechanism of action that has shown efficacy superiority over bosutinib, the benefit outweighs the risk from lack of </w:t>
      </w:r>
      <w:proofErr w:type="gramStart"/>
      <w:r w:rsidRPr="002C644D">
        <w:t>longer term</w:t>
      </w:r>
      <w:proofErr w:type="gramEnd"/>
      <w:r w:rsidRPr="002C644D">
        <w:t xml:space="preserve"> data.</w:t>
      </w:r>
      <w:r w:rsidR="00A72FB8">
        <w:t xml:space="preserve"> </w:t>
      </w:r>
      <w:r w:rsidRPr="002C644D">
        <w:t xml:space="preserve">However, it is important that patients are monitored appropriately, information is adequately described in the </w:t>
      </w:r>
      <w:r w:rsidR="00A72FB8">
        <w:t xml:space="preserve">PI </w:t>
      </w:r>
      <w:r w:rsidRPr="002C644D">
        <w:t>for both, healthcare professionals and patients, and an appropriate RMP is in place.</w:t>
      </w:r>
    </w:p>
    <w:p w14:paraId="1F9549AB" w14:textId="7E45C0C5" w:rsidR="002C644D" w:rsidRPr="002C644D" w:rsidRDefault="002C644D" w:rsidP="002C644D">
      <w:r w:rsidRPr="002C644D">
        <w:t xml:space="preserve">The safety profile for asciminib is considered acceptable in the treatment of </w:t>
      </w:r>
      <w:r w:rsidR="00A6191A">
        <w:t xml:space="preserve">chronic myeloid </w:t>
      </w:r>
      <w:r w:rsidR="001B10B9">
        <w:t>leukaemia</w:t>
      </w:r>
      <w:r w:rsidR="00A6191A">
        <w:t xml:space="preserve"> </w:t>
      </w:r>
      <w:r w:rsidR="007F3963">
        <w:t xml:space="preserve">in </w:t>
      </w:r>
      <w:r w:rsidR="00A6191A">
        <w:t xml:space="preserve">chronic phase </w:t>
      </w:r>
      <w:r w:rsidRPr="002C644D">
        <w:t xml:space="preserve">without </w:t>
      </w:r>
      <w:r w:rsidR="00FB39FA" w:rsidRPr="00281B1A">
        <w:t>T315I</w:t>
      </w:r>
      <w:r w:rsidRPr="002C644D">
        <w:t xml:space="preserve"> mutation at the proposed doses of 40</w:t>
      </w:r>
      <w:r w:rsidR="00A6191A">
        <w:t> </w:t>
      </w:r>
      <w:r w:rsidRPr="002C644D">
        <w:t xml:space="preserve">mg twice </w:t>
      </w:r>
      <w:r w:rsidR="00A6191A">
        <w:t>a day</w:t>
      </w:r>
      <w:r w:rsidRPr="002C644D">
        <w:t xml:space="preserve"> and 80</w:t>
      </w:r>
      <w:r w:rsidR="00A6191A">
        <w:t> </w:t>
      </w:r>
      <w:r w:rsidRPr="002C644D">
        <w:t xml:space="preserve">mg once daily. There are major safety concerns for the approval of a broad indication including treatment of </w:t>
      </w:r>
      <w:r w:rsidR="00A6191A">
        <w:t xml:space="preserve">chronic myeloid </w:t>
      </w:r>
      <w:r w:rsidR="001B10B9">
        <w:t>leukaemia</w:t>
      </w:r>
      <w:r w:rsidR="00A6191A">
        <w:t xml:space="preserve"> </w:t>
      </w:r>
      <w:r w:rsidR="007F3963">
        <w:t xml:space="preserve">in </w:t>
      </w:r>
      <w:r w:rsidR="00A6191A">
        <w:t>chronic phase</w:t>
      </w:r>
      <w:r w:rsidRPr="002C644D">
        <w:t xml:space="preserve"> with </w:t>
      </w:r>
      <w:r w:rsidR="00FB39FA" w:rsidRPr="00281B1A">
        <w:t>T315I</w:t>
      </w:r>
      <w:r w:rsidRPr="002C644D">
        <w:t xml:space="preserve"> mutation using a dose of 200</w:t>
      </w:r>
      <w:r w:rsidR="00A6191A">
        <w:t> </w:t>
      </w:r>
      <w:r w:rsidRPr="002C644D">
        <w:t xml:space="preserve">mg twice </w:t>
      </w:r>
      <w:r w:rsidR="00A6191A">
        <w:t>a day</w:t>
      </w:r>
      <w:r w:rsidRPr="002C644D">
        <w:t>.</w:t>
      </w:r>
    </w:p>
    <w:p w14:paraId="3D37E14A" w14:textId="256C3FDB" w:rsidR="002C644D" w:rsidRPr="002C644D" w:rsidRDefault="002C644D" w:rsidP="002C644D">
      <w:r w:rsidRPr="002C644D">
        <w:t xml:space="preserve">While the pivotal </w:t>
      </w:r>
      <w:r w:rsidR="00A6191A">
        <w:t>S</w:t>
      </w:r>
      <w:r w:rsidRPr="002C644D">
        <w:t xml:space="preserve">tudy A2301 supports an indication in patients with </w:t>
      </w:r>
      <w:r w:rsidR="00A6191A">
        <w:t xml:space="preserve">chronic myeloid </w:t>
      </w:r>
      <w:r w:rsidR="001B10B9">
        <w:t>leukaemia</w:t>
      </w:r>
      <w:r w:rsidR="00A6191A">
        <w:t xml:space="preserve"> </w:t>
      </w:r>
      <w:r w:rsidR="007F3963">
        <w:t xml:space="preserve">in </w:t>
      </w:r>
      <w:r w:rsidR="00A6191A">
        <w:t>chronic phase</w:t>
      </w:r>
      <w:r w:rsidRPr="002C644D">
        <w:t xml:space="preserve"> who have received two prior </w:t>
      </w:r>
      <w:r w:rsidR="00A6191A">
        <w:t>tyrosine kinase inhibitors</w:t>
      </w:r>
      <w:r w:rsidRPr="002C644D">
        <w:t xml:space="preserve">, the presence of mutation </w:t>
      </w:r>
      <w:r w:rsidRPr="00281B1A">
        <w:t>T315</w:t>
      </w:r>
      <w:r w:rsidR="005C0240" w:rsidRPr="00281B1A">
        <w:t>I</w:t>
      </w:r>
      <w:r w:rsidRPr="00752B5B">
        <w:t xml:space="preserve"> or </w:t>
      </w:r>
      <w:r w:rsidRPr="00281B1A">
        <w:t>V299L</w:t>
      </w:r>
      <w:r w:rsidRPr="002C644D">
        <w:t xml:space="preserve"> were an exclusion criterion as they are resistant to bosutinib. The </w:t>
      </w:r>
      <w:r w:rsidR="00FB39FA" w:rsidRPr="00281B1A">
        <w:t>T315I</w:t>
      </w:r>
      <w:r w:rsidRPr="00752B5B">
        <w:t xml:space="preserve"> </w:t>
      </w:r>
      <w:r w:rsidRPr="002C644D">
        <w:t xml:space="preserve">mutation is particularly important as it confers resistance to all available </w:t>
      </w:r>
      <w:r w:rsidR="00A6191A">
        <w:t xml:space="preserve">tyrosine kinase inhibitors </w:t>
      </w:r>
      <w:r w:rsidRPr="002C644D">
        <w:t>(imatinib,</w:t>
      </w:r>
      <w:r w:rsidR="00A41D5B">
        <w:rPr>
          <w:color w:val="2B579A"/>
          <w:shd w:val="clear" w:color="auto" w:fill="E6E6E6"/>
        </w:rPr>
        <w:fldChar w:fldCharType="begin"/>
      </w:r>
      <w:r w:rsidR="00A41D5B">
        <w:instrText xml:space="preserve"> NOTEREF _Ref127872926 \f \h </w:instrText>
      </w:r>
      <w:r w:rsidR="00A41D5B">
        <w:rPr>
          <w:color w:val="2B579A"/>
          <w:shd w:val="clear" w:color="auto" w:fill="E6E6E6"/>
        </w:rPr>
      </w:r>
      <w:r w:rsidR="00A41D5B">
        <w:rPr>
          <w:color w:val="2B579A"/>
          <w:shd w:val="clear" w:color="auto" w:fill="E6E6E6"/>
        </w:rPr>
        <w:fldChar w:fldCharType="separate"/>
      </w:r>
      <w:r w:rsidR="00547BEA" w:rsidRPr="00547BEA">
        <w:rPr>
          <w:rStyle w:val="FootnoteReference"/>
        </w:rPr>
        <w:t>11</w:t>
      </w:r>
      <w:r w:rsidR="00A41D5B">
        <w:rPr>
          <w:color w:val="2B579A"/>
          <w:shd w:val="clear" w:color="auto" w:fill="E6E6E6"/>
        </w:rPr>
        <w:fldChar w:fldCharType="end"/>
      </w:r>
      <w:r w:rsidRPr="002C644D">
        <w:t xml:space="preserve"> dasatinib,</w:t>
      </w:r>
      <w:r w:rsidR="00A41D5B">
        <w:rPr>
          <w:color w:val="2B579A"/>
          <w:shd w:val="clear" w:color="auto" w:fill="E6E6E6"/>
        </w:rPr>
        <w:fldChar w:fldCharType="begin"/>
      </w:r>
      <w:r w:rsidR="00A41D5B">
        <w:instrText xml:space="preserve"> NOTEREF _Ref127872903 \f \h </w:instrText>
      </w:r>
      <w:r w:rsidR="00A41D5B">
        <w:rPr>
          <w:color w:val="2B579A"/>
          <w:shd w:val="clear" w:color="auto" w:fill="E6E6E6"/>
        </w:rPr>
      </w:r>
      <w:r w:rsidR="00A41D5B">
        <w:rPr>
          <w:color w:val="2B579A"/>
          <w:shd w:val="clear" w:color="auto" w:fill="E6E6E6"/>
        </w:rPr>
        <w:fldChar w:fldCharType="separate"/>
      </w:r>
      <w:r w:rsidR="00547BEA" w:rsidRPr="00547BEA">
        <w:rPr>
          <w:rStyle w:val="FootnoteReference"/>
        </w:rPr>
        <w:t>13</w:t>
      </w:r>
      <w:r w:rsidR="00A41D5B">
        <w:rPr>
          <w:color w:val="2B579A"/>
          <w:shd w:val="clear" w:color="auto" w:fill="E6E6E6"/>
        </w:rPr>
        <w:fldChar w:fldCharType="end"/>
      </w:r>
      <w:r w:rsidRPr="002C644D">
        <w:t xml:space="preserve"> nilotinib,</w:t>
      </w:r>
      <w:r w:rsidR="00A41D5B">
        <w:rPr>
          <w:color w:val="2B579A"/>
          <w:shd w:val="clear" w:color="auto" w:fill="E6E6E6"/>
        </w:rPr>
        <w:fldChar w:fldCharType="begin"/>
      </w:r>
      <w:r w:rsidR="00A41D5B">
        <w:instrText xml:space="preserve"> NOTEREF _Ref127872877 \f \h </w:instrText>
      </w:r>
      <w:r w:rsidR="00A41D5B">
        <w:rPr>
          <w:color w:val="2B579A"/>
          <w:shd w:val="clear" w:color="auto" w:fill="E6E6E6"/>
        </w:rPr>
      </w:r>
      <w:r w:rsidR="00A41D5B">
        <w:rPr>
          <w:color w:val="2B579A"/>
          <w:shd w:val="clear" w:color="auto" w:fill="E6E6E6"/>
        </w:rPr>
        <w:fldChar w:fldCharType="separate"/>
      </w:r>
      <w:r w:rsidR="00547BEA" w:rsidRPr="00547BEA">
        <w:rPr>
          <w:rStyle w:val="FootnoteReference"/>
        </w:rPr>
        <w:t>12</w:t>
      </w:r>
      <w:r w:rsidR="00A41D5B">
        <w:rPr>
          <w:color w:val="2B579A"/>
          <w:shd w:val="clear" w:color="auto" w:fill="E6E6E6"/>
        </w:rPr>
        <w:fldChar w:fldCharType="end"/>
      </w:r>
      <w:r w:rsidRPr="002C644D">
        <w:t xml:space="preserve"> bosutinib)</w:t>
      </w:r>
      <w:r w:rsidR="00A41D5B">
        <w:rPr>
          <w:color w:val="2B579A"/>
          <w:shd w:val="clear" w:color="auto" w:fill="E6E6E6"/>
        </w:rPr>
        <w:fldChar w:fldCharType="begin"/>
      </w:r>
      <w:r w:rsidR="00A41D5B">
        <w:instrText xml:space="preserve"> NOTEREF _Ref127872937 \f \h </w:instrText>
      </w:r>
      <w:r w:rsidR="00A41D5B">
        <w:rPr>
          <w:color w:val="2B579A"/>
          <w:shd w:val="clear" w:color="auto" w:fill="E6E6E6"/>
        </w:rPr>
      </w:r>
      <w:r w:rsidR="00A41D5B">
        <w:rPr>
          <w:color w:val="2B579A"/>
          <w:shd w:val="clear" w:color="auto" w:fill="E6E6E6"/>
        </w:rPr>
        <w:fldChar w:fldCharType="separate"/>
      </w:r>
      <w:r w:rsidR="00547BEA" w:rsidRPr="00547BEA">
        <w:rPr>
          <w:rStyle w:val="FootnoteReference"/>
        </w:rPr>
        <w:t>14</w:t>
      </w:r>
      <w:r w:rsidR="00A41D5B">
        <w:rPr>
          <w:color w:val="2B579A"/>
          <w:shd w:val="clear" w:color="auto" w:fill="E6E6E6"/>
        </w:rPr>
        <w:fldChar w:fldCharType="end"/>
      </w:r>
      <w:r w:rsidRPr="002C644D">
        <w:t xml:space="preserve"> except ponatinib. The proposed indication allows for a broad inclusion of all </w:t>
      </w:r>
      <w:r w:rsidR="00A6191A">
        <w:t xml:space="preserve">chronic myeloid </w:t>
      </w:r>
      <w:r w:rsidR="001B10B9">
        <w:t>leukaemia</w:t>
      </w:r>
      <w:r w:rsidR="007F3963">
        <w:t xml:space="preserve"> in</w:t>
      </w:r>
      <w:r w:rsidR="00A6191A">
        <w:t xml:space="preserve"> chronic phase</w:t>
      </w:r>
      <w:r w:rsidRPr="002C644D">
        <w:t xml:space="preserve"> patients who have received at least two prior</w:t>
      </w:r>
      <w:r w:rsidR="00A6191A">
        <w:t xml:space="preserve"> tyrosine kinase </w:t>
      </w:r>
      <w:proofErr w:type="gramStart"/>
      <w:r w:rsidR="00A6191A">
        <w:t>inhibitor</w:t>
      </w:r>
      <w:proofErr w:type="gramEnd"/>
      <w:r w:rsidRPr="002C644D">
        <w:t xml:space="preserve"> regardless of their mutation status.</w:t>
      </w:r>
    </w:p>
    <w:p w14:paraId="23CAA841" w14:textId="193B0656" w:rsidR="002C644D" w:rsidRDefault="008125B3" w:rsidP="00281B1A">
      <w:pPr>
        <w:pStyle w:val="Heading5"/>
      </w:pPr>
      <w:r>
        <w:t xml:space="preserve">Summary of questions raised </w:t>
      </w:r>
      <w:r w:rsidR="00512393">
        <w:t>for this submission</w:t>
      </w:r>
    </w:p>
    <w:p w14:paraId="1EA236FA" w14:textId="2EBB1402" w:rsidR="00512393" w:rsidRPr="00512393" w:rsidRDefault="00512393">
      <w:r>
        <w:t>The Delegate had the following considerations for this submission:</w:t>
      </w:r>
    </w:p>
    <w:p w14:paraId="30A58D52" w14:textId="6A9F3902" w:rsidR="002C644D" w:rsidRPr="002C644D" w:rsidRDefault="002C644D" w:rsidP="00A6191A">
      <w:pPr>
        <w:pStyle w:val="ListBullet"/>
      </w:pPr>
      <w:r w:rsidRPr="002C644D">
        <w:t xml:space="preserve">Whether to specifically exclude patients with </w:t>
      </w:r>
      <w:r w:rsidR="00FB39FA" w:rsidRPr="00281B1A">
        <w:t>T315I</w:t>
      </w:r>
      <w:r w:rsidRPr="00752B5B">
        <w:t xml:space="preserve"> mutations in the indication noting that these patients aren’t excluded from the indication for other </w:t>
      </w:r>
      <w:r w:rsidR="00A6191A" w:rsidRPr="00752B5B">
        <w:t xml:space="preserve">chronic myeloid </w:t>
      </w:r>
      <w:r w:rsidR="001B10B9" w:rsidRPr="00752B5B">
        <w:t>leukaemia</w:t>
      </w:r>
      <w:r w:rsidR="00A6191A" w:rsidRPr="00752B5B">
        <w:t xml:space="preserve"> </w:t>
      </w:r>
      <w:r w:rsidRPr="00752B5B">
        <w:t xml:space="preserve">treatments which are known to be ineffective against the </w:t>
      </w:r>
      <w:r w:rsidR="00FB39FA" w:rsidRPr="00281B1A">
        <w:t>T315I</w:t>
      </w:r>
      <w:r w:rsidRPr="00752B5B">
        <w:t xml:space="preserve"> mutation. Would such an exclusion require testing for </w:t>
      </w:r>
      <w:r w:rsidR="00FB39FA" w:rsidRPr="00281B1A">
        <w:t>T315I</w:t>
      </w:r>
      <w:r w:rsidRPr="002C644D">
        <w:t xml:space="preserve"> mutation for all patients in whom asciminib was being considered?</w:t>
      </w:r>
    </w:p>
    <w:p w14:paraId="630BE5CB" w14:textId="1BF0BEDB" w:rsidR="002C644D" w:rsidRPr="002C644D" w:rsidRDefault="002C644D" w:rsidP="00A6191A">
      <w:pPr>
        <w:pStyle w:val="ListBullet"/>
      </w:pPr>
      <w:r w:rsidRPr="002C644D">
        <w:t>Post</w:t>
      </w:r>
      <w:r w:rsidR="00A2692B">
        <w:t>-</w:t>
      </w:r>
      <w:r w:rsidRPr="002C644D">
        <w:t xml:space="preserve">market requirements </w:t>
      </w:r>
      <w:r w:rsidR="00A6191A">
        <w:t>for</w:t>
      </w:r>
      <w:r w:rsidRPr="002C644D">
        <w:t xml:space="preserve"> long term efficacy and safety follow</w:t>
      </w:r>
      <w:r w:rsidR="00A2692B">
        <w:t xml:space="preserve"> </w:t>
      </w:r>
      <w:r w:rsidRPr="002C644D">
        <w:t xml:space="preserve">up and submission of the same study as required by the </w:t>
      </w:r>
      <w:r w:rsidR="00512393">
        <w:t>US FDA.</w:t>
      </w:r>
    </w:p>
    <w:p w14:paraId="04EED18C" w14:textId="67A11679" w:rsidR="0074163C" w:rsidRDefault="0074163C" w:rsidP="0074163C">
      <w:pPr>
        <w:pStyle w:val="Heading4"/>
      </w:pPr>
      <w:bookmarkStart w:id="81" w:name="_Toc98931933"/>
      <w:r w:rsidRPr="00D23139">
        <w:t>Proposed action</w:t>
      </w:r>
      <w:bookmarkEnd w:id="81"/>
    </w:p>
    <w:p w14:paraId="625FF81E" w14:textId="3DF30FB7" w:rsidR="00512393" w:rsidRDefault="00A6191A" w:rsidP="00A6191A">
      <w:r>
        <w:t xml:space="preserve">The Delegate </w:t>
      </w:r>
      <w:r w:rsidRPr="00A6191A">
        <w:t>propose</w:t>
      </w:r>
      <w:r>
        <w:t>s</w:t>
      </w:r>
      <w:r w:rsidRPr="00A6191A">
        <w:t xml:space="preserve"> to approve registration of </w:t>
      </w:r>
      <w:r>
        <w:t>Scemblix</w:t>
      </w:r>
      <w:r w:rsidRPr="00A6191A">
        <w:t xml:space="preserve"> for the treatment of adult patients with Philadelphia chromosome</w:t>
      </w:r>
      <w:r>
        <w:t xml:space="preserve"> </w:t>
      </w:r>
      <w:r w:rsidRPr="00A6191A">
        <w:t>positive chronic myeloid leukaemia in chronic phase previously treated with two or more tyrosine kinase inhibitors.</w:t>
      </w:r>
    </w:p>
    <w:p w14:paraId="29E80077" w14:textId="30AEBE91" w:rsidR="00A6191A" w:rsidRPr="00A6191A" w:rsidRDefault="00A6191A" w:rsidP="00A6191A">
      <w:r w:rsidRPr="00A6191A">
        <w:t>Approval would be subject to negotiation of the conditions of approval, including the indication.</w:t>
      </w:r>
    </w:p>
    <w:p w14:paraId="671E66D4" w14:textId="77777777" w:rsidR="0074163C" w:rsidRPr="00F73346" w:rsidRDefault="0074163C" w:rsidP="0074163C">
      <w:pPr>
        <w:pStyle w:val="Heading4"/>
      </w:pPr>
      <w:bookmarkStart w:id="82" w:name="_Toc98931936"/>
      <w:bookmarkStart w:id="83" w:name="_Toc247691532"/>
      <w:bookmarkStart w:id="84" w:name="_Toc314842516"/>
      <w:bookmarkEnd w:id="43"/>
      <w:bookmarkEnd w:id="75"/>
      <w:bookmarkEnd w:id="76"/>
      <w:r w:rsidRPr="00F73346">
        <w:lastRenderedPageBreak/>
        <w:t>Advisory Committee considerations</w:t>
      </w:r>
      <w:bookmarkEnd w:id="82"/>
    </w:p>
    <w:p w14:paraId="145BC2BD" w14:textId="44DA6B8E" w:rsidR="0074163C" w:rsidRDefault="0074163C" w:rsidP="0074163C">
      <w:pPr>
        <w:rPr>
          <w:bCs/>
        </w:rPr>
      </w:pPr>
      <w:r w:rsidRPr="00456765">
        <w:rPr>
          <w:bCs/>
        </w:rPr>
        <w:t xml:space="preserve">The </w:t>
      </w:r>
      <w:hyperlink r:id="rId40" w:history="1">
        <w:r w:rsidRPr="00C65E63">
          <w:rPr>
            <w:rStyle w:val="Hyperlink"/>
            <w:szCs w:val="21"/>
          </w:rPr>
          <w:t>Advisory Committee on Medicines (ACM)</w:t>
        </w:r>
      </w:hyperlink>
      <w:r w:rsidRPr="00F73346">
        <w:rPr>
          <w:szCs w:val="21"/>
        </w:rPr>
        <w:t>,</w:t>
      </w:r>
      <w:r w:rsidRPr="00F73346">
        <w:rPr>
          <w:bCs/>
        </w:rPr>
        <w:t xml:space="preserve"> </w:t>
      </w:r>
      <w:r w:rsidRPr="00456765">
        <w:rPr>
          <w:bCs/>
        </w:rPr>
        <w:t>having considered the evaluations and the Delegate’s overview, as well as the sponsor’s response to these documents, advised the following</w:t>
      </w:r>
      <w:r>
        <w:rPr>
          <w:bCs/>
        </w:rPr>
        <w:t>.</w:t>
      </w:r>
    </w:p>
    <w:p w14:paraId="1F4A7978" w14:textId="1CE84B64" w:rsidR="0074163C" w:rsidRDefault="0074163C" w:rsidP="0074163C">
      <w:pPr>
        <w:pStyle w:val="Heading5"/>
      </w:pPr>
      <w:r w:rsidRPr="00F73346">
        <w:t>Specific advice to the Delegate</w:t>
      </w:r>
    </w:p>
    <w:p w14:paraId="69D7E4B0" w14:textId="54A7CF24" w:rsidR="00434D7A" w:rsidRPr="00434D7A" w:rsidRDefault="00434D7A" w:rsidP="00434D7A">
      <w:pPr>
        <w:pStyle w:val="Numberbullet0"/>
        <w:numPr>
          <w:ilvl w:val="0"/>
          <w:numId w:val="35"/>
        </w:numPr>
        <w:rPr>
          <w:b/>
          <w:bCs/>
          <w:i/>
          <w:iCs/>
        </w:rPr>
      </w:pPr>
      <w:r w:rsidRPr="00434D7A">
        <w:rPr>
          <w:b/>
          <w:bCs/>
          <w:i/>
          <w:iCs/>
        </w:rPr>
        <w:t xml:space="preserve">Given that the </w:t>
      </w:r>
      <w:r w:rsidR="00A41D5B">
        <w:rPr>
          <w:b/>
          <w:bCs/>
          <w:i/>
          <w:iCs/>
        </w:rPr>
        <w:t>s</w:t>
      </w:r>
      <w:r w:rsidRPr="00434D7A">
        <w:rPr>
          <w:b/>
          <w:bCs/>
          <w:i/>
          <w:iCs/>
        </w:rPr>
        <w:t xml:space="preserve">ponsor does not, at this time, intend to pursue an indication for patients harbouring the </w:t>
      </w:r>
      <w:r w:rsidR="00FB39FA" w:rsidRPr="00FB39FA">
        <w:rPr>
          <w:b/>
          <w:bCs/>
          <w:i/>
          <w:iCs/>
        </w:rPr>
        <w:t>T315I</w:t>
      </w:r>
      <w:r w:rsidRPr="00434D7A">
        <w:rPr>
          <w:b/>
          <w:bCs/>
          <w:i/>
          <w:iCs/>
        </w:rPr>
        <w:t xml:space="preserve"> mutation, does the Committee consider the indication should specifically exclude patients known to have the </w:t>
      </w:r>
      <w:r w:rsidR="00FB39FA" w:rsidRPr="00FB39FA">
        <w:rPr>
          <w:b/>
          <w:bCs/>
          <w:i/>
          <w:iCs/>
        </w:rPr>
        <w:t>T315I</w:t>
      </w:r>
      <w:r w:rsidRPr="00434D7A">
        <w:rPr>
          <w:b/>
          <w:bCs/>
          <w:i/>
          <w:iCs/>
        </w:rPr>
        <w:t xml:space="preserve"> mutation? </w:t>
      </w:r>
    </w:p>
    <w:p w14:paraId="1A6D28D4" w14:textId="1499215F" w:rsidR="00434D7A" w:rsidRPr="00752B5B" w:rsidRDefault="00434D7A" w:rsidP="00434D7A">
      <w:r w:rsidRPr="00434D7A">
        <w:t xml:space="preserve">The ACM agreed that should the sponsor continue to not pursue the indication for patients harbouring the </w:t>
      </w:r>
      <w:r w:rsidR="00FB39FA" w:rsidRPr="00281B1A">
        <w:t>T315I</w:t>
      </w:r>
      <w:r w:rsidRPr="00752B5B">
        <w:t xml:space="preserve"> mutation, then referral to the data associated with the mutation should be removed from the </w:t>
      </w:r>
      <w:r w:rsidR="00512393">
        <w:t>Product Information (</w:t>
      </w:r>
      <w:r w:rsidRPr="00752B5B">
        <w:t>PI</w:t>
      </w:r>
      <w:r w:rsidR="00512393">
        <w:t>)</w:t>
      </w:r>
      <w:r w:rsidRPr="00752B5B">
        <w:t xml:space="preserve"> and a precautionary statement in relation to use in patients harbouring the </w:t>
      </w:r>
      <w:r w:rsidR="00FB39FA" w:rsidRPr="00281B1A">
        <w:t>T315I</w:t>
      </w:r>
      <w:r w:rsidRPr="00752B5B">
        <w:t xml:space="preserve"> mutation included.</w:t>
      </w:r>
    </w:p>
    <w:p w14:paraId="68C40E47" w14:textId="47E8FF94" w:rsidR="00434D7A" w:rsidRPr="00434D7A" w:rsidRDefault="00434D7A" w:rsidP="00434D7A">
      <w:r w:rsidRPr="00752B5B">
        <w:t xml:space="preserve">In providing this recommendation the ACM noted evidence of efficacy and safety has been provided for patients harbouring the </w:t>
      </w:r>
      <w:r w:rsidR="00FB39FA" w:rsidRPr="00281B1A">
        <w:t>T315I</w:t>
      </w:r>
      <w:r w:rsidRPr="00281B1A">
        <w:t xml:space="preserve"> </w:t>
      </w:r>
      <w:r w:rsidRPr="00752B5B">
        <w:t xml:space="preserve">mutation when a higher dose of 200 mg twice daily is used. The ACM expressed significant concern regarding underdosing of patients with the </w:t>
      </w:r>
      <w:r w:rsidR="00FB39FA" w:rsidRPr="00281B1A">
        <w:t>T315I</w:t>
      </w:r>
      <w:r w:rsidRPr="00752B5B">
        <w:t xml:space="preserve"> mutation</w:t>
      </w:r>
      <w:r w:rsidRPr="00434D7A">
        <w:t xml:space="preserve"> given that currently the dosage and administration section of the PI states that the recommended total daily dose of S</w:t>
      </w:r>
      <w:r>
        <w:t>cemblix</w:t>
      </w:r>
      <w:r w:rsidRPr="00434D7A">
        <w:t xml:space="preserve"> is 80 mg.</w:t>
      </w:r>
    </w:p>
    <w:p w14:paraId="44649BA6" w14:textId="618FADC9" w:rsidR="00434D7A" w:rsidRPr="00434D7A" w:rsidRDefault="00434D7A" w:rsidP="00434D7A">
      <w:r w:rsidRPr="00434D7A">
        <w:t xml:space="preserve">To ensure appropriate dosing for this population who currently have minimal mutation specific treatment options, the ACM urged the sponsor to include </w:t>
      </w:r>
      <w:r w:rsidR="00A41D5B">
        <w:t>Philadelphia chromosome positive chronic myeloid leukaemia in chronic phase</w:t>
      </w:r>
      <w:r>
        <w:t xml:space="preserve"> </w:t>
      </w:r>
      <w:r w:rsidRPr="00434D7A">
        <w:t xml:space="preserve">with the </w:t>
      </w:r>
      <w:r w:rsidR="00FB39FA" w:rsidRPr="00167848">
        <w:t>T315I</w:t>
      </w:r>
      <w:r w:rsidRPr="00434D7A">
        <w:t xml:space="preserve"> mutation in the indication along with specific dosage instructions within the dosage and administration section of the PI. Alternatively, a statement indicating the concerns with the dosage for patients harbouring the mutation should be included within the PI.</w:t>
      </w:r>
    </w:p>
    <w:p w14:paraId="16A1037D" w14:textId="59CE371D" w:rsidR="00434D7A" w:rsidRDefault="00434D7A" w:rsidP="00434D7A">
      <w:r w:rsidRPr="00434D7A">
        <w:t xml:space="preserve">The ACM acknowledged the sponsors statement in relation to the </w:t>
      </w:r>
      <w:r w:rsidR="00FB39FA" w:rsidRPr="00167848">
        <w:t>T315I</w:t>
      </w:r>
      <w:r w:rsidRPr="00434D7A">
        <w:t xml:space="preserve"> mutation testing and agreed that it is not appropriate to request all Ph</w:t>
      </w:r>
      <w:r w:rsidR="00A41D5B">
        <w:t>iladelphia chromosome positive chronic myeloid leukaemia in chronic phase</w:t>
      </w:r>
      <w:r w:rsidRPr="00434D7A">
        <w:t xml:space="preserve"> patients to be tested for the </w:t>
      </w:r>
      <w:r w:rsidR="00FB39FA" w:rsidRPr="00167848">
        <w:t>T315I</w:t>
      </w:r>
      <w:r w:rsidRPr="00434D7A">
        <w:t xml:space="preserve"> mutation. However, the ACM agreed that should the presence of this mutation become known, dosage consideration in line with the clinical trial findings will be important</w:t>
      </w:r>
      <w:r>
        <w:t>.</w:t>
      </w:r>
    </w:p>
    <w:p w14:paraId="5E2EA652" w14:textId="56217CA5" w:rsidR="00434D7A" w:rsidRPr="00434D7A" w:rsidRDefault="00434D7A" w:rsidP="00434D7A">
      <w:pPr>
        <w:pStyle w:val="Numberbullet0"/>
        <w:rPr>
          <w:b/>
          <w:bCs/>
          <w:i/>
          <w:iCs/>
        </w:rPr>
      </w:pPr>
      <w:r w:rsidRPr="00434D7A">
        <w:rPr>
          <w:b/>
          <w:bCs/>
          <w:i/>
          <w:iCs/>
        </w:rPr>
        <w:t xml:space="preserve">Is molecular response routinely assessed in patients receiving ongoing treatment for </w:t>
      </w:r>
      <w:r w:rsidR="00A41D5B">
        <w:rPr>
          <w:b/>
          <w:bCs/>
          <w:i/>
          <w:iCs/>
        </w:rPr>
        <w:t>chronic myeloid leukaemia</w:t>
      </w:r>
      <w:r w:rsidRPr="00434D7A">
        <w:rPr>
          <w:b/>
          <w:bCs/>
          <w:i/>
          <w:iCs/>
        </w:rPr>
        <w:t xml:space="preserve"> in Australia?</w:t>
      </w:r>
    </w:p>
    <w:p w14:paraId="392213D8" w14:textId="50A1B52B" w:rsidR="00434D7A" w:rsidRDefault="00434D7A" w:rsidP="00434D7A">
      <w:r w:rsidRPr="00434D7A">
        <w:t xml:space="preserve">The ACM advised that major molecular response is routinely assessed in patients receiving ongoing treatment for </w:t>
      </w:r>
      <w:r w:rsidR="00A41D5B">
        <w:t>chronic myeloid leukaemia</w:t>
      </w:r>
      <w:r w:rsidRPr="00434D7A">
        <w:t xml:space="preserve"> in Australia. The ACM noted that</w:t>
      </w:r>
      <w:r w:rsidR="00A41D5B">
        <w:t xml:space="preserve"> major molecular response</w:t>
      </w:r>
      <w:r w:rsidRPr="00434D7A">
        <w:t xml:space="preserve">, being a </w:t>
      </w:r>
      <w:proofErr w:type="gramStart"/>
      <w:r w:rsidRPr="00281B1A">
        <w:rPr>
          <w:i/>
          <w:iCs/>
        </w:rPr>
        <w:t>BCR</w:t>
      </w:r>
      <w:r w:rsidR="006B58AB" w:rsidRPr="00281B1A">
        <w:rPr>
          <w:i/>
          <w:iCs/>
        </w:rPr>
        <w:t>::</w:t>
      </w:r>
      <w:proofErr w:type="gramEnd"/>
      <w:r w:rsidRPr="00281B1A">
        <w:rPr>
          <w:i/>
          <w:iCs/>
        </w:rPr>
        <w:t>ABL</w:t>
      </w:r>
      <w:r w:rsidR="006B58AB" w:rsidRPr="00281B1A">
        <w:rPr>
          <w:i/>
          <w:iCs/>
        </w:rPr>
        <w:t>1</w:t>
      </w:r>
      <w:r w:rsidRPr="00434D7A">
        <w:t xml:space="preserve"> transcript level of </w:t>
      </w:r>
      <w:r w:rsidR="00A41D5B">
        <w:t xml:space="preserve">less than or equal to </w:t>
      </w:r>
      <w:r w:rsidRPr="00434D7A">
        <w:t xml:space="preserve">0.1%, is the goal of treatment and predicts survival, demonstrates treatment failure, progression and resistance. It also determines the need for change or discontinuation of tyrosine kinase inhibitors and/or a need for bone marrow transplant. Treatment may also be discontinued if there is no </w:t>
      </w:r>
      <w:r w:rsidR="00A41D5B">
        <w:t>major molecular response</w:t>
      </w:r>
      <w:r w:rsidRPr="00434D7A">
        <w:t>.</w:t>
      </w:r>
    </w:p>
    <w:p w14:paraId="1107EDA2" w14:textId="0516A089" w:rsidR="00360707" w:rsidRPr="00360707" w:rsidRDefault="00360707" w:rsidP="00360707">
      <w:pPr>
        <w:pStyle w:val="Numberbullet0"/>
        <w:rPr>
          <w:b/>
          <w:bCs/>
          <w:i/>
          <w:iCs/>
        </w:rPr>
      </w:pPr>
      <w:r w:rsidRPr="00360707">
        <w:rPr>
          <w:b/>
          <w:bCs/>
          <w:i/>
          <w:iCs/>
        </w:rPr>
        <w:t xml:space="preserve">Are the data regarding the subgroup analyses of </w:t>
      </w:r>
      <w:r w:rsidR="00A41D5B">
        <w:rPr>
          <w:b/>
          <w:bCs/>
          <w:i/>
          <w:iCs/>
        </w:rPr>
        <w:t>major molecular response</w:t>
      </w:r>
      <w:r w:rsidRPr="00360707">
        <w:rPr>
          <w:b/>
          <w:bCs/>
          <w:i/>
          <w:iCs/>
        </w:rPr>
        <w:t xml:space="preserve"> likely to be useful for treating physicians in Australia</w:t>
      </w:r>
      <w:r w:rsidR="00512393">
        <w:rPr>
          <w:b/>
          <w:bCs/>
          <w:i/>
          <w:iCs/>
        </w:rPr>
        <w:t>?</w:t>
      </w:r>
    </w:p>
    <w:p w14:paraId="6EBB7BC4" w14:textId="51ADEC70" w:rsidR="00360707" w:rsidRDefault="00360707" w:rsidP="00360707">
      <w:r w:rsidRPr="00360707">
        <w:t xml:space="preserve">The ACM advised that the data regarding the subgroup analysis of </w:t>
      </w:r>
      <w:r w:rsidR="00A41D5B">
        <w:t>major molecular response</w:t>
      </w:r>
      <w:r w:rsidRPr="00360707">
        <w:t xml:space="preserve"> would be useful to treating physicians in Australia and should be included within the PI.</w:t>
      </w:r>
    </w:p>
    <w:p w14:paraId="6D52E4CA" w14:textId="37F31FC5" w:rsidR="00360707" w:rsidRPr="00547BEA" w:rsidRDefault="00360707" w:rsidP="00547BEA">
      <w:pPr>
        <w:pStyle w:val="Numberbullet0"/>
        <w:rPr>
          <w:b/>
          <w:bCs/>
          <w:i/>
          <w:iCs/>
        </w:rPr>
      </w:pPr>
      <w:r w:rsidRPr="00547BEA">
        <w:rPr>
          <w:b/>
          <w:bCs/>
          <w:i/>
          <w:iCs/>
        </w:rPr>
        <w:t>There</w:t>
      </w:r>
      <w:r w:rsidR="00512393" w:rsidRPr="00547BEA">
        <w:rPr>
          <w:b/>
          <w:bCs/>
          <w:i/>
          <w:iCs/>
        </w:rPr>
        <w:t xml:space="preserve"> is</w:t>
      </w:r>
      <w:r w:rsidRPr="00547BEA">
        <w:rPr>
          <w:b/>
          <w:bCs/>
          <w:i/>
          <w:iCs/>
        </w:rPr>
        <w:t xml:space="preserve"> no information on dosing in children and no efficacy or safety data.</w:t>
      </w:r>
      <w:r w:rsidR="00547BEA" w:rsidRPr="00547BEA">
        <w:rPr>
          <w:b/>
          <w:bCs/>
          <w:i/>
          <w:iCs/>
        </w:rPr>
        <w:t xml:space="preserve"> </w:t>
      </w:r>
      <w:r w:rsidRPr="00547BEA">
        <w:rPr>
          <w:b/>
          <w:bCs/>
          <w:i/>
          <w:iCs/>
        </w:rPr>
        <w:t>No age limit is proposed in the indication.</w:t>
      </w:r>
      <w:r w:rsidR="00547BEA" w:rsidRPr="00547BEA">
        <w:rPr>
          <w:b/>
          <w:bCs/>
          <w:i/>
          <w:iCs/>
        </w:rPr>
        <w:t xml:space="preserve"> </w:t>
      </w:r>
      <w:r w:rsidRPr="00547BEA">
        <w:rPr>
          <w:b/>
          <w:bCs/>
          <w:i/>
          <w:iCs/>
        </w:rPr>
        <w:t xml:space="preserve">Please comment on this omission, including whether you consider the indication should be amended to exclude patients aged </w:t>
      </w:r>
      <w:r w:rsidR="000C70BD" w:rsidRPr="00547BEA">
        <w:rPr>
          <w:b/>
          <w:bCs/>
          <w:i/>
          <w:iCs/>
        </w:rPr>
        <w:t xml:space="preserve">less than </w:t>
      </w:r>
      <w:r w:rsidRPr="00547BEA">
        <w:rPr>
          <w:b/>
          <w:bCs/>
          <w:i/>
          <w:iCs/>
        </w:rPr>
        <w:t>18 years as per the pivotal clinical trial.</w:t>
      </w:r>
    </w:p>
    <w:p w14:paraId="202007AE" w14:textId="528B6B73" w:rsidR="00360707" w:rsidRPr="00360707" w:rsidRDefault="00360707" w:rsidP="00360707">
      <w:r w:rsidRPr="00360707">
        <w:t xml:space="preserve">The ACM was of the view that the indication should be amended to exclude patients aged less than 18 years. Noting that there is currently no clinical trial data available to support </w:t>
      </w:r>
      <w:r w:rsidRPr="00360707">
        <w:lastRenderedPageBreak/>
        <w:t>the use of S</w:t>
      </w:r>
      <w:r>
        <w:t>cemblix</w:t>
      </w:r>
      <w:r w:rsidRPr="00360707">
        <w:t xml:space="preserve"> within the under 18 years age group. Furthermore, the ACM noted that </w:t>
      </w:r>
      <w:r w:rsidR="00A41D5B">
        <w:t>chronic myeloid leukaemia</w:t>
      </w:r>
      <w:r w:rsidRPr="00360707">
        <w:t xml:space="preserve"> in children is a very rare event, with the more common clinical scenario being Ph</w:t>
      </w:r>
      <w:r w:rsidR="00A41D5B">
        <w:t>iladelphia chromosome positive</w:t>
      </w:r>
      <w:r w:rsidRPr="00360707">
        <w:t xml:space="preserve"> acute lymphoblastic leukaemia.</w:t>
      </w:r>
    </w:p>
    <w:p w14:paraId="07D36014" w14:textId="6C3B8559" w:rsidR="00360707" w:rsidRPr="00360707" w:rsidRDefault="00360707" w:rsidP="00360707">
      <w:r w:rsidRPr="00360707">
        <w:t>The ACM did however welcome the news of an ongoing paediatric study for Ph</w:t>
      </w:r>
      <w:r w:rsidR="00A41D5B">
        <w:t>iladelphia chromosome positive chronic myeloid leukaemia in chronic phase</w:t>
      </w:r>
      <w:r w:rsidRPr="00360707">
        <w:t>.</w:t>
      </w:r>
    </w:p>
    <w:p w14:paraId="36E719F4" w14:textId="1F73EF8B" w:rsidR="00360707" w:rsidRDefault="00360707" w:rsidP="00360707">
      <w:r w:rsidRPr="00360707">
        <w:t xml:space="preserve">The ACM preferred the use of </w:t>
      </w:r>
      <w:r>
        <w:t>‘</w:t>
      </w:r>
      <w:r w:rsidRPr="00360707">
        <w:t>patients 18 years and above</w:t>
      </w:r>
      <w:r>
        <w:t>’</w:t>
      </w:r>
      <w:r w:rsidRPr="00360707">
        <w:t xml:space="preserve"> rather than </w:t>
      </w:r>
      <w:r>
        <w:t>‘</w:t>
      </w:r>
      <w:r w:rsidRPr="00360707">
        <w:t>adults</w:t>
      </w:r>
      <w:r>
        <w:t>’</w:t>
      </w:r>
      <w:r w:rsidRPr="00360707">
        <w:t xml:space="preserve"> within the indication as defining an age range reduces ambiguity.</w:t>
      </w:r>
    </w:p>
    <w:p w14:paraId="12D90FBA" w14:textId="4915AF38" w:rsidR="00360707" w:rsidRPr="00547BEA" w:rsidRDefault="00360707" w:rsidP="00547BEA">
      <w:pPr>
        <w:pStyle w:val="Numberbullet0"/>
        <w:rPr>
          <w:b/>
          <w:bCs/>
          <w:i/>
          <w:iCs/>
        </w:rPr>
      </w:pPr>
      <w:r w:rsidRPr="00547BEA">
        <w:rPr>
          <w:b/>
          <w:bCs/>
          <w:i/>
          <w:iCs/>
        </w:rPr>
        <w:t>Other advice</w:t>
      </w:r>
    </w:p>
    <w:p w14:paraId="3DB97AAB" w14:textId="69F88392" w:rsidR="00360707" w:rsidRPr="00360707" w:rsidRDefault="00360707" w:rsidP="00360707">
      <w:r>
        <w:t>The ACM was supportive of a ‘cardiac toxicity’ heading within the PI to list all cardiac complications.</w:t>
      </w:r>
    </w:p>
    <w:p w14:paraId="5A8F2F15" w14:textId="6CF48D32" w:rsidR="0074163C" w:rsidRDefault="0074163C" w:rsidP="0074163C">
      <w:pPr>
        <w:pStyle w:val="Heading5"/>
      </w:pPr>
      <w:r w:rsidRPr="00F73346">
        <w:t>Conclusion</w:t>
      </w:r>
    </w:p>
    <w:p w14:paraId="09028B5D" w14:textId="77777777" w:rsidR="00360707" w:rsidRPr="00360707" w:rsidRDefault="00360707" w:rsidP="00360707">
      <w:r w:rsidRPr="00360707">
        <w:t>The ACM considered this product to have an overall positive benefit-risk profile for the indication:</w:t>
      </w:r>
    </w:p>
    <w:p w14:paraId="7CD9A41B" w14:textId="65E5EA0A" w:rsidR="00360707" w:rsidRPr="00360707" w:rsidRDefault="00360707" w:rsidP="00360707">
      <w:pPr>
        <w:ind w:left="720"/>
        <w:rPr>
          <w:i/>
          <w:iCs/>
        </w:rPr>
      </w:pPr>
      <w:r w:rsidRPr="00360707">
        <w:rPr>
          <w:i/>
          <w:iCs/>
        </w:rPr>
        <w:t>For the treatment of patients 18 years of age and above with Philadelphia chromosome-positive chronic myeloid leukaemia (Ph+ CML) in chronic phase (CP) previously treated with two or more tyrosine kinase inhibitors.</w:t>
      </w:r>
    </w:p>
    <w:p w14:paraId="6E2E2DEA" w14:textId="77777777" w:rsidR="008E7846" w:rsidRPr="002E238E" w:rsidRDefault="008E7846" w:rsidP="00D212F3">
      <w:pPr>
        <w:pStyle w:val="Heading2"/>
      </w:pPr>
      <w:bookmarkStart w:id="85" w:name="_Toc131683503"/>
      <w:r>
        <w:t>Outcome</w:t>
      </w:r>
      <w:bookmarkEnd w:id="83"/>
      <w:bookmarkEnd w:id="84"/>
      <w:bookmarkEnd w:id="85"/>
    </w:p>
    <w:p w14:paraId="1254E4EF" w14:textId="28F27BFB" w:rsidR="000E15B2" w:rsidRDefault="0074163C" w:rsidP="000E15B2">
      <w:bookmarkStart w:id="86" w:name="_Toc247691533"/>
      <w:bookmarkStart w:id="87" w:name="_Toc314842517"/>
      <w:r>
        <w:t xml:space="preserve">Based on a review of quality, </w:t>
      </w:r>
      <w:r w:rsidR="00CC5044">
        <w:t>safety,</w:t>
      </w:r>
      <w:r>
        <w:t xml:space="preserve"> and efficacy, the TGA approved the registration of </w:t>
      </w:r>
      <w:r w:rsidR="000E15B2">
        <w:t>Scemblix</w:t>
      </w:r>
      <w:r w:rsidR="00281B1A">
        <w:t xml:space="preserve"> </w:t>
      </w:r>
      <w:r w:rsidR="000E15B2" w:rsidRPr="000A4A42">
        <w:t>(</w:t>
      </w:r>
      <w:r w:rsidR="000E15B2">
        <w:t>asciminib</w:t>
      </w:r>
      <w:r w:rsidR="000E15B2" w:rsidRPr="000A4A42">
        <w:t>)</w:t>
      </w:r>
      <w:r w:rsidR="000E15B2">
        <w:t xml:space="preserve"> 20 mg and 40 mg tablets </w:t>
      </w:r>
      <w:r w:rsidR="000E15B2" w:rsidRPr="000A4A42">
        <w:t>for the following proposed indication</w:t>
      </w:r>
      <w:r w:rsidR="000E15B2">
        <w:t>:</w:t>
      </w:r>
    </w:p>
    <w:p w14:paraId="2A9D0C19" w14:textId="798B2006" w:rsidR="000E15B2" w:rsidRPr="000E15B2" w:rsidRDefault="000E15B2" w:rsidP="000E15B2">
      <w:pPr>
        <w:ind w:left="360"/>
        <w:rPr>
          <w:i/>
          <w:iCs/>
        </w:rPr>
      </w:pPr>
      <w:r w:rsidRPr="000E15B2">
        <w:rPr>
          <w:i/>
          <w:iCs/>
        </w:rPr>
        <w:t>Scemblix is indicated for the treatment of patients 18 years of age and above with:</w:t>
      </w:r>
    </w:p>
    <w:p w14:paraId="65E5DEAA" w14:textId="6798C41A" w:rsidR="000E15B2" w:rsidRPr="000E15B2" w:rsidRDefault="000E15B2" w:rsidP="000E15B2">
      <w:pPr>
        <w:pStyle w:val="ListBullet"/>
        <w:ind w:left="720"/>
        <w:rPr>
          <w:i/>
          <w:iCs/>
        </w:rPr>
      </w:pPr>
      <w:r w:rsidRPr="000E15B2">
        <w:rPr>
          <w:i/>
          <w:iCs/>
        </w:rPr>
        <w:t>Philadelphia chromosome-positive chronic myeloid leukaemia (Ph+ CML) in chronic phase (CP) previously treated with two or more tyrosine kinase inhibitors (see section 5.1 Clinical trials).</w:t>
      </w:r>
    </w:p>
    <w:p w14:paraId="2B39C304" w14:textId="537D5744" w:rsidR="000E15B2" w:rsidRPr="000A4A42" w:rsidRDefault="000E15B2" w:rsidP="000E15B2">
      <w:pPr>
        <w:pStyle w:val="ListBullet"/>
        <w:ind w:left="720"/>
      </w:pPr>
      <w:r w:rsidRPr="000E15B2">
        <w:rPr>
          <w:i/>
          <w:iCs/>
        </w:rPr>
        <w:t xml:space="preserve">Ph+ CML in CP with the </w:t>
      </w:r>
      <w:r w:rsidR="00FB39FA" w:rsidRPr="00FB39FA">
        <w:rPr>
          <w:i/>
          <w:iCs/>
        </w:rPr>
        <w:t>T315I</w:t>
      </w:r>
      <w:r w:rsidRPr="000E15B2">
        <w:rPr>
          <w:i/>
          <w:iCs/>
        </w:rPr>
        <w:t xml:space="preserve"> mutation.</w:t>
      </w:r>
    </w:p>
    <w:p w14:paraId="6F9E9846" w14:textId="77777777" w:rsidR="00D23139" w:rsidRPr="00D23139" w:rsidRDefault="00D23139" w:rsidP="00D212F3">
      <w:pPr>
        <w:pStyle w:val="Heading3"/>
      </w:pPr>
      <w:bookmarkStart w:id="88" w:name="_Toc131683504"/>
      <w:r w:rsidRPr="00D23139">
        <w:t>Specific conditions of registration applying to these goods</w:t>
      </w:r>
      <w:bookmarkEnd w:id="88"/>
    </w:p>
    <w:p w14:paraId="6154A1B7" w14:textId="05A0BE7C" w:rsidR="000E15B2" w:rsidRPr="000E15B2" w:rsidRDefault="000E15B2" w:rsidP="000E15B2">
      <w:pPr>
        <w:pStyle w:val="ListBullet"/>
      </w:pPr>
      <w:r>
        <w:t>Scemblix</w:t>
      </w:r>
      <w:r w:rsidRPr="000E15B2">
        <w:t xml:space="preserve"> (asciminib hydrochloride) is to be included in the Black Triangle Scheme. The PI and CMI for S</w:t>
      </w:r>
      <w:r>
        <w:t>cemblix</w:t>
      </w:r>
      <w:r w:rsidRPr="000E15B2">
        <w:t xml:space="preserve"> must include the black triangle symbol and mandatory accompanying text for five years, which starts from the date that the sponsor notifies the TGA of supply of the product.</w:t>
      </w:r>
    </w:p>
    <w:p w14:paraId="04D0B76C" w14:textId="02B8593E" w:rsidR="000E15B2" w:rsidRPr="000E15B2" w:rsidRDefault="000E15B2" w:rsidP="009159FD">
      <w:pPr>
        <w:pStyle w:val="ListBullet"/>
      </w:pPr>
      <w:r>
        <w:t>T</w:t>
      </w:r>
      <w:r w:rsidRPr="000E15B2">
        <w:t>he S</w:t>
      </w:r>
      <w:r>
        <w:t>cemblix</w:t>
      </w:r>
      <w:r w:rsidRPr="000E15B2">
        <w:t xml:space="preserve"> EU-Risk Management Plan (RMP) (version 1.0, dated 15 June 2021, data lock point 6 January 2021), with Australia Specific Annex (version 1.0, dated 8 July 2021), included with submission PM-2021-03048-1-6, to be revised to the satisfaction of the TGA, and any subsequent revisions, will be implemented in Australia.</w:t>
      </w:r>
    </w:p>
    <w:p w14:paraId="56195F35" w14:textId="15ACF8CA" w:rsidR="000E15B2" w:rsidRPr="000E15B2" w:rsidRDefault="000E15B2" w:rsidP="000E15B2">
      <w:pPr>
        <w:ind w:left="360"/>
      </w:pPr>
      <w:r w:rsidRPr="000E15B2">
        <w:t>An obligatory component of risk management plans is routine pharmacovigilance. Routine pharmacovigilance includes the submission of periodic safety update reports (PSURs).</w:t>
      </w:r>
    </w:p>
    <w:p w14:paraId="26665E34" w14:textId="7925DFE1" w:rsidR="000E15B2" w:rsidRPr="000E15B2" w:rsidRDefault="000E15B2" w:rsidP="000E15B2">
      <w:pPr>
        <w:ind w:left="360"/>
      </w:pPr>
      <w:r>
        <w:t xml:space="preserve">Unless agreed separately between the supplier who is the recipient of the approval and the TGA, the first report must be submitted to TGA no later than 15 calendar months after the date of the approval letter. The subsequent reports must be submitted no less frequently than annually from the date of the first submitted report until the period covered by such reports is not less than three years from the date of the approval letter. The annual submission may be made up of two PSURs each </w:t>
      </w:r>
      <w:r>
        <w:lastRenderedPageBreak/>
        <w:t xml:space="preserve">covering six months. If the sponsor wishes, the </w:t>
      </w:r>
      <w:proofErr w:type="gramStart"/>
      <w:r w:rsidR="000A0BCD">
        <w:t>six monthly</w:t>
      </w:r>
      <w:proofErr w:type="gramEnd"/>
      <w:r w:rsidR="000A0BCD">
        <w:t xml:space="preserve"> reports </w:t>
      </w:r>
      <w:r>
        <w:t>may be submitted separately as they become available.</w:t>
      </w:r>
    </w:p>
    <w:p w14:paraId="4038C496" w14:textId="2C3B4DB7" w:rsidR="000E15B2" w:rsidRPr="000E15B2" w:rsidRDefault="000E15B2" w:rsidP="000E15B2">
      <w:pPr>
        <w:ind w:left="360"/>
      </w:pPr>
      <w:r w:rsidRPr="000E15B2">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w:t>
      </w:r>
      <w:r>
        <w:t>e</w:t>
      </w:r>
      <w:r w:rsidRPr="000E15B2">
        <w:t xml:space="preserve"> approval letter.</w:t>
      </w:r>
    </w:p>
    <w:p w14:paraId="0B61926B" w14:textId="5CDA8435" w:rsidR="000E15B2" w:rsidRPr="000E15B2" w:rsidRDefault="000E15B2" w:rsidP="000E15B2">
      <w:pPr>
        <w:ind w:left="360"/>
      </w:pPr>
      <w:r w:rsidRPr="000E15B2">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4B1A705F" w14:textId="77777777" w:rsidR="008E7846" w:rsidRDefault="00A80B5B" w:rsidP="00D23139">
      <w:pPr>
        <w:pStyle w:val="Heading2"/>
      </w:pPr>
      <w:bookmarkStart w:id="89" w:name="_Toc131683505"/>
      <w:r>
        <w:t xml:space="preserve">Attachment 1. </w:t>
      </w:r>
      <w:r w:rsidR="008E7846">
        <w:t xml:space="preserve">Product </w:t>
      </w:r>
      <w:r w:rsidR="00AA0ED0">
        <w:t>I</w:t>
      </w:r>
      <w:r w:rsidR="008E7846">
        <w:t>nformation</w:t>
      </w:r>
      <w:bookmarkEnd w:id="86"/>
      <w:bookmarkEnd w:id="87"/>
      <w:bookmarkEnd w:id="89"/>
    </w:p>
    <w:p w14:paraId="0EB986CE" w14:textId="0F1DD59D" w:rsidR="00744121" w:rsidRDefault="006136D7" w:rsidP="00744121">
      <w:r w:rsidRPr="002B3624">
        <w:t xml:space="preserve">The </w:t>
      </w:r>
      <w:r>
        <w:t>PI</w:t>
      </w:r>
      <w:r w:rsidRPr="002B3624">
        <w:t xml:space="preserve"> for </w:t>
      </w:r>
      <w:r w:rsidR="00360707">
        <w:t>Scemblix</w:t>
      </w:r>
      <w:r w:rsidR="0074163C">
        <w:t xml:space="preserve"> </w:t>
      </w:r>
      <w:r>
        <w:t xml:space="preserve">approved with the submission which is described in </w:t>
      </w:r>
      <w:r w:rsidRPr="002B3624">
        <w:t>this AusPAR is at Attachment 1.</w:t>
      </w:r>
      <w:r w:rsidR="00CC5044">
        <w:t xml:space="preserve"> </w:t>
      </w:r>
      <w:r w:rsidR="0074163C" w:rsidRPr="00940A89">
        <w:t xml:space="preserve">For the most recent </w:t>
      </w:r>
      <w:r w:rsidR="0074163C">
        <w:t>PI,</w:t>
      </w:r>
      <w:r w:rsidR="0074163C" w:rsidRPr="00940A89">
        <w:t xml:space="preserve"> ple</w:t>
      </w:r>
      <w:r w:rsidR="0074163C">
        <w:t xml:space="preserve">ase refer to the TGA </w:t>
      </w:r>
      <w:hyperlink r:id="rId41" w:history="1">
        <w:r w:rsidR="0074163C" w:rsidRPr="008A698E">
          <w:rPr>
            <w:rStyle w:val="Hyperlink"/>
          </w:rPr>
          <w:t>PI/CMI search facility</w:t>
        </w:r>
        <w:r w:rsidR="0074163C" w:rsidRPr="00EB36D6">
          <w:rPr>
            <w:rStyle w:val="Hyperlink"/>
            <w:color w:val="auto"/>
            <w:u w:val="none"/>
          </w:rPr>
          <w:t>.</w:t>
        </w:r>
      </w:hyperlink>
      <w:r w:rsidR="008E7846" w:rsidRPr="00C80137">
        <w:br w:type="page"/>
      </w:r>
    </w:p>
    <w:p w14:paraId="7E753F09" w14:textId="77777777" w:rsidR="00C80137" w:rsidRPr="001D043B" w:rsidRDefault="00C80137" w:rsidP="003A7F6C">
      <w:pPr>
        <w:pStyle w:val="TableTitle"/>
        <w:sectPr w:rsidR="00C80137" w:rsidRPr="001D043B" w:rsidSect="00B452CE">
          <w:headerReference w:type="even" r:id="rId42"/>
          <w:headerReference w:type="default" r:id="rId43"/>
          <w:headerReference w:type="first" r:id="rId44"/>
          <w:footerReference w:type="first" r:id="rId4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962139E" w14:textId="77777777" w:rsidTr="00A05FA4">
        <w:trPr>
          <w:trHeight w:hRule="exact" w:val="704"/>
        </w:trPr>
        <w:tc>
          <w:tcPr>
            <w:tcW w:w="9175" w:type="dxa"/>
          </w:tcPr>
          <w:p w14:paraId="730030EE" w14:textId="77777777" w:rsidR="001C32CD" w:rsidRPr="00487162" w:rsidRDefault="001C32CD" w:rsidP="00A05FA4">
            <w:pPr>
              <w:pStyle w:val="TGASignoff"/>
            </w:pPr>
            <w:r w:rsidRPr="00487162">
              <w:lastRenderedPageBreak/>
              <w:t>Therapeutic Goods Administration</w:t>
            </w:r>
          </w:p>
        </w:tc>
      </w:tr>
      <w:tr w:rsidR="001C32CD" w:rsidRPr="004C239D" w14:paraId="50A3B501" w14:textId="77777777" w:rsidTr="00A05FA4">
        <w:trPr>
          <w:trHeight w:val="1221"/>
        </w:trPr>
        <w:tc>
          <w:tcPr>
            <w:tcW w:w="9175" w:type="dxa"/>
            <w:tcMar>
              <w:top w:w="28" w:type="dxa"/>
            </w:tcMar>
          </w:tcPr>
          <w:p w14:paraId="729789A9" w14:textId="77777777" w:rsidR="001C32CD" w:rsidRPr="00487162" w:rsidRDefault="001C32CD" w:rsidP="00A05FA4">
            <w:pPr>
              <w:pStyle w:val="Address"/>
            </w:pPr>
            <w:r w:rsidRPr="00487162">
              <w:t>PO Box 100 Woden ACT 2606 Australia</w:t>
            </w:r>
          </w:p>
          <w:p w14:paraId="3A88FC80" w14:textId="0698B211" w:rsidR="001C32CD" w:rsidRPr="00487162" w:rsidRDefault="001C32CD" w:rsidP="00A05FA4">
            <w:pPr>
              <w:pStyle w:val="Address"/>
            </w:pPr>
            <w:r w:rsidRPr="00487162">
              <w:t xml:space="preserve">Email: </w:t>
            </w:r>
            <w:hyperlink r:id="rId46" w:history="1">
              <w:r w:rsidRPr="004C239D">
                <w:rPr>
                  <w:rStyle w:val="Hyperlink"/>
                </w:rPr>
                <w:t>info@tga.gov.au</w:t>
              </w:r>
            </w:hyperlink>
            <w:r w:rsidR="00101FE3">
              <w:t xml:space="preserve"> </w:t>
            </w:r>
            <w:r w:rsidRPr="00487162">
              <w:t>Phone: 1800 020 653</w:t>
            </w:r>
            <w:r w:rsidR="00101FE3">
              <w:t xml:space="preserve"> </w:t>
            </w:r>
            <w:r w:rsidRPr="00487162">
              <w:t>Fax: 02 6232 8605</w:t>
            </w:r>
          </w:p>
          <w:p w14:paraId="344B87C1" w14:textId="2AF3FB56" w:rsidR="001C32CD" w:rsidRPr="004C239D" w:rsidRDefault="00A6576A" w:rsidP="00A05FA4">
            <w:pPr>
              <w:pStyle w:val="Address"/>
              <w:spacing w:line="260" w:lineRule="atLeast"/>
              <w:rPr>
                <w:b/>
                <w:color w:val="0000FF"/>
                <w:u w:val="single"/>
              </w:rPr>
            </w:pPr>
            <w:hyperlink r:id="rId47" w:history="1">
              <w:r w:rsidR="007C6B9B" w:rsidRPr="007C6B9B">
                <w:rPr>
                  <w:rStyle w:val="Hyperlink"/>
                  <w:b/>
                </w:rPr>
                <w:t>https://www.tga.gov.au</w:t>
              </w:r>
            </w:hyperlink>
          </w:p>
        </w:tc>
      </w:tr>
    </w:tbl>
    <w:p w14:paraId="3363C28D" w14:textId="77777777" w:rsidR="00774E1D" w:rsidRPr="00A51598" w:rsidRDefault="00774E1D" w:rsidP="004C239D"/>
    <w:sectPr w:rsidR="00774E1D" w:rsidRPr="00A51598" w:rsidSect="001C32CD">
      <w:headerReference w:type="even" r:id="rId48"/>
      <w:headerReference w:type="default" r:id="rId49"/>
      <w:footerReference w:type="default" r:id="rId50"/>
      <w:headerReference w:type="first" r:id="rId51"/>
      <w:footerReference w:type="first" r:id="rId5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9288E" w14:textId="77777777" w:rsidR="008125B3" w:rsidRDefault="008125B3" w:rsidP="00C40A36">
      <w:pPr>
        <w:spacing w:after="0"/>
      </w:pPr>
      <w:r>
        <w:separator/>
      </w:r>
    </w:p>
  </w:endnote>
  <w:endnote w:type="continuationSeparator" w:id="0">
    <w:p w14:paraId="1E772081" w14:textId="77777777" w:rsidR="008125B3" w:rsidRDefault="008125B3" w:rsidP="00C40A36">
      <w:pPr>
        <w:spacing w:after="0"/>
      </w:pPr>
      <w:r>
        <w:continuationSeparator/>
      </w:r>
    </w:p>
  </w:endnote>
  <w:endnote w:type="continuationNotice" w:id="1">
    <w:p w14:paraId="764E352E" w14:textId="77777777" w:rsidR="008125B3" w:rsidRDefault="008125B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MS Mincho"/>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125B3" w:rsidRPr="00487162" w14:paraId="5AA734AA" w14:textId="77777777" w:rsidTr="00DB750B">
      <w:trPr>
        <w:trHeight w:val="269"/>
      </w:trPr>
      <w:tc>
        <w:tcPr>
          <w:tcW w:w="7371" w:type="dxa"/>
          <w:tcMar>
            <w:top w:w="142" w:type="dxa"/>
            <w:bottom w:w="0" w:type="dxa"/>
          </w:tcMar>
        </w:tcPr>
        <w:p w14:paraId="4E5FC244" w14:textId="7455D5EF" w:rsidR="008125B3" w:rsidRPr="00487162" w:rsidRDefault="008125B3" w:rsidP="00460036">
          <w:pPr>
            <w:pStyle w:val="Footer"/>
          </w:pPr>
          <w:r w:rsidRPr="00487162">
            <w:t>AusPA</w:t>
          </w:r>
          <w:r>
            <w:t xml:space="preserve">R - </w:t>
          </w:r>
          <w:r w:rsidRPr="0016033A">
            <w:t>S</w:t>
          </w:r>
          <w:r>
            <w:t>cemblix</w:t>
          </w:r>
          <w:r w:rsidRPr="0016033A">
            <w:t xml:space="preserve"> - Asciminib - Novartis Pharmaceuticals Australia Pty Ltd - PM-2021-03048-1-6</w:t>
          </w:r>
          <w:r>
            <w:br/>
          </w:r>
          <w:r w:rsidR="00281B1A">
            <w:t>FINAL 6 April 2023</w:t>
          </w:r>
        </w:p>
      </w:tc>
      <w:tc>
        <w:tcPr>
          <w:tcW w:w="1490" w:type="dxa"/>
          <w:tcMar>
            <w:top w:w="142" w:type="dxa"/>
            <w:bottom w:w="0" w:type="dxa"/>
          </w:tcMar>
        </w:tcPr>
        <w:p w14:paraId="4AAC9A45" w14:textId="45C273D1" w:rsidR="008125B3" w:rsidRPr="00487162" w:rsidRDefault="008125B3" w:rsidP="00DB750B">
          <w:pPr>
            <w:pStyle w:val="Footer"/>
            <w:jc w:val="right"/>
          </w:pPr>
          <w:r w:rsidRPr="00487162">
            <w:t xml:space="preserve">Page </w:t>
          </w:r>
          <w:r>
            <w:rPr>
              <w:color w:val="2B579A"/>
              <w:shd w:val="clear" w:color="auto" w:fill="E6E6E6"/>
            </w:rPr>
            <w:fldChar w:fldCharType="begin"/>
          </w:r>
          <w:r>
            <w:instrText xml:space="preserve"> PAGE  \* Arabic </w:instrText>
          </w:r>
          <w:r>
            <w:rPr>
              <w:color w:val="2B579A"/>
              <w:shd w:val="clear" w:color="auto" w:fill="E6E6E6"/>
            </w:rPr>
            <w:fldChar w:fldCharType="separate"/>
          </w:r>
          <w:r w:rsidR="00221135">
            <w:rPr>
              <w:noProof/>
            </w:rPr>
            <w:t>30</w:t>
          </w:r>
          <w:r>
            <w:rPr>
              <w:color w:val="2B579A"/>
              <w:shd w:val="clear" w:color="auto" w:fill="E6E6E6"/>
            </w:rPr>
            <w:fldChar w:fldCharType="end"/>
          </w:r>
          <w:r w:rsidRPr="00487162">
            <w:t xml:space="preserve"> of </w:t>
          </w:r>
          <w:r>
            <w:rPr>
              <w:color w:val="2B579A"/>
              <w:shd w:val="clear" w:color="auto" w:fill="E6E6E6"/>
            </w:rPr>
            <w:fldChar w:fldCharType="begin"/>
          </w:r>
          <w:r>
            <w:instrText>NUMPAGES  \* Arabic</w:instrText>
          </w:r>
          <w:r>
            <w:rPr>
              <w:color w:val="2B579A"/>
              <w:shd w:val="clear" w:color="auto" w:fill="E6E6E6"/>
            </w:rPr>
            <w:fldChar w:fldCharType="separate"/>
          </w:r>
          <w:r w:rsidR="00221135">
            <w:rPr>
              <w:noProof/>
            </w:rPr>
            <w:t>58</w:t>
          </w:r>
          <w:r>
            <w:rPr>
              <w:color w:val="2B579A"/>
              <w:shd w:val="clear" w:color="auto" w:fill="E6E6E6"/>
            </w:rPr>
            <w:fldChar w:fldCharType="end"/>
          </w:r>
        </w:p>
      </w:tc>
    </w:tr>
  </w:tbl>
  <w:p w14:paraId="5B9C314D" w14:textId="77777777" w:rsidR="008125B3" w:rsidRDefault="008125B3"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125B3" w:rsidRPr="00487162" w14:paraId="0751DEF3" w14:textId="77777777" w:rsidTr="00E45619">
      <w:trPr>
        <w:trHeight w:val="269"/>
      </w:trPr>
      <w:tc>
        <w:tcPr>
          <w:tcW w:w="4519" w:type="dxa"/>
          <w:tcBorders>
            <w:top w:val="single" w:sz="4" w:space="0" w:color="auto"/>
          </w:tcBorders>
          <w:tcMar>
            <w:top w:w="142" w:type="dxa"/>
            <w:bottom w:w="0" w:type="dxa"/>
          </w:tcMar>
        </w:tcPr>
        <w:p w14:paraId="114D2665" w14:textId="77777777" w:rsidR="008125B3" w:rsidRPr="00487162" w:rsidRDefault="008125B3" w:rsidP="00FE1DEE">
          <w:pPr>
            <w:pStyle w:val="Footer"/>
          </w:pPr>
          <w:r w:rsidRPr="00487162">
            <w:t>Document title, Part #, Section # - Section title</w:t>
          </w:r>
        </w:p>
        <w:p w14:paraId="57C6BA92" w14:textId="77777777" w:rsidR="008125B3" w:rsidRPr="00487162" w:rsidRDefault="008125B3" w:rsidP="00FE1DEE">
          <w:pPr>
            <w:pStyle w:val="Footer"/>
          </w:pPr>
          <w:r w:rsidRPr="00487162">
            <w:t>V1.0 October 2010</w:t>
          </w:r>
        </w:p>
      </w:tc>
      <w:tc>
        <w:tcPr>
          <w:tcW w:w="4342" w:type="dxa"/>
          <w:tcBorders>
            <w:top w:val="single" w:sz="4" w:space="0" w:color="auto"/>
          </w:tcBorders>
          <w:tcMar>
            <w:top w:w="142" w:type="dxa"/>
            <w:bottom w:w="0" w:type="dxa"/>
          </w:tcMar>
        </w:tcPr>
        <w:p w14:paraId="7DF0509F" w14:textId="77777777" w:rsidR="008125B3" w:rsidRPr="00487162" w:rsidRDefault="008125B3" w:rsidP="00E45619">
          <w:pPr>
            <w:pStyle w:val="Footer"/>
            <w:jc w:val="right"/>
          </w:pPr>
          <w:r w:rsidRPr="00487162">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sidRPr="00487162">
            <w:rPr>
              <w:noProof/>
            </w:rPr>
            <w:t>3</w:t>
          </w:r>
          <w:r>
            <w:rPr>
              <w:noProof/>
              <w:color w:val="2B579A"/>
              <w:shd w:val="clear" w:color="auto" w:fill="E6E6E6"/>
            </w:rPr>
            <w:fldChar w:fldCharType="end"/>
          </w:r>
          <w:r w:rsidRPr="00487162">
            <w:t xml:space="preserve"> of </w:t>
          </w:r>
          <w:r>
            <w:rPr>
              <w:color w:val="2B579A"/>
              <w:shd w:val="clear" w:color="auto" w:fill="E6E6E6"/>
            </w:rPr>
            <w:fldChar w:fldCharType="begin"/>
          </w:r>
          <w:r>
            <w:instrText>NUMPAGES</w:instrText>
          </w:r>
          <w:r>
            <w:rPr>
              <w:color w:val="2B579A"/>
              <w:shd w:val="clear" w:color="auto" w:fill="E6E6E6"/>
            </w:rPr>
            <w:fldChar w:fldCharType="separate"/>
          </w:r>
          <w:r>
            <w:rPr>
              <w:noProof/>
            </w:rPr>
            <w:t>21</w:t>
          </w:r>
          <w:r>
            <w:rPr>
              <w:color w:val="2B579A"/>
              <w:shd w:val="clear" w:color="auto" w:fill="E6E6E6"/>
            </w:rPr>
            <w:fldChar w:fldCharType="end"/>
          </w:r>
        </w:p>
      </w:tc>
    </w:tr>
  </w:tbl>
  <w:p w14:paraId="6AE2B511" w14:textId="77777777" w:rsidR="008125B3" w:rsidRDefault="008125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B666E" w14:textId="77777777" w:rsidR="008125B3" w:rsidRPr="001C32CD" w:rsidRDefault="008125B3"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125B3" w14:paraId="5E6D6DB6" w14:textId="77777777" w:rsidTr="0010601F">
      <w:trPr>
        <w:trHeight w:val="108"/>
      </w:trPr>
      <w:tc>
        <w:tcPr>
          <w:tcW w:w="8875" w:type="dxa"/>
          <w:gridSpan w:val="2"/>
          <w:tcBorders>
            <w:bottom w:val="single" w:sz="4" w:space="0" w:color="auto"/>
          </w:tcBorders>
          <w:tcMar>
            <w:right w:w="284" w:type="dxa"/>
          </w:tcMar>
        </w:tcPr>
        <w:p w14:paraId="45E7782A" w14:textId="77777777" w:rsidR="008125B3" w:rsidRDefault="008125B3" w:rsidP="006E08B3">
          <w:pPr>
            <w:pStyle w:val="Heading3"/>
          </w:pPr>
          <w:r>
            <w:t>Copyright</w:t>
          </w:r>
        </w:p>
        <w:p w14:paraId="5BF9CF01" w14:textId="77777777" w:rsidR="008125B3" w:rsidRDefault="008125B3" w:rsidP="006E08B3">
          <w:r>
            <w:rPr>
              <w:rFonts w:cs="Arial"/>
            </w:rPr>
            <w:t>©</w:t>
          </w:r>
          <w:r>
            <w:t xml:space="preserve"> Commonwealth of Australia [add year]</w:t>
          </w:r>
        </w:p>
        <w:p w14:paraId="19873AD9" w14:textId="77777777" w:rsidR="008125B3" w:rsidRDefault="008125B3" w:rsidP="006E08B3"/>
        <w:p w14:paraId="73E9565E" w14:textId="00DE504D" w:rsidR="008125B3" w:rsidRDefault="008125B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9A3558C" w14:textId="77777777" w:rsidR="008125B3" w:rsidRDefault="008125B3" w:rsidP="006E08B3"/>
        <w:p w14:paraId="6A15D05F" w14:textId="77777777" w:rsidR="008125B3" w:rsidRDefault="008125B3" w:rsidP="006E08B3">
          <w:pPr>
            <w:pStyle w:val="Heading3"/>
          </w:pPr>
          <w:r>
            <w:t>Confidentiality</w:t>
          </w:r>
        </w:p>
        <w:p w14:paraId="61E7B7A8" w14:textId="77777777" w:rsidR="008125B3" w:rsidRDefault="008125B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17D9E7F" w14:textId="77777777" w:rsidR="008125B3" w:rsidRDefault="008125B3" w:rsidP="006E08B3"/>
        <w:p w14:paraId="1B362849" w14:textId="77777777" w:rsidR="008125B3" w:rsidRDefault="008125B3" w:rsidP="006E08B3">
          <w:r>
            <w:t>For submission made by individuals, all personal details, other than your name, will be removed from your submission before it is published on the TGA’s Internet site.</w:t>
          </w:r>
        </w:p>
        <w:p w14:paraId="07B42A33" w14:textId="77777777" w:rsidR="008125B3" w:rsidRDefault="008125B3" w:rsidP="006E08B3"/>
        <w:p w14:paraId="25C3AA6A" w14:textId="77777777" w:rsidR="008125B3" w:rsidRDefault="008125B3" w:rsidP="006E08B3">
          <w:r>
            <w:t>In addition, a list of parties making submissions will be published. If you do not wish to be identified with your submission you must specifically request this in the space provided in the submission coversheet.</w:t>
          </w:r>
        </w:p>
      </w:tc>
    </w:tr>
    <w:tr w:rsidR="008125B3" w14:paraId="55B38071" w14:textId="77777777" w:rsidTr="0010601F">
      <w:trPr>
        <w:trHeight w:val="417"/>
      </w:trPr>
      <w:tc>
        <w:tcPr>
          <w:tcW w:w="4519" w:type="dxa"/>
          <w:tcBorders>
            <w:top w:val="single" w:sz="4" w:space="0" w:color="auto"/>
          </w:tcBorders>
          <w:tcMar>
            <w:top w:w="142" w:type="dxa"/>
            <w:bottom w:w="0" w:type="dxa"/>
          </w:tcMar>
        </w:tcPr>
        <w:p w14:paraId="2716CAB7" w14:textId="77777777" w:rsidR="008125B3" w:rsidRDefault="008125B3" w:rsidP="006E08B3">
          <w:r>
            <w:t>Document title, Part #, Section # - Section title</w:t>
          </w:r>
        </w:p>
        <w:p w14:paraId="306BA207" w14:textId="77777777" w:rsidR="008125B3" w:rsidRDefault="008125B3" w:rsidP="006E08B3">
          <w:r>
            <w:t>V1.0 October 2010</w:t>
          </w:r>
        </w:p>
      </w:tc>
      <w:tc>
        <w:tcPr>
          <w:tcW w:w="4356" w:type="dxa"/>
          <w:tcBorders>
            <w:top w:val="single" w:sz="4" w:space="0" w:color="auto"/>
          </w:tcBorders>
          <w:tcMar>
            <w:top w:w="142" w:type="dxa"/>
            <w:bottom w:w="0" w:type="dxa"/>
          </w:tcMar>
        </w:tcPr>
        <w:p w14:paraId="2C33AE53" w14:textId="0863CB50" w:rsidR="008125B3" w:rsidRDefault="008125B3" w:rsidP="006E08B3">
          <w:pPr>
            <w:jc w:val="right"/>
          </w:pPr>
          <w:r>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w:t>
          </w:r>
          <w:r>
            <w:rPr>
              <w:noProof/>
              <w:color w:val="2B579A"/>
              <w:shd w:val="clear" w:color="auto" w:fill="E6E6E6"/>
            </w:rPr>
            <w:fldChar w:fldCharType="end"/>
          </w:r>
          <w:r>
            <w:t xml:space="preserve"> of </w:t>
          </w:r>
          <w:r>
            <w:rPr>
              <w:color w:val="2B579A"/>
              <w:shd w:val="clear" w:color="auto" w:fill="E6E6E6"/>
            </w:rPr>
            <w:fldChar w:fldCharType="begin"/>
          </w:r>
          <w:r>
            <w:instrText>NUMPAGES  \* Arabic</w:instrText>
          </w:r>
          <w:r>
            <w:rPr>
              <w:color w:val="2B579A"/>
              <w:shd w:val="clear" w:color="auto" w:fill="E6E6E6"/>
            </w:rPr>
            <w:fldChar w:fldCharType="separate"/>
          </w:r>
          <w:r>
            <w:rPr>
              <w:noProof/>
            </w:rPr>
            <w:t>21</w:t>
          </w:r>
          <w:r>
            <w:rPr>
              <w:color w:val="2B579A"/>
              <w:shd w:val="clear" w:color="auto" w:fill="E6E6E6"/>
            </w:rPr>
            <w:fldChar w:fldCharType="end"/>
          </w:r>
          <w:r>
            <w:t xml:space="preserve"> </w:t>
          </w:r>
        </w:p>
      </w:tc>
    </w:tr>
  </w:tbl>
  <w:p w14:paraId="6253442B" w14:textId="77777777" w:rsidR="008125B3" w:rsidRDefault="008125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F89B1" w14:textId="77777777" w:rsidR="008125B3" w:rsidRDefault="008125B3" w:rsidP="00C40A36">
      <w:pPr>
        <w:spacing w:after="0"/>
      </w:pPr>
      <w:r>
        <w:separator/>
      </w:r>
    </w:p>
  </w:footnote>
  <w:footnote w:type="continuationSeparator" w:id="0">
    <w:p w14:paraId="4A67C8DB" w14:textId="77777777" w:rsidR="008125B3" w:rsidRDefault="008125B3" w:rsidP="00C40A36">
      <w:pPr>
        <w:spacing w:after="0"/>
      </w:pPr>
      <w:r>
        <w:continuationSeparator/>
      </w:r>
    </w:p>
  </w:footnote>
  <w:footnote w:type="continuationNotice" w:id="1">
    <w:p w14:paraId="0707ECDD" w14:textId="77777777" w:rsidR="008125B3" w:rsidRDefault="008125B3">
      <w:pPr>
        <w:spacing w:before="0" w:after="0" w:line="240" w:lineRule="auto"/>
      </w:pPr>
    </w:p>
  </w:footnote>
  <w:footnote w:id="2">
    <w:p w14:paraId="6C78FEF6" w14:textId="350F7F5E" w:rsidR="0070021A" w:rsidRPr="00547BEA" w:rsidRDefault="0070021A">
      <w:pPr>
        <w:pStyle w:val="FootnoteText"/>
        <w:rPr>
          <w:lang w:val="en-GB"/>
        </w:rPr>
      </w:pPr>
      <w:r>
        <w:rPr>
          <w:rStyle w:val="FootnoteReference"/>
        </w:rPr>
        <w:footnoteRef/>
      </w:r>
      <w:r>
        <w:t xml:space="preserve"> </w:t>
      </w:r>
      <w:r w:rsidRPr="0070021A">
        <w:t xml:space="preserve">Zhou T, Medeiros LJ, Hu S. Chronic Myeloid Leukemia: Beyond BCR-ABL1. </w:t>
      </w:r>
      <w:proofErr w:type="spellStart"/>
      <w:r w:rsidRPr="00547BEA">
        <w:rPr>
          <w:i/>
        </w:rPr>
        <w:t>Curr</w:t>
      </w:r>
      <w:proofErr w:type="spellEnd"/>
      <w:r w:rsidRPr="00547BEA">
        <w:rPr>
          <w:i/>
        </w:rPr>
        <w:t xml:space="preserve"> </w:t>
      </w:r>
      <w:proofErr w:type="spellStart"/>
      <w:r w:rsidRPr="00547BEA">
        <w:rPr>
          <w:i/>
        </w:rPr>
        <w:t>Hematol</w:t>
      </w:r>
      <w:proofErr w:type="spellEnd"/>
      <w:r w:rsidRPr="00547BEA">
        <w:rPr>
          <w:i/>
        </w:rPr>
        <w:t xml:space="preserve"> </w:t>
      </w:r>
      <w:proofErr w:type="spellStart"/>
      <w:r w:rsidRPr="00547BEA">
        <w:rPr>
          <w:i/>
        </w:rPr>
        <w:t>Malig</w:t>
      </w:r>
      <w:proofErr w:type="spellEnd"/>
      <w:r w:rsidRPr="00547BEA">
        <w:rPr>
          <w:i/>
        </w:rPr>
        <w:t xml:space="preserve"> Rep.</w:t>
      </w:r>
      <w:r w:rsidRPr="0070021A">
        <w:t xml:space="preserve"> </w:t>
      </w:r>
      <w:proofErr w:type="gramStart"/>
      <w:r w:rsidRPr="0070021A">
        <w:t>2018;13:435</w:t>
      </w:r>
      <w:proofErr w:type="gramEnd"/>
      <w:r w:rsidRPr="0070021A">
        <w:t>–445.</w:t>
      </w:r>
    </w:p>
  </w:footnote>
  <w:footnote w:id="3">
    <w:p w14:paraId="37110F59" w14:textId="678936EA" w:rsidR="008125B3" w:rsidRDefault="008125B3" w:rsidP="00163628">
      <w:pPr>
        <w:pStyle w:val="FootnoteText"/>
      </w:pPr>
      <w:r>
        <w:rPr>
          <w:rStyle w:val="FootnoteReference"/>
        </w:rPr>
        <w:footnoteRef/>
      </w:r>
      <w:r>
        <w:t xml:space="preserve"> </w:t>
      </w:r>
      <w:proofErr w:type="spellStart"/>
      <w:r>
        <w:t>Jabbour</w:t>
      </w:r>
      <w:proofErr w:type="spellEnd"/>
      <w:r>
        <w:t xml:space="preserve"> E, </w:t>
      </w:r>
      <w:proofErr w:type="spellStart"/>
      <w:r>
        <w:t>Kantarjian</w:t>
      </w:r>
      <w:proofErr w:type="spellEnd"/>
      <w:r>
        <w:t xml:space="preserve"> H. Chronic myeloid leukemia: 2018 update on diagnosis, therapy</w:t>
      </w:r>
    </w:p>
    <w:p w14:paraId="75B755B9" w14:textId="6617502C" w:rsidR="008125B3" w:rsidRPr="00547BEA" w:rsidRDefault="008125B3" w:rsidP="00163628">
      <w:pPr>
        <w:pStyle w:val="FootnoteText"/>
        <w:rPr>
          <w:lang w:val="en-GB"/>
        </w:rPr>
      </w:pPr>
      <w:r>
        <w:t xml:space="preserve">and monitoring. Am J </w:t>
      </w:r>
      <w:proofErr w:type="spellStart"/>
      <w:r>
        <w:t>Hematol</w:t>
      </w:r>
      <w:proofErr w:type="spellEnd"/>
      <w:r>
        <w:t>; 2018; 93(3):442-59.</w:t>
      </w:r>
    </w:p>
  </w:footnote>
  <w:footnote w:id="4">
    <w:p w14:paraId="0BF4A801" w14:textId="2BB7E106" w:rsidR="008125B3" w:rsidRPr="00547BEA" w:rsidRDefault="008125B3">
      <w:pPr>
        <w:pStyle w:val="FootnoteText"/>
        <w:rPr>
          <w:lang w:val="en-GB"/>
        </w:rPr>
      </w:pPr>
      <w:r>
        <w:rPr>
          <w:rStyle w:val="FootnoteReference"/>
        </w:rPr>
        <w:footnoteRef/>
      </w:r>
      <w:r>
        <w:t xml:space="preserve"> </w:t>
      </w:r>
      <w:r w:rsidRPr="000A1CEB">
        <w:t xml:space="preserve">Arber DA, </w:t>
      </w:r>
      <w:proofErr w:type="spellStart"/>
      <w:r w:rsidRPr="000A1CEB">
        <w:t>Orazi</w:t>
      </w:r>
      <w:proofErr w:type="spellEnd"/>
      <w:r w:rsidRPr="000A1CEB">
        <w:t xml:space="preserve"> A, </w:t>
      </w:r>
      <w:proofErr w:type="spellStart"/>
      <w:r w:rsidRPr="000A1CEB">
        <w:t>Hasserjian</w:t>
      </w:r>
      <w:proofErr w:type="spellEnd"/>
      <w:r w:rsidRPr="000A1CEB">
        <w:t xml:space="preserve"> R, Thiele J, Borowitz MJ, Le Beau MM, Bloomfield CD, </w:t>
      </w:r>
      <w:proofErr w:type="spellStart"/>
      <w:r w:rsidRPr="000A1CEB">
        <w:t>Cazzola</w:t>
      </w:r>
      <w:proofErr w:type="spellEnd"/>
      <w:r w:rsidRPr="000A1CEB">
        <w:t xml:space="preserve"> M, </w:t>
      </w:r>
      <w:proofErr w:type="spellStart"/>
      <w:r w:rsidRPr="000A1CEB">
        <w:t>Vardiman</w:t>
      </w:r>
      <w:proofErr w:type="spellEnd"/>
      <w:r w:rsidRPr="000A1CEB">
        <w:t xml:space="preserve"> JW. The 2016 revision to the World Health Organization classification of myeloid neoplasms and acute leukemia. </w:t>
      </w:r>
      <w:r w:rsidRPr="00547BEA">
        <w:rPr>
          <w:i/>
        </w:rPr>
        <w:t>Blood.</w:t>
      </w:r>
      <w:r w:rsidRPr="000A1CEB">
        <w:t xml:space="preserve"> </w:t>
      </w:r>
      <w:proofErr w:type="gramStart"/>
      <w:r w:rsidRPr="000A1CEB">
        <w:t>2016;127:2391</w:t>
      </w:r>
      <w:proofErr w:type="gramEnd"/>
      <w:r w:rsidRPr="000A1CEB">
        <w:t>–2405.</w:t>
      </w:r>
    </w:p>
  </w:footnote>
  <w:footnote w:id="5">
    <w:p w14:paraId="4654B912" w14:textId="77777777" w:rsidR="008125B3" w:rsidRPr="00144433" w:rsidRDefault="008125B3" w:rsidP="007175A2">
      <w:pPr>
        <w:pStyle w:val="FootnoteText"/>
        <w:rPr>
          <w:lang w:val="en-GB"/>
        </w:rPr>
      </w:pPr>
      <w:r>
        <w:rPr>
          <w:rStyle w:val="FootnoteReference"/>
        </w:rPr>
        <w:footnoteRef/>
      </w:r>
      <w:r>
        <w:t xml:space="preserve"> Apperley JF.</w:t>
      </w:r>
      <w:r w:rsidRPr="00270F61">
        <w:t xml:space="preserve"> Chronic myeloid leukaemia. </w:t>
      </w:r>
      <w:r w:rsidRPr="00144433">
        <w:rPr>
          <w:i/>
        </w:rPr>
        <w:t>Lancet</w:t>
      </w:r>
      <w:r w:rsidRPr="00270F61">
        <w:t>;</w:t>
      </w:r>
      <w:r>
        <w:t xml:space="preserve"> </w:t>
      </w:r>
      <w:proofErr w:type="gramStart"/>
      <w:r>
        <w:t>2015;</w:t>
      </w:r>
      <w:r w:rsidRPr="00270F61">
        <w:t>385:1447</w:t>
      </w:r>
      <w:proofErr w:type="gramEnd"/>
      <w:r w:rsidRPr="00270F61">
        <w:t>-59.</w:t>
      </w:r>
    </w:p>
  </w:footnote>
  <w:footnote w:id="6">
    <w:p w14:paraId="6AD41995" w14:textId="77777777" w:rsidR="008125B3" w:rsidRPr="007972D5" w:rsidRDefault="008125B3" w:rsidP="004F0020">
      <w:pPr>
        <w:pStyle w:val="FootnoteText"/>
        <w:rPr>
          <w:lang w:val="en-GB"/>
        </w:rPr>
      </w:pPr>
      <w:r>
        <w:rPr>
          <w:rStyle w:val="FootnoteReference"/>
        </w:rPr>
        <w:footnoteRef/>
      </w:r>
      <w:r>
        <w:t xml:space="preserve"> </w:t>
      </w:r>
      <w:proofErr w:type="spellStart"/>
      <w:r w:rsidRPr="00270F61">
        <w:t>Quintás-Cardama</w:t>
      </w:r>
      <w:proofErr w:type="spellEnd"/>
      <w:r w:rsidRPr="00270F61">
        <w:t xml:space="preserve"> A, </w:t>
      </w:r>
      <w:proofErr w:type="spellStart"/>
      <w:r w:rsidRPr="00270F61">
        <w:t>Kantarjian</w:t>
      </w:r>
      <w:proofErr w:type="spellEnd"/>
      <w:r w:rsidRPr="00270F61">
        <w:t xml:space="preserve"> HM, Cortes JE. Mechanisms of primary and secondary resistance to imatinib in chronic myeloid leukemia. </w:t>
      </w:r>
      <w:r w:rsidRPr="007972D5">
        <w:rPr>
          <w:i/>
        </w:rPr>
        <w:t>Cancer Control.</w:t>
      </w:r>
      <w:r w:rsidRPr="00270F61">
        <w:t xml:space="preserve"> 2009;16(2):122-131.</w:t>
      </w:r>
    </w:p>
  </w:footnote>
  <w:footnote w:id="7">
    <w:p w14:paraId="4FE70977" w14:textId="612D8814" w:rsidR="008125B3" w:rsidRPr="00547BEA" w:rsidRDefault="008125B3">
      <w:pPr>
        <w:pStyle w:val="FootnoteText"/>
        <w:rPr>
          <w:lang w:val="en-GB"/>
        </w:rPr>
      </w:pPr>
      <w:r>
        <w:rPr>
          <w:rStyle w:val="FootnoteReference"/>
        </w:rPr>
        <w:footnoteRef/>
      </w:r>
      <w:r>
        <w:t xml:space="preserve"> </w:t>
      </w:r>
      <w:proofErr w:type="spellStart"/>
      <w:r w:rsidRPr="004F0020">
        <w:t>Jabbour</w:t>
      </w:r>
      <w:proofErr w:type="spellEnd"/>
      <w:r w:rsidRPr="004F0020">
        <w:t xml:space="preserve"> E, Parikh SA, </w:t>
      </w:r>
      <w:proofErr w:type="spellStart"/>
      <w:r w:rsidRPr="004F0020">
        <w:t>Kantarjian</w:t>
      </w:r>
      <w:proofErr w:type="spellEnd"/>
      <w:r w:rsidRPr="004F0020">
        <w:t xml:space="preserve"> H, Cortes J. Chronic myeloid leukemia: mechanisms of resistance and treatment. </w:t>
      </w:r>
      <w:proofErr w:type="spellStart"/>
      <w:r w:rsidRPr="00547BEA">
        <w:rPr>
          <w:i/>
        </w:rPr>
        <w:t>Hematol</w:t>
      </w:r>
      <w:proofErr w:type="spellEnd"/>
      <w:r w:rsidRPr="00547BEA">
        <w:rPr>
          <w:i/>
        </w:rPr>
        <w:t xml:space="preserve"> Oncol Clin North Am</w:t>
      </w:r>
      <w:r w:rsidRPr="004F0020">
        <w:t>. 2011;25(5):981-v.</w:t>
      </w:r>
    </w:p>
  </w:footnote>
  <w:footnote w:id="8">
    <w:p w14:paraId="6D267845" w14:textId="0657A061" w:rsidR="008125B3" w:rsidRPr="00163628" w:rsidRDefault="008125B3" w:rsidP="00163628">
      <w:pPr>
        <w:pStyle w:val="FootnoteText"/>
      </w:pPr>
      <w:r>
        <w:rPr>
          <w:rStyle w:val="FootnoteReference"/>
        </w:rPr>
        <w:footnoteRef/>
      </w:r>
      <w:r>
        <w:t xml:space="preserve"> </w:t>
      </w:r>
      <w:proofErr w:type="spellStart"/>
      <w:r>
        <w:t>Soverini</w:t>
      </w:r>
      <w:proofErr w:type="spellEnd"/>
      <w:r>
        <w:t xml:space="preserve"> S, Martinelli G, </w:t>
      </w:r>
      <w:proofErr w:type="spellStart"/>
      <w:r>
        <w:t>Rosti</w:t>
      </w:r>
      <w:proofErr w:type="spellEnd"/>
      <w:r>
        <w:t xml:space="preserve"> G, et al ABL mutations in late chronic phase chronic myeloid leukemia patients with up-front cytogenetic resistance to imatinib are associated with a greater likelihood of progression to blast crisis and shorter survival: a study by the GIMEMA Working Party on chronic myeloid leukemia. J Clin Oncol; 2005; 23(18):4100-9.</w:t>
      </w:r>
    </w:p>
  </w:footnote>
  <w:footnote w:id="9">
    <w:p w14:paraId="663C845B" w14:textId="6F1E3185" w:rsidR="008125B3" w:rsidRDefault="008125B3">
      <w:pPr>
        <w:pStyle w:val="FootnoteText"/>
      </w:pPr>
      <w:r>
        <w:rPr>
          <w:rStyle w:val="FootnoteReference"/>
        </w:rPr>
        <w:footnoteRef/>
      </w:r>
      <w:r>
        <w:t xml:space="preserve"> Australian Institute of Health and Welfare (AIHW) Cancer Data in Australia 2020, Book 3, Table 3a.</w:t>
      </w:r>
    </w:p>
  </w:footnote>
  <w:footnote w:id="10">
    <w:p w14:paraId="3C3939CF" w14:textId="21CCCEBB" w:rsidR="008125B3" w:rsidRDefault="008125B3">
      <w:pPr>
        <w:pStyle w:val="FootnoteText"/>
      </w:pPr>
      <w:r>
        <w:rPr>
          <w:rStyle w:val="FootnoteReference"/>
        </w:rPr>
        <w:footnoteRef/>
      </w:r>
      <w:r>
        <w:t xml:space="preserve"> Australian Institute of Health and Welfare (AHIW) Cancer Data in Australia 2020, Book 8, Table 8a and 8b.</w:t>
      </w:r>
    </w:p>
  </w:footnote>
  <w:footnote w:id="11">
    <w:p w14:paraId="6809B3CB" w14:textId="554685E7" w:rsidR="008125B3" w:rsidRDefault="008125B3">
      <w:pPr>
        <w:pStyle w:val="FootnoteText"/>
      </w:pPr>
      <w:r w:rsidRPr="00FC7BC2">
        <w:rPr>
          <w:rStyle w:val="FootnoteReference"/>
        </w:rPr>
        <w:footnoteRef/>
      </w:r>
      <w:r w:rsidRPr="00FC7BC2">
        <w:t xml:space="preserve"> Neil P. Shah et al.</w:t>
      </w:r>
      <w:r w:rsidR="00FC7BC2">
        <w:t xml:space="preserve"> </w:t>
      </w:r>
      <w:proofErr w:type="spellStart"/>
      <w:r w:rsidRPr="00E87BAC">
        <w:t>Dasatinib</w:t>
      </w:r>
      <w:proofErr w:type="spellEnd"/>
      <w:r w:rsidRPr="00E87BAC">
        <w:t xml:space="preserve"> in imatinib-resistant or intolerant chronic phase Chronic Myeloid </w:t>
      </w:r>
      <w:r>
        <w:t>Leukaemia</w:t>
      </w:r>
      <w:r w:rsidRPr="00E87BAC">
        <w:t xml:space="preserve"> patients: 7-year follow-up of study CA180-034. Am. J. </w:t>
      </w:r>
      <w:proofErr w:type="spellStart"/>
      <w:r w:rsidRPr="00E87BAC">
        <w:t>Hematol</w:t>
      </w:r>
      <w:proofErr w:type="spellEnd"/>
      <w:r w:rsidRPr="00E87BAC">
        <w:t>. 91:869–874, 2016.</w:t>
      </w:r>
    </w:p>
  </w:footnote>
  <w:footnote w:id="12">
    <w:p w14:paraId="53904E93" w14:textId="38577439" w:rsidR="008125B3" w:rsidRDefault="008125B3">
      <w:pPr>
        <w:pStyle w:val="FootnoteText"/>
      </w:pPr>
      <w:r>
        <w:rPr>
          <w:rStyle w:val="FootnoteReference"/>
        </w:rPr>
        <w:footnoteRef/>
      </w:r>
      <w:r>
        <w:t xml:space="preserve"> </w:t>
      </w:r>
      <w:r w:rsidRPr="00B84ADE">
        <w:t>Imatinib was first registered in Australia on 17 December 2003. ARTG number: 94216</w:t>
      </w:r>
    </w:p>
  </w:footnote>
  <w:footnote w:id="13">
    <w:p w14:paraId="79371B67" w14:textId="458BF19F" w:rsidR="008125B3" w:rsidRDefault="008125B3">
      <w:pPr>
        <w:pStyle w:val="FootnoteText"/>
      </w:pPr>
      <w:r>
        <w:rPr>
          <w:rStyle w:val="FootnoteReference"/>
        </w:rPr>
        <w:footnoteRef/>
      </w:r>
      <w:r>
        <w:t xml:space="preserve"> </w:t>
      </w:r>
      <w:r w:rsidRPr="00B84ADE">
        <w:t>Nilotinib was first registered in Australia on 17 January 2008. ARTG number: 133086</w:t>
      </w:r>
    </w:p>
  </w:footnote>
  <w:footnote w:id="14">
    <w:p w14:paraId="4D9CCC0D" w14:textId="373338EF" w:rsidR="008125B3" w:rsidRDefault="008125B3">
      <w:pPr>
        <w:pStyle w:val="FootnoteText"/>
      </w:pPr>
      <w:r>
        <w:rPr>
          <w:rStyle w:val="FootnoteReference"/>
        </w:rPr>
        <w:footnoteRef/>
      </w:r>
      <w:r>
        <w:t xml:space="preserve"> </w:t>
      </w:r>
      <w:proofErr w:type="spellStart"/>
      <w:r w:rsidRPr="00B84ADE">
        <w:t>Dasatinib</w:t>
      </w:r>
      <w:proofErr w:type="spellEnd"/>
      <w:r w:rsidRPr="00B84ADE">
        <w:t xml:space="preserve"> was first registered in Australia on 15 January 2007. ARTG number: 125557</w:t>
      </w:r>
    </w:p>
  </w:footnote>
  <w:footnote w:id="15">
    <w:p w14:paraId="31834DDC" w14:textId="3A706DAA" w:rsidR="008125B3" w:rsidRDefault="008125B3">
      <w:pPr>
        <w:pStyle w:val="FootnoteText"/>
      </w:pPr>
      <w:r>
        <w:rPr>
          <w:rStyle w:val="FootnoteReference"/>
        </w:rPr>
        <w:footnoteRef/>
      </w:r>
      <w:r>
        <w:t xml:space="preserve"> </w:t>
      </w:r>
      <w:r w:rsidRPr="006D40F8">
        <w:t>Bosutinib was first registered in Australia on 29 April 2014. ARTG number: 208809</w:t>
      </w:r>
    </w:p>
  </w:footnote>
  <w:footnote w:id="16">
    <w:p w14:paraId="04FDB9EE" w14:textId="3869799E" w:rsidR="008125B3" w:rsidRDefault="008125B3">
      <w:pPr>
        <w:pStyle w:val="FootnoteText"/>
      </w:pPr>
      <w:r>
        <w:rPr>
          <w:rStyle w:val="FootnoteReference"/>
        </w:rPr>
        <w:footnoteRef/>
      </w:r>
      <w:r>
        <w:t xml:space="preserve"> </w:t>
      </w:r>
      <w:r w:rsidRPr="006D40F8">
        <w:t>Ponatinib was first registered in Australia on 26 November 2014. ARTG number: 212583</w:t>
      </w:r>
    </w:p>
  </w:footnote>
  <w:footnote w:id="17">
    <w:p w14:paraId="27C0E7BC" w14:textId="791B0175" w:rsidR="008125B3" w:rsidRDefault="008125B3" w:rsidP="00F26FF0">
      <w:pPr>
        <w:pStyle w:val="FootnoteText"/>
      </w:pPr>
      <w:r>
        <w:rPr>
          <w:rStyle w:val="FootnoteReference"/>
        </w:rPr>
        <w:footnoteRef/>
      </w:r>
      <w:r>
        <w:t xml:space="preserve"> The United States (US) Food and Drug Administration (FDA) </w:t>
      </w:r>
      <w:r w:rsidRPr="00281B1A">
        <w:rPr>
          <w:b/>
        </w:rPr>
        <w:t>Accelerated Approval</w:t>
      </w:r>
      <w:r>
        <w:t xml:space="preserve"> Program allows for earlier approval of drugs that treat serious conditions, and fill an unmet medical need based on a surrogate endpoint.  A surrogate endpoint is a marker, such as a laboratory measurement, radiographic image, physical sign or other measure that is thought to predict clinical benefit but is not itself a measure of clinical benefit. The use of a surrogate endpoint can considerably shorten the time required prior to receiving FDA approval.</w:t>
      </w:r>
    </w:p>
    <w:p w14:paraId="0760C597" w14:textId="2F250E95" w:rsidR="008125B3" w:rsidRPr="00281B1A" w:rsidRDefault="008125B3" w:rsidP="00F26FF0">
      <w:pPr>
        <w:pStyle w:val="FootnoteText"/>
        <w:rPr>
          <w:lang w:val="en-GB"/>
        </w:rPr>
      </w:pPr>
      <w:r>
        <w:t>Drug companies are still required to conduct studies to confirm the anticipated clinical benefit. If the confirmatory trial shows that the drug actually provides a clinical benefit, then the FDA grants traditional approval for the drug.  If the confirmatory trial does not show that the drug provides clinical benefit, FDA has regulatory procedures in place that could lead to removing the drug from the market.</w:t>
      </w:r>
    </w:p>
  </w:footnote>
  <w:footnote w:id="18">
    <w:p w14:paraId="3D44710B" w14:textId="77777777" w:rsidR="008125B3" w:rsidRDefault="008125B3" w:rsidP="00A409DB">
      <w:pPr>
        <w:pStyle w:val="FootnoteText"/>
      </w:pPr>
      <w:r>
        <w:rPr>
          <w:rStyle w:val="FootnoteReference"/>
        </w:rPr>
        <w:footnoteRef/>
      </w:r>
      <w:r>
        <w:t xml:space="preserve"> </w:t>
      </w:r>
      <w:r w:rsidRPr="00281B1A">
        <w:rPr>
          <w:b/>
        </w:rPr>
        <w:t>Cytochrome P450</w:t>
      </w:r>
      <w:r>
        <w:t xml:space="preserve"> (</w:t>
      </w:r>
      <w:r w:rsidRPr="00281B1A">
        <w:rPr>
          <w:b/>
        </w:rPr>
        <w:t>CYP</w:t>
      </w:r>
      <w:r>
        <w:t xml:space="preserve">) </w:t>
      </w:r>
      <w:r w:rsidRPr="00281B1A">
        <w:rPr>
          <w:b/>
        </w:rPr>
        <w:t>enzymes</w:t>
      </w:r>
      <w:r>
        <w:t xml:space="preserve">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3DC2D5C8" w14:textId="610CA5E0" w:rsidR="008125B3" w:rsidRDefault="008125B3" w:rsidP="00A409DB">
      <w:pPr>
        <w:pStyle w:val="FootnoteText"/>
      </w:pPr>
      <w:r>
        <w:t>Many drugs may increase or decrease the activity of various CYP isozymes either by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19">
    <w:p w14:paraId="09158CAA" w14:textId="77777777" w:rsidR="008125B3" w:rsidRDefault="008125B3" w:rsidP="00F534DD">
      <w:pPr>
        <w:pStyle w:val="FootnoteText"/>
      </w:pPr>
      <w:r>
        <w:rPr>
          <w:rStyle w:val="FootnoteReference"/>
        </w:rPr>
        <w:footnoteRef/>
      </w:r>
      <w:r>
        <w:t xml:space="preserve"> </w:t>
      </w:r>
      <w:r w:rsidRPr="007624D1">
        <w:t xml:space="preserve">The </w:t>
      </w:r>
      <w:r w:rsidRPr="00415E3D">
        <w:rPr>
          <w:b/>
          <w:bCs/>
        </w:rPr>
        <w:t>QT</w:t>
      </w:r>
      <w:r w:rsidRPr="007624D1">
        <w:t xml:space="preserve"> interval is the time from the start of the QRS wave complex to the end of the corresponding T wave. It approximates to the time taken for ventricular depolarisation and repolarisation, that is to say, the period of ventricular systole from ventricular isovolumetric contraction to isovolumetric relaxation.</w:t>
      </w:r>
      <w:r>
        <w:t xml:space="preserve"> The corrected QT interval (</w:t>
      </w:r>
      <w:r w:rsidRPr="00415E3D">
        <w:rPr>
          <w:b/>
          <w:bCs/>
        </w:rPr>
        <w:t>QTc</w:t>
      </w:r>
      <w:r>
        <w:t>) estimates the QT interval at a standard heart rate. This allows comparison of QT values over time at different heart rates and improves detection of patients at increased risk of arrhythmias.</w:t>
      </w:r>
    </w:p>
    <w:p w14:paraId="4DBF0341" w14:textId="05B197B4" w:rsidR="008125B3" w:rsidRDefault="008125B3" w:rsidP="00F534DD">
      <w:pPr>
        <w:pStyle w:val="FootnoteText"/>
      </w:pPr>
      <w:r>
        <w:t xml:space="preserve">The </w:t>
      </w:r>
      <w:proofErr w:type="spellStart"/>
      <w:r w:rsidRPr="00415E3D">
        <w:rPr>
          <w:b/>
          <w:bCs/>
        </w:rPr>
        <w:t>QTcF</w:t>
      </w:r>
      <w:proofErr w:type="spellEnd"/>
      <w:r>
        <w:t xml:space="preserve"> is the QT interval corrected for heart rate according to Fridericia’s formula.</w:t>
      </w:r>
    </w:p>
  </w:footnote>
  <w:footnote w:id="20">
    <w:p w14:paraId="78B7A373" w14:textId="6E59C979" w:rsidR="008125B3" w:rsidRDefault="008125B3">
      <w:pPr>
        <w:pStyle w:val="FootnoteText"/>
      </w:pPr>
      <w:r>
        <w:rPr>
          <w:rStyle w:val="FootnoteReference"/>
        </w:rPr>
        <w:footnoteRef/>
      </w:r>
      <w:r>
        <w:t xml:space="preserve"> </w:t>
      </w:r>
      <w:r w:rsidRPr="00E35082">
        <w:t xml:space="preserve">Drugs which have been taken by only a limited number of pregnant women and women of childbearing age, without an increase in the frequency of malformation or other direct or indirect harmful effects on the human </w:t>
      </w:r>
      <w:proofErr w:type="spellStart"/>
      <w:r w:rsidRPr="00E35082">
        <w:t>fetus</w:t>
      </w:r>
      <w:proofErr w:type="spellEnd"/>
      <w:r w:rsidRPr="00E35082">
        <w:t xml:space="preserve"> having been observed. Studies in animals have shown evidence of an increased occurrence of fetal damage, the significance of which is considered uncertain in humans.</w:t>
      </w:r>
    </w:p>
  </w:footnote>
  <w:footnote w:id="21">
    <w:p w14:paraId="1AC94717" w14:textId="239E4A7E" w:rsidR="008125B3" w:rsidRDefault="008125B3">
      <w:pPr>
        <w:pStyle w:val="FootnoteText"/>
      </w:pPr>
      <w:r>
        <w:rPr>
          <w:rStyle w:val="FootnoteReference"/>
        </w:rPr>
        <w:footnoteRef/>
      </w:r>
      <w:r>
        <w:t xml:space="preserve"> </w:t>
      </w:r>
      <w:r w:rsidRPr="00281B1A">
        <w:rPr>
          <w:b/>
        </w:rPr>
        <w:t>Pregnancy Category D</w:t>
      </w:r>
      <w:r>
        <w:t xml:space="preserve">: </w:t>
      </w:r>
      <w:r w:rsidRPr="00E35082">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22">
    <w:p w14:paraId="2F7B0BD6" w14:textId="407F7DE9" w:rsidR="008125B3" w:rsidRDefault="008125B3">
      <w:pPr>
        <w:pStyle w:val="FootnoteText"/>
      </w:pPr>
      <w:r>
        <w:rPr>
          <w:rStyle w:val="FootnoteReference"/>
        </w:rPr>
        <w:footnoteRef/>
      </w:r>
      <w:r>
        <w:t xml:space="preserve"> Midazolam was first registered in Australia on 23 August 1991. ARTG number: 13726</w:t>
      </w:r>
    </w:p>
  </w:footnote>
  <w:footnote w:id="23">
    <w:p w14:paraId="1AC40734" w14:textId="719CDF4B" w:rsidR="008125B3" w:rsidRDefault="008125B3">
      <w:pPr>
        <w:pStyle w:val="FootnoteText"/>
      </w:pPr>
      <w:r>
        <w:rPr>
          <w:rStyle w:val="FootnoteReference"/>
        </w:rPr>
        <w:footnoteRef/>
      </w:r>
      <w:r>
        <w:t xml:space="preserve"> Warfarin was first registered in Australia on 13 August 1991. ARTG number: 12511</w:t>
      </w:r>
    </w:p>
  </w:footnote>
  <w:footnote w:id="24">
    <w:p w14:paraId="30D8A145" w14:textId="3D31E869" w:rsidR="008125B3" w:rsidRDefault="008125B3" w:rsidP="00A5429F">
      <w:pPr>
        <w:pStyle w:val="FootnoteText"/>
      </w:pPr>
      <w:r>
        <w:rPr>
          <w:rStyle w:val="FootnoteReference"/>
        </w:rPr>
        <w:footnoteRef/>
      </w:r>
      <w:r>
        <w:t xml:space="preserve"> Itraconazole was first registered in Australia on 2 February 1994. ARTG number: 47012</w:t>
      </w:r>
    </w:p>
  </w:footnote>
  <w:footnote w:id="25">
    <w:p w14:paraId="6B9101DE" w14:textId="16A902DF" w:rsidR="008125B3" w:rsidRDefault="008125B3">
      <w:pPr>
        <w:pStyle w:val="FootnoteText"/>
      </w:pPr>
      <w:r>
        <w:rPr>
          <w:rStyle w:val="FootnoteReference"/>
        </w:rPr>
        <w:footnoteRef/>
      </w:r>
      <w:r>
        <w:t xml:space="preserve"> Clarithromycin was first registered in Australia on 13 June 1995. ARTG number: 52473</w:t>
      </w:r>
    </w:p>
  </w:footnote>
  <w:footnote w:id="26">
    <w:p w14:paraId="4266A2D6" w14:textId="2B1671DA" w:rsidR="008125B3" w:rsidRDefault="008125B3">
      <w:pPr>
        <w:pStyle w:val="FootnoteText"/>
      </w:pPr>
      <w:r>
        <w:rPr>
          <w:rStyle w:val="FootnoteReference"/>
        </w:rPr>
        <w:footnoteRef/>
      </w:r>
      <w:r>
        <w:t xml:space="preserve"> Rifampicin was first registered in Australia on 8 July 1991. ARTG number 10113</w:t>
      </w:r>
    </w:p>
  </w:footnote>
  <w:footnote w:id="27">
    <w:p w14:paraId="104DC823" w14:textId="509E6A8E" w:rsidR="008125B3" w:rsidRPr="00281B1A" w:rsidRDefault="008125B3">
      <w:pPr>
        <w:pStyle w:val="FootnoteText"/>
        <w:rPr>
          <w:lang w:val="en-GB"/>
        </w:rPr>
      </w:pPr>
      <w:r>
        <w:rPr>
          <w:rStyle w:val="FootnoteReference"/>
        </w:rPr>
        <w:footnoteRef/>
      </w:r>
      <w:r>
        <w:t xml:space="preserve"> </w:t>
      </w:r>
      <w:r w:rsidRPr="00737086">
        <w:t>AUC</w:t>
      </w:r>
      <w:r w:rsidRPr="00737086">
        <w:rPr>
          <w:vertAlign w:val="subscript"/>
        </w:rPr>
        <w:t>0-last</w:t>
      </w:r>
      <w:r>
        <w:rPr>
          <w:lang w:val="en-GB"/>
        </w:rPr>
        <w:t xml:space="preserve"> = area under the concentration-time curve from time zero to the last measurable concentration.</w:t>
      </w:r>
    </w:p>
  </w:footnote>
  <w:footnote w:id="28">
    <w:p w14:paraId="55B83C29" w14:textId="0F29208C" w:rsidR="008125B3" w:rsidRDefault="008125B3">
      <w:pPr>
        <w:pStyle w:val="FootnoteText"/>
      </w:pPr>
      <w:r>
        <w:rPr>
          <w:rStyle w:val="FootnoteReference"/>
        </w:rPr>
        <w:footnoteRef/>
      </w:r>
      <w:r>
        <w:t xml:space="preserve"> Grades are b</w:t>
      </w:r>
      <w:r w:rsidRPr="00D0398A">
        <w:t>ased on National Cancer Institute Common Terminology Criteria for Adverse Events (NCI CTCAE) v 4.03.</w:t>
      </w:r>
      <w:r>
        <w:t xml:space="preserve"> available from </w:t>
      </w:r>
      <w:hyperlink r:id="rId1" w:history="1">
        <w:r>
          <w:rPr>
            <w:rStyle w:val="Hyperlink"/>
          </w:rPr>
          <w:t>Common Terminology Criteria for Adverse Events (CTCAE) (nih.gov)</w:t>
        </w:r>
      </w:hyperlink>
    </w:p>
  </w:footnote>
  <w:footnote w:id="29">
    <w:p w14:paraId="727149E5" w14:textId="302DEC16" w:rsidR="008125B3" w:rsidRPr="00281B1A" w:rsidRDefault="008125B3">
      <w:pPr>
        <w:pStyle w:val="FootnoteText"/>
        <w:rPr>
          <w:lang w:val="en-GB"/>
        </w:rPr>
      </w:pPr>
      <w:r>
        <w:rPr>
          <w:rStyle w:val="FootnoteReference"/>
        </w:rPr>
        <w:footnoteRef/>
      </w:r>
      <w:r>
        <w:t xml:space="preserve"> Total daily dose of 80 mg as either 40 mg taken twice a day, </w:t>
      </w:r>
      <w:r w:rsidRPr="00281B1A">
        <w:rPr>
          <w:i/>
        </w:rPr>
        <w:t>or</w:t>
      </w:r>
      <w:r>
        <w:t xml:space="preserve"> 80 mg taken once a day</w:t>
      </w:r>
      <w:r>
        <w:rPr>
          <w:lang w:val="en-GB"/>
        </w:rPr>
        <w:t>.</w:t>
      </w:r>
    </w:p>
  </w:footnote>
  <w:footnote w:id="30">
    <w:p w14:paraId="27DDB7B1" w14:textId="14434859" w:rsidR="008125B3" w:rsidRDefault="008125B3">
      <w:pPr>
        <w:pStyle w:val="FootnoteText"/>
      </w:pPr>
      <w:r>
        <w:rPr>
          <w:rStyle w:val="FootnoteReference"/>
        </w:rPr>
        <w:footnoteRef/>
      </w:r>
      <w:r>
        <w:t xml:space="preserve"> The </w:t>
      </w:r>
      <w:r w:rsidRPr="00BF508A">
        <w:t xml:space="preserve">Modified </w:t>
      </w:r>
      <w:r w:rsidRPr="00281B1A">
        <w:rPr>
          <w:b/>
        </w:rPr>
        <w:t>Child-Pugh classification of the severity of liver disease</w:t>
      </w:r>
      <w:r w:rsidRPr="00BF508A">
        <w:t xml:space="preserve"> </w:t>
      </w:r>
      <w:r>
        <w:t>is based on</w:t>
      </w:r>
      <w:r w:rsidRPr="00BF508A">
        <w:t xml:space="preserve"> the degree of ascites, the serum concentrations of bilirubin and albumin, the prothrombin time</w:t>
      </w:r>
      <w:r>
        <w:t xml:space="preserve"> (or International normalised ratio (INR)</w:t>
      </w:r>
      <w:r w:rsidRPr="00BF508A">
        <w:t>, an</w:t>
      </w:r>
      <w:r>
        <w:t>d the degree of encephalopathy. Each of the five variables is assigned 1 to 3 points</w:t>
      </w:r>
      <w:r w:rsidR="00221135">
        <w:t xml:space="preserve"> depending on the criteria for each. W</w:t>
      </w:r>
      <w:r>
        <w:t xml:space="preserve">hen added together, </w:t>
      </w:r>
      <w:r w:rsidR="00221135">
        <w:t xml:space="preserve">this </w:t>
      </w:r>
      <w:r>
        <w:t>produce</w:t>
      </w:r>
      <w:r w:rsidR="00221135">
        <w:t>s</w:t>
      </w:r>
      <w:r>
        <w:t xml:space="preserve"> the total Child-Pugh score. The scoring of the five variables is as follows:</w:t>
      </w:r>
    </w:p>
    <w:p w14:paraId="3AECA27F" w14:textId="11823A8A" w:rsidR="008125B3" w:rsidRPr="00281B1A" w:rsidRDefault="008125B3">
      <w:pPr>
        <w:pStyle w:val="FootnoteText"/>
        <w:rPr>
          <w:lang w:val="en-GB"/>
        </w:rPr>
      </w:pPr>
      <w:r>
        <w:t>A total Child</w:t>
      </w:r>
      <w:r w:rsidRPr="00BF508A">
        <w:t xml:space="preserve">-Pugh score of 5 to 6 is considered Child-Pugh class A (well-compensated disease), 7 to 9 is class B (significant functional compromise), and 10 to 15 is class C (decompensated disease). </w:t>
      </w:r>
      <w:r>
        <w:t>Interpretation varies but t</w:t>
      </w:r>
      <w:r w:rsidRPr="00BF508A">
        <w:t>hese classes correlate with one- and two-year patient survival: class A: 100 and 85%; class B: 80 and 60%; and class C: 45 and 35%.</w:t>
      </w:r>
    </w:p>
  </w:footnote>
  <w:footnote w:id="31">
    <w:p w14:paraId="27D6276F" w14:textId="0CAAE02D" w:rsidR="008125B3" w:rsidRDefault="008125B3">
      <w:pPr>
        <w:pStyle w:val="FootnoteText"/>
      </w:pPr>
      <w:r>
        <w:rPr>
          <w:rStyle w:val="FootnoteReference"/>
        </w:rPr>
        <w:footnoteRef/>
      </w:r>
      <w:r>
        <w:t xml:space="preserve"> </w:t>
      </w:r>
      <w:r w:rsidRPr="00281B1A">
        <w:rPr>
          <w:b/>
        </w:rPr>
        <w:t>National Cancer Institute Organ Dysfunction Working Group Criteria for Hepatic Dysfunction</w:t>
      </w:r>
    </w:p>
    <w:p w14:paraId="2D70A133" w14:textId="2CAEBC6F" w:rsidR="008125B3" w:rsidRDefault="008125B3">
      <w:pPr>
        <w:pStyle w:val="FootnoteText"/>
      </w:pPr>
      <w:r>
        <w:t>has four hepatic function categories of normal and mild, moderate or severe dysfunction, based on a combination of total bilirubin and aspartate transaminase (AST) as markers. The criteria are as follows:</w:t>
      </w:r>
    </w:p>
    <w:p w14:paraId="37381855" w14:textId="32FAD5AA" w:rsidR="008125B3" w:rsidRDefault="008125B3">
      <w:pPr>
        <w:pStyle w:val="FootnoteText"/>
      </w:pPr>
      <w:r>
        <w:t xml:space="preserve">- Normal function: total bilirubin </w:t>
      </w:r>
      <w:r w:rsidRPr="00281B1A">
        <w:rPr>
          <w:i/>
        </w:rPr>
        <w:t>and</w:t>
      </w:r>
      <w:r>
        <w:t xml:space="preserve"> AST ≤ the upper limit of normal (ULN);</w:t>
      </w:r>
    </w:p>
    <w:p w14:paraId="512602A6" w14:textId="4C4787E2" w:rsidR="008125B3" w:rsidRDefault="008125B3">
      <w:pPr>
        <w:pStyle w:val="FootnoteText"/>
      </w:pPr>
      <w:r>
        <w:t xml:space="preserve">- Mild dysfunction Group 1: total bilirubin ≤ ULN </w:t>
      </w:r>
      <w:r w:rsidRPr="00281B1A">
        <w:rPr>
          <w:i/>
        </w:rPr>
        <w:t>and</w:t>
      </w:r>
      <w:r>
        <w:t xml:space="preserve"> AST &gt; ULN;</w:t>
      </w:r>
    </w:p>
    <w:p w14:paraId="1266D8DF" w14:textId="182F0381" w:rsidR="008125B3" w:rsidRDefault="008125B3">
      <w:pPr>
        <w:pStyle w:val="FootnoteText"/>
      </w:pPr>
      <w:r>
        <w:t>- Mild dysfunction Group 2: total bilirubin 1.0 to 1.5 x ULN (with or without raised AST)</w:t>
      </w:r>
    </w:p>
    <w:p w14:paraId="553E42E0" w14:textId="47648515" w:rsidR="008125B3" w:rsidRDefault="008125B3">
      <w:pPr>
        <w:pStyle w:val="FootnoteText"/>
      </w:pPr>
      <w:r>
        <w:t>- Moderate dysfunction: total bilirubin &gt; 1,5 to 3.0 x ULN (with or without raised AST)</w:t>
      </w:r>
    </w:p>
    <w:p w14:paraId="7B3DAD9E" w14:textId="655B70DE" w:rsidR="008125B3" w:rsidRPr="00281B1A" w:rsidRDefault="008125B3">
      <w:pPr>
        <w:pStyle w:val="FootnoteText"/>
        <w:rPr>
          <w:lang w:val="en-GB"/>
        </w:rPr>
      </w:pPr>
      <w:r>
        <w:t>- Severe dysfunction: total bilirubin &gt; 3.0 x ULN (with or without raised AST).</w:t>
      </w:r>
    </w:p>
  </w:footnote>
  <w:footnote w:id="32">
    <w:p w14:paraId="6887D8CE" w14:textId="75633E23" w:rsidR="008125B3" w:rsidRPr="00184345" w:rsidRDefault="008125B3">
      <w:pPr>
        <w:pStyle w:val="FootnoteText"/>
      </w:pPr>
      <w:r>
        <w:rPr>
          <w:rStyle w:val="FootnoteReference"/>
        </w:rPr>
        <w:footnoteRef/>
      </w:r>
      <w:r>
        <w:t xml:space="preserve"> Chronic myeloid leukaemia: ESMO Clinical Practice Guidelines for diagnosis, treatment and follow-up, </w:t>
      </w:r>
      <w:r>
        <w:rPr>
          <w:i/>
          <w:iCs/>
        </w:rPr>
        <w:t xml:space="preserve">Annals of Oncology, </w:t>
      </w:r>
      <w:r>
        <w:t>2017; 28 (supplement 4): iv41-iv51.</w:t>
      </w:r>
    </w:p>
  </w:footnote>
  <w:footnote w:id="33">
    <w:p w14:paraId="5FC31828" w14:textId="5623CF39" w:rsidR="008125B3" w:rsidRDefault="008125B3" w:rsidP="00884CB7">
      <w:pPr>
        <w:pStyle w:val="FootnoteText"/>
      </w:pPr>
      <w:r>
        <w:rPr>
          <w:rStyle w:val="FootnoteReference"/>
        </w:rPr>
        <w:footnoteRef/>
      </w:r>
      <w:r>
        <w:t xml:space="preserve"> </w:t>
      </w:r>
      <w:proofErr w:type="spellStart"/>
      <w:r w:rsidRPr="00AB3FE6">
        <w:t>Soverini</w:t>
      </w:r>
      <w:proofErr w:type="spellEnd"/>
      <w:r w:rsidRPr="00AB3FE6">
        <w:t xml:space="preserve"> S, De </w:t>
      </w:r>
      <w:proofErr w:type="spellStart"/>
      <w:r w:rsidRPr="00AB3FE6">
        <w:t>Benedittis</w:t>
      </w:r>
      <w:proofErr w:type="spellEnd"/>
      <w:r w:rsidRPr="00AB3FE6">
        <w:t xml:space="preserve"> C, Mancini M, Martinelli G Best Practices in Chronic Myeloid </w:t>
      </w:r>
      <w:r>
        <w:t>Leukaemia</w:t>
      </w:r>
      <w:r w:rsidRPr="00AB3FE6">
        <w:t xml:space="preserve"> Monitoring and Management. Oncologist; 21(5)626-33.</w:t>
      </w:r>
    </w:p>
  </w:footnote>
  <w:footnote w:id="34">
    <w:p w14:paraId="4DD4F1B7" w14:textId="6C39FA02" w:rsidR="008125B3" w:rsidRDefault="008125B3">
      <w:pPr>
        <w:pStyle w:val="FootnoteText"/>
      </w:pPr>
      <w:r>
        <w:rPr>
          <w:rStyle w:val="FootnoteReference"/>
        </w:rPr>
        <w:footnoteRef/>
      </w:r>
      <w:r>
        <w:t xml:space="preserve"> US Food and Drug Administration. Hematologic Malignancies: Regulatory Considerations for Use of Minimal Residual Disease in Development of Drug and Biological Products for Treatment, Guidance for Industry. January 2020. Available from </w:t>
      </w:r>
      <w:hyperlink r:id="rId2" w:history="1">
        <w:r>
          <w:rPr>
            <w:rStyle w:val="Hyperlink"/>
          </w:rPr>
          <w:t>Hematologic Malignancies: Regulatory Considerations for Use of Minimal Residual Disease in Development of Drug and Biological Products for Treatment Guidance for Industry (fda.gov)</w:t>
        </w:r>
      </w:hyperlink>
    </w:p>
  </w:footnote>
  <w:footnote w:id="35">
    <w:p w14:paraId="1037FEB4" w14:textId="77777777" w:rsidR="008125B3" w:rsidRDefault="008125B3" w:rsidP="00260D38">
      <w:pPr>
        <w:pStyle w:val="FootnoteText"/>
      </w:pPr>
      <w:r>
        <w:rPr>
          <w:rStyle w:val="FootnoteReference"/>
        </w:rPr>
        <w:footnoteRef/>
      </w:r>
      <w:r>
        <w:t xml:space="preserve"> </w:t>
      </w:r>
      <w:proofErr w:type="spellStart"/>
      <w:r>
        <w:t>Hehlmann</w:t>
      </w:r>
      <w:proofErr w:type="spellEnd"/>
      <w:r>
        <w:t xml:space="preserve"> R. et al. </w:t>
      </w:r>
      <w:r w:rsidRPr="003C4811">
        <w:t>CML study IV and impact of non-CML determinants</w:t>
      </w:r>
      <w:r>
        <w:t>. Leukaemia</w:t>
      </w:r>
      <w:r w:rsidRPr="003C4811">
        <w:t xml:space="preserve"> (2017) 31, 2398–2406;</w:t>
      </w:r>
    </w:p>
  </w:footnote>
  <w:footnote w:id="36">
    <w:p w14:paraId="38C3C97B" w14:textId="77777777" w:rsidR="008125B3" w:rsidRDefault="008125B3" w:rsidP="00884CB7">
      <w:pPr>
        <w:pStyle w:val="FootnoteText"/>
      </w:pPr>
      <w:r>
        <w:rPr>
          <w:rStyle w:val="FootnoteReference"/>
        </w:rPr>
        <w:footnoteRef/>
      </w:r>
      <w:r>
        <w:t xml:space="preserve"> </w:t>
      </w:r>
      <w:proofErr w:type="spellStart"/>
      <w:r>
        <w:t>Hehlmann</w:t>
      </w:r>
      <w:proofErr w:type="spellEnd"/>
      <w:r>
        <w:t xml:space="preserve"> R, et al. Deep Molecular Response Is Reached by the Majority of Patients Treated With Imatinib, Predicts Survival, and Is Achieved More Quickly by Optimized High-Dose Imatinib: Results From the Randomized CML-Study (2014) IV. </w:t>
      </w:r>
      <w:r w:rsidRPr="00AB5C22">
        <w:t>J Clin Oncol 32:415-423</w:t>
      </w:r>
      <w:r>
        <w:t>.</w:t>
      </w:r>
    </w:p>
  </w:footnote>
  <w:footnote w:id="37">
    <w:p w14:paraId="47F7D34B" w14:textId="47DF0E3D" w:rsidR="008125B3" w:rsidRDefault="008125B3" w:rsidP="00E334B2">
      <w:pPr>
        <w:pStyle w:val="FootnoteText"/>
      </w:pPr>
      <w:r>
        <w:rPr>
          <w:rStyle w:val="FootnoteReference"/>
        </w:rPr>
        <w:footnoteRef/>
      </w:r>
      <w:r>
        <w:t xml:space="preserve"> </w:t>
      </w:r>
      <w:r w:rsidRPr="00281B1A">
        <w:rPr>
          <w:b/>
        </w:rPr>
        <w:t>Polymorphic ventricular tachycardia</w:t>
      </w:r>
      <w:r>
        <w:t xml:space="preserve"> is a type of ventricular tachycardia, or an abnormally fast abnormal heart rhythm originating in the ventricles of the heart. On electrocardiogram (ECG), the QRS-complexes (which corresponds to the depolarisation of the right and left ventricles of the heart and contraction of the </w:t>
      </w:r>
      <w:r w:rsidR="00221135">
        <w:t>cardiac</w:t>
      </w:r>
      <w:r>
        <w:t xml:space="preserve"> ventricular muscles) are irregular in amplitude, axis, and duration.</w:t>
      </w:r>
    </w:p>
    <w:p w14:paraId="0971ADAE" w14:textId="49D0A34D" w:rsidR="008125B3" w:rsidRDefault="008125B3" w:rsidP="00E334B2">
      <w:pPr>
        <w:pStyle w:val="FootnoteText"/>
      </w:pPr>
      <w:r w:rsidRPr="00281B1A">
        <w:rPr>
          <w:b/>
        </w:rPr>
        <w:t>Torsade de pointes</w:t>
      </w:r>
      <w:r>
        <w:t xml:space="preserve"> is a specific form of polymorphic ventricular tachycardia occurring in the context of QT</w:t>
      </w:r>
      <w:r>
        <w:noBreakHyphen/>
        <w:t xml:space="preserve">interval prolongation. It is named from the French meaning ‘twisting on points’ because the QRS-complexes appear to twist on around the baseline on ECG. Torsade de pointes is often short in duration and self-terminating, however can be associated with haemodynamic instability and collapse. Torsade de pointes may also degenerate into ventricular fibrillation, a type of cardiac arrest rhythm </w:t>
      </w:r>
      <w:r w:rsidR="00221135">
        <w:t>with a resulting</w:t>
      </w:r>
      <w:r>
        <w:t xml:space="preserve"> loss </w:t>
      </w:r>
      <w:r w:rsidR="00221135">
        <w:t>of</w:t>
      </w:r>
      <w:r>
        <w:t xml:space="preserve"> cardiac output from the heart, </w:t>
      </w:r>
    </w:p>
    <w:p w14:paraId="45466410" w14:textId="2098C0F0" w:rsidR="008125B3" w:rsidRPr="00281B1A" w:rsidRDefault="008125B3" w:rsidP="00E334B2">
      <w:pPr>
        <w:pStyle w:val="FootnoteText"/>
        <w:rPr>
          <w:lang w:val="en-GB"/>
        </w:rPr>
      </w:pPr>
      <w:r>
        <w:t>The underlying QT prolongation behind torsade de pointes may occur due to congenital or acquired causes, including some drugs that prolong the QT interval. Underlying factors may combine in to produce torsade de pointes in susceptible individuals, for example the use of drug that may prolong the QT interval in a patient with congenital long QT syndrome</w:t>
      </w:r>
      <w:r w:rsidR="00221135">
        <w:t>.</w:t>
      </w:r>
    </w:p>
  </w:footnote>
  <w:footnote w:id="38">
    <w:p w14:paraId="68D84E31" w14:textId="0340673D" w:rsidR="008125B3" w:rsidRPr="009B2D8A" w:rsidRDefault="008125B3" w:rsidP="009B2D8A">
      <w:pPr>
        <w:pStyle w:val="FootnoteText"/>
      </w:pPr>
      <w:r>
        <w:rPr>
          <w:rStyle w:val="FootnoteReference"/>
        </w:rPr>
        <w:footnoteRef/>
      </w:r>
      <w:r>
        <w:t xml:space="preserve"> Hughes, T.P. et al. Asciminib in Chronic Myeloid Leukaemia after ABL Kinase Inhibitor Failure, </w:t>
      </w:r>
      <w:r>
        <w:rPr>
          <w:i/>
          <w:iCs/>
        </w:rPr>
        <w:t>New England Journal of Medicine</w:t>
      </w:r>
      <w:r>
        <w:t>, 2019; 381: 2315-2326.</w:t>
      </w:r>
    </w:p>
  </w:footnote>
  <w:footnote w:id="39">
    <w:p w14:paraId="21481E31" w14:textId="09E9BC9B" w:rsidR="008125B3" w:rsidRPr="00AE6138" w:rsidRDefault="008125B3">
      <w:pPr>
        <w:pStyle w:val="FootnoteText"/>
      </w:pPr>
      <w:r>
        <w:rPr>
          <w:rStyle w:val="FootnoteReference"/>
        </w:rPr>
        <w:footnoteRef/>
      </w:r>
      <w:r>
        <w:t xml:space="preserve"> </w:t>
      </w:r>
      <w:proofErr w:type="spellStart"/>
      <w:r>
        <w:t>Baccarani</w:t>
      </w:r>
      <w:proofErr w:type="spellEnd"/>
      <w:r>
        <w:t xml:space="preserve">, M. et al. European </w:t>
      </w:r>
      <w:proofErr w:type="spellStart"/>
      <w:r>
        <w:t>LeukemiaNet</w:t>
      </w:r>
      <w:proofErr w:type="spellEnd"/>
      <w:r>
        <w:t xml:space="preserve"> recommendations for the management of chronic myeloid leukemia: 2013, </w:t>
      </w:r>
      <w:r>
        <w:rPr>
          <w:i/>
          <w:iCs/>
        </w:rPr>
        <w:t>Blood</w:t>
      </w:r>
      <w:r>
        <w:t>, 2013; 122 (6), 872-884.</w:t>
      </w:r>
    </w:p>
  </w:footnote>
  <w:footnote w:id="40">
    <w:p w14:paraId="52BC14D9" w14:textId="4F148E4B" w:rsidR="008125B3" w:rsidRDefault="008125B3" w:rsidP="00A409DB">
      <w:pPr>
        <w:pStyle w:val="FootnoteText"/>
      </w:pPr>
      <w:r>
        <w:rPr>
          <w:rStyle w:val="FootnoteReference"/>
        </w:rPr>
        <w:footnoteRef/>
      </w:r>
      <w:r>
        <w:t xml:space="preserve"> </w:t>
      </w:r>
      <w:r w:rsidRPr="00281B1A">
        <w:rPr>
          <w:b/>
        </w:rPr>
        <w:t>Eastern Cooperative Oncology Group Performance Status</w:t>
      </w:r>
      <w:r>
        <w:t xml:space="preserve"> (</w:t>
      </w:r>
      <w:r w:rsidRPr="00281B1A">
        <w:rPr>
          <w:b/>
        </w:rPr>
        <w:t>ECOG PS</w:t>
      </w:r>
      <w:r>
        <w:t xml:space="preserve">): The ECOG has developed criteria used by doctors and researchers to assess how a patient's disease is progressing, assess how the disease affects the daily living abilities of the patient, and determine appropriate treatment and prognosis. The following are used: </w:t>
      </w:r>
    </w:p>
    <w:p w14:paraId="14789962" w14:textId="77777777" w:rsidR="008125B3" w:rsidRDefault="008125B3" w:rsidP="00A409DB">
      <w:pPr>
        <w:pStyle w:val="FootnoteText"/>
      </w:pPr>
      <w:r>
        <w:t>0 - Fully active, able to carry on all pre-disease performance without restriction</w:t>
      </w:r>
    </w:p>
    <w:p w14:paraId="71A10231" w14:textId="77777777" w:rsidR="008125B3" w:rsidRDefault="008125B3" w:rsidP="00A409DB">
      <w:pPr>
        <w:pStyle w:val="FootnoteText"/>
      </w:pPr>
      <w:r>
        <w:t>1- Restricted in physically strenuous activity but ambulatory and able to carry out work of a light or sedentary nature, for example, light house work, office work</w:t>
      </w:r>
    </w:p>
    <w:p w14:paraId="48DDF77A" w14:textId="77777777" w:rsidR="008125B3" w:rsidRDefault="008125B3" w:rsidP="00A409DB">
      <w:pPr>
        <w:pStyle w:val="FootnoteText"/>
      </w:pPr>
      <w:r>
        <w:t>2 - Ambulatory and capable of all selfcare but unable to carry out any work activities. Up and about more than 50% of waking hours</w:t>
      </w:r>
    </w:p>
    <w:p w14:paraId="066BEFE5" w14:textId="77777777" w:rsidR="008125B3" w:rsidRDefault="008125B3" w:rsidP="00A409DB">
      <w:pPr>
        <w:pStyle w:val="FootnoteText"/>
      </w:pPr>
      <w:r>
        <w:t>3 - Capable of only limited selfcare, confined to bed or chair more than 50% of waking hours</w:t>
      </w:r>
    </w:p>
    <w:p w14:paraId="75DEDF3B" w14:textId="77777777" w:rsidR="008125B3" w:rsidRDefault="008125B3" w:rsidP="00A409DB">
      <w:pPr>
        <w:pStyle w:val="FootnoteText"/>
      </w:pPr>
      <w:r>
        <w:t>4 - Completely disabled. Cannot carry on any selfcare. Totally confined to bed or chair</w:t>
      </w:r>
    </w:p>
    <w:p w14:paraId="3E799D3A" w14:textId="2861E82B" w:rsidR="008125B3" w:rsidRDefault="008125B3" w:rsidP="00A409DB">
      <w:pPr>
        <w:pStyle w:val="FootnoteText"/>
      </w:pPr>
      <w:r>
        <w:t>5 – Dead</w:t>
      </w:r>
    </w:p>
  </w:footnote>
  <w:footnote w:id="41">
    <w:p w14:paraId="2167322C" w14:textId="69072211" w:rsidR="008125B3" w:rsidRPr="00DF7041" w:rsidRDefault="008125B3">
      <w:pPr>
        <w:pStyle w:val="FootnoteText"/>
      </w:pPr>
      <w:r>
        <w:rPr>
          <w:rStyle w:val="FootnoteReference"/>
        </w:rPr>
        <w:footnoteRef/>
      </w:r>
      <w:r>
        <w:t xml:space="preserve"> Khoury, H.J. et al. Bosutinib is active in chronic phase chronic myeloid leukaemia after imatinib and </w:t>
      </w:r>
      <w:proofErr w:type="spellStart"/>
      <w:r>
        <w:t>dasatinib</w:t>
      </w:r>
      <w:proofErr w:type="spellEnd"/>
      <w:r>
        <w:t xml:space="preserve"> and/or nilotinib therapy failure, </w:t>
      </w:r>
      <w:r>
        <w:rPr>
          <w:i/>
          <w:iCs/>
        </w:rPr>
        <w:t>Blood</w:t>
      </w:r>
      <w:r>
        <w:t>, 2012; 119 (16): 3403-3412.</w:t>
      </w:r>
    </w:p>
  </w:footnote>
  <w:footnote w:id="42">
    <w:p w14:paraId="47759D5E" w14:textId="1363323F" w:rsidR="008125B3" w:rsidRDefault="008125B3">
      <w:pPr>
        <w:pStyle w:val="FootnoteText"/>
      </w:pPr>
      <w:r>
        <w:rPr>
          <w:rStyle w:val="FootnoteReference"/>
        </w:rPr>
        <w:footnoteRef/>
      </w:r>
      <w:r>
        <w:t xml:space="preserve"> </w:t>
      </w:r>
      <w:r w:rsidRPr="00281B1A">
        <w:rPr>
          <w:b/>
        </w:rPr>
        <w:t>EQ-5D-5L</w:t>
      </w:r>
      <w:r>
        <w:t xml:space="preserve"> is a self-assessed, health related, quality of life questionnaire. The scale measures quality of life on a </w:t>
      </w:r>
      <w:proofErr w:type="gramStart"/>
      <w:r>
        <w:t>five component</w:t>
      </w:r>
      <w:proofErr w:type="gramEnd"/>
      <w:r>
        <w:t xml:space="preserve"> scale including mobility, self-care, usual activities, pain/discomfort and anxiety/depression.</w:t>
      </w:r>
    </w:p>
  </w:footnote>
  <w:footnote w:id="43">
    <w:p w14:paraId="13D5B421" w14:textId="3EF3BE24" w:rsidR="008125B3" w:rsidRDefault="008125B3">
      <w:pPr>
        <w:pStyle w:val="FootnoteText"/>
      </w:pPr>
      <w:r>
        <w:rPr>
          <w:rStyle w:val="FootnoteReference"/>
        </w:rPr>
        <w:footnoteRef/>
      </w:r>
      <w:r>
        <w:t xml:space="preserve"> Sponsor clarification: this patient was a hepatitis B virus carrier, but never had viral reactivation.</w:t>
      </w:r>
    </w:p>
  </w:footnote>
  <w:footnote w:id="44">
    <w:p w14:paraId="68291E4E" w14:textId="1261FFDF" w:rsidR="008125B3" w:rsidRPr="00322B59" w:rsidRDefault="008125B3" w:rsidP="00322B59">
      <w:pPr>
        <w:pStyle w:val="FootnoteText"/>
      </w:pPr>
      <w:r>
        <w:rPr>
          <w:rStyle w:val="FootnoteReference"/>
        </w:rPr>
        <w:footnoteRef/>
      </w:r>
      <w:r>
        <w:t xml:space="preserve"> United States (US) Food and Drug Administration (FDA) New Drug Application/Biologics License Application (NDA/BLA) Multi-disciplinary Review and Evaluation (NDA 215358) for Scemblix (asciminib), January 2020. Available at: </w:t>
      </w:r>
      <w:hyperlink r:id="rId3" w:history="1">
        <w:r>
          <w:rPr>
            <w:rStyle w:val="Hyperlink"/>
          </w:rPr>
          <w:t>215358Orig1s</w:t>
        </w:r>
        <w:proofErr w:type="gramStart"/>
        <w:r>
          <w:rPr>
            <w:rStyle w:val="Hyperlink"/>
          </w:rPr>
          <w:t>000,Orig2s000MultidisciplineR.pdf</w:t>
        </w:r>
        <w:proofErr w:type="gramEnd"/>
        <w:r>
          <w:rPr>
            <w:rStyle w:val="Hyperlink"/>
          </w:rPr>
          <w:t xml:space="preserve"> (fda.gov)</w:t>
        </w:r>
      </w:hyperlink>
    </w:p>
  </w:footnote>
  <w:footnote w:id="45">
    <w:p w14:paraId="4815102D" w14:textId="45348C45" w:rsidR="008125B3" w:rsidRPr="00281B1A" w:rsidRDefault="008125B3">
      <w:pPr>
        <w:pStyle w:val="FootnoteText"/>
        <w:rPr>
          <w:lang w:val="en-GB"/>
        </w:rPr>
      </w:pPr>
      <w:r>
        <w:rPr>
          <w:rStyle w:val="FootnoteReference"/>
        </w:rPr>
        <w:footnoteRef/>
      </w:r>
      <w:r>
        <w:t xml:space="preserve"> Chronic myeloid leukaemia: ESMO Clinical Practice Guidelines for diagnosis, treatment and follow-up, </w:t>
      </w:r>
      <w:r>
        <w:rPr>
          <w:i/>
          <w:iCs/>
        </w:rPr>
        <w:t xml:space="preserve">Annals of Oncology, </w:t>
      </w:r>
      <w:r>
        <w:t>2017; 28 (supplement 4): iv41-iv51.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59394" w14:textId="77777777" w:rsidR="008125B3" w:rsidRDefault="008125B3"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46A2F" w14:textId="77777777" w:rsidR="008125B3" w:rsidRDefault="008125B3">
    <w:pPr>
      <w:rPr>
        <w:noProof/>
        <w:lang w:eastAsia="en-AU"/>
      </w:rPr>
    </w:pPr>
    <w:r w:rsidRPr="00347824">
      <w:rPr>
        <w:noProof/>
        <w:color w:val="2B579A"/>
        <w:shd w:val="clear" w:color="auto" w:fill="E6E6E6"/>
        <w:lang w:val="en-GB" w:eastAsia="en-GB"/>
      </w:rPr>
      <w:drawing>
        <wp:anchor distT="0" distB="0" distL="114300" distR="114300" simplePos="0" relativeHeight="251658240" behindDoc="1" locked="0" layoutInCell="1" allowOverlap="1" wp14:anchorId="46E40B47" wp14:editId="35918C98">
          <wp:simplePos x="0" y="0"/>
          <wp:positionH relativeFrom="column">
            <wp:posOffset>-1089660</wp:posOffset>
          </wp:positionH>
          <wp:positionV relativeFrom="paragraph">
            <wp:posOffset>-585470</wp:posOffset>
          </wp:positionV>
          <wp:extent cx="7572375" cy="10706100"/>
          <wp:effectExtent l="19050" t="0" r="0" b="0"/>
          <wp:wrapNone/>
          <wp:docPr id="9" name="Picture 9"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EB936" w14:textId="77777777" w:rsidR="008125B3" w:rsidRDefault="008125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86CA1" w14:textId="77777777" w:rsidR="008125B3" w:rsidRDefault="008125B3">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1F13" w14:textId="77777777" w:rsidR="008125B3" w:rsidRDefault="008125B3">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BA9FE" w14:textId="77777777" w:rsidR="008125B3" w:rsidRDefault="008125B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0B5B9" w14:textId="77777777" w:rsidR="008125B3" w:rsidRDefault="008125B3"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198F1" w14:textId="77777777" w:rsidR="008125B3" w:rsidRDefault="008125B3" w:rsidP="006E08B3">
    <w:r>
      <w:t>Therapeutic Goods Administration</w:t>
    </w:r>
  </w:p>
  <w:p w14:paraId="5E9525F3" w14:textId="77777777" w:rsidR="008125B3" w:rsidRDefault="008125B3"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20E8D4E8"/>
    <w:styleLink w:val="ListBullets"/>
    <w:lvl w:ilvl="0">
      <w:start w:val="1"/>
      <w:numFmt w:val="bullet"/>
      <w:pStyle w:val="ListBullet"/>
      <w:lvlText w:val="•"/>
      <w:lvlJc w:val="left"/>
      <w:pPr>
        <w:ind w:left="360" w:hanging="360"/>
      </w:pPr>
      <w:rPr>
        <w:rFonts w:ascii="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3B19C6"/>
    <w:multiLevelType w:val="hybridMultilevel"/>
    <w:tmpl w:val="FB964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3226AC"/>
    <w:multiLevelType w:val="hybridMultilevel"/>
    <w:tmpl w:val="617C46DC"/>
    <w:lvl w:ilvl="0" w:tplc="E45A1732">
      <w:start w:val="8"/>
      <w:numFmt w:val="bullet"/>
      <w:lvlText w:val="-"/>
      <w:lvlJc w:val="left"/>
      <w:pPr>
        <w:ind w:left="410" w:hanging="360"/>
      </w:pPr>
      <w:rPr>
        <w:rFonts w:ascii="Cambria" w:eastAsia="Cambria" w:hAnsi="Cambria" w:cs="Times New Roman"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1"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BB15871"/>
    <w:multiLevelType w:val="hybridMultilevel"/>
    <w:tmpl w:val="C8C4A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4"/>
  </w:num>
  <w:num w:numId="29">
    <w:abstractNumId w:val="6"/>
  </w:num>
  <w:num w:numId="30">
    <w:abstractNumId w:val="8"/>
  </w:num>
  <w:num w:numId="31">
    <w:abstractNumId w:val="4"/>
  </w:num>
  <w:num w:numId="32">
    <w:abstractNumId w:val="12"/>
  </w:num>
  <w:num w:numId="33">
    <w:abstractNumId w:val="13"/>
  </w:num>
  <w:num w:numId="34">
    <w:abstractNumId w:val="9"/>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3CA"/>
    <w:rsid w:val="00002031"/>
    <w:rsid w:val="00004734"/>
    <w:rsid w:val="0000526D"/>
    <w:rsid w:val="00006B22"/>
    <w:rsid w:val="00006FAB"/>
    <w:rsid w:val="00007D67"/>
    <w:rsid w:val="0001276A"/>
    <w:rsid w:val="000246AE"/>
    <w:rsid w:val="00025C67"/>
    <w:rsid w:val="0003792C"/>
    <w:rsid w:val="00044772"/>
    <w:rsid w:val="0004541C"/>
    <w:rsid w:val="0005559E"/>
    <w:rsid w:val="00057734"/>
    <w:rsid w:val="000604D6"/>
    <w:rsid w:val="00065E9A"/>
    <w:rsid w:val="000734D8"/>
    <w:rsid w:val="00077775"/>
    <w:rsid w:val="000820A3"/>
    <w:rsid w:val="00082E88"/>
    <w:rsid w:val="00090471"/>
    <w:rsid w:val="0009304F"/>
    <w:rsid w:val="000930F5"/>
    <w:rsid w:val="0009364E"/>
    <w:rsid w:val="00096AA7"/>
    <w:rsid w:val="000973D8"/>
    <w:rsid w:val="00097667"/>
    <w:rsid w:val="000A0BCD"/>
    <w:rsid w:val="000A1CEB"/>
    <w:rsid w:val="000A3AED"/>
    <w:rsid w:val="000A4D45"/>
    <w:rsid w:val="000B0BCC"/>
    <w:rsid w:val="000B24C6"/>
    <w:rsid w:val="000B2600"/>
    <w:rsid w:val="000B3532"/>
    <w:rsid w:val="000B3A75"/>
    <w:rsid w:val="000B48AF"/>
    <w:rsid w:val="000C00C2"/>
    <w:rsid w:val="000C0C76"/>
    <w:rsid w:val="000C4379"/>
    <w:rsid w:val="000C690F"/>
    <w:rsid w:val="000C70BD"/>
    <w:rsid w:val="000D1295"/>
    <w:rsid w:val="000D2272"/>
    <w:rsid w:val="000D391B"/>
    <w:rsid w:val="000D3D6D"/>
    <w:rsid w:val="000D4517"/>
    <w:rsid w:val="000D4FC7"/>
    <w:rsid w:val="000E14B0"/>
    <w:rsid w:val="000E15B2"/>
    <w:rsid w:val="000E4899"/>
    <w:rsid w:val="000E6196"/>
    <w:rsid w:val="000F2BC7"/>
    <w:rsid w:val="000F326A"/>
    <w:rsid w:val="000F4869"/>
    <w:rsid w:val="000F5305"/>
    <w:rsid w:val="000F5B42"/>
    <w:rsid w:val="000F6E6F"/>
    <w:rsid w:val="00100B3B"/>
    <w:rsid w:val="00101FE3"/>
    <w:rsid w:val="0010601F"/>
    <w:rsid w:val="0010788A"/>
    <w:rsid w:val="00107A31"/>
    <w:rsid w:val="00110EA5"/>
    <w:rsid w:val="00112F56"/>
    <w:rsid w:val="00117C1F"/>
    <w:rsid w:val="0012192E"/>
    <w:rsid w:val="00121A78"/>
    <w:rsid w:val="00122C2E"/>
    <w:rsid w:val="00124ACD"/>
    <w:rsid w:val="00125318"/>
    <w:rsid w:val="001305A2"/>
    <w:rsid w:val="00133238"/>
    <w:rsid w:val="00133A1B"/>
    <w:rsid w:val="0014197B"/>
    <w:rsid w:val="001447CD"/>
    <w:rsid w:val="00150E15"/>
    <w:rsid w:val="001516B1"/>
    <w:rsid w:val="00154EBB"/>
    <w:rsid w:val="0015605C"/>
    <w:rsid w:val="00156316"/>
    <w:rsid w:val="00160825"/>
    <w:rsid w:val="00161181"/>
    <w:rsid w:val="00161D56"/>
    <w:rsid w:val="00162D14"/>
    <w:rsid w:val="00163628"/>
    <w:rsid w:val="00163780"/>
    <w:rsid w:val="001637E6"/>
    <w:rsid w:val="00165389"/>
    <w:rsid w:val="00167848"/>
    <w:rsid w:val="001752B3"/>
    <w:rsid w:val="0017693F"/>
    <w:rsid w:val="00180168"/>
    <w:rsid w:val="0018110E"/>
    <w:rsid w:val="00181684"/>
    <w:rsid w:val="00184345"/>
    <w:rsid w:val="001843C6"/>
    <w:rsid w:val="001850E0"/>
    <w:rsid w:val="00185407"/>
    <w:rsid w:val="00186B8A"/>
    <w:rsid w:val="001A03AF"/>
    <w:rsid w:val="001A0FFE"/>
    <w:rsid w:val="001A2158"/>
    <w:rsid w:val="001A525F"/>
    <w:rsid w:val="001A5A00"/>
    <w:rsid w:val="001A600E"/>
    <w:rsid w:val="001A66B8"/>
    <w:rsid w:val="001B09F9"/>
    <w:rsid w:val="001B10B9"/>
    <w:rsid w:val="001B1DA4"/>
    <w:rsid w:val="001B5249"/>
    <w:rsid w:val="001B5C90"/>
    <w:rsid w:val="001B6448"/>
    <w:rsid w:val="001C32CD"/>
    <w:rsid w:val="001C6559"/>
    <w:rsid w:val="001C7553"/>
    <w:rsid w:val="001D2984"/>
    <w:rsid w:val="001D5AF4"/>
    <w:rsid w:val="001D7167"/>
    <w:rsid w:val="001E07CF"/>
    <w:rsid w:val="001E11FE"/>
    <w:rsid w:val="001E359E"/>
    <w:rsid w:val="001E59F1"/>
    <w:rsid w:val="001F0901"/>
    <w:rsid w:val="001F2CEE"/>
    <w:rsid w:val="001F49EB"/>
    <w:rsid w:val="001F6CBA"/>
    <w:rsid w:val="001F79DF"/>
    <w:rsid w:val="002015D5"/>
    <w:rsid w:val="00201D4E"/>
    <w:rsid w:val="00206A5F"/>
    <w:rsid w:val="002076C9"/>
    <w:rsid w:val="00220B09"/>
    <w:rsid w:val="00220B8A"/>
    <w:rsid w:val="00221135"/>
    <w:rsid w:val="00224AFB"/>
    <w:rsid w:val="002257F3"/>
    <w:rsid w:val="002314EA"/>
    <w:rsid w:val="00232F13"/>
    <w:rsid w:val="00233456"/>
    <w:rsid w:val="002339A5"/>
    <w:rsid w:val="00235F74"/>
    <w:rsid w:val="00236380"/>
    <w:rsid w:val="00245C94"/>
    <w:rsid w:val="00250271"/>
    <w:rsid w:val="00250F35"/>
    <w:rsid w:val="00252FFC"/>
    <w:rsid w:val="00257848"/>
    <w:rsid w:val="002578E8"/>
    <w:rsid w:val="00260D38"/>
    <w:rsid w:val="0026538D"/>
    <w:rsid w:val="0027084A"/>
    <w:rsid w:val="00270F61"/>
    <w:rsid w:val="00271E85"/>
    <w:rsid w:val="00274EF1"/>
    <w:rsid w:val="002759E0"/>
    <w:rsid w:val="00277685"/>
    <w:rsid w:val="00280265"/>
    <w:rsid w:val="00281B1A"/>
    <w:rsid w:val="0028427B"/>
    <w:rsid w:val="00286434"/>
    <w:rsid w:val="00286C59"/>
    <w:rsid w:val="00287719"/>
    <w:rsid w:val="00291957"/>
    <w:rsid w:val="002942D1"/>
    <w:rsid w:val="0029501A"/>
    <w:rsid w:val="002A01E4"/>
    <w:rsid w:val="002A3721"/>
    <w:rsid w:val="002A5C27"/>
    <w:rsid w:val="002B0154"/>
    <w:rsid w:val="002B0690"/>
    <w:rsid w:val="002B1638"/>
    <w:rsid w:val="002B3624"/>
    <w:rsid w:val="002C2ABC"/>
    <w:rsid w:val="002C644D"/>
    <w:rsid w:val="002C73DE"/>
    <w:rsid w:val="002C7875"/>
    <w:rsid w:val="002D0952"/>
    <w:rsid w:val="002E40B3"/>
    <w:rsid w:val="002E4C9A"/>
    <w:rsid w:val="002E5A64"/>
    <w:rsid w:val="002E79ED"/>
    <w:rsid w:val="002F11F8"/>
    <w:rsid w:val="002F3F56"/>
    <w:rsid w:val="002F44B5"/>
    <w:rsid w:val="002F5122"/>
    <w:rsid w:val="002F671A"/>
    <w:rsid w:val="002F6FAE"/>
    <w:rsid w:val="00301804"/>
    <w:rsid w:val="00306B38"/>
    <w:rsid w:val="00311AC0"/>
    <w:rsid w:val="003176FC"/>
    <w:rsid w:val="00322B59"/>
    <w:rsid w:val="00324E45"/>
    <w:rsid w:val="0032583B"/>
    <w:rsid w:val="00326754"/>
    <w:rsid w:val="00327883"/>
    <w:rsid w:val="00330AD7"/>
    <w:rsid w:val="00332715"/>
    <w:rsid w:val="00333359"/>
    <w:rsid w:val="00334FD0"/>
    <w:rsid w:val="00335504"/>
    <w:rsid w:val="00340C18"/>
    <w:rsid w:val="00343347"/>
    <w:rsid w:val="003442FD"/>
    <w:rsid w:val="00347824"/>
    <w:rsid w:val="00350567"/>
    <w:rsid w:val="003515F5"/>
    <w:rsid w:val="003521E8"/>
    <w:rsid w:val="00360707"/>
    <w:rsid w:val="00370CE3"/>
    <w:rsid w:val="003728F3"/>
    <w:rsid w:val="003735BC"/>
    <w:rsid w:val="0037496E"/>
    <w:rsid w:val="00376B77"/>
    <w:rsid w:val="00377A3A"/>
    <w:rsid w:val="00382019"/>
    <w:rsid w:val="00383221"/>
    <w:rsid w:val="00386150"/>
    <w:rsid w:val="003874CE"/>
    <w:rsid w:val="00390900"/>
    <w:rsid w:val="00395E7A"/>
    <w:rsid w:val="00397CAA"/>
    <w:rsid w:val="003A7F6C"/>
    <w:rsid w:val="003B08F1"/>
    <w:rsid w:val="003B1805"/>
    <w:rsid w:val="003B36FD"/>
    <w:rsid w:val="003B382F"/>
    <w:rsid w:val="003B4D60"/>
    <w:rsid w:val="003B7E39"/>
    <w:rsid w:val="003C58DC"/>
    <w:rsid w:val="003D095F"/>
    <w:rsid w:val="003D1E62"/>
    <w:rsid w:val="003E0B99"/>
    <w:rsid w:val="003E2486"/>
    <w:rsid w:val="003E3208"/>
    <w:rsid w:val="003E39E6"/>
    <w:rsid w:val="003E53BE"/>
    <w:rsid w:val="003E58AC"/>
    <w:rsid w:val="003E6962"/>
    <w:rsid w:val="003F0B04"/>
    <w:rsid w:val="0040134E"/>
    <w:rsid w:val="00403A16"/>
    <w:rsid w:val="00404FBD"/>
    <w:rsid w:val="004134EB"/>
    <w:rsid w:val="004139A8"/>
    <w:rsid w:val="00415E3D"/>
    <w:rsid w:val="00417F92"/>
    <w:rsid w:val="00422085"/>
    <w:rsid w:val="004278AF"/>
    <w:rsid w:val="004334C7"/>
    <w:rsid w:val="00434D7A"/>
    <w:rsid w:val="00440A2D"/>
    <w:rsid w:val="00441C3F"/>
    <w:rsid w:val="00442321"/>
    <w:rsid w:val="004429CB"/>
    <w:rsid w:val="00444D1A"/>
    <w:rsid w:val="0045186A"/>
    <w:rsid w:val="00454BDC"/>
    <w:rsid w:val="004564A7"/>
    <w:rsid w:val="00456765"/>
    <w:rsid w:val="00460036"/>
    <w:rsid w:val="004617BF"/>
    <w:rsid w:val="00461CC0"/>
    <w:rsid w:val="00463658"/>
    <w:rsid w:val="004637A0"/>
    <w:rsid w:val="004722CC"/>
    <w:rsid w:val="00490483"/>
    <w:rsid w:val="004936E4"/>
    <w:rsid w:val="00494E60"/>
    <w:rsid w:val="00497487"/>
    <w:rsid w:val="004A2771"/>
    <w:rsid w:val="004A6189"/>
    <w:rsid w:val="004A61FD"/>
    <w:rsid w:val="004A7390"/>
    <w:rsid w:val="004B27ED"/>
    <w:rsid w:val="004B5831"/>
    <w:rsid w:val="004B7B76"/>
    <w:rsid w:val="004C239D"/>
    <w:rsid w:val="004C2B1B"/>
    <w:rsid w:val="004C2DCA"/>
    <w:rsid w:val="004C2E2D"/>
    <w:rsid w:val="004C4FBE"/>
    <w:rsid w:val="004C61D2"/>
    <w:rsid w:val="004C7CC5"/>
    <w:rsid w:val="004D48C8"/>
    <w:rsid w:val="004E46FF"/>
    <w:rsid w:val="004F0020"/>
    <w:rsid w:val="004F0C4A"/>
    <w:rsid w:val="004F0F38"/>
    <w:rsid w:val="004F17A3"/>
    <w:rsid w:val="004F233E"/>
    <w:rsid w:val="004F47D6"/>
    <w:rsid w:val="004F499D"/>
    <w:rsid w:val="00500337"/>
    <w:rsid w:val="00500D49"/>
    <w:rsid w:val="00501921"/>
    <w:rsid w:val="00503A42"/>
    <w:rsid w:val="00505417"/>
    <w:rsid w:val="00512393"/>
    <w:rsid w:val="005166D4"/>
    <w:rsid w:val="0052149B"/>
    <w:rsid w:val="00521E0E"/>
    <w:rsid w:val="0052236C"/>
    <w:rsid w:val="00523A21"/>
    <w:rsid w:val="00530354"/>
    <w:rsid w:val="00531A59"/>
    <w:rsid w:val="00534191"/>
    <w:rsid w:val="0053625B"/>
    <w:rsid w:val="005434C6"/>
    <w:rsid w:val="00543B39"/>
    <w:rsid w:val="00545CDB"/>
    <w:rsid w:val="00546154"/>
    <w:rsid w:val="00547BEA"/>
    <w:rsid w:val="00550096"/>
    <w:rsid w:val="00555280"/>
    <w:rsid w:val="00557FF9"/>
    <w:rsid w:val="00562327"/>
    <w:rsid w:val="005711D5"/>
    <w:rsid w:val="00576378"/>
    <w:rsid w:val="00577130"/>
    <w:rsid w:val="00577945"/>
    <w:rsid w:val="00577E38"/>
    <w:rsid w:val="00585322"/>
    <w:rsid w:val="005857C6"/>
    <w:rsid w:val="00590F1E"/>
    <w:rsid w:val="00592493"/>
    <w:rsid w:val="00592F6E"/>
    <w:rsid w:val="00593AD1"/>
    <w:rsid w:val="005A027A"/>
    <w:rsid w:val="005A079A"/>
    <w:rsid w:val="005A68B6"/>
    <w:rsid w:val="005A79F5"/>
    <w:rsid w:val="005B5399"/>
    <w:rsid w:val="005B7541"/>
    <w:rsid w:val="005C0240"/>
    <w:rsid w:val="005C0F3D"/>
    <w:rsid w:val="005C494B"/>
    <w:rsid w:val="005C556F"/>
    <w:rsid w:val="005C5570"/>
    <w:rsid w:val="005C5B66"/>
    <w:rsid w:val="005C79A4"/>
    <w:rsid w:val="005D5442"/>
    <w:rsid w:val="005D679D"/>
    <w:rsid w:val="005F5604"/>
    <w:rsid w:val="00603F32"/>
    <w:rsid w:val="00605AD4"/>
    <w:rsid w:val="00612911"/>
    <w:rsid w:val="006136D7"/>
    <w:rsid w:val="006218B6"/>
    <w:rsid w:val="00624132"/>
    <w:rsid w:val="00625A6E"/>
    <w:rsid w:val="00632398"/>
    <w:rsid w:val="006403CA"/>
    <w:rsid w:val="00640FC3"/>
    <w:rsid w:val="00642020"/>
    <w:rsid w:val="006430EE"/>
    <w:rsid w:val="00643CE5"/>
    <w:rsid w:val="00646519"/>
    <w:rsid w:val="00651CA0"/>
    <w:rsid w:val="0065337B"/>
    <w:rsid w:val="0065419D"/>
    <w:rsid w:val="006573B5"/>
    <w:rsid w:val="006603BC"/>
    <w:rsid w:val="006604D8"/>
    <w:rsid w:val="006623B3"/>
    <w:rsid w:val="00664A5B"/>
    <w:rsid w:val="0066735C"/>
    <w:rsid w:val="006704BC"/>
    <w:rsid w:val="00670A12"/>
    <w:rsid w:val="006763D2"/>
    <w:rsid w:val="00680C08"/>
    <w:rsid w:val="006901BA"/>
    <w:rsid w:val="006916A0"/>
    <w:rsid w:val="006931B1"/>
    <w:rsid w:val="006A15C0"/>
    <w:rsid w:val="006A4419"/>
    <w:rsid w:val="006A58A8"/>
    <w:rsid w:val="006A6D8D"/>
    <w:rsid w:val="006B0AB2"/>
    <w:rsid w:val="006B58AB"/>
    <w:rsid w:val="006B724E"/>
    <w:rsid w:val="006C3B43"/>
    <w:rsid w:val="006C3E2A"/>
    <w:rsid w:val="006C642F"/>
    <w:rsid w:val="006D03E5"/>
    <w:rsid w:val="006D40F8"/>
    <w:rsid w:val="006D5D3E"/>
    <w:rsid w:val="006E08B3"/>
    <w:rsid w:val="006E42A3"/>
    <w:rsid w:val="006E4A24"/>
    <w:rsid w:val="006E5D2D"/>
    <w:rsid w:val="006E7D4A"/>
    <w:rsid w:val="006F17AC"/>
    <w:rsid w:val="006F25B8"/>
    <w:rsid w:val="006F41FD"/>
    <w:rsid w:val="006F572E"/>
    <w:rsid w:val="0070021A"/>
    <w:rsid w:val="00701C01"/>
    <w:rsid w:val="00703FA0"/>
    <w:rsid w:val="007046D6"/>
    <w:rsid w:val="00705DB0"/>
    <w:rsid w:val="00707323"/>
    <w:rsid w:val="00712CCF"/>
    <w:rsid w:val="007175A2"/>
    <w:rsid w:val="00717FC6"/>
    <w:rsid w:val="0072292E"/>
    <w:rsid w:val="00722B57"/>
    <w:rsid w:val="0073033D"/>
    <w:rsid w:val="00730F8A"/>
    <w:rsid w:val="00735A8C"/>
    <w:rsid w:val="0073637D"/>
    <w:rsid w:val="00737086"/>
    <w:rsid w:val="0074163C"/>
    <w:rsid w:val="0074253D"/>
    <w:rsid w:val="00744121"/>
    <w:rsid w:val="0074429B"/>
    <w:rsid w:val="00745740"/>
    <w:rsid w:val="00752B5B"/>
    <w:rsid w:val="007615BC"/>
    <w:rsid w:val="007624D1"/>
    <w:rsid w:val="00762F05"/>
    <w:rsid w:val="007635A0"/>
    <w:rsid w:val="0076396C"/>
    <w:rsid w:val="007652FF"/>
    <w:rsid w:val="007703EF"/>
    <w:rsid w:val="00770CAC"/>
    <w:rsid w:val="00770EF1"/>
    <w:rsid w:val="0077131A"/>
    <w:rsid w:val="007738C4"/>
    <w:rsid w:val="00773EF7"/>
    <w:rsid w:val="00774E1D"/>
    <w:rsid w:val="00776049"/>
    <w:rsid w:val="007765D8"/>
    <w:rsid w:val="00776609"/>
    <w:rsid w:val="0077675A"/>
    <w:rsid w:val="00780355"/>
    <w:rsid w:val="00780A78"/>
    <w:rsid w:val="007819FD"/>
    <w:rsid w:val="00782561"/>
    <w:rsid w:val="00785717"/>
    <w:rsid w:val="00785721"/>
    <w:rsid w:val="00790444"/>
    <w:rsid w:val="00793A59"/>
    <w:rsid w:val="007975A6"/>
    <w:rsid w:val="007A021D"/>
    <w:rsid w:val="007A46F5"/>
    <w:rsid w:val="007A6505"/>
    <w:rsid w:val="007B295C"/>
    <w:rsid w:val="007B4B7F"/>
    <w:rsid w:val="007B503E"/>
    <w:rsid w:val="007B6132"/>
    <w:rsid w:val="007B6E9F"/>
    <w:rsid w:val="007C1216"/>
    <w:rsid w:val="007C1AF7"/>
    <w:rsid w:val="007C3822"/>
    <w:rsid w:val="007C54CC"/>
    <w:rsid w:val="007C6B9B"/>
    <w:rsid w:val="007D4C9B"/>
    <w:rsid w:val="007D53B6"/>
    <w:rsid w:val="007E074E"/>
    <w:rsid w:val="007F0847"/>
    <w:rsid w:val="007F084D"/>
    <w:rsid w:val="007F3963"/>
    <w:rsid w:val="007F6E1C"/>
    <w:rsid w:val="00804D99"/>
    <w:rsid w:val="00805D27"/>
    <w:rsid w:val="00806DCB"/>
    <w:rsid w:val="00807FA0"/>
    <w:rsid w:val="008110BC"/>
    <w:rsid w:val="008125B3"/>
    <w:rsid w:val="00821776"/>
    <w:rsid w:val="008321F5"/>
    <w:rsid w:val="00832369"/>
    <w:rsid w:val="00833ED8"/>
    <w:rsid w:val="00834660"/>
    <w:rsid w:val="00835331"/>
    <w:rsid w:val="00836BC2"/>
    <w:rsid w:val="00843A14"/>
    <w:rsid w:val="008440C4"/>
    <w:rsid w:val="008454B9"/>
    <w:rsid w:val="00847E69"/>
    <w:rsid w:val="008513EA"/>
    <w:rsid w:val="0085156D"/>
    <w:rsid w:val="0085238D"/>
    <w:rsid w:val="00852B28"/>
    <w:rsid w:val="0085641B"/>
    <w:rsid w:val="00857136"/>
    <w:rsid w:val="00860C93"/>
    <w:rsid w:val="0086325C"/>
    <w:rsid w:val="00865B03"/>
    <w:rsid w:val="00871E48"/>
    <w:rsid w:val="00875A6B"/>
    <w:rsid w:val="00877068"/>
    <w:rsid w:val="00877537"/>
    <w:rsid w:val="00882EA6"/>
    <w:rsid w:val="00884CB7"/>
    <w:rsid w:val="00885B11"/>
    <w:rsid w:val="00886D15"/>
    <w:rsid w:val="00887DD8"/>
    <w:rsid w:val="00891BA9"/>
    <w:rsid w:val="00891CB8"/>
    <w:rsid w:val="00896018"/>
    <w:rsid w:val="008960DD"/>
    <w:rsid w:val="0089635C"/>
    <w:rsid w:val="008A2B9D"/>
    <w:rsid w:val="008A2D89"/>
    <w:rsid w:val="008A3D9F"/>
    <w:rsid w:val="008A5E0B"/>
    <w:rsid w:val="008A6D59"/>
    <w:rsid w:val="008B31BD"/>
    <w:rsid w:val="008B4B03"/>
    <w:rsid w:val="008B596F"/>
    <w:rsid w:val="008B7305"/>
    <w:rsid w:val="008C0638"/>
    <w:rsid w:val="008C1106"/>
    <w:rsid w:val="008C159F"/>
    <w:rsid w:val="008C1623"/>
    <w:rsid w:val="008C1724"/>
    <w:rsid w:val="008C1850"/>
    <w:rsid w:val="008C51A9"/>
    <w:rsid w:val="008E65C7"/>
    <w:rsid w:val="008E7846"/>
    <w:rsid w:val="008E7EB4"/>
    <w:rsid w:val="008F02E5"/>
    <w:rsid w:val="008F1CCC"/>
    <w:rsid w:val="008F2967"/>
    <w:rsid w:val="008F4677"/>
    <w:rsid w:val="008F4C00"/>
    <w:rsid w:val="008F6943"/>
    <w:rsid w:val="00902A21"/>
    <w:rsid w:val="0091231F"/>
    <w:rsid w:val="009144D6"/>
    <w:rsid w:val="0091523F"/>
    <w:rsid w:val="009159FD"/>
    <w:rsid w:val="00920330"/>
    <w:rsid w:val="009219D7"/>
    <w:rsid w:val="00922D53"/>
    <w:rsid w:val="00923872"/>
    <w:rsid w:val="00923B70"/>
    <w:rsid w:val="009243FF"/>
    <w:rsid w:val="00924482"/>
    <w:rsid w:val="00930237"/>
    <w:rsid w:val="0093453E"/>
    <w:rsid w:val="00937C17"/>
    <w:rsid w:val="00940A89"/>
    <w:rsid w:val="00941F77"/>
    <w:rsid w:val="009461AA"/>
    <w:rsid w:val="00946EA5"/>
    <w:rsid w:val="0095166B"/>
    <w:rsid w:val="00952C12"/>
    <w:rsid w:val="009556D7"/>
    <w:rsid w:val="009571C3"/>
    <w:rsid w:val="00960520"/>
    <w:rsid w:val="00963C08"/>
    <w:rsid w:val="009706DA"/>
    <w:rsid w:val="00975285"/>
    <w:rsid w:val="009752A5"/>
    <w:rsid w:val="0097764B"/>
    <w:rsid w:val="0098585A"/>
    <w:rsid w:val="009941A4"/>
    <w:rsid w:val="009949D4"/>
    <w:rsid w:val="00997102"/>
    <w:rsid w:val="009A4CED"/>
    <w:rsid w:val="009A690D"/>
    <w:rsid w:val="009B1D12"/>
    <w:rsid w:val="009B2D8A"/>
    <w:rsid w:val="009B416B"/>
    <w:rsid w:val="009B4462"/>
    <w:rsid w:val="009B6F63"/>
    <w:rsid w:val="009C3145"/>
    <w:rsid w:val="009C4BD5"/>
    <w:rsid w:val="009C63AA"/>
    <w:rsid w:val="009D114F"/>
    <w:rsid w:val="009D3B16"/>
    <w:rsid w:val="009D7B77"/>
    <w:rsid w:val="009E0BB0"/>
    <w:rsid w:val="009E3FBB"/>
    <w:rsid w:val="009E4C16"/>
    <w:rsid w:val="009E5A87"/>
    <w:rsid w:val="009F2673"/>
    <w:rsid w:val="009F33AE"/>
    <w:rsid w:val="009F390F"/>
    <w:rsid w:val="009F7353"/>
    <w:rsid w:val="00A04F85"/>
    <w:rsid w:val="00A05FA4"/>
    <w:rsid w:val="00A102E4"/>
    <w:rsid w:val="00A1219C"/>
    <w:rsid w:val="00A12C42"/>
    <w:rsid w:val="00A13BFB"/>
    <w:rsid w:val="00A14DF7"/>
    <w:rsid w:val="00A22D57"/>
    <w:rsid w:val="00A2692B"/>
    <w:rsid w:val="00A32381"/>
    <w:rsid w:val="00A3246D"/>
    <w:rsid w:val="00A32DE4"/>
    <w:rsid w:val="00A36FA7"/>
    <w:rsid w:val="00A3773D"/>
    <w:rsid w:val="00A408D3"/>
    <w:rsid w:val="00A409DB"/>
    <w:rsid w:val="00A41D5B"/>
    <w:rsid w:val="00A44DDB"/>
    <w:rsid w:val="00A475B7"/>
    <w:rsid w:val="00A47AF7"/>
    <w:rsid w:val="00A47C3E"/>
    <w:rsid w:val="00A50226"/>
    <w:rsid w:val="00A50F42"/>
    <w:rsid w:val="00A51598"/>
    <w:rsid w:val="00A52307"/>
    <w:rsid w:val="00A5429F"/>
    <w:rsid w:val="00A5457C"/>
    <w:rsid w:val="00A56B95"/>
    <w:rsid w:val="00A60BAD"/>
    <w:rsid w:val="00A61030"/>
    <w:rsid w:val="00A6191A"/>
    <w:rsid w:val="00A64C61"/>
    <w:rsid w:val="00A6576A"/>
    <w:rsid w:val="00A72FB8"/>
    <w:rsid w:val="00A77F87"/>
    <w:rsid w:val="00A80B5B"/>
    <w:rsid w:val="00A82CB1"/>
    <w:rsid w:val="00A84E36"/>
    <w:rsid w:val="00A85F23"/>
    <w:rsid w:val="00A92A33"/>
    <w:rsid w:val="00A964D1"/>
    <w:rsid w:val="00AA0ED0"/>
    <w:rsid w:val="00AA10DB"/>
    <w:rsid w:val="00AB431D"/>
    <w:rsid w:val="00AC2B40"/>
    <w:rsid w:val="00AC2BB2"/>
    <w:rsid w:val="00AC2C3C"/>
    <w:rsid w:val="00AC512D"/>
    <w:rsid w:val="00AD0083"/>
    <w:rsid w:val="00AD3935"/>
    <w:rsid w:val="00AE2BBB"/>
    <w:rsid w:val="00AE4BE7"/>
    <w:rsid w:val="00AE6138"/>
    <w:rsid w:val="00AE65EB"/>
    <w:rsid w:val="00AE67A7"/>
    <w:rsid w:val="00AF1D94"/>
    <w:rsid w:val="00AF2313"/>
    <w:rsid w:val="00AF2F6D"/>
    <w:rsid w:val="00AF574C"/>
    <w:rsid w:val="00AF60C5"/>
    <w:rsid w:val="00B00744"/>
    <w:rsid w:val="00B009C6"/>
    <w:rsid w:val="00B01548"/>
    <w:rsid w:val="00B10857"/>
    <w:rsid w:val="00B130C5"/>
    <w:rsid w:val="00B13EBD"/>
    <w:rsid w:val="00B1406F"/>
    <w:rsid w:val="00B14A3F"/>
    <w:rsid w:val="00B14E67"/>
    <w:rsid w:val="00B15ABE"/>
    <w:rsid w:val="00B205A3"/>
    <w:rsid w:val="00B21D29"/>
    <w:rsid w:val="00B23804"/>
    <w:rsid w:val="00B25034"/>
    <w:rsid w:val="00B2799B"/>
    <w:rsid w:val="00B32145"/>
    <w:rsid w:val="00B33588"/>
    <w:rsid w:val="00B33863"/>
    <w:rsid w:val="00B370C2"/>
    <w:rsid w:val="00B37D17"/>
    <w:rsid w:val="00B4175E"/>
    <w:rsid w:val="00B41C85"/>
    <w:rsid w:val="00B452CE"/>
    <w:rsid w:val="00B51FD1"/>
    <w:rsid w:val="00B52CC5"/>
    <w:rsid w:val="00B54C25"/>
    <w:rsid w:val="00B60177"/>
    <w:rsid w:val="00B75BEA"/>
    <w:rsid w:val="00B76B91"/>
    <w:rsid w:val="00B77EB1"/>
    <w:rsid w:val="00B811C6"/>
    <w:rsid w:val="00B843FA"/>
    <w:rsid w:val="00B84603"/>
    <w:rsid w:val="00B84ADE"/>
    <w:rsid w:val="00B855B0"/>
    <w:rsid w:val="00B875BB"/>
    <w:rsid w:val="00B91911"/>
    <w:rsid w:val="00B92E08"/>
    <w:rsid w:val="00B97DBC"/>
    <w:rsid w:val="00BA573D"/>
    <w:rsid w:val="00BB0B78"/>
    <w:rsid w:val="00BB75D6"/>
    <w:rsid w:val="00BC5016"/>
    <w:rsid w:val="00BC622A"/>
    <w:rsid w:val="00BD1680"/>
    <w:rsid w:val="00BD63DF"/>
    <w:rsid w:val="00BE0A78"/>
    <w:rsid w:val="00BE3130"/>
    <w:rsid w:val="00BE46C9"/>
    <w:rsid w:val="00BE6542"/>
    <w:rsid w:val="00BE79F0"/>
    <w:rsid w:val="00BF046D"/>
    <w:rsid w:val="00BF1190"/>
    <w:rsid w:val="00BF3774"/>
    <w:rsid w:val="00BF508A"/>
    <w:rsid w:val="00BF5D04"/>
    <w:rsid w:val="00BF7063"/>
    <w:rsid w:val="00C009AA"/>
    <w:rsid w:val="00C1164D"/>
    <w:rsid w:val="00C16861"/>
    <w:rsid w:val="00C22EE5"/>
    <w:rsid w:val="00C34133"/>
    <w:rsid w:val="00C346AB"/>
    <w:rsid w:val="00C3518D"/>
    <w:rsid w:val="00C3797E"/>
    <w:rsid w:val="00C37C98"/>
    <w:rsid w:val="00C404A6"/>
    <w:rsid w:val="00C40A36"/>
    <w:rsid w:val="00C44419"/>
    <w:rsid w:val="00C45E7B"/>
    <w:rsid w:val="00C471B1"/>
    <w:rsid w:val="00C525A2"/>
    <w:rsid w:val="00C52E24"/>
    <w:rsid w:val="00C55988"/>
    <w:rsid w:val="00C55FF0"/>
    <w:rsid w:val="00C6113B"/>
    <w:rsid w:val="00C6316B"/>
    <w:rsid w:val="00C634A9"/>
    <w:rsid w:val="00C64334"/>
    <w:rsid w:val="00C64586"/>
    <w:rsid w:val="00C655BA"/>
    <w:rsid w:val="00C709F3"/>
    <w:rsid w:val="00C70A36"/>
    <w:rsid w:val="00C70D53"/>
    <w:rsid w:val="00C73D0B"/>
    <w:rsid w:val="00C74F5C"/>
    <w:rsid w:val="00C74FE6"/>
    <w:rsid w:val="00C772FF"/>
    <w:rsid w:val="00C80137"/>
    <w:rsid w:val="00C801AF"/>
    <w:rsid w:val="00C80256"/>
    <w:rsid w:val="00C8292B"/>
    <w:rsid w:val="00C94608"/>
    <w:rsid w:val="00C94CD4"/>
    <w:rsid w:val="00C9747E"/>
    <w:rsid w:val="00CB3BC6"/>
    <w:rsid w:val="00CB6BC0"/>
    <w:rsid w:val="00CC0101"/>
    <w:rsid w:val="00CC1B7C"/>
    <w:rsid w:val="00CC1FAF"/>
    <w:rsid w:val="00CC4CA6"/>
    <w:rsid w:val="00CC5044"/>
    <w:rsid w:val="00CC51A0"/>
    <w:rsid w:val="00CC552E"/>
    <w:rsid w:val="00CC727F"/>
    <w:rsid w:val="00CE16E4"/>
    <w:rsid w:val="00CE250D"/>
    <w:rsid w:val="00CE37FD"/>
    <w:rsid w:val="00CF15C3"/>
    <w:rsid w:val="00CF2B6F"/>
    <w:rsid w:val="00CF2F3E"/>
    <w:rsid w:val="00CF58B6"/>
    <w:rsid w:val="00CF5DAD"/>
    <w:rsid w:val="00CF7606"/>
    <w:rsid w:val="00D0062D"/>
    <w:rsid w:val="00D017ED"/>
    <w:rsid w:val="00D0233A"/>
    <w:rsid w:val="00D0398A"/>
    <w:rsid w:val="00D040D3"/>
    <w:rsid w:val="00D04C65"/>
    <w:rsid w:val="00D153D8"/>
    <w:rsid w:val="00D170D7"/>
    <w:rsid w:val="00D201D2"/>
    <w:rsid w:val="00D212F3"/>
    <w:rsid w:val="00D224FE"/>
    <w:rsid w:val="00D23139"/>
    <w:rsid w:val="00D2795A"/>
    <w:rsid w:val="00D30BCE"/>
    <w:rsid w:val="00D425BB"/>
    <w:rsid w:val="00D453FA"/>
    <w:rsid w:val="00D46362"/>
    <w:rsid w:val="00D46FA8"/>
    <w:rsid w:val="00D470CB"/>
    <w:rsid w:val="00D47EFA"/>
    <w:rsid w:val="00D511AE"/>
    <w:rsid w:val="00D56348"/>
    <w:rsid w:val="00D601DB"/>
    <w:rsid w:val="00D641E2"/>
    <w:rsid w:val="00D6493E"/>
    <w:rsid w:val="00D7195D"/>
    <w:rsid w:val="00D72CBA"/>
    <w:rsid w:val="00D7301E"/>
    <w:rsid w:val="00D826F9"/>
    <w:rsid w:val="00D83AE1"/>
    <w:rsid w:val="00D854AC"/>
    <w:rsid w:val="00D855D4"/>
    <w:rsid w:val="00D902C9"/>
    <w:rsid w:val="00D93466"/>
    <w:rsid w:val="00DA1124"/>
    <w:rsid w:val="00DA55E6"/>
    <w:rsid w:val="00DA64CB"/>
    <w:rsid w:val="00DB06B8"/>
    <w:rsid w:val="00DB22A2"/>
    <w:rsid w:val="00DB2ADA"/>
    <w:rsid w:val="00DB6124"/>
    <w:rsid w:val="00DB750B"/>
    <w:rsid w:val="00DB75B7"/>
    <w:rsid w:val="00DC0A2F"/>
    <w:rsid w:val="00DC0E60"/>
    <w:rsid w:val="00DC153C"/>
    <w:rsid w:val="00DC1948"/>
    <w:rsid w:val="00DC26BD"/>
    <w:rsid w:val="00DC6E02"/>
    <w:rsid w:val="00DD0E24"/>
    <w:rsid w:val="00DD22B0"/>
    <w:rsid w:val="00DD28CD"/>
    <w:rsid w:val="00DD39C9"/>
    <w:rsid w:val="00DE02AE"/>
    <w:rsid w:val="00DE39D1"/>
    <w:rsid w:val="00DE50E7"/>
    <w:rsid w:val="00DE70C9"/>
    <w:rsid w:val="00DF1D7F"/>
    <w:rsid w:val="00DF4BE4"/>
    <w:rsid w:val="00DF7041"/>
    <w:rsid w:val="00DF7C6F"/>
    <w:rsid w:val="00E00799"/>
    <w:rsid w:val="00E02382"/>
    <w:rsid w:val="00E02FB4"/>
    <w:rsid w:val="00E0300F"/>
    <w:rsid w:val="00E062F3"/>
    <w:rsid w:val="00E07471"/>
    <w:rsid w:val="00E10BA8"/>
    <w:rsid w:val="00E11932"/>
    <w:rsid w:val="00E13FC7"/>
    <w:rsid w:val="00E20571"/>
    <w:rsid w:val="00E235F7"/>
    <w:rsid w:val="00E23659"/>
    <w:rsid w:val="00E239D4"/>
    <w:rsid w:val="00E2563A"/>
    <w:rsid w:val="00E26130"/>
    <w:rsid w:val="00E27831"/>
    <w:rsid w:val="00E31836"/>
    <w:rsid w:val="00E334B2"/>
    <w:rsid w:val="00E33D42"/>
    <w:rsid w:val="00E35082"/>
    <w:rsid w:val="00E40B22"/>
    <w:rsid w:val="00E44ED1"/>
    <w:rsid w:val="00E45619"/>
    <w:rsid w:val="00E4588F"/>
    <w:rsid w:val="00E46DA3"/>
    <w:rsid w:val="00E51BB1"/>
    <w:rsid w:val="00E55CB0"/>
    <w:rsid w:val="00E57912"/>
    <w:rsid w:val="00E61C82"/>
    <w:rsid w:val="00E624A5"/>
    <w:rsid w:val="00E64BA4"/>
    <w:rsid w:val="00E65AA9"/>
    <w:rsid w:val="00E7344E"/>
    <w:rsid w:val="00E73E54"/>
    <w:rsid w:val="00E80556"/>
    <w:rsid w:val="00E82665"/>
    <w:rsid w:val="00E85C5E"/>
    <w:rsid w:val="00E87723"/>
    <w:rsid w:val="00E96F8D"/>
    <w:rsid w:val="00EA1CE4"/>
    <w:rsid w:val="00EA26AC"/>
    <w:rsid w:val="00EA4550"/>
    <w:rsid w:val="00EB0798"/>
    <w:rsid w:val="00EB36D6"/>
    <w:rsid w:val="00EB40AD"/>
    <w:rsid w:val="00EB586E"/>
    <w:rsid w:val="00EB5FC8"/>
    <w:rsid w:val="00EC10B1"/>
    <w:rsid w:val="00EC181B"/>
    <w:rsid w:val="00EC188E"/>
    <w:rsid w:val="00EC39FC"/>
    <w:rsid w:val="00EC463D"/>
    <w:rsid w:val="00EC4692"/>
    <w:rsid w:val="00EC5232"/>
    <w:rsid w:val="00EC7A85"/>
    <w:rsid w:val="00ED1BEF"/>
    <w:rsid w:val="00ED2922"/>
    <w:rsid w:val="00ED3B34"/>
    <w:rsid w:val="00ED3CAD"/>
    <w:rsid w:val="00ED43E4"/>
    <w:rsid w:val="00ED4920"/>
    <w:rsid w:val="00ED5A41"/>
    <w:rsid w:val="00ED6421"/>
    <w:rsid w:val="00EE1DE8"/>
    <w:rsid w:val="00EE27C2"/>
    <w:rsid w:val="00EE582A"/>
    <w:rsid w:val="00EE5B9F"/>
    <w:rsid w:val="00EF2E97"/>
    <w:rsid w:val="00EF3E92"/>
    <w:rsid w:val="00EF4BAD"/>
    <w:rsid w:val="00EF59DC"/>
    <w:rsid w:val="00EF59F9"/>
    <w:rsid w:val="00F033EC"/>
    <w:rsid w:val="00F04F68"/>
    <w:rsid w:val="00F06B5A"/>
    <w:rsid w:val="00F12670"/>
    <w:rsid w:val="00F14B27"/>
    <w:rsid w:val="00F2530B"/>
    <w:rsid w:val="00F26FF0"/>
    <w:rsid w:val="00F3148D"/>
    <w:rsid w:val="00F325C5"/>
    <w:rsid w:val="00F32FE0"/>
    <w:rsid w:val="00F35298"/>
    <w:rsid w:val="00F35FA4"/>
    <w:rsid w:val="00F36693"/>
    <w:rsid w:val="00F43881"/>
    <w:rsid w:val="00F47333"/>
    <w:rsid w:val="00F47E37"/>
    <w:rsid w:val="00F50C80"/>
    <w:rsid w:val="00F534DD"/>
    <w:rsid w:val="00F53C07"/>
    <w:rsid w:val="00F54B65"/>
    <w:rsid w:val="00F62081"/>
    <w:rsid w:val="00F62E65"/>
    <w:rsid w:val="00F63DBF"/>
    <w:rsid w:val="00F640A5"/>
    <w:rsid w:val="00F640B6"/>
    <w:rsid w:val="00F66DF2"/>
    <w:rsid w:val="00F7220D"/>
    <w:rsid w:val="00F80E40"/>
    <w:rsid w:val="00F848D9"/>
    <w:rsid w:val="00F87F3E"/>
    <w:rsid w:val="00F90B00"/>
    <w:rsid w:val="00F931CE"/>
    <w:rsid w:val="00F93443"/>
    <w:rsid w:val="00F946C7"/>
    <w:rsid w:val="00FA4BBA"/>
    <w:rsid w:val="00FA5069"/>
    <w:rsid w:val="00FA5B82"/>
    <w:rsid w:val="00FA639E"/>
    <w:rsid w:val="00FA6DA9"/>
    <w:rsid w:val="00FB1111"/>
    <w:rsid w:val="00FB39FA"/>
    <w:rsid w:val="00FB54BA"/>
    <w:rsid w:val="00FC1FCA"/>
    <w:rsid w:val="00FC23B4"/>
    <w:rsid w:val="00FC25E4"/>
    <w:rsid w:val="00FC4EF7"/>
    <w:rsid w:val="00FC7BC2"/>
    <w:rsid w:val="00FD0824"/>
    <w:rsid w:val="00FD119B"/>
    <w:rsid w:val="00FD1EDC"/>
    <w:rsid w:val="00FD3F68"/>
    <w:rsid w:val="00FE1317"/>
    <w:rsid w:val="00FE1DEE"/>
    <w:rsid w:val="00FE331D"/>
    <w:rsid w:val="00FE6317"/>
    <w:rsid w:val="00FE77E1"/>
    <w:rsid w:val="00FE7944"/>
    <w:rsid w:val="00FF2126"/>
    <w:rsid w:val="00FF5755"/>
    <w:rsid w:val="00FF69BE"/>
    <w:rsid w:val="00FF7B93"/>
    <w:rsid w:val="029B05BD"/>
    <w:rsid w:val="0A6C6C66"/>
    <w:rsid w:val="0C4F1F41"/>
    <w:rsid w:val="0D461374"/>
    <w:rsid w:val="0E2620D2"/>
    <w:rsid w:val="10FC30C9"/>
    <w:rsid w:val="12F0CA46"/>
    <w:rsid w:val="1552AD19"/>
    <w:rsid w:val="162450B4"/>
    <w:rsid w:val="167F2884"/>
    <w:rsid w:val="178181C5"/>
    <w:rsid w:val="179645BB"/>
    <w:rsid w:val="17D3FC28"/>
    <w:rsid w:val="18F5190C"/>
    <w:rsid w:val="1A0CA174"/>
    <w:rsid w:val="1C98027E"/>
    <w:rsid w:val="1CB49DF7"/>
    <w:rsid w:val="1F98C916"/>
    <w:rsid w:val="209BC586"/>
    <w:rsid w:val="218DB2EB"/>
    <w:rsid w:val="26D24E84"/>
    <w:rsid w:val="29AC8975"/>
    <w:rsid w:val="29C45747"/>
    <w:rsid w:val="2D5A753E"/>
    <w:rsid w:val="2E2364C3"/>
    <w:rsid w:val="2F08127F"/>
    <w:rsid w:val="2F642F01"/>
    <w:rsid w:val="30B2F817"/>
    <w:rsid w:val="31816520"/>
    <w:rsid w:val="32DC9404"/>
    <w:rsid w:val="33350399"/>
    <w:rsid w:val="341B3481"/>
    <w:rsid w:val="34DCBA3C"/>
    <w:rsid w:val="35078EA5"/>
    <w:rsid w:val="36989E42"/>
    <w:rsid w:val="3812B8BA"/>
    <w:rsid w:val="3D1A0959"/>
    <w:rsid w:val="3E0CE922"/>
    <w:rsid w:val="3EB5D9DC"/>
    <w:rsid w:val="4175C32D"/>
    <w:rsid w:val="42D7C83C"/>
    <w:rsid w:val="4360C159"/>
    <w:rsid w:val="44B0B797"/>
    <w:rsid w:val="467ADB4A"/>
    <w:rsid w:val="46BF6C95"/>
    <w:rsid w:val="478D4EB9"/>
    <w:rsid w:val="47C5E758"/>
    <w:rsid w:val="4B7B3465"/>
    <w:rsid w:val="52260D36"/>
    <w:rsid w:val="543E21DF"/>
    <w:rsid w:val="59A94A3E"/>
    <w:rsid w:val="5F9D5D8D"/>
    <w:rsid w:val="61FB5E6A"/>
    <w:rsid w:val="627AB8FA"/>
    <w:rsid w:val="653028F1"/>
    <w:rsid w:val="66569456"/>
    <w:rsid w:val="67246D7F"/>
    <w:rsid w:val="67A89FA1"/>
    <w:rsid w:val="69860D1A"/>
    <w:rsid w:val="6B555D36"/>
    <w:rsid w:val="6CBDADDC"/>
    <w:rsid w:val="6F4553AA"/>
    <w:rsid w:val="6FCD1EA7"/>
    <w:rsid w:val="7042480B"/>
    <w:rsid w:val="7107BAEB"/>
    <w:rsid w:val="7336ACEB"/>
    <w:rsid w:val="73A43011"/>
    <w:rsid w:val="766E4DAD"/>
    <w:rsid w:val="7910807D"/>
    <w:rsid w:val="7AF47C50"/>
    <w:rsid w:val="7EE4E867"/>
    <w:rsid w:val="7F4A3C9D"/>
    <w:rsid w:val="7FBEA044"/>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5871CC8"/>
  <w15:docId w15:val="{D56A196C-555E-4B68-9D3F-83184B4EE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74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A6576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Bahnschrift SemiCondensed" w:hAnsi="Bahnschrift SemiCondensed"/>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Bahnschrift SemiCondensed" w:hAnsi="Bahnschrift SemiCondensed"/>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Bahnschrift SemiCondensed" w:hAnsi="Bahnschrift SemiCondensed"/>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unhideWhenUsed/>
    <w:rsid w:val="009F2673"/>
    <w:rPr>
      <w:color w:val="605E5C"/>
      <w:shd w:val="clear" w:color="auto" w:fill="E1DFDD"/>
    </w:rPr>
  </w:style>
  <w:style w:type="paragraph" w:styleId="ListParagraph">
    <w:name w:val="List Paragraph"/>
    <w:basedOn w:val="Normal"/>
    <w:uiPriority w:val="34"/>
    <w:rsid w:val="00D170D7"/>
    <w:pPr>
      <w:adjustRightInd w:val="0"/>
      <w:snapToGrid w:val="0"/>
      <w:spacing w:before="180" w:after="180"/>
      <w:ind w:left="720"/>
      <w:contextualSpacing/>
    </w:pPr>
    <w:rPr>
      <w:rFonts w:eastAsia="MS Mincho"/>
      <w:szCs w:val="20"/>
      <w:lang w:eastAsia="ja-JP"/>
    </w:rPr>
  </w:style>
  <w:style w:type="paragraph" w:customStyle="1" w:styleId="Default">
    <w:name w:val="Default"/>
    <w:rsid w:val="00D170D7"/>
    <w:pPr>
      <w:autoSpaceDE w:val="0"/>
      <w:autoSpaceDN w:val="0"/>
      <w:adjustRightInd w:val="0"/>
      <w:spacing w:after="0" w:line="240" w:lineRule="auto"/>
    </w:pPr>
    <w:rPr>
      <w:rFonts w:ascii="Cambria" w:hAnsi="Cambria" w:cs="Cambria"/>
      <w:color w:val="000000"/>
      <w:sz w:val="24"/>
      <w:szCs w:val="24"/>
    </w:rPr>
  </w:style>
  <w:style w:type="character" w:customStyle="1" w:styleId="TabletextChar">
    <w:name w:val="Table text Char"/>
    <w:basedOn w:val="DefaultParagraphFont"/>
    <w:link w:val="Tabletext"/>
    <w:rsid w:val="005B7541"/>
    <w:rPr>
      <w:rFonts w:ascii="Cambria" w:eastAsia="Cambria" w:hAnsi="Cambria" w:cs="Times New Roman"/>
      <w:sz w:val="19"/>
    </w:rPr>
  </w:style>
  <w:style w:type="paragraph" w:customStyle="1" w:styleId="Standard">
    <w:name w:val="Standard"/>
    <w:basedOn w:val="Normal"/>
    <w:link w:val="StandardChar"/>
    <w:qFormat/>
    <w:rsid w:val="005B7541"/>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5B7541"/>
    <w:rPr>
      <w:rFonts w:ascii="Cambria" w:eastAsia="Times New Roman" w:hAnsi="Cambria" w:cs="Times New Roman"/>
      <w:snapToGrid w:val="0"/>
      <w:kern w:val="16"/>
      <w:sz w:val="23"/>
      <w:szCs w:val="24"/>
    </w:rPr>
  </w:style>
  <w:style w:type="character" w:customStyle="1" w:styleId="Mention1">
    <w:name w:val="Mention1"/>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8126">
      <w:bodyDiv w:val="1"/>
      <w:marLeft w:val="0"/>
      <w:marRight w:val="0"/>
      <w:marTop w:val="0"/>
      <w:marBottom w:val="0"/>
      <w:divBdr>
        <w:top w:val="none" w:sz="0" w:space="0" w:color="auto"/>
        <w:left w:val="none" w:sz="0" w:space="0" w:color="auto"/>
        <w:bottom w:val="none" w:sz="0" w:space="0" w:color="auto"/>
        <w:right w:val="none" w:sz="0" w:space="0" w:color="auto"/>
      </w:divBdr>
    </w:div>
    <w:div w:id="117067282">
      <w:bodyDiv w:val="1"/>
      <w:marLeft w:val="0"/>
      <w:marRight w:val="0"/>
      <w:marTop w:val="0"/>
      <w:marBottom w:val="0"/>
      <w:divBdr>
        <w:top w:val="none" w:sz="0" w:space="0" w:color="auto"/>
        <w:left w:val="none" w:sz="0" w:space="0" w:color="auto"/>
        <w:bottom w:val="none" w:sz="0" w:space="0" w:color="auto"/>
        <w:right w:val="none" w:sz="0" w:space="0" w:color="auto"/>
      </w:divBdr>
    </w:div>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731584153">
      <w:bodyDiv w:val="1"/>
      <w:marLeft w:val="0"/>
      <w:marRight w:val="0"/>
      <w:marTop w:val="0"/>
      <w:marBottom w:val="0"/>
      <w:divBdr>
        <w:top w:val="none" w:sz="0" w:space="0" w:color="auto"/>
        <w:left w:val="none" w:sz="0" w:space="0" w:color="auto"/>
        <w:bottom w:val="none" w:sz="0" w:space="0" w:color="auto"/>
        <w:right w:val="none" w:sz="0" w:space="0" w:color="auto"/>
      </w:divBdr>
    </w:div>
    <w:div w:id="1015116886">
      <w:bodyDiv w:val="1"/>
      <w:marLeft w:val="0"/>
      <w:marRight w:val="0"/>
      <w:marTop w:val="0"/>
      <w:marBottom w:val="0"/>
      <w:divBdr>
        <w:top w:val="none" w:sz="0" w:space="0" w:color="auto"/>
        <w:left w:val="none" w:sz="0" w:space="0" w:color="auto"/>
        <w:bottom w:val="none" w:sz="0" w:space="0" w:color="auto"/>
        <w:right w:val="none" w:sz="0" w:space="0" w:color="auto"/>
      </w:divBdr>
    </w:div>
    <w:div w:id="1064525851">
      <w:bodyDiv w:val="1"/>
      <w:marLeft w:val="0"/>
      <w:marRight w:val="0"/>
      <w:marTop w:val="0"/>
      <w:marBottom w:val="0"/>
      <w:divBdr>
        <w:top w:val="none" w:sz="0" w:space="0" w:color="auto"/>
        <w:left w:val="none" w:sz="0" w:space="0" w:color="auto"/>
        <w:bottom w:val="none" w:sz="0" w:space="0" w:color="auto"/>
        <w:right w:val="none" w:sz="0" w:space="0" w:color="auto"/>
      </w:divBdr>
    </w:div>
    <w:div w:id="1135101325">
      <w:bodyDiv w:val="1"/>
      <w:marLeft w:val="0"/>
      <w:marRight w:val="0"/>
      <w:marTop w:val="0"/>
      <w:marBottom w:val="0"/>
      <w:divBdr>
        <w:top w:val="none" w:sz="0" w:space="0" w:color="auto"/>
        <w:left w:val="none" w:sz="0" w:space="0" w:color="auto"/>
        <w:bottom w:val="none" w:sz="0" w:space="0" w:color="auto"/>
        <w:right w:val="none" w:sz="0" w:space="0" w:color="auto"/>
      </w:divBdr>
      <w:divsChild>
        <w:div w:id="1715275338">
          <w:marLeft w:val="0"/>
          <w:marRight w:val="0"/>
          <w:marTop w:val="0"/>
          <w:marBottom w:val="0"/>
          <w:divBdr>
            <w:top w:val="none" w:sz="0" w:space="0" w:color="auto"/>
            <w:left w:val="none" w:sz="0" w:space="0" w:color="auto"/>
            <w:bottom w:val="none" w:sz="0" w:space="0" w:color="auto"/>
            <w:right w:val="none" w:sz="0" w:space="0" w:color="auto"/>
          </w:divBdr>
          <w:divsChild>
            <w:div w:id="200899358">
              <w:marLeft w:val="0"/>
              <w:marRight w:val="0"/>
              <w:marTop w:val="0"/>
              <w:marBottom w:val="0"/>
              <w:divBdr>
                <w:top w:val="none" w:sz="0" w:space="0" w:color="auto"/>
                <w:left w:val="none" w:sz="0" w:space="0" w:color="auto"/>
                <w:bottom w:val="none" w:sz="0" w:space="0" w:color="auto"/>
                <w:right w:val="none" w:sz="0" w:space="0" w:color="auto"/>
              </w:divBdr>
              <w:divsChild>
                <w:div w:id="1165364218">
                  <w:marLeft w:val="0"/>
                  <w:marRight w:val="0"/>
                  <w:marTop w:val="0"/>
                  <w:marBottom w:val="0"/>
                  <w:divBdr>
                    <w:top w:val="none" w:sz="0" w:space="0" w:color="auto"/>
                    <w:left w:val="none" w:sz="0" w:space="0" w:color="auto"/>
                    <w:bottom w:val="none" w:sz="0" w:space="0" w:color="auto"/>
                    <w:right w:val="none" w:sz="0" w:space="0" w:color="auto"/>
                  </w:divBdr>
                  <w:divsChild>
                    <w:div w:id="595794017">
                      <w:marLeft w:val="0"/>
                      <w:marRight w:val="0"/>
                      <w:marTop w:val="100"/>
                      <w:marBottom w:val="100"/>
                      <w:divBdr>
                        <w:top w:val="none" w:sz="0" w:space="0" w:color="auto"/>
                        <w:left w:val="none" w:sz="0" w:space="0" w:color="auto"/>
                        <w:bottom w:val="none" w:sz="0" w:space="0" w:color="auto"/>
                        <w:right w:val="none" w:sz="0" w:space="0" w:color="auto"/>
                      </w:divBdr>
                      <w:divsChild>
                        <w:div w:id="968051478">
                          <w:marLeft w:val="0"/>
                          <w:marRight w:val="0"/>
                          <w:marTop w:val="0"/>
                          <w:marBottom w:val="0"/>
                          <w:divBdr>
                            <w:top w:val="none" w:sz="0" w:space="0" w:color="auto"/>
                            <w:left w:val="none" w:sz="0" w:space="0" w:color="auto"/>
                            <w:bottom w:val="none" w:sz="0" w:space="0" w:color="auto"/>
                            <w:right w:val="none" w:sz="0" w:space="0" w:color="auto"/>
                          </w:divBdr>
                          <w:divsChild>
                            <w:div w:id="2045786201">
                              <w:marLeft w:val="0"/>
                              <w:marRight w:val="0"/>
                              <w:marTop w:val="0"/>
                              <w:marBottom w:val="0"/>
                              <w:divBdr>
                                <w:top w:val="single" w:sz="6" w:space="2" w:color="E6E7E8"/>
                                <w:left w:val="single" w:sz="6" w:space="2" w:color="E6E7E8"/>
                                <w:bottom w:val="single" w:sz="6" w:space="2" w:color="E6E7E8"/>
                                <w:right w:val="single" w:sz="6" w:space="2" w:color="E6E7E8"/>
                              </w:divBdr>
                              <w:divsChild>
                                <w:div w:id="174268688">
                                  <w:marLeft w:val="0"/>
                                  <w:marRight w:val="0"/>
                                  <w:marTop w:val="15"/>
                                  <w:marBottom w:val="0"/>
                                  <w:divBdr>
                                    <w:top w:val="none" w:sz="0" w:space="0" w:color="auto"/>
                                    <w:left w:val="none" w:sz="0" w:space="0" w:color="auto"/>
                                    <w:bottom w:val="none" w:sz="0" w:space="0" w:color="auto"/>
                                    <w:right w:val="none" w:sz="0" w:space="0" w:color="auto"/>
                                  </w:divBdr>
                                  <w:divsChild>
                                    <w:div w:id="155169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9681089">
      <w:bodyDiv w:val="1"/>
      <w:marLeft w:val="0"/>
      <w:marRight w:val="0"/>
      <w:marTop w:val="0"/>
      <w:marBottom w:val="0"/>
      <w:divBdr>
        <w:top w:val="none" w:sz="0" w:space="0" w:color="auto"/>
        <w:left w:val="none" w:sz="0" w:space="0" w:color="auto"/>
        <w:bottom w:val="none" w:sz="0" w:space="0" w:color="auto"/>
        <w:right w:val="none" w:sz="0" w:space="0" w:color="auto"/>
      </w:divBdr>
    </w:div>
    <w:div w:id="1222444815">
      <w:bodyDiv w:val="1"/>
      <w:marLeft w:val="0"/>
      <w:marRight w:val="0"/>
      <w:marTop w:val="0"/>
      <w:marBottom w:val="0"/>
      <w:divBdr>
        <w:top w:val="none" w:sz="0" w:space="0" w:color="auto"/>
        <w:left w:val="none" w:sz="0" w:space="0" w:color="auto"/>
        <w:bottom w:val="none" w:sz="0" w:space="0" w:color="auto"/>
        <w:right w:val="none" w:sz="0" w:space="0" w:color="auto"/>
      </w:divBdr>
    </w:div>
    <w:div w:id="1248921544">
      <w:bodyDiv w:val="1"/>
      <w:marLeft w:val="0"/>
      <w:marRight w:val="0"/>
      <w:marTop w:val="0"/>
      <w:marBottom w:val="0"/>
      <w:divBdr>
        <w:top w:val="none" w:sz="0" w:space="0" w:color="auto"/>
        <w:left w:val="none" w:sz="0" w:space="0" w:color="auto"/>
        <w:bottom w:val="none" w:sz="0" w:space="0" w:color="auto"/>
        <w:right w:val="none" w:sz="0" w:space="0" w:color="auto"/>
      </w:divBdr>
    </w:div>
    <w:div w:id="1250771518">
      <w:bodyDiv w:val="1"/>
      <w:marLeft w:val="0"/>
      <w:marRight w:val="0"/>
      <w:marTop w:val="0"/>
      <w:marBottom w:val="0"/>
      <w:divBdr>
        <w:top w:val="none" w:sz="0" w:space="0" w:color="auto"/>
        <w:left w:val="none" w:sz="0" w:space="0" w:color="auto"/>
        <w:bottom w:val="none" w:sz="0" w:space="0" w:color="auto"/>
        <w:right w:val="none" w:sz="0" w:space="0" w:color="auto"/>
      </w:divBdr>
    </w:div>
    <w:div w:id="1264531048">
      <w:bodyDiv w:val="1"/>
      <w:marLeft w:val="0"/>
      <w:marRight w:val="0"/>
      <w:marTop w:val="0"/>
      <w:marBottom w:val="0"/>
      <w:divBdr>
        <w:top w:val="none" w:sz="0" w:space="0" w:color="auto"/>
        <w:left w:val="none" w:sz="0" w:space="0" w:color="auto"/>
        <w:bottom w:val="none" w:sz="0" w:space="0" w:color="auto"/>
        <w:right w:val="none" w:sz="0" w:space="0" w:color="auto"/>
      </w:divBdr>
    </w:div>
    <w:div w:id="1306886097">
      <w:bodyDiv w:val="1"/>
      <w:marLeft w:val="0"/>
      <w:marRight w:val="0"/>
      <w:marTop w:val="0"/>
      <w:marBottom w:val="0"/>
      <w:divBdr>
        <w:top w:val="none" w:sz="0" w:space="0" w:color="auto"/>
        <w:left w:val="none" w:sz="0" w:space="0" w:color="auto"/>
        <w:bottom w:val="none" w:sz="0" w:space="0" w:color="auto"/>
        <w:right w:val="none" w:sz="0" w:space="0" w:color="auto"/>
      </w:divBdr>
      <w:divsChild>
        <w:div w:id="1469124811">
          <w:marLeft w:val="0"/>
          <w:marRight w:val="0"/>
          <w:marTop w:val="0"/>
          <w:marBottom w:val="0"/>
          <w:divBdr>
            <w:top w:val="none" w:sz="0" w:space="0" w:color="auto"/>
            <w:left w:val="none" w:sz="0" w:space="0" w:color="auto"/>
            <w:bottom w:val="none" w:sz="0" w:space="0" w:color="auto"/>
            <w:right w:val="none" w:sz="0" w:space="0" w:color="auto"/>
          </w:divBdr>
        </w:div>
      </w:divsChild>
    </w:div>
    <w:div w:id="1344168773">
      <w:bodyDiv w:val="1"/>
      <w:marLeft w:val="0"/>
      <w:marRight w:val="0"/>
      <w:marTop w:val="0"/>
      <w:marBottom w:val="0"/>
      <w:divBdr>
        <w:top w:val="none" w:sz="0" w:space="0" w:color="auto"/>
        <w:left w:val="none" w:sz="0" w:space="0" w:color="auto"/>
        <w:bottom w:val="none" w:sz="0" w:space="0" w:color="auto"/>
        <w:right w:val="none" w:sz="0" w:space="0" w:color="auto"/>
      </w:divBdr>
    </w:div>
    <w:div w:id="1449276289">
      <w:bodyDiv w:val="1"/>
      <w:marLeft w:val="0"/>
      <w:marRight w:val="0"/>
      <w:marTop w:val="0"/>
      <w:marBottom w:val="0"/>
      <w:divBdr>
        <w:top w:val="none" w:sz="0" w:space="0" w:color="auto"/>
        <w:left w:val="none" w:sz="0" w:space="0" w:color="auto"/>
        <w:bottom w:val="none" w:sz="0" w:space="0" w:color="auto"/>
        <w:right w:val="none" w:sz="0" w:space="0" w:color="auto"/>
      </w:divBdr>
    </w:div>
    <w:div w:id="1508403978">
      <w:bodyDiv w:val="1"/>
      <w:marLeft w:val="0"/>
      <w:marRight w:val="0"/>
      <w:marTop w:val="0"/>
      <w:marBottom w:val="0"/>
      <w:divBdr>
        <w:top w:val="none" w:sz="0" w:space="0" w:color="auto"/>
        <w:left w:val="none" w:sz="0" w:space="0" w:color="auto"/>
        <w:bottom w:val="none" w:sz="0" w:space="0" w:color="auto"/>
        <w:right w:val="none" w:sz="0" w:space="0" w:color="auto"/>
      </w:divBdr>
    </w:div>
    <w:div w:id="1785224712">
      <w:bodyDiv w:val="1"/>
      <w:marLeft w:val="0"/>
      <w:marRight w:val="0"/>
      <w:marTop w:val="0"/>
      <w:marBottom w:val="0"/>
      <w:divBdr>
        <w:top w:val="none" w:sz="0" w:space="0" w:color="auto"/>
        <w:left w:val="none" w:sz="0" w:space="0" w:color="auto"/>
        <w:bottom w:val="none" w:sz="0" w:space="0" w:color="auto"/>
        <w:right w:val="none" w:sz="0" w:space="0" w:color="auto"/>
      </w:divBdr>
    </w:div>
    <w:div w:id="1809013654">
      <w:bodyDiv w:val="1"/>
      <w:marLeft w:val="0"/>
      <w:marRight w:val="0"/>
      <w:marTop w:val="0"/>
      <w:marBottom w:val="0"/>
      <w:divBdr>
        <w:top w:val="none" w:sz="0" w:space="0" w:color="auto"/>
        <w:left w:val="none" w:sz="0" w:space="0" w:color="auto"/>
        <w:bottom w:val="none" w:sz="0" w:space="0" w:color="auto"/>
        <w:right w:val="none" w:sz="0" w:space="0" w:color="auto"/>
      </w:divBdr>
      <w:divsChild>
        <w:div w:id="1867601435">
          <w:marLeft w:val="0"/>
          <w:marRight w:val="0"/>
          <w:marTop w:val="0"/>
          <w:marBottom w:val="0"/>
          <w:divBdr>
            <w:top w:val="none" w:sz="0" w:space="0" w:color="auto"/>
            <w:left w:val="none" w:sz="0" w:space="0" w:color="auto"/>
            <w:bottom w:val="none" w:sz="0" w:space="0" w:color="auto"/>
            <w:right w:val="none" w:sz="0" w:space="0" w:color="auto"/>
          </w:divBdr>
        </w:div>
        <w:div w:id="1855995022">
          <w:marLeft w:val="0"/>
          <w:marRight w:val="0"/>
          <w:marTop w:val="0"/>
          <w:marBottom w:val="0"/>
          <w:divBdr>
            <w:top w:val="none" w:sz="0" w:space="0" w:color="auto"/>
            <w:left w:val="none" w:sz="0" w:space="0" w:color="auto"/>
            <w:bottom w:val="none" w:sz="0" w:space="0" w:color="auto"/>
            <w:right w:val="none" w:sz="0" w:space="0" w:color="auto"/>
          </w:divBdr>
        </w:div>
        <w:div w:id="1041711829">
          <w:marLeft w:val="0"/>
          <w:marRight w:val="0"/>
          <w:marTop w:val="0"/>
          <w:marBottom w:val="0"/>
          <w:divBdr>
            <w:top w:val="none" w:sz="0" w:space="0" w:color="auto"/>
            <w:left w:val="none" w:sz="0" w:space="0" w:color="auto"/>
            <w:bottom w:val="none" w:sz="0" w:space="0" w:color="auto"/>
            <w:right w:val="none" w:sz="0" w:space="0" w:color="auto"/>
          </w:divBdr>
        </w:div>
        <w:div w:id="2117094697">
          <w:marLeft w:val="0"/>
          <w:marRight w:val="0"/>
          <w:marTop w:val="0"/>
          <w:marBottom w:val="0"/>
          <w:divBdr>
            <w:top w:val="none" w:sz="0" w:space="0" w:color="auto"/>
            <w:left w:val="none" w:sz="0" w:space="0" w:color="auto"/>
            <w:bottom w:val="none" w:sz="0" w:space="0" w:color="auto"/>
            <w:right w:val="none" w:sz="0" w:space="0" w:color="auto"/>
          </w:divBdr>
        </w:div>
        <w:div w:id="919605278">
          <w:marLeft w:val="0"/>
          <w:marRight w:val="0"/>
          <w:marTop w:val="0"/>
          <w:marBottom w:val="0"/>
          <w:divBdr>
            <w:top w:val="none" w:sz="0" w:space="0" w:color="auto"/>
            <w:left w:val="none" w:sz="0" w:space="0" w:color="auto"/>
            <w:bottom w:val="none" w:sz="0" w:space="0" w:color="auto"/>
            <w:right w:val="none" w:sz="0" w:space="0" w:color="auto"/>
          </w:divBdr>
        </w:div>
      </w:divsChild>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 w:id="213910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ga.copyright@tga.gov.au" TargetMode="External"/><Relationship Id="rId18" Type="http://schemas.openxmlformats.org/officeDocument/2006/relationships/hyperlink" Target="https://www.tga.gov.au/australia-canada-singapore-switzerland-united-kingdom-access-consortium" TargetMode="External"/><Relationship Id="rId26" Type="http://schemas.openxmlformats.org/officeDocument/2006/relationships/image" Target="media/image6.png"/><Relationship Id="rId39" Type="http://schemas.openxmlformats.org/officeDocument/2006/relationships/hyperlink" Target="https://www.tga.gov.au/tgas-risk-management-approach" TargetMode="External"/><Relationship Id="rId3" Type="http://schemas.openxmlformats.org/officeDocument/2006/relationships/customXml" Target="../customXml/item3.xml"/><Relationship Id="rId21" Type="http://schemas.openxmlformats.org/officeDocument/2006/relationships/hyperlink" Target="https://www.tga.gov.au/picmi-search-facility" TargetMode="External"/><Relationship Id="rId34" Type="http://schemas.openxmlformats.org/officeDocument/2006/relationships/image" Target="media/image13.png"/><Relationship Id="rId42" Type="http://schemas.openxmlformats.org/officeDocument/2006/relationships/header" Target="header3.xml"/><Relationship Id="rId47" Type="http://schemas.openxmlformats.org/officeDocument/2006/relationships/hyperlink" Target="https://www.tga.gov.au" TargetMode="Externa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tga.gov.au/australian-public-assessment-report-auspar-guidance" TargetMode="External"/><Relationship Id="rId17" Type="http://schemas.openxmlformats.org/officeDocument/2006/relationships/hyperlink" Target="https://www.tga.gov.au/black-triangle-scheme"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s://www.tga.gov.au/publication/risk-management-plans-medicines-and-biologicals" TargetMode="External"/><Relationship Id="rId46" Type="http://schemas.openxmlformats.org/officeDocument/2006/relationships/hyperlink" Target="mailto:info@tga.gov.au"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tga.gov.au/provisional-approval-pathway-prescription-medicines" TargetMode="External"/><Relationship Id="rId29" Type="http://schemas.openxmlformats.org/officeDocument/2006/relationships/image" Target="media/image9.png"/><Relationship Id="rId41" Type="http://schemas.openxmlformats.org/officeDocument/2006/relationships/hyperlink" Target="https://www.tga.gov.au/picmi-search-facility"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4.png"/><Relationship Id="rId32" Type="http://schemas.microsoft.com/office/2007/relationships/hdphoto" Target="media/hdphoto1.wdp"/><Relationship Id="rId37" Type="http://schemas.openxmlformats.org/officeDocument/2006/relationships/image" Target="media/image16.png"/><Relationship Id="rId40" Type="http://schemas.openxmlformats.org/officeDocument/2006/relationships/hyperlink" Target="https://www.tga.gov.au/committee/advisory-committee-medicines-acm" TargetMode="External"/><Relationship Id="rId45" Type="http://schemas.openxmlformats.org/officeDocument/2006/relationships/footer" Target="footer2.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s://www.tga.gov.au/australia-canada-singapore-switzerland-united-kingdom-access-consortium" TargetMode="External"/><Relationship Id="rId31" Type="http://schemas.openxmlformats.org/officeDocument/2006/relationships/image" Target="media/image11.png"/><Relationship Id="rId44" Type="http://schemas.openxmlformats.org/officeDocument/2006/relationships/header" Target="header5.xm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header" Target="header4.xml"/><Relationship Id="rId48"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hyperlink" Target="https://www.accessdata.fda.gov/drugsatfda_docs/nda/2021/215358Orig1s000,Orig2s000MultidisciplineR.pdf" TargetMode="External"/><Relationship Id="rId2" Type="http://schemas.openxmlformats.org/officeDocument/2006/relationships/hyperlink" Target="https://www.fda.gov/media/134605/download" TargetMode="External"/><Relationship Id="rId1" Type="http://schemas.openxmlformats.org/officeDocument/2006/relationships/hyperlink" Target="https://evs.nci.nih.gov/ftp1/CTCAE/CTCAE_4.03/CTCAE_4.03_2010-06-14_QuickReference_8.5x1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UMMV\AppData\Local\Hewlett-Packard\HP%20TRIM\TEMP\HPTRIM.16032\D22-5542303%20%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BE489C3462D748A746D6345D57B703" ma:contentTypeVersion="6" ma:contentTypeDescription="Create a new document." ma:contentTypeScope="" ma:versionID="f13f555e73dd8b0475b92c67d3e8aaf6">
  <xsd:schema xmlns:xsd="http://www.w3.org/2001/XMLSchema" xmlns:xs="http://www.w3.org/2001/XMLSchema" xmlns:p="http://schemas.microsoft.com/office/2006/metadata/properties" xmlns:ns2="ab056fec-a2ea-43f7-a5f6-aaf12cd74433" xmlns:ns3="a264eca3-9e3c-4095-8aae-a8f99d055096" targetNamespace="http://schemas.microsoft.com/office/2006/metadata/properties" ma:root="true" ma:fieldsID="4da76888e3ba494c697933336d585960" ns2:_="" ns3:_="">
    <xsd:import namespace="ab056fec-a2ea-43f7-a5f6-aaf12cd74433"/>
    <xsd:import namespace="a264eca3-9e3c-4095-8aae-a8f99d0550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056fec-a2ea-43f7-a5f6-aaf12cd744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64eca3-9e3c-4095-8aae-a8f99d0550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6CDF6-1ECA-466B-9F9B-0E266446CE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056fec-a2ea-43f7-a5f6-aaf12cd74433"/>
    <ds:schemaRef ds:uri="a264eca3-9e3c-4095-8aae-a8f99d0550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55BA7A-566C-4E88-B538-1D8F1359ED83}">
  <ds:schemaRefs>
    <ds:schemaRef ds:uri="http://purl.org/dc/terms/"/>
    <ds:schemaRef ds:uri="ab056fec-a2ea-43f7-a5f6-aaf12cd74433"/>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a264eca3-9e3c-4095-8aae-a8f99d055096"/>
    <ds:schemaRef ds:uri="http://www.w3.org/XML/1998/namespace"/>
  </ds:schemaRefs>
</ds:datastoreItem>
</file>

<file path=customXml/itemProps3.xml><?xml version="1.0" encoding="utf-8"?>
<ds:datastoreItem xmlns:ds="http://schemas.openxmlformats.org/officeDocument/2006/customXml" ds:itemID="{9EFA45B9-5395-4299-A29B-028C40819FFE}">
  <ds:schemaRefs>
    <ds:schemaRef ds:uri="http://schemas.microsoft.com/sharepoint/v3/contenttype/forms"/>
  </ds:schemaRefs>
</ds:datastoreItem>
</file>

<file path=customXml/itemProps4.xml><?xml version="1.0" encoding="utf-8"?>
<ds:datastoreItem xmlns:ds="http://schemas.openxmlformats.org/officeDocument/2006/customXml" ds:itemID="{9DC7D85D-6F8F-4293-AEF9-C91E7CFC2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D22-5542303  AusPAR template.DOTX</Template>
  <TotalTime>0</TotalTime>
  <Pages>57</Pages>
  <Words>21425</Words>
  <Characters>122127</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 Therapeutic Goods Administration</Company>
  <LinksUpToDate>false</LinksUpToDate>
  <CharactersWithSpaces>143266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Scemblix</dc:title>
  <dc:subject>prescription medicines</dc:subject>
  <dc:creator>Therapeutic Goods Administration</dc:creator>
  <cp:keywords/>
  <cp:lastModifiedBy>LACK, Janet</cp:lastModifiedBy>
  <cp:revision>2</cp:revision>
  <cp:lastPrinted>2019-08-14T04:30:00Z</cp:lastPrinted>
  <dcterms:created xsi:type="dcterms:W3CDTF">2023-04-26T02:05:00Z</dcterms:created>
  <dcterms:modified xsi:type="dcterms:W3CDTF">2023-04-26T02:05:00Z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0x010100EFBE489C3462D748A746D6345D57B703</vt:lpwstr>
  </property>
  <property fmtid="{D5CDD505-2E9C-101B-9397-08002B2CF9AE}" pid="3" name="MSIP_Label_3c9bec58-8084-492e-8360-0e1cfe36408c_Enabled">
    <vt:lpwstr>true</vt:lpwstr>
  </property>
  <property fmtid="{D5CDD505-2E9C-101B-9397-08002B2CF9AE}" pid="4" name="MSIP_Label_3c9bec58-8084-492e-8360-0e1cfe36408c_SetDate">
    <vt:lpwstr>2023-02-27T14:29:12Z</vt:lpwstr>
  </property>
  <property fmtid="{D5CDD505-2E9C-101B-9397-08002B2CF9AE}" pid="5" name="MSIP_Label_3c9bec58-8084-492e-8360-0e1cfe36408c_Method">
    <vt:lpwstr>Standard</vt:lpwstr>
  </property>
  <property fmtid="{D5CDD505-2E9C-101B-9397-08002B2CF9AE}" pid="6" name="MSIP_Label_3c9bec58-8084-492e-8360-0e1cfe36408c_Name">
    <vt:lpwstr>Not Protected -Pilot</vt:lpwstr>
  </property>
  <property fmtid="{D5CDD505-2E9C-101B-9397-08002B2CF9AE}" pid="7" name="MSIP_Label_3c9bec58-8084-492e-8360-0e1cfe36408c_SiteId">
    <vt:lpwstr>f35a6974-607f-47d4-82d7-ff31d7dc53a5</vt:lpwstr>
  </property>
  <property fmtid="{D5CDD505-2E9C-101B-9397-08002B2CF9AE}" pid="8" name="MSIP_Label_3c9bec58-8084-492e-8360-0e1cfe36408c_ActionId">
    <vt:lpwstr>3c64bfe8-322c-425a-92e9-23287892a6d3</vt:lpwstr>
  </property>
  <property fmtid="{D5CDD505-2E9C-101B-9397-08002B2CF9AE}" pid="9" name="MSIP_Label_3c9bec58-8084-492e-8360-0e1cfe36408c_ContentBits">
    <vt:lpwstr>0</vt:lpwstr>
  </property>
</Properties>
</file>